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E49CAE">
      <w:pPr>
        <w:pageBreakBefore w:val="0"/>
        <w:wordWrap/>
        <w:topLinePunct w:val="0"/>
        <w:bidi w:val="0"/>
        <w:spacing w:beforeAutospacing="0" w:afterAutospacing="0"/>
        <w:ind w:left="0" w:leftChars="0" w:right="0"/>
        <w:rPr>
          <w:rFonts w:hint="default" w:ascii="Times New Roman" w:hAnsi="Times New Roman" w:eastAsia="仿宋_GB2312" w:cs="Times New Roman"/>
          <w:caps w:val="0"/>
          <w:smallCaps w:val="0"/>
          <w:color w:val="auto"/>
          <w:spacing w:val="0"/>
          <w:w w:val="100"/>
          <w:kern w:val="2"/>
          <w:position w:val="0"/>
          <w:sz w:val="36"/>
          <w:szCs w:val="36"/>
          <w:highlight w:val="none"/>
        </w:rPr>
      </w:pPr>
      <w:bookmarkStart w:id="0" w:name="_Hlk57883707"/>
      <w:bookmarkStart w:id="23" w:name="_GoBack"/>
      <w:bookmarkEnd w:id="23"/>
    </w:p>
    <w:p w14:paraId="1C817C95">
      <w:pPr>
        <w:pageBreakBefore w:val="0"/>
        <w:wordWrap/>
        <w:topLinePunct w:val="0"/>
        <w:bidi w:val="0"/>
        <w:spacing w:beforeAutospacing="0" w:afterAutospacing="0"/>
        <w:ind w:left="0" w:leftChars="0" w:right="0"/>
        <w:rPr>
          <w:rFonts w:hint="default" w:ascii="Times New Roman" w:hAnsi="Times New Roman" w:eastAsia="仿宋_GB2312" w:cs="Times New Roman"/>
          <w:caps w:val="0"/>
          <w:smallCaps w:val="0"/>
          <w:color w:val="auto"/>
          <w:spacing w:val="0"/>
          <w:w w:val="100"/>
          <w:kern w:val="2"/>
          <w:position w:val="0"/>
          <w:sz w:val="36"/>
          <w:szCs w:val="36"/>
          <w:highlight w:val="none"/>
        </w:rPr>
      </w:pPr>
    </w:p>
    <w:p w14:paraId="54A57B61">
      <w:pPr>
        <w:pageBreakBefore w:val="0"/>
        <w:wordWrap/>
        <w:topLinePunct w:val="0"/>
        <w:bidi w:val="0"/>
        <w:spacing w:beforeAutospacing="0" w:afterAutospacing="0"/>
        <w:ind w:left="0" w:leftChars="0" w:right="0"/>
        <w:rPr>
          <w:rFonts w:hint="default" w:ascii="Times New Roman" w:hAnsi="Times New Roman" w:eastAsia="仿宋_GB2312" w:cs="Times New Roman"/>
          <w:caps w:val="0"/>
          <w:smallCaps w:val="0"/>
          <w:color w:val="auto"/>
          <w:spacing w:val="0"/>
          <w:w w:val="100"/>
          <w:kern w:val="2"/>
          <w:position w:val="0"/>
          <w:sz w:val="36"/>
          <w:szCs w:val="36"/>
          <w:highlight w:val="none"/>
        </w:rPr>
      </w:pPr>
    </w:p>
    <w:p w14:paraId="215F87C3">
      <w:pPr>
        <w:pageBreakBefore w:val="0"/>
        <w:wordWrap/>
        <w:topLinePunct w:val="0"/>
        <w:bidi w:val="0"/>
        <w:spacing w:beforeAutospacing="0" w:afterAutospacing="0"/>
        <w:ind w:left="0" w:leftChars="0" w:right="0"/>
        <w:rPr>
          <w:rFonts w:hint="default" w:ascii="Times New Roman" w:hAnsi="Times New Roman" w:eastAsia="仿宋_GB2312" w:cs="Times New Roman"/>
          <w:caps w:val="0"/>
          <w:smallCaps w:val="0"/>
          <w:color w:val="auto"/>
          <w:spacing w:val="0"/>
          <w:w w:val="100"/>
          <w:kern w:val="2"/>
          <w:position w:val="0"/>
          <w:sz w:val="36"/>
          <w:szCs w:val="36"/>
          <w:highlight w:val="none"/>
        </w:rPr>
      </w:pPr>
    </w:p>
    <w:bookmarkEnd w:id="0"/>
    <w:p w14:paraId="644B58DC">
      <w:pPr>
        <w:pageBreakBefore w:val="0"/>
        <w:wordWrap/>
        <w:topLinePunct w:val="0"/>
        <w:bidi w:val="0"/>
        <w:adjustRightInd w:val="0"/>
        <w:snapToGrid w:val="0"/>
        <w:spacing w:beforeAutospacing="0" w:afterAutospacing="0"/>
        <w:ind w:left="0" w:leftChars="0" w:right="0" w:rightChars="0"/>
        <w:jc w:val="center"/>
        <w:outlineLvl w:val="9"/>
        <w:rPr>
          <w:rFonts w:hint="default" w:ascii="Times New Roman" w:hAnsi="Times New Roman" w:eastAsia="方正小标宋_GBK" w:cs="Times New Roman"/>
          <w:bCs/>
          <w:caps w:val="0"/>
          <w:smallCaps w:val="0"/>
          <w:color w:val="auto"/>
          <w:spacing w:val="0"/>
          <w:w w:val="100"/>
          <w:kern w:val="2"/>
          <w:position w:val="0"/>
          <w:sz w:val="72"/>
          <w:szCs w:val="72"/>
          <w:highlight w:val="none"/>
        </w:rPr>
      </w:pPr>
      <w:r>
        <w:rPr>
          <w:rFonts w:hint="default" w:ascii="Times New Roman" w:hAnsi="Times New Roman" w:eastAsia="方正小标宋_GBK" w:cs="Times New Roman"/>
          <w:bCs/>
          <w:caps w:val="0"/>
          <w:smallCaps w:val="0"/>
          <w:color w:val="auto"/>
          <w:spacing w:val="0"/>
          <w:w w:val="100"/>
          <w:kern w:val="2"/>
          <w:position w:val="0"/>
          <w:sz w:val="72"/>
          <w:szCs w:val="72"/>
          <w:highlight w:val="none"/>
        </w:rPr>
        <w:t>建设项目环境影响报告表</w:t>
      </w:r>
    </w:p>
    <w:p w14:paraId="4CAF570D">
      <w:pPr>
        <w:pageBreakBefore w:val="0"/>
        <w:wordWrap/>
        <w:topLinePunct w:val="0"/>
        <w:bidi w:val="0"/>
        <w:adjustRightInd w:val="0"/>
        <w:snapToGrid w:val="0"/>
        <w:spacing w:beforeAutospacing="0" w:afterAutospacing="0"/>
        <w:ind w:left="0" w:leftChars="0" w:right="0"/>
        <w:jc w:val="center"/>
        <w:rPr>
          <w:rFonts w:hint="default" w:ascii="Times New Roman" w:hAnsi="Times New Roman" w:eastAsia="楷体_GB2312" w:cs="Times New Roman"/>
          <w:bCs/>
          <w:caps w:val="0"/>
          <w:smallCaps w:val="0"/>
          <w:color w:val="auto"/>
          <w:spacing w:val="0"/>
          <w:w w:val="100"/>
          <w:kern w:val="2"/>
          <w:position w:val="0"/>
          <w:sz w:val="48"/>
          <w:szCs w:val="48"/>
          <w:highlight w:val="none"/>
        </w:rPr>
      </w:pPr>
      <w:r>
        <w:rPr>
          <w:rFonts w:hint="default" w:ascii="Times New Roman" w:hAnsi="Times New Roman" w:eastAsia="楷体_GB2312" w:cs="Times New Roman"/>
          <w:bCs/>
          <w:caps w:val="0"/>
          <w:smallCaps w:val="0"/>
          <w:color w:val="auto"/>
          <w:spacing w:val="0"/>
          <w:w w:val="100"/>
          <w:kern w:val="2"/>
          <w:position w:val="0"/>
          <w:sz w:val="48"/>
          <w:szCs w:val="48"/>
          <w:highlight w:val="none"/>
        </w:rPr>
        <w:t>（生态影响类）</w:t>
      </w:r>
    </w:p>
    <w:p w14:paraId="59E8FB20">
      <w:pPr>
        <w:pageBreakBefore w:val="0"/>
        <w:wordWrap/>
        <w:topLinePunct w:val="0"/>
        <w:bidi w:val="0"/>
        <w:adjustRightInd w:val="0"/>
        <w:snapToGrid w:val="0"/>
        <w:spacing w:beforeAutospacing="0" w:afterAutospacing="0" w:line="288" w:lineRule="auto"/>
        <w:ind w:left="0" w:leftChars="0" w:right="0" w:rightChars="0"/>
        <w:jc w:val="center"/>
        <w:outlineLvl w:val="9"/>
        <w:rPr>
          <w:rFonts w:hint="eastAsia" w:ascii="Times New Roman" w:hAnsi="Times New Roman" w:eastAsia="华文仿宋" w:cs="Times New Roman"/>
          <w:caps w:val="0"/>
          <w:smallCaps w:val="0"/>
          <w:color w:val="auto"/>
          <w:spacing w:val="0"/>
          <w:w w:val="100"/>
          <w:kern w:val="2"/>
          <w:position w:val="0"/>
          <w:sz w:val="44"/>
          <w:szCs w:val="44"/>
          <w:highlight w:val="none"/>
          <w:lang w:eastAsia="zh-CN"/>
        </w:rPr>
      </w:pPr>
      <w:bookmarkStart w:id="1" w:name="_Hlk57883728"/>
      <w:r>
        <w:rPr>
          <w:rFonts w:hint="eastAsia" w:ascii="Times New Roman" w:hAnsi="Times New Roman" w:eastAsia="华文仿宋" w:cs="Times New Roman"/>
          <w:caps w:val="0"/>
          <w:smallCaps w:val="0"/>
          <w:color w:val="auto"/>
          <w:spacing w:val="0"/>
          <w:w w:val="100"/>
          <w:kern w:val="2"/>
          <w:position w:val="0"/>
          <w:sz w:val="44"/>
          <w:szCs w:val="44"/>
          <w:highlight w:val="none"/>
          <w:lang w:eastAsia="zh-CN"/>
        </w:rPr>
        <w:t>（</w:t>
      </w:r>
      <w:r>
        <w:rPr>
          <w:rFonts w:hint="eastAsia" w:ascii="Times New Roman" w:hAnsi="Times New Roman" w:eastAsia="华文仿宋" w:cs="Times New Roman"/>
          <w:caps w:val="0"/>
          <w:smallCaps w:val="0"/>
          <w:color w:val="auto"/>
          <w:spacing w:val="0"/>
          <w:w w:val="100"/>
          <w:kern w:val="2"/>
          <w:position w:val="0"/>
          <w:sz w:val="44"/>
          <w:szCs w:val="44"/>
          <w:highlight w:val="none"/>
          <w:lang w:val="en-US" w:eastAsia="zh-CN"/>
        </w:rPr>
        <w:t>报批稿</w:t>
      </w:r>
      <w:r>
        <w:rPr>
          <w:rFonts w:hint="eastAsia" w:ascii="Times New Roman" w:hAnsi="Times New Roman" w:eastAsia="华文仿宋" w:cs="Times New Roman"/>
          <w:caps w:val="0"/>
          <w:smallCaps w:val="0"/>
          <w:color w:val="auto"/>
          <w:spacing w:val="0"/>
          <w:w w:val="100"/>
          <w:kern w:val="2"/>
          <w:position w:val="0"/>
          <w:sz w:val="44"/>
          <w:szCs w:val="44"/>
          <w:highlight w:val="none"/>
          <w:lang w:eastAsia="zh-CN"/>
        </w:rPr>
        <w:t>）</w:t>
      </w:r>
    </w:p>
    <w:p w14:paraId="5951C907">
      <w:pPr>
        <w:pageBreakBefore w:val="0"/>
        <w:wordWrap/>
        <w:topLinePunct w:val="0"/>
        <w:bidi w:val="0"/>
        <w:spacing w:beforeAutospacing="0" w:afterAutospacing="0"/>
        <w:ind w:left="0" w:leftChars="0" w:right="0"/>
        <w:jc w:val="center"/>
        <w:rPr>
          <w:rFonts w:hint="default" w:ascii="Times New Roman" w:hAnsi="Times New Roman" w:eastAsia="仿宋" w:cs="Times New Roman"/>
          <w:caps w:val="0"/>
          <w:smallCaps w:val="0"/>
          <w:color w:val="auto"/>
          <w:spacing w:val="0"/>
          <w:w w:val="100"/>
          <w:kern w:val="2"/>
          <w:position w:val="0"/>
          <w:sz w:val="52"/>
          <w:szCs w:val="52"/>
          <w:highlight w:val="none"/>
        </w:rPr>
      </w:pPr>
    </w:p>
    <w:p w14:paraId="4E05A982">
      <w:pPr>
        <w:pageBreakBefore w:val="0"/>
        <w:wordWrap/>
        <w:topLinePunct w:val="0"/>
        <w:bidi w:val="0"/>
        <w:spacing w:beforeAutospacing="0" w:afterAutospacing="0"/>
        <w:ind w:left="0" w:leftChars="0" w:right="0"/>
        <w:jc w:val="center"/>
        <w:rPr>
          <w:rFonts w:hint="default" w:ascii="Times New Roman" w:hAnsi="Times New Roman" w:eastAsia="仿宋" w:cs="Times New Roman"/>
          <w:caps w:val="0"/>
          <w:smallCaps w:val="0"/>
          <w:color w:val="auto"/>
          <w:spacing w:val="0"/>
          <w:w w:val="100"/>
          <w:kern w:val="2"/>
          <w:position w:val="0"/>
          <w:sz w:val="52"/>
          <w:szCs w:val="52"/>
          <w:highlight w:val="none"/>
        </w:rPr>
      </w:pPr>
    </w:p>
    <w:p w14:paraId="0C4FA88F">
      <w:pPr>
        <w:pageBreakBefore w:val="0"/>
        <w:wordWrap/>
        <w:topLinePunct w:val="0"/>
        <w:bidi w:val="0"/>
        <w:spacing w:beforeAutospacing="0" w:afterAutospacing="0"/>
        <w:ind w:left="0" w:leftChars="0" w:right="0"/>
        <w:jc w:val="center"/>
        <w:rPr>
          <w:rFonts w:hint="default" w:ascii="Times New Roman" w:hAnsi="Times New Roman" w:eastAsia="仿宋" w:cs="Times New Roman"/>
          <w:caps w:val="0"/>
          <w:smallCaps w:val="0"/>
          <w:color w:val="auto"/>
          <w:spacing w:val="0"/>
          <w:w w:val="100"/>
          <w:kern w:val="2"/>
          <w:position w:val="0"/>
          <w:sz w:val="52"/>
          <w:szCs w:val="52"/>
          <w:highlight w:val="none"/>
        </w:rPr>
      </w:pPr>
    </w:p>
    <w:p w14:paraId="6250B68D">
      <w:pPr>
        <w:pageBreakBefore w:val="0"/>
        <w:wordWrap/>
        <w:topLinePunct w:val="0"/>
        <w:bidi w:val="0"/>
        <w:spacing w:beforeAutospacing="0" w:afterAutospacing="0"/>
        <w:ind w:left="0" w:leftChars="0" w:right="0" w:firstLine="1040"/>
        <w:rPr>
          <w:rFonts w:hint="default" w:ascii="Times New Roman" w:hAnsi="Times New Roman" w:eastAsia="仿宋" w:cs="Times New Roman"/>
          <w:caps w:val="0"/>
          <w:smallCaps w:val="0"/>
          <w:color w:val="auto"/>
          <w:spacing w:val="0"/>
          <w:w w:val="100"/>
          <w:kern w:val="2"/>
          <w:position w:val="0"/>
          <w:sz w:val="44"/>
          <w:szCs w:val="44"/>
          <w:highlight w:val="none"/>
        </w:rPr>
      </w:pPr>
    </w:p>
    <w:p w14:paraId="28A8129B">
      <w:pPr>
        <w:pageBreakBefore w:val="0"/>
        <w:wordWrap/>
        <w:topLinePunct w:val="0"/>
        <w:bidi w:val="0"/>
        <w:spacing w:beforeAutospacing="0" w:afterAutospacing="0"/>
        <w:ind w:left="0" w:leftChars="0" w:right="0" w:firstLine="1040"/>
        <w:rPr>
          <w:rFonts w:hint="default" w:ascii="Times New Roman" w:hAnsi="Times New Roman" w:eastAsia="仿宋" w:cs="Times New Roman"/>
          <w:caps w:val="0"/>
          <w:smallCaps w:val="0"/>
          <w:color w:val="auto"/>
          <w:spacing w:val="0"/>
          <w:w w:val="100"/>
          <w:kern w:val="2"/>
          <w:position w:val="0"/>
          <w:sz w:val="44"/>
          <w:szCs w:val="44"/>
          <w:highlight w:val="none"/>
        </w:rPr>
      </w:pPr>
    </w:p>
    <w:p w14:paraId="7D6E1401">
      <w:pPr>
        <w:pageBreakBefore w:val="0"/>
        <w:wordWrap/>
        <w:topLinePunct w:val="0"/>
        <w:bidi w:val="0"/>
        <w:spacing w:beforeAutospacing="0" w:afterAutospacing="0"/>
        <w:ind w:left="0" w:leftChars="0" w:right="0" w:firstLine="1040"/>
        <w:rPr>
          <w:rFonts w:hint="default" w:ascii="Times New Roman" w:hAnsi="Times New Roman" w:eastAsia="仿宋" w:cs="Times New Roman"/>
          <w:caps w:val="0"/>
          <w:smallCaps w:val="0"/>
          <w:color w:val="auto"/>
          <w:spacing w:val="0"/>
          <w:w w:val="100"/>
          <w:kern w:val="2"/>
          <w:position w:val="0"/>
          <w:sz w:val="44"/>
          <w:szCs w:val="44"/>
          <w:highlight w:val="none"/>
        </w:rPr>
      </w:pPr>
    </w:p>
    <w:bookmarkEnd w:id="1"/>
    <w:p w14:paraId="1776F9A1">
      <w:pPr>
        <w:pageBreakBefore w:val="0"/>
        <w:wordWrap/>
        <w:topLinePunct w:val="0"/>
        <w:bidi w:val="0"/>
        <w:adjustRightInd w:val="0"/>
        <w:snapToGrid w:val="0"/>
        <w:spacing w:beforeAutospacing="0" w:afterAutospacing="0" w:line="288" w:lineRule="auto"/>
        <w:ind w:left="1800" w:leftChars="0" w:right="0" w:hanging="1800" w:hangingChars="500"/>
        <w:rPr>
          <w:rFonts w:hint="default" w:ascii="Times New Roman" w:hAnsi="Times New Roman" w:eastAsia="仿宋" w:cs="Times New Roman"/>
          <w:caps w:val="0"/>
          <w:smallCaps w:val="0"/>
          <w:color w:val="auto"/>
          <w:spacing w:val="0"/>
          <w:w w:val="100"/>
          <w:kern w:val="2"/>
          <w:position w:val="0"/>
          <w:sz w:val="36"/>
          <w:szCs w:val="36"/>
          <w:highlight w:val="none"/>
          <w:u w:val="single"/>
          <w:lang w:val="en-US"/>
        </w:rPr>
      </w:pPr>
      <w:r>
        <w:rPr>
          <w:rFonts w:hint="eastAsia" w:ascii="仿宋" w:hAnsi="仿宋" w:eastAsia="仿宋" w:cs="仿宋"/>
          <w:caps w:val="0"/>
          <w:smallCaps w:val="0"/>
          <w:color w:val="auto"/>
          <w:spacing w:val="0"/>
          <w:w w:val="100"/>
          <w:kern w:val="2"/>
          <w:position w:val="0"/>
          <w:sz w:val="36"/>
          <w:szCs w:val="36"/>
          <w:highlight w:val="none"/>
        </w:rPr>
        <w:t>项目名</w:t>
      </w:r>
      <w:r>
        <w:rPr>
          <w:rFonts w:hint="default" w:ascii="Times New Roman" w:hAnsi="Times New Roman" w:eastAsia="仿宋" w:cs="Times New Roman"/>
          <w:caps w:val="0"/>
          <w:smallCaps w:val="0"/>
          <w:color w:val="auto"/>
          <w:spacing w:val="0"/>
          <w:w w:val="100"/>
          <w:kern w:val="2"/>
          <w:position w:val="0"/>
          <w:sz w:val="36"/>
          <w:szCs w:val="36"/>
          <w:highlight w:val="none"/>
        </w:rPr>
        <w:t>称：</w:t>
      </w:r>
      <w:r>
        <w:rPr>
          <w:rFonts w:hint="eastAsia" w:eastAsia="仿宋" w:cs="Times New Roman"/>
          <w:caps w:val="0"/>
          <w:smallCaps w:val="0"/>
          <w:color w:val="auto"/>
          <w:spacing w:val="-6"/>
          <w:w w:val="100"/>
          <w:kern w:val="2"/>
          <w:position w:val="0"/>
          <w:sz w:val="36"/>
          <w:szCs w:val="36"/>
          <w:highlight w:val="none"/>
          <w:u w:val="single"/>
          <w:lang w:val="en-US" w:eastAsia="zh-CN"/>
        </w:rPr>
        <w:t>2026年危旧桥改造项目G216线K1336+358处阳霞大桥改造工程</w:t>
      </w:r>
    </w:p>
    <w:p w14:paraId="2E4B8C8E">
      <w:pPr>
        <w:pageBreakBefore w:val="0"/>
        <w:wordWrap/>
        <w:topLinePunct w:val="0"/>
        <w:bidi w:val="0"/>
        <w:adjustRightInd w:val="0"/>
        <w:snapToGrid w:val="0"/>
        <w:spacing w:beforeAutospacing="0" w:afterAutospacing="0" w:line="288" w:lineRule="auto"/>
        <w:ind w:left="0" w:leftChars="0" w:right="0" w:firstLine="0" w:firstLineChars="0"/>
        <w:rPr>
          <w:rFonts w:hint="default" w:ascii="Times New Roman" w:hAnsi="Times New Roman" w:eastAsia="仿宋" w:cs="Times New Roman"/>
          <w:caps w:val="0"/>
          <w:smallCaps w:val="0"/>
          <w:color w:val="auto"/>
          <w:spacing w:val="0"/>
          <w:w w:val="100"/>
          <w:kern w:val="2"/>
          <w:position w:val="0"/>
          <w:sz w:val="36"/>
          <w:szCs w:val="36"/>
          <w:highlight w:val="none"/>
          <w:u w:val="single"/>
          <w:lang w:val="en-US" w:eastAsia="zh-CN"/>
        </w:rPr>
      </w:pPr>
      <w:r>
        <w:rPr>
          <w:rFonts w:hint="default" w:ascii="Times New Roman" w:hAnsi="Times New Roman" w:eastAsia="仿宋" w:cs="Times New Roman"/>
          <w:caps w:val="0"/>
          <w:smallCaps w:val="0"/>
          <w:color w:val="auto"/>
          <w:spacing w:val="0"/>
          <w:w w:val="100"/>
          <w:kern w:val="2"/>
          <w:position w:val="0"/>
          <w:sz w:val="36"/>
          <w:szCs w:val="36"/>
          <w:highlight w:val="none"/>
        </w:rPr>
        <w:t>建设单位（盖章）：</w:t>
      </w:r>
      <w:r>
        <w:rPr>
          <w:rFonts w:hint="eastAsia" w:ascii="Times New Roman" w:hAnsi="Times New Roman" w:eastAsia="仿宋" w:cs="Times New Roman"/>
          <w:caps w:val="0"/>
          <w:smallCaps w:val="0"/>
          <w:color w:val="auto"/>
          <w:spacing w:val="0"/>
          <w:w w:val="100"/>
          <w:kern w:val="2"/>
          <w:position w:val="0"/>
          <w:sz w:val="36"/>
          <w:szCs w:val="36"/>
          <w:highlight w:val="none"/>
          <w:u w:val="single"/>
          <w:lang w:val="en-US" w:eastAsia="zh-CN"/>
        </w:rPr>
        <w:t xml:space="preserve">     库尔勒公路事业发展中心            </w:t>
      </w:r>
    </w:p>
    <w:p w14:paraId="5785AFCE">
      <w:pPr>
        <w:pageBreakBefore w:val="0"/>
        <w:wordWrap/>
        <w:topLinePunct w:val="0"/>
        <w:bidi w:val="0"/>
        <w:adjustRightInd w:val="0"/>
        <w:snapToGrid w:val="0"/>
        <w:spacing w:beforeAutospacing="0" w:afterAutospacing="0" w:line="288" w:lineRule="auto"/>
        <w:ind w:left="0" w:leftChars="0" w:right="0" w:firstLine="0" w:firstLineChars="0"/>
        <w:rPr>
          <w:rFonts w:hint="default" w:ascii="仿宋" w:hAnsi="仿宋" w:eastAsia="仿宋" w:cs="仿宋"/>
          <w:caps w:val="0"/>
          <w:smallCaps w:val="0"/>
          <w:color w:val="auto"/>
          <w:spacing w:val="0"/>
          <w:w w:val="100"/>
          <w:kern w:val="2"/>
          <w:position w:val="0"/>
          <w:sz w:val="36"/>
          <w:szCs w:val="36"/>
          <w:highlight w:val="none"/>
          <w:u w:val="single"/>
          <w:lang w:val="en-US" w:eastAsia="zh-CN"/>
        </w:rPr>
      </w:pPr>
      <w:r>
        <w:rPr>
          <w:rFonts w:hint="default" w:ascii="Times New Roman" w:hAnsi="Times New Roman" w:eastAsia="仿宋" w:cs="Times New Roman"/>
          <w:caps w:val="0"/>
          <w:smallCaps w:val="0"/>
          <w:color w:val="auto"/>
          <w:spacing w:val="0"/>
          <w:w w:val="100"/>
          <w:kern w:val="2"/>
          <w:position w:val="0"/>
          <w:sz w:val="36"/>
          <w:szCs w:val="36"/>
          <w:highlight w:val="none"/>
        </w:rPr>
        <w:t>编制日期：</w:t>
      </w:r>
      <w:r>
        <w:rPr>
          <w:rFonts w:hint="eastAsia" w:ascii="Times New Roman" w:hAnsi="Times New Roman" w:eastAsia="仿宋" w:cs="Times New Roman"/>
          <w:caps w:val="0"/>
          <w:smallCaps w:val="0"/>
          <w:color w:val="auto"/>
          <w:spacing w:val="0"/>
          <w:w w:val="100"/>
          <w:kern w:val="2"/>
          <w:position w:val="0"/>
          <w:sz w:val="36"/>
          <w:szCs w:val="36"/>
          <w:highlight w:val="none"/>
          <w:u w:val="single"/>
          <w:lang w:val="en-US" w:eastAsia="zh-CN"/>
        </w:rPr>
        <w:t xml:space="preserve">               </w:t>
      </w:r>
      <w:r>
        <w:rPr>
          <w:rFonts w:hint="default" w:ascii="Times New Roman" w:hAnsi="Times New Roman" w:eastAsia="仿宋" w:cs="Times New Roman"/>
          <w:caps w:val="0"/>
          <w:smallCaps w:val="0"/>
          <w:color w:val="auto"/>
          <w:spacing w:val="0"/>
          <w:w w:val="100"/>
          <w:kern w:val="2"/>
          <w:position w:val="0"/>
          <w:sz w:val="36"/>
          <w:szCs w:val="36"/>
          <w:highlight w:val="none"/>
          <w:u w:val="single"/>
          <w:lang w:val="en-US" w:eastAsia="zh-CN"/>
        </w:rPr>
        <w:t>202</w:t>
      </w:r>
      <w:r>
        <w:rPr>
          <w:rFonts w:hint="eastAsia" w:ascii="Times New Roman" w:hAnsi="Times New Roman" w:eastAsia="仿宋" w:cs="Times New Roman"/>
          <w:caps w:val="0"/>
          <w:smallCaps w:val="0"/>
          <w:color w:val="auto"/>
          <w:spacing w:val="0"/>
          <w:w w:val="100"/>
          <w:kern w:val="2"/>
          <w:position w:val="0"/>
          <w:sz w:val="36"/>
          <w:szCs w:val="36"/>
          <w:highlight w:val="none"/>
          <w:u w:val="single"/>
          <w:lang w:val="en-US" w:eastAsia="zh-CN"/>
        </w:rPr>
        <w:t>6</w:t>
      </w:r>
      <w:r>
        <w:rPr>
          <w:rFonts w:hint="default" w:ascii="Times New Roman" w:hAnsi="Times New Roman" w:eastAsia="仿宋" w:cs="Times New Roman"/>
          <w:caps w:val="0"/>
          <w:smallCaps w:val="0"/>
          <w:color w:val="auto"/>
          <w:spacing w:val="0"/>
          <w:w w:val="100"/>
          <w:kern w:val="2"/>
          <w:position w:val="0"/>
          <w:sz w:val="36"/>
          <w:szCs w:val="36"/>
          <w:highlight w:val="none"/>
          <w:u w:val="single"/>
          <w:lang w:val="en-US" w:eastAsia="zh-CN"/>
        </w:rPr>
        <w:t>年</w:t>
      </w:r>
      <w:r>
        <w:rPr>
          <w:rFonts w:hint="eastAsia" w:ascii="Times New Roman" w:hAnsi="Times New Roman" w:eastAsia="仿宋" w:cs="Times New Roman"/>
          <w:caps w:val="0"/>
          <w:smallCaps w:val="0"/>
          <w:color w:val="auto"/>
          <w:spacing w:val="0"/>
          <w:w w:val="100"/>
          <w:kern w:val="2"/>
          <w:position w:val="0"/>
          <w:sz w:val="36"/>
          <w:szCs w:val="36"/>
          <w:highlight w:val="none"/>
          <w:u w:val="single"/>
          <w:lang w:val="en-US" w:eastAsia="zh-CN"/>
        </w:rPr>
        <w:t>3</w:t>
      </w:r>
      <w:r>
        <w:rPr>
          <w:rFonts w:hint="default" w:ascii="Times New Roman" w:hAnsi="Times New Roman" w:eastAsia="仿宋" w:cs="Times New Roman"/>
          <w:caps w:val="0"/>
          <w:smallCaps w:val="0"/>
          <w:color w:val="auto"/>
          <w:spacing w:val="0"/>
          <w:w w:val="100"/>
          <w:kern w:val="2"/>
          <w:position w:val="0"/>
          <w:sz w:val="36"/>
          <w:szCs w:val="36"/>
          <w:highlight w:val="none"/>
          <w:u w:val="single"/>
          <w:lang w:val="en-US" w:eastAsia="zh-CN"/>
        </w:rPr>
        <w:t>月</w:t>
      </w:r>
      <w:r>
        <w:rPr>
          <w:rFonts w:hint="eastAsia" w:ascii="Times New Roman" w:hAnsi="Times New Roman" w:eastAsia="仿宋" w:cs="Times New Roman"/>
          <w:caps w:val="0"/>
          <w:smallCaps w:val="0"/>
          <w:color w:val="auto"/>
          <w:spacing w:val="0"/>
          <w:w w:val="100"/>
          <w:kern w:val="2"/>
          <w:position w:val="0"/>
          <w:sz w:val="36"/>
          <w:szCs w:val="36"/>
          <w:highlight w:val="none"/>
          <w:u w:val="single"/>
          <w:lang w:val="en-US" w:eastAsia="zh-CN"/>
        </w:rPr>
        <w:t xml:space="preserve">                </w:t>
      </w:r>
    </w:p>
    <w:p w14:paraId="0443D4A0">
      <w:pPr>
        <w:pageBreakBefore w:val="0"/>
        <w:wordWrap/>
        <w:topLinePunct w:val="0"/>
        <w:bidi w:val="0"/>
        <w:adjustRightInd w:val="0"/>
        <w:snapToGrid w:val="0"/>
        <w:spacing w:beforeAutospacing="0" w:afterAutospacing="0" w:line="288" w:lineRule="auto"/>
        <w:ind w:left="0" w:leftChars="0" w:right="0" w:firstLine="1040"/>
        <w:rPr>
          <w:rFonts w:hint="default" w:ascii="Times New Roman" w:hAnsi="Times New Roman" w:eastAsia="宋体" w:cs="Times New Roman"/>
          <w:caps w:val="0"/>
          <w:smallCaps w:val="0"/>
          <w:color w:val="auto"/>
          <w:spacing w:val="0"/>
          <w:w w:val="100"/>
          <w:kern w:val="2"/>
          <w:position w:val="0"/>
          <w:sz w:val="36"/>
          <w:szCs w:val="36"/>
          <w:highlight w:val="none"/>
          <w:u w:val="single"/>
        </w:rPr>
      </w:pPr>
    </w:p>
    <w:p w14:paraId="1E64CACF">
      <w:pPr>
        <w:pageBreakBefore w:val="0"/>
        <w:wordWrap/>
        <w:topLinePunct w:val="0"/>
        <w:bidi w:val="0"/>
        <w:adjustRightInd w:val="0"/>
        <w:snapToGrid w:val="0"/>
        <w:spacing w:beforeAutospacing="0" w:afterAutospacing="0" w:line="288" w:lineRule="auto"/>
        <w:ind w:left="0" w:leftChars="0" w:right="0" w:firstLine="1040"/>
        <w:rPr>
          <w:rFonts w:hint="default" w:ascii="Times New Roman" w:hAnsi="Times New Roman" w:eastAsia="仿宋_GB2312" w:cs="Times New Roman"/>
          <w:caps w:val="0"/>
          <w:smallCaps w:val="0"/>
          <w:color w:val="auto"/>
          <w:spacing w:val="0"/>
          <w:w w:val="100"/>
          <w:kern w:val="2"/>
          <w:position w:val="0"/>
          <w:sz w:val="36"/>
          <w:szCs w:val="36"/>
          <w:highlight w:val="none"/>
        </w:rPr>
      </w:pPr>
    </w:p>
    <w:p w14:paraId="7BA14BD1">
      <w:pPr>
        <w:pageBreakBefore w:val="0"/>
        <w:wordWrap/>
        <w:topLinePunct w:val="0"/>
        <w:bidi w:val="0"/>
        <w:adjustRightInd w:val="0"/>
        <w:snapToGrid w:val="0"/>
        <w:spacing w:beforeAutospacing="0" w:afterAutospacing="0" w:line="288" w:lineRule="auto"/>
        <w:ind w:left="0" w:leftChars="0" w:right="0" w:firstLine="1040"/>
        <w:rPr>
          <w:rFonts w:hint="default" w:ascii="Times New Roman" w:hAnsi="Times New Roman" w:eastAsia="仿宋_GB2312" w:cs="Times New Roman"/>
          <w:caps w:val="0"/>
          <w:smallCaps w:val="0"/>
          <w:color w:val="auto"/>
          <w:spacing w:val="0"/>
          <w:w w:val="100"/>
          <w:kern w:val="2"/>
          <w:position w:val="0"/>
          <w:sz w:val="36"/>
          <w:szCs w:val="36"/>
          <w:highlight w:val="none"/>
        </w:rPr>
      </w:pPr>
    </w:p>
    <w:p w14:paraId="1D8833B9">
      <w:pPr>
        <w:pageBreakBefore w:val="0"/>
        <w:wordWrap/>
        <w:topLinePunct w:val="0"/>
        <w:bidi w:val="0"/>
        <w:adjustRightInd w:val="0"/>
        <w:snapToGrid w:val="0"/>
        <w:spacing w:beforeAutospacing="0" w:afterAutospacing="0" w:line="288" w:lineRule="auto"/>
        <w:ind w:left="0" w:leftChars="0" w:right="0" w:firstLine="1040"/>
        <w:rPr>
          <w:rFonts w:hint="default" w:ascii="Times New Roman" w:hAnsi="Times New Roman" w:eastAsia="仿宋_GB2312" w:cs="Times New Roman"/>
          <w:caps w:val="0"/>
          <w:smallCaps w:val="0"/>
          <w:color w:val="auto"/>
          <w:spacing w:val="0"/>
          <w:w w:val="100"/>
          <w:kern w:val="2"/>
          <w:position w:val="0"/>
          <w:sz w:val="36"/>
          <w:szCs w:val="36"/>
          <w:highlight w:val="none"/>
        </w:rPr>
      </w:pPr>
    </w:p>
    <w:p w14:paraId="05333BC2">
      <w:pPr>
        <w:pageBreakBefore w:val="0"/>
        <w:wordWrap/>
        <w:topLinePunct w:val="0"/>
        <w:bidi w:val="0"/>
        <w:adjustRightInd w:val="0"/>
        <w:snapToGrid w:val="0"/>
        <w:spacing w:beforeAutospacing="0" w:afterAutospacing="0" w:line="288" w:lineRule="auto"/>
        <w:ind w:left="0" w:leftChars="0" w:right="0" w:firstLine="1040"/>
        <w:rPr>
          <w:rFonts w:hint="default" w:ascii="Times New Roman" w:hAnsi="Times New Roman" w:eastAsia="仿宋_GB2312" w:cs="Times New Roman"/>
          <w:caps w:val="0"/>
          <w:smallCaps w:val="0"/>
          <w:color w:val="auto"/>
          <w:spacing w:val="0"/>
          <w:w w:val="100"/>
          <w:kern w:val="2"/>
          <w:position w:val="0"/>
          <w:sz w:val="36"/>
          <w:szCs w:val="36"/>
          <w:highlight w:val="none"/>
        </w:rPr>
      </w:pPr>
    </w:p>
    <w:p w14:paraId="59D8F2FF">
      <w:pPr>
        <w:pageBreakBefore w:val="0"/>
        <w:wordWrap/>
        <w:topLinePunct w:val="0"/>
        <w:bidi w:val="0"/>
        <w:adjustRightInd w:val="0"/>
        <w:snapToGrid w:val="0"/>
        <w:spacing w:beforeAutospacing="0" w:afterAutospacing="0" w:line="288" w:lineRule="auto"/>
        <w:ind w:left="0" w:leftChars="0" w:right="0" w:firstLine="1040"/>
        <w:rPr>
          <w:rFonts w:hint="default" w:ascii="Times New Roman" w:hAnsi="Times New Roman" w:eastAsia="仿宋_GB2312" w:cs="Times New Roman"/>
          <w:caps w:val="0"/>
          <w:smallCaps w:val="0"/>
          <w:color w:val="auto"/>
          <w:spacing w:val="0"/>
          <w:w w:val="100"/>
          <w:kern w:val="2"/>
          <w:position w:val="0"/>
          <w:sz w:val="36"/>
          <w:szCs w:val="36"/>
          <w:highlight w:val="none"/>
        </w:rPr>
      </w:pPr>
    </w:p>
    <w:p w14:paraId="10823691">
      <w:pPr>
        <w:pageBreakBefore w:val="0"/>
        <w:wordWrap/>
        <w:topLinePunct w:val="0"/>
        <w:bidi w:val="0"/>
        <w:adjustRightInd w:val="0"/>
        <w:snapToGrid w:val="0"/>
        <w:spacing w:beforeAutospacing="0" w:afterAutospacing="0" w:line="288" w:lineRule="auto"/>
        <w:ind w:left="0" w:leftChars="0" w:right="0"/>
        <w:jc w:val="center"/>
        <w:rPr>
          <w:rFonts w:hint="default" w:ascii="Times New Roman" w:hAnsi="Times New Roman" w:cs="Times New Roman"/>
          <w:caps w:val="0"/>
          <w:smallCaps w:val="0"/>
          <w:color w:val="auto"/>
          <w:spacing w:val="0"/>
          <w:w w:val="100"/>
          <w:kern w:val="2"/>
          <w:position w:val="0"/>
          <w:highlight w:val="none"/>
        </w:rPr>
        <w:sectPr>
          <w:headerReference r:id="rId3" w:type="first"/>
          <w:footerReference r:id="rId6" w:type="firs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eastAsia="楷体_GB2312" w:cs="Times New Roman"/>
          <w:caps w:val="0"/>
          <w:smallCaps w:val="0"/>
          <w:color w:val="auto"/>
          <w:spacing w:val="0"/>
          <w:w w:val="100"/>
          <w:kern w:val="2"/>
          <w:position w:val="0"/>
          <w:sz w:val="36"/>
          <w:szCs w:val="36"/>
          <w:highlight w:val="none"/>
        </w:rPr>
        <w:t>中华人民共和国生态环境部制</w:t>
      </w:r>
    </w:p>
    <w:p w14:paraId="308D348B">
      <w:pPr>
        <w:pStyle w:val="25"/>
        <w:pageBreakBefore w:val="0"/>
        <w:wordWrap/>
        <w:topLinePunct w:val="0"/>
        <w:bidi w:val="0"/>
        <w:spacing w:before="0" w:beforeAutospacing="0" w:after="0" w:afterAutospacing="0"/>
        <w:ind w:left="0" w:leftChars="0" w:right="0"/>
        <w:jc w:val="both"/>
        <w:outlineLvl w:val="9"/>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3"/>
        <w:gridCol w:w="4577"/>
      </w:tblGrid>
      <w:tr w14:paraId="15241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noWrap w:val="0"/>
            <w:vAlign w:val="center"/>
          </w:tcPr>
          <w:p w14:paraId="2365EA4E">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eastAsia" w:ascii="Calibri" w:hAnsi="Calibri" w:eastAsia="仿宋_GB2312"/>
                <w:color w:val="auto"/>
                <w:sz w:val="28"/>
                <w:vertAlign w:val="baseline"/>
                <w:lang w:eastAsia="zh-CN"/>
              </w:rPr>
            </w:pPr>
            <w:r>
              <w:rPr>
                <w:rFonts w:hint="eastAsia" w:ascii="Calibri" w:hAnsi="Calibri" w:eastAsia="仿宋_GB2312"/>
                <w:color w:val="auto"/>
                <w:sz w:val="28"/>
                <w:vertAlign w:val="baseline"/>
                <w:lang w:eastAsia="zh-CN"/>
              </w:rPr>
              <w:drawing>
                <wp:inline distT="0" distB="0" distL="114300" distR="114300">
                  <wp:extent cx="2705100" cy="2028825"/>
                  <wp:effectExtent l="0" t="0" r="0" b="9525"/>
                  <wp:docPr id="5" name="图片 275" descr="IMG_20260128_12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75" descr="IMG_20260128_124740"/>
                          <pic:cNvPicPr>
                            <a:picLocks noChangeAspect="1"/>
                          </pic:cNvPicPr>
                        </pic:nvPicPr>
                        <pic:blipFill>
                          <a:blip r:embed="rId12"/>
                          <a:stretch>
                            <a:fillRect/>
                          </a:stretch>
                        </pic:blipFill>
                        <pic:spPr>
                          <a:xfrm>
                            <a:off x="0" y="0"/>
                            <a:ext cx="2705100" cy="2028825"/>
                          </a:xfrm>
                          <a:prstGeom prst="rect">
                            <a:avLst/>
                          </a:prstGeom>
                          <a:noFill/>
                          <a:ln>
                            <a:noFill/>
                          </a:ln>
                        </pic:spPr>
                      </pic:pic>
                    </a:graphicData>
                  </a:graphic>
                </wp:inline>
              </w:drawing>
            </w:r>
          </w:p>
        </w:tc>
        <w:tc>
          <w:tcPr>
            <w:tcW w:w="4577" w:type="dxa"/>
            <w:noWrap w:val="0"/>
            <w:vAlign w:val="center"/>
          </w:tcPr>
          <w:p w14:paraId="0917BF2F">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eastAsia" w:ascii="Calibri" w:hAnsi="Calibri" w:eastAsia="仿宋_GB2312"/>
                <w:color w:val="auto"/>
                <w:sz w:val="28"/>
                <w:vertAlign w:val="baseline"/>
                <w:lang w:eastAsia="zh-CN"/>
              </w:rPr>
            </w:pPr>
            <w:r>
              <w:rPr>
                <w:rFonts w:hint="eastAsia" w:ascii="Calibri" w:hAnsi="Calibri" w:eastAsia="仿宋_GB2312"/>
                <w:color w:val="auto"/>
                <w:sz w:val="28"/>
                <w:vertAlign w:val="baseline"/>
                <w:lang w:eastAsia="zh-CN"/>
              </w:rPr>
              <w:drawing>
                <wp:inline distT="0" distB="0" distL="114300" distR="114300">
                  <wp:extent cx="2705100" cy="2028825"/>
                  <wp:effectExtent l="0" t="0" r="0" b="9525"/>
                  <wp:docPr id="20" name="图片 20" descr="IMG_20260128_12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60128_123520"/>
                          <pic:cNvPicPr>
                            <a:picLocks noChangeAspect="1"/>
                          </pic:cNvPicPr>
                        </pic:nvPicPr>
                        <pic:blipFill>
                          <a:blip r:embed="rId13"/>
                          <a:stretch>
                            <a:fillRect/>
                          </a:stretch>
                        </pic:blipFill>
                        <pic:spPr>
                          <a:xfrm>
                            <a:off x="0" y="0"/>
                            <a:ext cx="2705100" cy="2028825"/>
                          </a:xfrm>
                          <a:prstGeom prst="rect">
                            <a:avLst/>
                          </a:prstGeom>
                        </pic:spPr>
                      </pic:pic>
                    </a:graphicData>
                  </a:graphic>
                </wp:inline>
              </w:drawing>
            </w:r>
          </w:p>
        </w:tc>
      </w:tr>
      <w:tr w14:paraId="24E4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noWrap w:val="0"/>
            <w:vAlign w:val="center"/>
          </w:tcPr>
          <w:p w14:paraId="20597CE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default" w:ascii="Calibri" w:hAnsi="Calibri" w:eastAsia="仿宋_GB2312"/>
                <w:color w:val="auto"/>
                <w:sz w:val="28"/>
                <w:vertAlign w:val="baseline"/>
                <w:lang w:val="en-US" w:eastAsia="zh-CN"/>
              </w:rPr>
            </w:pPr>
            <w:r>
              <w:rPr>
                <w:rFonts w:hint="eastAsia" w:ascii="Calibri" w:hAnsi="Calibri" w:eastAsia="仿宋_GB2312"/>
                <w:color w:val="auto"/>
                <w:sz w:val="28"/>
                <w:vertAlign w:val="baseline"/>
                <w:lang w:val="en-US" w:eastAsia="zh-CN"/>
              </w:rPr>
              <w:t>居民区</w:t>
            </w:r>
          </w:p>
        </w:tc>
        <w:tc>
          <w:tcPr>
            <w:tcW w:w="4577" w:type="dxa"/>
            <w:noWrap w:val="0"/>
            <w:vAlign w:val="center"/>
          </w:tcPr>
          <w:p w14:paraId="489A2C10">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default" w:ascii="Calibri" w:hAnsi="Calibri" w:eastAsia="仿宋_GB2312"/>
                <w:color w:val="auto"/>
                <w:sz w:val="28"/>
                <w:vertAlign w:val="baseline"/>
                <w:lang w:val="en-US" w:eastAsia="zh-CN"/>
              </w:rPr>
            </w:pPr>
            <w:r>
              <w:rPr>
                <w:rFonts w:hint="eastAsia" w:ascii="Calibri" w:hAnsi="Calibri" w:eastAsia="仿宋_GB2312"/>
                <w:color w:val="auto"/>
                <w:sz w:val="28"/>
                <w:vertAlign w:val="baseline"/>
                <w:lang w:val="en-US" w:eastAsia="zh-CN"/>
              </w:rPr>
              <w:t>居民区</w:t>
            </w:r>
          </w:p>
        </w:tc>
      </w:tr>
      <w:tr w14:paraId="0F6D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noWrap w:val="0"/>
            <w:vAlign w:val="center"/>
          </w:tcPr>
          <w:p w14:paraId="6564CD34">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eastAsia" w:ascii="Calibri" w:hAnsi="Calibri" w:eastAsia="仿宋_GB2312"/>
                <w:color w:val="auto"/>
                <w:sz w:val="28"/>
                <w:vertAlign w:val="baseline"/>
                <w:lang w:eastAsia="zh-CN"/>
              </w:rPr>
            </w:pPr>
            <w:r>
              <w:rPr>
                <w:rFonts w:hint="eastAsia" w:ascii="Calibri" w:hAnsi="Calibri" w:eastAsia="仿宋_GB2312"/>
                <w:color w:val="auto"/>
                <w:sz w:val="28"/>
                <w:vertAlign w:val="baseline"/>
                <w:lang w:eastAsia="zh-CN"/>
              </w:rPr>
              <w:drawing>
                <wp:inline distT="0" distB="0" distL="114300" distR="114300">
                  <wp:extent cx="2705100" cy="2028825"/>
                  <wp:effectExtent l="0" t="0" r="0" b="9525"/>
                  <wp:docPr id="21" name="图片 21" descr="IMG_20260128_12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60128_123451"/>
                          <pic:cNvPicPr>
                            <a:picLocks noChangeAspect="1"/>
                          </pic:cNvPicPr>
                        </pic:nvPicPr>
                        <pic:blipFill>
                          <a:blip r:embed="rId14"/>
                          <a:stretch>
                            <a:fillRect/>
                          </a:stretch>
                        </pic:blipFill>
                        <pic:spPr>
                          <a:xfrm>
                            <a:off x="0" y="0"/>
                            <a:ext cx="2705100" cy="2028825"/>
                          </a:xfrm>
                          <a:prstGeom prst="rect">
                            <a:avLst/>
                          </a:prstGeom>
                        </pic:spPr>
                      </pic:pic>
                    </a:graphicData>
                  </a:graphic>
                </wp:inline>
              </w:drawing>
            </w:r>
          </w:p>
        </w:tc>
        <w:tc>
          <w:tcPr>
            <w:tcW w:w="4577" w:type="dxa"/>
            <w:noWrap w:val="0"/>
            <w:vAlign w:val="center"/>
          </w:tcPr>
          <w:p w14:paraId="234C2E3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eastAsia" w:ascii="Calibri" w:hAnsi="Calibri" w:eastAsia="仿宋_GB2312"/>
                <w:color w:val="auto"/>
                <w:sz w:val="28"/>
                <w:vertAlign w:val="baseline"/>
                <w:lang w:eastAsia="zh-CN"/>
              </w:rPr>
            </w:pPr>
            <w:r>
              <w:rPr>
                <w:rFonts w:hint="eastAsia" w:ascii="Calibri" w:hAnsi="Calibri" w:eastAsia="仿宋_GB2312"/>
                <w:color w:val="auto"/>
                <w:sz w:val="28"/>
                <w:vertAlign w:val="baseline"/>
                <w:lang w:eastAsia="zh-CN"/>
              </w:rPr>
              <w:drawing>
                <wp:inline distT="0" distB="0" distL="114300" distR="114300">
                  <wp:extent cx="2731135" cy="1843405"/>
                  <wp:effectExtent l="0" t="0" r="12065" b="4445"/>
                  <wp:docPr id="19" name="图片 19" descr="IMG_20260128_12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60128_123656"/>
                          <pic:cNvPicPr>
                            <a:picLocks noChangeAspect="1"/>
                          </pic:cNvPicPr>
                        </pic:nvPicPr>
                        <pic:blipFill>
                          <a:blip r:embed="rId15"/>
                          <a:stretch>
                            <a:fillRect/>
                          </a:stretch>
                        </pic:blipFill>
                        <pic:spPr>
                          <a:xfrm>
                            <a:off x="0" y="0"/>
                            <a:ext cx="2731135" cy="1843405"/>
                          </a:xfrm>
                          <a:prstGeom prst="rect">
                            <a:avLst/>
                          </a:prstGeom>
                        </pic:spPr>
                      </pic:pic>
                    </a:graphicData>
                  </a:graphic>
                </wp:inline>
              </w:drawing>
            </w:r>
          </w:p>
        </w:tc>
      </w:tr>
      <w:tr w14:paraId="7C4E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noWrap w:val="0"/>
            <w:vAlign w:val="center"/>
          </w:tcPr>
          <w:p w14:paraId="4F86BBA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default" w:ascii="Calibri" w:hAnsi="Calibri" w:eastAsia="仿宋_GB2312"/>
                <w:color w:val="auto"/>
                <w:sz w:val="28"/>
                <w:vertAlign w:val="baseline"/>
                <w:lang w:val="en-US" w:eastAsia="zh-CN"/>
              </w:rPr>
            </w:pPr>
            <w:r>
              <w:rPr>
                <w:rFonts w:hint="eastAsia" w:ascii="Calibri" w:hAnsi="Calibri" w:eastAsia="仿宋_GB2312"/>
                <w:color w:val="auto"/>
                <w:sz w:val="28"/>
                <w:vertAlign w:val="baseline"/>
                <w:lang w:val="en-US" w:eastAsia="zh-CN"/>
              </w:rPr>
              <w:t>现状照片</w:t>
            </w:r>
          </w:p>
        </w:tc>
        <w:tc>
          <w:tcPr>
            <w:tcW w:w="4577" w:type="dxa"/>
            <w:noWrap w:val="0"/>
            <w:vAlign w:val="center"/>
          </w:tcPr>
          <w:p w14:paraId="72A0BF42">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default" w:ascii="Calibri" w:hAnsi="Calibri" w:eastAsia="仿宋_GB2312"/>
                <w:color w:val="auto"/>
                <w:sz w:val="28"/>
                <w:vertAlign w:val="baseline"/>
                <w:lang w:val="en-US" w:eastAsia="zh-CN"/>
              </w:rPr>
            </w:pPr>
            <w:r>
              <w:rPr>
                <w:rFonts w:hint="eastAsia" w:ascii="Calibri" w:hAnsi="Calibri" w:eastAsia="仿宋_GB2312"/>
                <w:color w:val="auto"/>
                <w:sz w:val="28"/>
                <w:vertAlign w:val="baseline"/>
                <w:lang w:val="en-US" w:eastAsia="zh-CN"/>
              </w:rPr>
              <w:t>现状照片</w:t>
            </w:r>
          </w:p>
        </w:tc>
      </w:tr>
      <w:tr w14:paraId="1C26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noWrap w:val="0"/>
            <w:vAlign w:val="center"/>
          </w:tcPr>
          <w:p w14:paraId="3CFF4E0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eastAsia" w:ascii="Calibri" w:hAnsi="Calibri" w:eastAsia="仿宋_GB2312"/>
                <w:color w:val="auto"/>
                <w:sz w:val="28"/>
                <w:vertAlign w:val="baseline"/>
                <w:lang w:eastAsia="zh-CN"/>
              </w:rPr>
            </w:pPr>
            <w:r>
              <w:rPr>
                <w:rFonts w:hint="eastAsia" w:ascii="Calibri" w:hAnsi="Calibri" w:eastAsia="仿宋_GB2312"/>
                <w:color w:val="auto"/>
                <w:sz w:val="28"/>
                <w:vertAlign w:val="baseline"/>
                <w:lang w:eastAsia="zh-CN"/>
              </w:rPr>
              <w:drawing>
                <wp:inline distT="0" distB="0" distL="114300" distR="114300">
                  <wp:extent cx="2705100" cy="2028825"/>
                  <wp:effectExtent l="0" t="0" r="0" b="9525"/>
                  <wp:docPr id="9" name="图片 9" descr="IMG_20260128_12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60128_123504"/>
                          <pic:cNvPicPr>
                            <a:picLocks noChangeAspect="1"/>
                          </pic:cNvPicPr>
                        </pic:nvPicPr>
                        <pic:blipFill>
                          <a:blip r:embed="rId16"/>
                          <a:stretch>
                            <a:fillRect/>
                          </a:stretch>
                        </pic:blipFill>
                        <pic:spPr>
                          <a:xfrm>
                            <a:off x="0" y="0"/>
                            <a:ext cx="2705100" cy="2028825"/>
                          </a:xfrm>
                          <a:prstGeom prst="rect">
                            <a:avLst/>
                          </a:prstGeom>
                        </pic:spPr>
                      </pic:pic>
                    </a:graphicData>
                  </a:graphic>
                </wp:inline>
              </w:drawing>
            </w:r>
          </w:p>
        </w:tc>
        <w:tc>
          <w:tcPr>
            <w:tcW w:w="4577" w:type="dxa"/>
            <w:noWrap w:val="0"/>
            <w:vAlign w:val="center"/>
          </w:tcPr>
          <w:p w14:paraId="6C713711">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eastAsia" w:ascii="Calibri" w:hAnsi="Calibri" w:eastAsia="仿宋_GB2312"/>
                <w:color w:val="auto"/>
                <w:sz w:val="28"/>
                <w:vertAlign w:val="baseline"/>
                <w:lang w:eastAsia="zh-CN"/>
              </w:rPr>
            </w:pPr>
            <w:r>
              <w:rPr>
                <w:rFonts w:hint="eastAsia" w:ascii="Calibri" w:hAnsi="Calibri" w:eastAsia="仿宋_GB2312"/>
                <w:color w:val="auto"/>
                <w:sz w:val="28"/>
                <w:vertAlign w:val="baseline"/>
                <w:lang w:eastAsia="zh-CN"/>
              </w:rPr>
              <w:drawing>
                <wp:inline distT="0" distB="0" distL="114300" distR="114300">
                  <wp:extent cx="2746375" cy="2059940"/>
                  <wp:effectExtent l="0" t="0" r="15875" b="16510"/>
                  <wp:docPr id="10" name="图片 10" descr="IMG_20260128_12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60128_124055"/>
                          <pic:cNvPicPr>
                            <a:picLocks noChangeAspect="1"/>
                          </pic:cNvPicPr>
                        </pic:nvPicPr>
                        <pic:blipFill>
                          <a:blip r:embed="rId17"/>
                          <a:stretch>
                            <a:fillRect/>
                          </a:stretch>
                        </pic:blipFill>
                        <pic:spPr>
                          <a:xfrm>
                            <a:off x="0" y="0"/>
                            <a:ext cx="2746375" cy="2059940"/>
                          </a:xfrm>
                          <a:prstGeom prst="rect">
                            <a:avLst/>
                          </a:prstGeom>
                        </pic:spPr>
                      </pic:pic>
                    </a:graphicData>
                  </a:graphic>
                </wp:inline>
              </w:drawing>
            </w:r>
          </w:p>
        </w:tc>
      </w:tr>
      <w:tr w14:paraId="6DBF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noWrap w:val="0"/>
            <w:vAlign w:val="center"/>
          </w:tcPr>
          <w:p w14:paraId="0DFD1E4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default" w:ascii="Calibri" w:hAnsi="Calibri" w:eastAsia="仿宋_GB2312"/>
                <w:color w:val="auto"/>
                <w:sz w:val="28"/>
                <w:vertAlign w:val="baseline"/>
                <w:lang w:val="en-US" w:eastAsia="zh-CN"/>
              </w:rPr>
            </w:pPr>
            <w:r>
              <w:rPr>
                <w:rFonts w:hint="eastAsia" w:ascii="Calibri" w:hAnsi="Calibri" w:eastAsia="仿宋_GB2312"/>
                <w:color w:val="auto"/>
                <w:sz w:val="28"/>
                <w:vertAlign w:val="baseline"/>
                <w:lang w:val="en-US" w:eastAsia="zh-CN"/>
              </w:rPr>
              <w:t>现状照片</w:t>
            </w:r>
          </w:p>
        </w:tc>
        <w:tc>
          <w:tcPr>
            <w:tcW w:w="4577" w:type="dxa"/>
            <w:noWrap w:val="0"/>
            <w:vAlign w:val="center"/>
          </w:tcPr>
          <w:p w14:paraId="5405CF93">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outlineLvl w:val="9"/>
              <w:rPr>
                <w:rFonts w:hint="default" w:ascii="Calibri" w:hAnsi="Calibri" w:eastAsia="仿宋_GB2312"/>
                <w:color w:val="auto"/>
                <w:sz w:val="28"/>
                <w:vertAlign w:val="baseline"/>
                <w:lang w:val="en-US" w:eastAsia="zh-CN"/>
              </w:rPr>
            </w:pPr>
            <w:r>
              <w:rPr>
                <w:rFonts w:hint="eastAsia" w:ascii="Calibri" w:hAnsi="Calibri" w:eastAsia="仿宋_GB2312"/>
                <w:color w:val="auto"/>
                <w:sz w:val="28"/>
                <w:vertAlign w:val="baseline"/>
                <w:lang w:val="en-US" w:eastAsia="zh-CN"/>
              </w:rPr>
              <w:t>工程师现场照片</w:t>
            </w:r>
          </w:p>
        </w:tc>
      </w:tr>
    </w:tbl>
    <w:p w14:paraId="320606EE">
      <w:pPr>
        <w:pStyle w:val="25"/>
        <w:pageBreakBefore w:val="0"/>
        <w:wordWrap/>
        <w:topLinePunct w:val="0"/>
        <w:bidi w:val="0"/>
        <w:spacing w:before="0" w:beforeAutospacing="0" w:after="0" w:afterAutospacing="0"/>
        <w:ind w:left="0" w:leftChars="0" w:right="0"/>
        <w:jc w:val="both"/>
        <w:outlineLvl w:val="9"/>
      </w:pPr>
    </w:p>
    <w:p w14:paraId="123FE8A8">
      <w:pPr>
        <w:pStyle w:val="25"/>
        <w:pageBreakBefore w:val="0"/>
        <w:wordWrap/>
        <w:topLinePunct w:val="0"/>
        <w:bidi w:val="0"/>
        <w:spacing w:before="0" w:beforeAutospacing="0" w:after="0" w:afterAutospacing="0"/>
        <w:ind w:left="0" w:leftChars="0" w:right="0"/>
        <w:jc w:val="center"/>
        <w:outlineLvl w:val="9"/>
        <w:rPr>
          <w:rFonts w:hint="eastAsia"/>
          <w:b/>
          <w:bCs/>
          <w:sz w:val="32"/>
          <w:szCs w:val="32"/>
          <w:lang w:val="en-US" w:eastAsia="zh-CN"/>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eastAsia"/>
          <w:b/>
          <w:bCs/>
          <w:sz w:val="32"/>
          <w:szCs w:val="32"/>
          <w:lang w:val="en-US" w:eastAsia="zh-CN"/>
        </w:rPr>
        <w:t>现场踏勘照片</w:t>
      </w:r>
    </w:p>
    <w:p w14:paraId="1FC0D7E3">
      <w:pPr>
        <w:keepNext w:val="0"/>
        <w:keepLines w:val="0"/>
        <w:pageBreakBefore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b/>
          <w:bCs/>
          <w:sz w:val="36"/>
          <w:szCs w:val="36"/>
        </w:rPr>
      </w:pPr>
      <w:r>
        <w:rPr>
          <w:rFonts w:hint="eastAsia" w:ascii="宋体" w:hAnsi="宋体" w:eastAsia="宋体" w:cs="宋体"/>
          <w:b/>
          <w:bCs/>
          <w:sz w:val="36"/>
          <w:szCs w:val="36"/>
        </w:rPr>
        <w:t>目录</w:t>
      </w:r>
    </w:p>
    <w:p w14:paraId="5350695E">
      <w:pPr>
        <w:pStyle w:val="19"/>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TOC \o "1-1" \h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_Toc9646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caps w:val="0"/>
          <w:smallCaps w:val="0"/>
          <w:snapToGrid w:val="0"/>
          <w:spacing w:val="0"/>
          <w:w w:val="100"/>
          <w:kern w:val="2"/>
          <w:position w:val="0"/>
          <w:sz w:val="24"/>
          <w:szCs w:val="24"/>
          <w:highlight w:val="none"/>
        </w:rPr>
        <w:t>一、建设项目基本情况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_Toc9646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6A84139">
      <w:pPr>
        <w:pStyle w:val="19"/>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_Toc19625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caps w:val="0"/>
          <w:smallCaps w:val="0"/>
          <w:snapToGrid w:val="0"/>
          <w:spacing w:val="0"/>
          <w:w w:val="100"/>
          <w:kern w:val="2"/>
          <w:position w:val="0"/>
          <w:sz w:val="24"/>
          <w:szCs w:val="24"/>
          <w:highlight w:val="none"/>
        </w:rPr>
        <w:t>二、建设内容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_Toc19625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F51A9A1">
      <w:pPr>
        <w:pStyle w:val="19"/>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_Toc4319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caps w:val="0"/>
          <w:smallCaps w:val="0"/>
          <w:snapToGrid w:val="0"/>
          <w:spacing w:val="0"/>
          <w:w w:val="100"/>
          <w:kern w:val="2"/>
          <w:position w:val="0"/>
          <w:sz w:val="24"/>
          <w:szCs w:val="24"/>
          <w:highlight w:val="none"/>
        </w:rPr>
        <w:t>三、生态环境现状、保护目标及评价标准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5AD6884">
      <w:pPr>
        <w:pStyle w:val="19"/>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_Toc32569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caps w:val="0"/>
          <w:smallCaps w:val="0"/>
          <w:snapToGrid w:val="0"/>
          <w:spacing w:val="0"/>
          <w:w w:val="100"/>
          <w:kern w:val="2"/>
          <w:position w:val="0"/>
          <w:sz w:val="24"/>
          <w:szCs w:val="24"/>
          <w:highlight w:val="none"/>
        </w:rPr>
        <w:t>四、生态环境影响分析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_Toc32569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FDC073B">
      <w:pPr>
        <w:pStyle w:val="19"/>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_Toc4073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caps w:val="0"/>
          <w:smallCaps w:val="0"/>
          <w:snapToGrid w:val="0"/>
          <w:spacing w:val="0"/>
          <w:w w:val="100"/>
          <w:kern w:val="2"/>
          <w:position w:val="0"/>
          <w:sz w:val="24"/>
          <w:szCs w:val="24"/>
          <w:highlight w:val="none"/>
        </w:rPr>
        <w:t>五、主要生态环境保护措施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_Toc4073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5498A2C">
      <w:pPr>
        <w:pStyle w:val="19"/>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_Toc25744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caps w:val="0"/>
          <w:smallCaps w:val="0"/>
          <w:snapToGrid w:val="0"/>
          <w:spacing w:val="0"/>
          <w:w w:val="100"/>
          <w:kern w:val="2"/>
          <w:position w:val="0"/>
          <w:sz w:val="24"/>
          <w:szCs w:val="24"/>
          <w:highlight w:val="none"/>
        </w:rPr>
        <w:t>六、生态环境保护措施监督检查清单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_Toc25744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5C9CB71">
      <w:pPr>
        <w:pStyle w:val="19"/>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_Toc17574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caps w:val="0"/>
          <w:smallCaps w:val="0"/>
          <w:snapToGrid w:val="0"/>
          <w:spacing w:val="0"/>
          <w:w w:val="100"/>
          <w:kern w:val="2"/>
          <w:position w:val="0"/>
          <w:sz w:val="24"/>
          <w:szCs w:val="24"/>
          <w:highlight w:val="none"/>
        </w:rPr>
        <w:t>七、结论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_Toc17574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CA172A8">
      <w:pPr>
        <w:pStyle w:val="25"/>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eastAsia" w:ascii="Times New Roman" w:hAnsi="Times New Roman" w:eastAsia="宋体" w:cs="Times New Roman"/>
          <w:color w:val="auto"/>
          <w:kern w:val="2"/>
          <w:sz w:val="24"/>
          <w:szCs w:val="24"/>
          <w:lang w:val="en-US" w:eastAsia="zh-CN" w:bidi="ar-SA"/>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eastAsia="宋体" w:cs="Times New Roman"/>
          <w:sz w:val="24"/>
          <w:szCs w:val="24"/>
        </w:rPr>
        <w:fldChar w:fldCharType="end"/>
      </w:r>
    </w:p>
    <w:p w14:paraId="44CD4CE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outlineLvl w:val="0"/>
        <w:rPr>
          <w:rFonts w:hint="default" w:ascii="Times New Roman" w:hAnsi="Times New Roman" w:eastAsia="黑体" w:cs="Times New Roman"/>
          <w:caps w:val="0"/>
          <w:smallCaps w:val="0"/>
          <w:snapToGrid w:val="0"/>
          <w:color w:val="auto"/>
          <w:spacing w:val="0"/>
          <w:w w:val="100"/>
          <w:kern w:val="2"/>
          <w:position w:val="0"/>
          <w:sz w:val="30"/>
          <w:szCs w:val="30"/>
          <w:highlight w:val="none"/>
        </w:rPr>
      </w:pPr>
      <w:bookmarkStart w:id="2" w:name="_Toc9646"/>
      <w:r>
        <w:rPr>
          <w:rFonts w:hint="default" w:ascii="Times New Roman" w:hAnsi="Times New Roman" w:eastAsia="黑体" w:cs="Times New Roman"/>
          <w:caps w:val="0"/>
          <w:smallCaps w:val="0"/>
          <w:snapToGrid w:val="0"/>
          <w:color w:val="auto"/>
          <w:spacing w:val="0"/>
          <w:w w:val="100"/>
          <w:kern w:val="2"/>
          <w:position w:val="0"/>
          <w:sz w:val="30"/>
          <w:szCs w:val="30"/>
          <w:highlight w:val="none"/>
        </w:rPr>
        <w:t>一、建设项目基本情况</w:t>
      </w:r>
      <w:bookmarkEnd w:id="2"/>
    </w:p>
    <w:tbl>
      <w:tblPr>
        <w:tblStyle w:val="2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638"/>
        <w:gridCol w:w="2104"/>
        <w:gridCol w:w="1849"/>
        <w:gridCol w:w="2738"/>
      </w:tblGrid>
      <w:tr w14:paraId="3F16F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4E6222A5">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建设项目名称</w:t>
            </w:r>
          </w:p>
        </w:tc>
        <w:tc>
          <w:tcPr>
            <w:tcW w:w="4016" w:type="pct"/>
            <w:gridSpan w:val="3"/>
            <w:tcBorders>
              <w:tl2br w:val="nil"/>
              <w:tr2bl w:val="nil"/>
            </w:tcBorders>
            <w:noWrap w:val="0"/>
            <w:vAlign w:val="center"/>
          </w:tcPr>
          <w:p w14:paraId="6F8853D3">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cs="Times New Roman"/>
                <w:caps w:val="0"/>
                <w:smallCaps w:val="0"/>
                <w:color w:val="auto"/>
                <w:spacing w:val="0"/>
                <w:w w:val="100"/>
                <w:kern w:val="2"/>
                <w:position w:val="0"/>
                <w:sz w:val="24"/>
                <w:szCs w:val="24"/>
                <w:highlight w:val="none"/>
                <w:lang w:val="en-US" w:eastAsia="zh-CN"/>
              </w:rPr>
              <w:t>2026年危旧桥改造项目G216线K1336+358处阳霞大桥改造工程</w:t>
            </w:r>
          </w:p>
        </w:tc>
      </w:tr>
      <w:tr w14:paraId="303E08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6DE7453D">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项目代码</w:t>
            </w:r>
          </w:p>
        </w:tc>
        <w:tc>
          <w:tcPr>
            <w:tcW w:w="4016" w:type="pct"/>
            <w:gridSpan w:val="3"/>
            <w:tcBorders>
              <w:tl2br w:val="nil"/>
              <w:tr2bl w:val="nil"/>
            </w:tcBorders>
            <w:noWrap w:val="0"/>
            <w:vAlign w:val="center"/>
          </w:tcPr>
          <w:p w14:paraId="6AF61EC1">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p>
        </w:tc>
      </w:tr>
      <w:tr w14:paraId="4F16D2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1167BFF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建设单位联系人</w:t>
            </w:r>
          </w:p>
        </w:tc>
        <w:tc>
          <w:tcPr>
            <w:tcW w:w="1263" w:type="pct"/>
            <w:tcBorders>
              <w:tl2br w:val="nil"/>
              <w:tr2bl w:val="nil"/>
            </w:tcBorders>
            <w:noWrap w:val="0"/>
            <w:vAlign w:val="center"/>
          </w:tcPr>
          <w:p w14:paraId="3E0FF86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p>
        </w:tc>
        <w:tc>
          <w:tcPr>
            <w:tcW w:w="1110" w:type="pct"/>
            <w:tcBorders>
              <w:tl2br w:val="nil"/>
              <w:tr2bl w:val="nil"/>
            </w:tcBorders>
            <w:noWrap w:val="0"/>
            <w:vAlign w:val="center"/>
          </w:tcPr>
          <w:p w14:paraId="48C5227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p>
        </w:tc>
        <w:tc>
          <w:tcPr>
            <w:tcW w:w="1642" w:type="pct"/>
            <w:tcBorders>
              <w:tl2br w:val="nil"/>
              <w:tr2bl w:val="nil"/>
            </w:tcBorders>
            <w:noWrap w:val="0"/>
            <w:vAlign w:val="center"/>
          </w:tcPr>
          <w:p w14:paraId="377CDC2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rPr>
            </w:pPr>
          </w:p>
        </w:tc>
      </w:tr>
      <w:tr w14:paraId="47EC5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5785872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建设地点</w:t>
            </w:r>
          </w:p>
        </w:tc>
        <w:tc>
          <w:tcPr>
            <w:tcW w:w="4016" w:type="pct"/>
            <w:gridSpan w:val="3"/>
            <w:tcBorders>
              <w:tl2br w:val="nil"/>
              <w:tr2bl w:val="nil"/>
            </w:tcBorders>
            <w:noWrap w:val="0"/>
            <w:vAlign w:val="center"/>
          </w:tcPr>
          <w:p w14:paraId="24C9F21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p>
        </w:tc>
      </w:tr>
      <w:tr w14:paraId="7DC7C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1D04A63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地理坐标</w:t>
            </w:r>
          </w:p>
        </w:tc>
        <w:tc>
          <w:tcPr>
            <w:tcW w:w="4016" w:type="pct"/>
            <w:gridSpan w:val="3"/>
            <w:tcBorders>
              <w:tl2br w:val="nil"/>
              <w:tr2bl w:val="nil"/>
            </w:tcBorders>
            <w:noWrap w:val="0"/>
            <w:vAlign w:val="center"/>
          </w:tcPr>
          <w:p w14:paraId="39DE7CF5">
            <w:pPr>
              <w:pStyle w:val="79"/>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p>
        </w:tc>
      </w:tr>
      <w:tr w14:paraId="6DB1F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7F251FD9">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建设项目</w:t>
            </w:r>
          </w:p>
          <w:p w14:paraId="07D6A94D">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行业类别</w:t>
            </w:r>
          </w:p>
        </w:tc>
        <w:tc>
          <w:tcPr>
            <w:tcW w:w="1263" w:type="pct"/>
            <w:tcBorders>
              <w:tl2br w:val="nil"/>
              <w:tr2bl w:val="nil"/>
            </w:tcBorders>
            <w:noWrap w:val="0"/>
            <w:vAlign w:val="center"/>
          </w:tcPr>
          <w:p w14:paraId="5747652F">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rPr>
            </w:pPr>
            <w:r>
              <w:rPr>
                <w:rFonts w:hint="default" w:ascii="Times New Roman" w:hAnsi="Times New Roman" w:eastAsia="宋体" w:cs="Times New Roman"/>
                <w:caps w:val="0"/>
                <w:smallCaps w:val="0"/>
                <w:color w:val="auto"/>
                <w:spacing w:val="0"/>
                <w:w w:val="100"/>
                <w:kern w:val="2"/>
                <w:position w:val="0"/>
                <w:sz w:val="24"/>
                <w:highlight w:val="none"/>
                <w:lang w:val="en-US" w:eastAsia="zh-CN"/>
              </w:rPr>
              <w:t>五十二、交通运输业、管道运输业</w:t>
            </w:r>
            <w:r>
              <w:rPr>
                <w:rFonts w:hint="default" w:ascii="Times New Roman" w:hAnsi="Times New Roman" w:eastAsia="宋体" w:cs="Times New Roman"/>
                <w:caps w:val="0"/>
                <w:smallCaps w:val="0"/>
                <w:color w:val="auto"/>
                <w:spacing w:val="0"/>
                <w:w w:val="100"/>
                <w:kern w:val="2"/>
                <w:position w:val="0"/>
                <w:sz w:val="24"/>
                <w:highlight w:val="none"/>
              </w:rPr>
              <w:t>，</w:t>
            </w:r>
            <w:r>
              <w:rPr>
                <w:rFonts w:hint="default" w:ascii="Times New Roman" w:hAnsi="Times New Roman" w:eastAsia="宋体" w:cs="Times New Roman"/>
                <w:caps w:val="0"/>
                <w:smallCaps w:val="0"/>
                <w:color w:val="auto"/>
                <w:spacing w:val="0"/>
                <w:w w:val="100"/>
                <w:kern w:val="2"/>
                <w:position w:val="0"/>
                <w:sz w:val="24"/>
                <w:highlight w:val="none"/>
                <w:lang w:val="en-US" w:eastAsia="zh-CN"/>
              </w:rPr>
              <w:t>130</w:t>
            </w:r>
            <w:r>
              <w:rPr>
                <w:rFonts w:hint="default" w:ascii="Times New Roman" w:hAnsi="Times New Roman" w:eastAsia="宋体" w:cs="Times New Roman"/>
                <w:caps w:val="0"/>
                <w:smallCaps w:val="0"/>
                <w:color w:val="auto"/>
                <w:spacing w:val="0"/>
                <w:w w:val="100"/>
                <w:kern w:val="2"/>
                <w:position w:val="0"/>
                <w:sz w:val="24"/>
                <w:highlight w:val="none"/>
              </w:rPr>
              <w:t>、</w:t>
            </w:r>
            <w:r>
              <w:rPr>
                <w:rFonts w:hint="default" w:ascii="Times New Roman" w:hAnsi="Times New Roman" w:eastAsia="宋体" w:cs="Times New Roman"/>
                <w:caps w:val="0"/>
                <w:smallCaps w:val="0"/>
                <w:color w:val="auto"/>
                <w:spacing w:val="0"/>
                <w:w w:val="100"/>
                <w:kern w:val="2"/>
                <w:position w:val="0"/>
                <w:sz w:val="24"/>
                <w:highlight w:val="none"/>
                <w:lang w:val="en-US" w:eastAsia="zh-CN"/>
              </w:rPr>
              <w:t>等级公路（不含维护；不含生命救援、应急保通工程以及国防交通保障项目；不含改扩建四级公路）-其他</w:t>
            </w:r>
          </w:p>
        </w:tc>
        <w:tc>
          <w:tcPr>
            <w:tcW w:w="1110" w:type="pct"/>
            <w:tcBorders>
              <w:tl2br w:val="nil"/>
              <w:tr2bl w:val="nil"/>
            </w:tcBorders>
            <w:noWrap w:val="0"/>
            <w:vAlign w:val="center"/>
          </w:tcPr>
          <w:p w14:paraId="4EE9525E">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用地（用海）面积（m</w:t>
            </w:r>
            <w:r>
              <w:rPr>
                <w:rFonts w:hint="default" w:ascii="Times New Roman" w:hAnsi="Times New Roman" w:eastAsia="宋体" w:cs="Times New Roman"/>
                <w:caps w:val="0"/>
                <w:smallCaps w:val="0"/>
                <w:color w:val="auto"/>
                <w:spacing w:val="0"/>
                <w:w w:val="100"/>
                <w:kern w:val="2"/>
                <w:position w:val="0"/>
                <w:sz w:val="24"/>
                <w:szCs w:val="24"/>
                <w:highlight w:val="none"/>
                <w:vertAlign w:val="superscript"/>
              </w:rPr>
              <w:t>2</w:t>
            </w:r>
            <w:r>
              <w:rPr>
                <w:rFonts w:hint="default" w:ascii="Times New Roman" w:hAnsi="Times New Roman" w:eastAsia="宋体" w:cs="Times New Roman"/>
                <w:caps w:val="0"/>
                <w:smallCaps w:val="0"/>
                <w:color w:val="auto"/>
                <w:spacing w:val="0"/>
                <w:w w:val="100"/>
                <w:kern w:val="2"/>
                <w:position w:val="0"/>
                <w:sz w:val="24"/>
                <w:szCs w:val="24"/>
                <w:highlight w:val="none"/>
              </w:rPr>
              <w:t>）/长度（km）</w:t>
            </w:r>
          </w:p>
        </w:tc>
        <w:tc>
          <w:tcPr>
            <w:tcW w:w="1642" w:type="pct"/>
            <w:tcBorders>
              <w:tl2br w:val="nil"/>
              <w:tr2bl w:val="nil"/>
            </w:tcBorders>
            <w:noWrap w:val="0"/>
            <w:vAlign w:val="center"/>
          </w:tcPr>
          <w:p w14:paraId="6B5A7580">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总占地面积1764.96m</w:t>
            </w:r>
            <w:r>
              <w:rPr>
                <w:rFonts w:hint="eastAsia" w:ascii="Times New Roman" w:hAnsi="Times New Roman" w:eastAsia="宋体" w:cs="Times New Roman"/>
                <w:caps w:val="0"/>
                <w:smallCaps w:val="0"/>
                <w:color w:val="auto"/>
                <w:spacing w:val="0"/>
                <w:w w:val="100"/>
                <w:kern w:val="2"/>
                <w:position w:val="0"/>
                <w:sz w:val="24"/>
                <w:szCs w:val="24"/>
                <w:highlight w:val="none"/>
                <w:vertAlign w:val="superscript"/>
                <w:lang w:val="en-US" w:eastAsia="zh-CN"/>
              </w:rPr>
              <w:t>2</w:t>
            </w:r>
          </w:p>
          <w:p w14:paraId="3B8D759F">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vertAlign w:val="baseline"/>
                <w:lang w:val="en-US" w:eastAsia="zh-CN"/>
              </w:rPr>
              <w:t>线路总</w:t>
            </w:r>
            <w:r>
              <w:rPr>
                <w:rFonts w:hint="default" w:ascii="Times New Roman" w:hAnsi="Times New Roman" w:eastAsia="宋体" w:cs="Times New Roman"/>
                <w:caps w:val="0"/>
                <w:smallCaps w:val="0"/>
                <w:color w:val="auto"/>
                <w:spacing w:val="0"/>
                <w:w w:val="100"/>
                <w:kern w:val="2"/>
                <w:position w:val="0"/>
                <w:sz w:val="24"/>
                <w:szCs w:val="24"/>
                <w:highlight w:val="none"/>
                <w:vertAlign w:val="baseline"/>
                <w:lang w:val="en-US" w:eastAsia="zh-CN"/>
              </w:rPr>
              <w:t>长度</w:t>
            </w:r>
            <w:r>
              <w:rPr>
                <w:rFonts w:hint="eastAsia" w:ascii="Times New Roman" w:hAnsi="Times New Roman" w:eastAsia="宋体" w:cs="Times New Roman"/>
                <w:caps w:val="0"/>
                <w:smallCaps w:val="0"/>
                <w:color w:val="auto"/>
                <w:spacing w:val="0"/>
                <w:w w:val="100"/>
                <w:kern w:val="2"/>
                <w:position w:val="0"/>
                <w:sz w:val="24"/>
                <w:szCs w:val="24"/>
                <w:highlight w:val="none"/>
                <w:vertAlign w:val="baseline"/>
                <w:lang w:val="en-US" w:eastAsia="zh-CN"/>
              </w:rPr>
              <w:t>0.147</w:t>
            </w:r>
            <w:r>
              <w:rPr>
                <w:rFonts w:hint="default" w:ascii="Times New Roman" w:hAnsi="Times New Roman" w:eastAsia="宋体" w:cs="Times New Roman"/>
                <w:caps w:val="0"/>
                <w:smallCaps w:val="0"/>
                <w:color w:val="auto"/>
                <w:spacing w:val="0"/>
                <w:w w:val="100"/>
                <w:kern w:val="2"/>
                <w:position w:val="0"/>
                <w:sz w:val="24"/>
                <w:szCs w:val="24"/>
                <w:highlight w:val="none"/>
                <w:vertAlign w:val="baseline"/>
                <w:lang w:val="en-US" w:eastAsia="zh-CN"/>
              </w:rPr>
              <w:t>km</w:t>
            </w:r>
          </w:p>
        </w:tc>
      </w:tr>
      <w:tr w14:paraId="5C27AF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6FAF7C35">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建设性质</w:t>
            </w:r>
          </w:p>
        </w:tc>
        <w:tc>
          <w:tcPr>
            <w:tcW w:w="1263" w:type="pct"/>
            <w:tcBorders>
              <w:tl2br w:val="nil"/>
              <w:tr2bl w:val="nil"/>
            </w:tcBorders>
            <w:noWrap w:val="0"/>
            <w:vAlign w:val="center"/>
          </w:tcPr>
          <w:p w14:paraId="6CC55E10">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ascii="Times New Roman" w:hAnsi="Times New Roman" w:eastAsia="宋体" w:cs="Times New Roman"/>
                <w:caps w:val="0"/>
                <w:smallCaps w:val="0"/>
                <w:color w:val="auto"/>
                <w:spacing w:val="0"/>
                <w:w w:val="100"/>
                <w:kern w:val="2"/>
                <w:position w:val="0"/>
                <w:sz w:val="24"/>
                <w:szCs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rPr>
              <w:t>新建（迁建）</w:t>
            </w:r>
          </w:p>
          <w:p w14:paraId="4BA90334">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ascii="Times New Roman" w:hAnsi="Times New Roman" w:eastAsia="宋体" w:cs="Times New Roman"/>
                <w:caps w:val="0"/>
                <w:smallCaps w:val="0"/>
                <w:color w:val="auto"/>
                <w:spacing w:val="0"/>
                <w:w w:val="100"/>
                <w:kern w:val="2"/>
                <w:position w:val="0"/>
                <w:sz w:val="24"/>
                <w:szCs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rPr>
              <w:t>改建</w:t>
            </w:r>
          </w:p>
          <w:p w14:paraId="30E01CEB">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ascii="Times New Roman" w:hAnsi="Times New Roman" w:eastAsia="宋体" w:cs="Times New Roman"/>
                <w:caps w:val="0"/>
                <w:smallCaps w:val="0"/>
                <w:color w:val="auto"/>
                <w:spacing w:val="0"/>
                <w:w w:val="100"/>
                <w:kern w:val="2"/>
                <w:position w:val="0"/>
                <w:sz w:val="24"/>
                <w:szCs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rPr>
              <w:t>扩建</w:t>
            </w:r>
          </w:p>
          <w:p w14:paraId="3CFA9992">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ascii="Times New Roman" w:hAnsi="Times New Roman" w:eastAsia="宋体" w:cs="Times New Roman"/>
                <w:caps w:val="0"/>
                <w:smallCaps w:val="0"/>
                <w:color w:val="auto"/>
                <w:spacing w:val="0"/>
                <w:w w:val="100"/>
                <w:kern w:val="2"/>
                <w:position w:val="0"/>
                <w:sz w:val="24"/>
                <w:szCs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rPr>
              <w:t>技术改造</w:t>
            </w:r>
          </w:p>
        </w:tc>
        <w:tc>
          <w:tcPr>
            <w:tcW w:w="1110" w:type="pct"/>
            <w:tcBorders>
              <w:tl2br w:val="nil"/>
              <w:tr2bl w:val="nil"/>
            </w:tcBorders>
            <w:noWrap w:val="0"/>
            <w:vAlign w:val="center"/>
          </w:tcPr>
          <w:p w14:paraId="6AC55055">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建设项目</w:t>
            </w:r>
          </w:p>
          <w:p w14:paraId="18459306">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申报情形</w:t>
            </w:r>
          </w:p>
        </w:tc>
        <w:tc>
          <w:tcPr>
            <w:tcW w:w="1642" w:type="pct"/>
            <w:tcBorders>
              <w:tl2br w:val="nil"/>
              <w:tr2bl w:val="nil"/>
            </w:tcBorders>
            <w:noWrap w:val="0"/>
            <w:vAlign w:val="center"/>
          </w:tcPr>
          <w:p w14:paraId="209F469B">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sym w:font="Wingdings 2" w:char="0052"/>
            </w:r>
            <w:r>
              <w:rPr>
                <w:rFonts w:hint="default" w:ascii="Times New Roman" w:hAnsi="Times New Roman" w:eastAsia="宋体" w:cs="Times New Roman"/>
                <w:caps w:val="0"/>
                <w:smallCaps w:val="0"/>
                <w:color w:val="auto"/>
                <w:spacing w:val="0"/>
                <w:w w:val="100"/>
                <w:kern w:val="2"/>
                <w:position w:val="0"/>
                <w:sz w:val="24"/>
                <w:szCs w:val="24"/>
                <w:highlight w:val="none"/>
              </w:rPr>
              <w:t>首次申报项目</w:t>
            </w:r>
          </w:p>
          <w:p w14:paraId="3F41EF3D">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ascii="Times New Roman" w:hAnsi="Times New Roman" w:eastAsia="宋体" w:cs="Times New Roman"/>
                <w:caps w:val="0"/>
                <w:smallCaps w:val="0"/>
                <w:color w:val="auto"/>
                <w:spacing w:val="0"/>
                <w:w w:val="100"/>
                <w:kern w:val="2"/>
                <w:position w:val="0"/>
                <w:sz w:val="24"/>
                <w:szCs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rPr>
              <w:t>不予批准后再次申报项目</w:t>
            </w:r>
          </w:p>
          <w:p w14:paraId="09CFAE96">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ascii="Times New Roman" w:hAnsi="Times New Roman" w:eastAsia="宋体" w:cs="Times New Roman"/>
                <w:caps w:val="0"/>
                <w:smallCaps w:val="0"/>
                <w:color w:val="auto"/>
                <w:spacing w:val="0"/>
                <w:w w:val="100"/>
                <w:kern w:val="2"/>
                <w:position w:val="0"/>
                <w:sz w:val="24"/>
                <w:szCs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rPr>
              <w:t>超五年重新审核项目</w:t>
            </w:r>
          </w:p>
          <w:p w14:paraId="150C0D73">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ascii="Times New Roman" w:hAnsi="Times New Roman" w:eastAsia="宋体" w:cs="Times New Roman"/>
                <w:caps w:val="0"/>
                <w:smallCaps w:val="0"/>
                <w:color w:val="auto"/>
                <w:spacing w:val="0"/>
                <w:w w:val="100"/>
                <w:kern w:val="2"/>
                <w:position w:val="0"/>
                <w:sz w:val="24"/>
                <w:szCs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rPr>
              <w:t>重大变动重新报批项目</w:t>
            </w:r>
          </w:p>
        </w:tc>
      </w:tr>
      <w:tr w14:paraId="341935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5B1F9D8A">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项目审批部门</w:t>
            </w:r>
          </w:p>
        </w:tc>
        <w:tc>
          <w:tcPr>
            <w:tcW w:w="1263" w:type="pct"/>
            <w:tcBorders>
              <w:tl2br w:val="nil"/>
              <w:tr2bl w:val="nil"/>
            </w:tcBorders>
            <w:noWrap w:val="0"/>
            <w:vAlign w:val="center"/>
          </w:tcPr>
          <w:p w14:paraId="022E22AC">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w:t>
            </w:r>
          </w:p>
        </w:tc>
        <w:tc>
          <w:tcPr>
            <w:tcW w:w="1110" w:type="pct"/>
            <w:tcBorders>
              <w:tl2br w:val="nil"/>
              <w:tr2bl w:val="nil"/>
            </w:tcBorders>
            <w:noWrap w:val="0"/>
            <w:vAlign w:val="center"/>
          </w:tcPr>
          <w:p w14:paraId="3A4887C3">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项目审批文号</w:t>
            </w:r>
          </w:p>
        </w:tc>
        <w:tc>
          <w:tcPr>
            <w:tcW w:w="1642" w:type="pct"/>
            <w:tcBorders>
              <w:tl2br w:val="nil"/>
              <w:tr2bl w:val="nil"/>
            </w:tcBorders>
            <w:noWrap w:val="0"/>
            <w:vAlign w:val="center"/>
          </w:tcPr>
          <w:p w14:paraId="1AED9EC2">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w:t>
            </w:r>
          </w:p>
        </w:tc>
      </w:tr>
      <w:tr w14:paraId="600989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5254C201">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总投资（万元）</w:t>
            </w:r>
          </w:p>
        </w:tc>
        <w:tc>
          <w:tcPr>
            <w:tcW w:w="1263" w:type="pct"/>
            <w:tcBorders>
              <w:tl2br w:val="nil"/>
              <w:tr2bl w:val="nil"/>
            </w:tcBorders>
            <w:noWrap w:val="0"/>
            <w:vAlign w:val="center"/>
          </w:tcPr>
          <w:p w14:paraId="78D87008">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952.9726</w:t>
            </w:r>
          </w:p>
        </w:tc>
        <w:tc>
          <w:tcPr>
            <w:tcW w:w="1110" w:type="pct"/>
            <w:tcBorders>
              <w:tl2br w:val="nil"/>
              <w:tr2bl w:val="nil"/>
            </w:tcBorders>
            <w:noWrap w:val="0"/>
            <w:tcMar>
              <w:top w:w="16" w:type="dxa"/>
              <w:left w:w="16" w:type="dxa"/>
              <w:right w:w="16" w:type="dxa"/>
            </w:tcMar>
            <w:vAlign w:val="center"/>
          </w:tcPr>
          <w:p w14:paraId="6E86830B">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环保投资（万元）</w:t>
            </w:r>
          </w:p>
        </w:tc>
        <w:tc>
          <w:tcPr>
            <w:tcW w:w="1642" w:type="pct"/>
            <w:tcBorders>
              <w:tl2br w:val="nil"/>
              <w:tr2bl w:val="nil"/>
            </w:tcBorders>
            <w:noWrap w:val="0"/>
            <w:vAlign w:val="center"/>
          </w:tcPr>
          <w:p w14:paraId="25EE3973">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41</w:t>
            </w:r>
          </w:p>
        </w:tc>
      </w:tr>
      <w:tr w14:paraId="5D92B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04244BB6">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环保投资占比（%）</w:t>
            </w:r>
          </w:p>
        </w:tc>
        <w:tc>
          <w:tcPr>
            <w:tcW w:w="1263" w:type="pct"/>
            <w:tcBorders>
              <w:tl2br w:val="nil"/>
              <w:tr2bl w:val="nil"/>
            </w:tcBorders>
            <w:noWrap w:val="0"/>
            <w:vAlign w:val="center"/>
          </w:tcPr>
          <w:p w14:paraId="5AFC376B">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4.30</w:t>
            </w:r>
          </w:p>
        </w:tc>
        <w:tc>
          <w:tcPr>
            <w:tcW w:w="1110" w:type="pct"/>
            <w:tcBorders>
              <w:tl2br w:val="nil"/>
              <w:tr2bl w:val="nil"/>
            </w:tcBorders>
            <w:noWrap w:val="0"/>
            <w:tcMar>
              <w:top w:w="16" w:type="dxa"/>
              <w:left w:w="16" w:type="dxa"/>
              <w:right w:w="16" w:type="dxa"/>
            </w:tcMar>
            <w:vAlign w:val="center"/>
          </w:tcPr>
          <w:p w14:paraId="7F2A2B0C">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施工工期</w:t>
            </w:r>
          </w:p>
        </w:tc>
        <w:tc>
          <w:tcPr>
            <w:tcW w:w="1642" w:type="pct"/>
            <w:tcBorders>
              <w:tl2br w:val="nil"/>
              <w:tr2bl w:val="nil"/>
            </w:tcBorders>
            <w:noWrap w:val="0"/>
            <w:vAlign w:val="center"/>
          </w:tcPr>
          <w:p w14:paraId="78DDFE06">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个月</w:t>
            </w:r>
          </w:p>
        </w:tc>
      </w:tr>
      <w:tr w14:paraId="31D45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2ED1CC22">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是否开工建设</w:t>
            </w:r>
          </w:p>
        </w:tc>
        <w:tc>
          <w:tcPr>
            <w:tcW w:w="4016" w:type="pct"/>
            <w:gridSpan w:val="3"/>
            <w:tcBorders>
              <w:tl2br w:val="nil"/>
              <w:tr2bl w:val="nil"/>
            </w:tcBorders>
            <w:noWrap w:val="0"/>
            <w:vAlign w:val="center"/>
          </w:tcPr>
          <w:p w14:paraId="4FE2B01B">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firstLine="105"/>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sym w:font="Wingdings 2" w:char="0052"/>
            </w:r>
            <w:r>
              <w:rPr>
                <w:rFonts w:hint="default" w:ascii="Times New Roman" w:hAnsi="Times New Roman" w:eastAsia="宋体" w:cs="Times New Roman"/>
                <w:caps w:val="0"/>
                <w:smallCaps w:val="0"/>
                <w:color w:val="auto"/>
                <w:spacing w:val="0"/>
                <w:w w:val="100"/>
                <w:kern w:val="2"/>
                <w:position w:val="0"/>
                <w:sz w:val="24"/>
                <w:szCs w:val="24"/>
                <w:highlight w:val="none"/>
              </w:rPr>
              <w:t>否</w:t>
            </w:r>
          </w:p>
          <w:p w14:paraId="5F89511A">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firstLine="92"/>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eastAsia="zh-CN"/>
              </w:rPr>
            </w:pPr>
            <w:r>
              <w:rPr>
                <w:rFonts w:hint="default" w:ascii="Times New Roman" w:hAnsi="Times New Roman" w:eastAsia="宋体" w:cs="Times New Roman"/>
                <w:caps w:val="0"/>
                <w:smallCaps w:val="0"/>
                <w:color w:val="auto"/>
                <w:spacing w:val="0"/>
                <w:w w:val="100"/>
                <w:kern w:val="2"/>
                <w:position w:val="0"/>
                <w:sz w:val="24"/>
                <w:szCs w:val="24"/>
                <w:highlight w:val="none"/>
              </w:rPr>
              <w:sym w:font="Wingdings 2" w:char="00A3"/>
            </w:r>
            <w:r>
              <w:rPr>
                <w:rFonts w:hint="default" w:ascii="Times New Roman" w:hAnsi="Times New Roman" w:eastAsia="宋体" w:cs="Times New Roman"/>
                <w:caps w:val="0"/>
                <w:smallCaps w:val="0"/>
                <w:color w:val="auto"/>
                <w:spacing w:val="0"/>
                <w:w w:val="100"/>
                <w:kern w:val="2"/>
                <w:position w:val="0"/>
                <w:sz w:val="24"/>
                <w:szCs w:val="24"/>
                <w:highlight w:val="none"/>
              </w:rPr>
              <w:t>是：</w:t>
            </w:r>
          </w:p>
        </w:tc>
      </w:tr>
      <w:tr w14:paraId="7ABBA4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7BD316F6">
            <w:pPr>
              <w:keepNext w:val="0"/>
              <w:keepLines w:val="0"/>
              <w:pageBreakBefore w:val="0"/>
              <w:widowControl w:val="0"/>
              <w:kinsoku/>
              <w:wordWrap/>
              <w:overflowPunct/>
              <w:topLinePunct w:val="0"/>
              <w:autoSpaceDE w:val="0"/>
              <w:autoSpaceDN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专项评价设置情况</w:t>
            </w:r>
          </w:p>
        </w:tc>
        <w:tc>
          <w:tcPr>
            <w:tcW w:w="4016" w:type="pct"/>
            <w:gridSpan w:val="3"/>
            <w:tcBorders>
              <w:tl2br w:val="nil"/>
              <w:tr2bl w:val="nil"/>
            </w:tcBorders>
            <w:noWrap w:val="0"/>
            <w:tcMar>
              <w:top w:w="16" w:type="dxa"/>
              <w:left w:w="16" w:type="dxa"/>
              <w:right w:w="16" w:type="dxa"/>
            </w:tcMar>
            <w:vAlign w:val="center"/>
          </w:tcPr>
          <w:p w14:paraId="5C392C29">
            <w:pPr>
              <w:shd w:val="clear" w:color="auto" w:fill="auto"/>
              <w:autoSpaceDE w:val="0"/>
              <w:autoSpaceDN w:val="0"/>
              <w:adjustRightInd w:val="0"/>
              <w:snapToGrid w:val="0"/>
              <w:spacing w:line="440" w:lineRule="exact"/>
              <w:ind w:firstLine="480" w:firstLineChars="200"/>
              <w:rPr>
                <w:color w:val="auto"/>
                <w:sz w:val="24"/>
              </w:rPr>
            </w:pPr>
            <w:r>
              <w:rPr>
                <w:color w:val="auto"/>
                <w:sz w:val="24"/>
              </w:rPr>
              <w:t>根据《建设项目环境影响报告表编制技术指南（</w:t>
            </w:r>
            <w:r>
              <w:rPr>
                <w:rFonts w:hint="eastAsia"/>
                <w:color w:val="auto"/>
                <w:sz w:val="24"/>
              </w:rPr>
              <w:t>生态</w:t>
            </w:r>
            <w:r>
              <w:rPr>
                <w:color w:val="auto"/>
                <w:sz w:val="24"/>
              </w:rPr>
              <w:t>影响类</w:t>
            </w:r>
            <w:r>
              <w:rPr>
                <w:rFonts w:hint="eastAsia"/>
                <w:color w:val="auto"/>
                <w:sz w:val="24"/>
              </w:rPr>
              <w:t>）（</w:t>
            </w:r>
            <w:r>
              <w:rPr>
                <w:color w:val="auto"/>
                <w:sz w:val="24"/>
              </w:rPr>
              <w:t>试行）》专项评价设置原则表设置专项评价情况。具体如下：</w:t>
            </w:r>
          </w:p>
          <w:p w14:paraId="4459794E">
            <w:pPr>
              <w:shd w:val="clear" w:color="auto" w:fill="auto"/>
              <w:autoSpaceDE w:val="0"/>
              <w:autoSpaceDN w:val="0"/>
              <w:adjustRightInd w:val="0"/>
              <w:snapToGrid w:val="0"/>
              <w:spacing w:line="440" w:lineRule="exact"/>
              <w:ind w:firstLine="482" w:firstLineChars="200"/>
              <w:jc w:val="center"/>
              <w:rPr>
                <w:b/>
                <w:bCs/>
                <w:color w:val="auto"/>
                <w:sz w:val="24"/>
              </w:rPr>
            </w:pPr>
            <w:r>
              <w:rPr>
                <w:b/>
                <w:bCs/>
                <w:color w:val="auto"/>
                <w:sz w:val="24"/>
              </w:rPr>
              <w:t>表1-1    专项评价设置原则表</w:t>
            </w:r>
          </w:p>
          <w:tbl>
            <w:tblPr>
              <w:tblStyle w:val="29"/>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5759"/>
            </w:tblGrid>
            <w:tr w14:paraId="5E219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0" w:type="auto"/>
                  <w:tcBorders>
                    <w:tl2br w:val="nil"/>
                    <w:tr2bl w:val="nil"/>
                  </w:tcBorders>
                  <w:noWrap w:val="0"/>
                  <w:vAlign w:val="center"/>
                </w:tcPr>
                <w:p w14:paraId="53FB772E">
                  <w:pPr>
                    <w:widowControl/>
                    <w:shd w:val="clear" w:color="auto" w:fill="auto"/>
                    <w:spacing w:line="240" w:lineRule="auto"/>
                    <w:jc w:val="center"/>
                    <w:rPr>
                      <w:color w:val="auto"/>
                      <w:sz w:val="18"/>
                      <w:szCs w:val="18"/>
                    </w:rPr>
                  </w:pPr>
                  <w:r>
                    <w:rPr>
                      <w:color w:val="auto"/>
                      <w:sz w:val="18"/>
                      <w:szCs w:val="18"/>
                    </w:rPr>
                    <w:t>专项评价类别</w:t>
                  </w:r>
                </w:p>
              </w:tc>
              <w:tc>
                <w:tcPr>
                  <w:tcW w:w="0" w:type="auto"/>
                  <w:tcBorders>
                    <w:tl2br w:val="nil"/>
                    <w:tr2bl w:val="nil"/>
                  </w:tcBorders>
                  <w:noWrap w:val="0"/>
                  <w:vAlign w:val="center"/>
                </w:tcPr>
                <w:p w14:paraId="71C75346">
                  <w:pPr>
                    <w:shd w:val="clear" w:color="auto" w:fill="auto"/>
                    <w:autoSpaceDE w:val="0"/>
                    <w:autoSpaceDN w:val="0"/>
                    <w:adjustRightInd w:val="0"/>
                    <w:snapToGrid w:val="0"/>
                    <w:spacing w:line="240" w:lineRule="auto"/>
                    <w:jc w:val="center"/>
                    <w:rPr>
                      <w:color w:val="auto"/>
                      <w:sz w:val="18"/>
                      <w:szCs w:val="18"/>
                    </w:rPr>
                  </w:pPr>
                  <w:r>
                    <w:rPr>
                      <w:color w:val="auto"/>
                      <w:sz w:val="18"/>
                      <w:szCs w:val="18"/>
                    </w:rPr>
                    <w:t>设置原则</w:t>
                  </w:r>
                </w:p>
              </w:tc>
            </w:tr>
            <w:tr w14:paraId="3475A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0837191C">
                  <w:pPr>
                    <w:widowControl/>
                    <w:shd w:val="clear" w:color="auto" w:fill="auto"/>
                    <w:spacing w:line="240" w:lineRule="auto"/>
                    <w:jc w:val="center"/>
                    <w:rPr>
                      <w:color w:val="auto"/>
                      <w:sz w:val="18"/>
                      <w:szCs w:val="18"/>
                    </w:rPr>
                  </w:pPr>
                  <w:r>
                    <w:rPr>
                      <w:color w:val="auto"/>
                      <w:kern w:val="0"/>
                      <w:sz w:val="18"/>
                      <w:szCs w:val="18"/>
                      <w:lang w:bidi="ar"/>
                    </w:rPr>
                    <w:t>地表水</w:t>
                  </w:r>
                </w:p>
              </w:tc>
              <w:tc>
                <w:tcPr>
                  <w:tcW w:w="0" w:type="auto"/>
                  <w:tcBorders>
                    <w:tl2br w:val="nil"/>
                    <w:tr2bl w:val="nil"/>
                  </w:tcBorders>
                  <w:noWrap w:val="0"/>
                  <w:vAlign w:val="center"/>
                </w:tcPr>
                <w:p w14:paraId="14AC440A">
                  <w:pPr>
                    <w:widowControl/>
                    <w:shd w:val="clear" w:color="auto" w:fill="auto"/>
                    <w:spacing w:line="240" w:lineRule="auto"/>
                    <w:jc w:val="left"/>
                    <w:rPr>
                      <w:color w:val="auto"/>
                      <w:sz w:val="18"/>
                      <w:szCs w:val="18"/>
                    </w:rPr>
                  </w:pPr>
                  <w:r>
                    <w:rPr>
                      <w:color w:val="auto"/>
                      <w:kern w:val="0"/>
                      <w:sz w:val="18"/>
                      <w:szCs w:val="18"/>
                      <w:lang w:bidi="ar"/>
                    </w:rPr>
                    <w:t>水力发电：引水式发电、涉及调峰发电的项目；人工湖、人工湿地：全部；水库：全部；引水工程：全部（配套的管线工程等除外）；防洪除涝工程：包含水库的项目；</w:t>
                  </w:r>
                </w:p>
                <w:p w14:paraId="170A6B32">
                  <w:pPr>
                    <w:widowControl/>
                    <w:shd w:val="clear" w:color="auto" w:fill="auto"/>
                    <w:spacing w:line="240" w:lineRule="auto"/>
                    <w:jc w:val="left"/>
                    <w:rPr>
                      <w:color w:val="auto"/>
                      <w:sz w:val="18"/>
                      <w:szCs w:val="18"/>
                    </w:rPr>
                  </w:pPr>
                  <w:r>
                    <w:rPr>
                      <w:color w:val="auto"/>
                      <w:kern w:val="0"/>
                      <w:sz w:val="18"/>
                      <w:szCs w:val="18"/>
                      <w:lang w:bidi="ar"/>
                    </w:rPr>
                    <w:t>河湖整治：涉及清淤且底泥存在重金属污染的项目</w:t>
                  </w:r>
                </w:p>
              </w:tc>
            </w:tr>
            <w:tr w14:paraId="50DAB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488D744F">
                  <w:pPr>
                    <w:shd w:val="clear" w:color="auto" w:fill="auto"/>
                    <w:autoSpaceDE w:val="0"/>
                    <w:autoSpaceDN w:val="0"/>
                    <w:adjustRightInd w:val="0"/>
                    <w:snapToGrid w:val="0"/>
                    <w:spacing w:line="240" w:lineRule="auto"/>
                    <w:jc w:val="center"/>
                    <w:rPr>
                      <w:color w:val="auto"/>
                      <w:sz w:val="18"/>
                      <w:szCs w:val="18"/>
                    </w:rPr>
                  </w:pPr>
                  <w:r>
                    <w:rPr>
                      <w:color w:val="auto"/>
                      <w:sz w:val="18"/>
                      <w:szCs w:val="18"/>
                    </w:rPr>
                    <w:t>地下水</w:t>
                  </w:r>
                </w:p>
              </w:tc>
              <w:tc>
                <w:tcPr>
                  <w:tcW w:w="0" w:type="auto"/>
                  <w:tcBorders>
                    <w:tl2br w:val="nil"/>
                    <w:tr2bl w:val="nil"/>
                  </w:tcBorders>
                  <w:noWrap w:val="0"/>
                  <w:vAlign w:val="center"/>
                </w:tcPr>
                <w:p w14:paraId="5DC951D8">
                  <w:pPr>
                    <w:widowControl/>
                    <w:shd w:val="clear" w:color="auto" w:fill="auto"/>
                    <w:spacing w:line="240" w:lineRule="auto"/>
                    <w:jc w:val="left"/>
                    <w:rPr>
                      <w:color w:val="auto"/>
                      <w:sz w:val="18"/>
                      <w:szCs w:val="18"/>
                    </w:rPr>
                  </w:pPr>
                  <w:r>
                    <w:rPr>
                      <w:color w:val="auto"/>
                      <w:kern w:val="0"/>
                      <w:sz w:val="18"/>
                      <w:szCs w:val="18"/>
                      <w:lang w:bidi="ar"/>
                    </w:rPr>
                    <w:t>陆地石油和天然气开采：全部；</w:t>
                  </w:r>
                </w:p>
                <w:p w14:paraId="6705F5FB">
                  <w:pPr>
                    <w:widowControl/>
                    <w:shd w:val="clear" w:color="auto" w:fill="auto"/>
                    <w:spacing w:line="240" w:lineRule="auto"/>
                    <w:jc w:val="left"/>
                    <w:rPr>
                      <w:color w:val="auto"/>
                      <w:sz w:val="18"/>
                      <w:szCs w:val="18"/>
                    </w:rPr>
                  </w:pPr>
                  <w:r>
                    <w:rPr>
                      <w:color w:val="auto"/>
                      <w:kern w:val="0"/>
                      <w:sz w:val="18"/>
                      <w:szCs w:val="18"/>
                      <w:lang w:bidi="ar"/>
                    </w:rPr>
                    <w:t>地下水（含矿泉水）开采：全部；</w:t>
                  </w:r>
                </w:p>
                <w:p w14:paraId="467A424E">
                  <w:pPr>
                    <w:widowControl/>
                    <w:shd w:val="clear" w:color="auto" w:fill="auto"/>
                    <w:spacing w:line="240" w:lineRule="auto"/>
                    <w:jc w:val="left"/>
                    <w:rPr>
                      <w:color w:val="auto"/>
                      <w:sz w:val="18"/>
                      <w:szCs w:val="18"/>
                    </w:rPr>
                  </w:pPr>
                  <w:r>
                    <w:rPr>
                      <w:color w:val="auto"/>
                      <w:kern w:val="0"/>
                      <w:sz w:val="18"/>
                      <w:szCs w:val="18"/>
                      <w:lang w:bidi="ar"/>
                    </w:rPr>
                    <w:t>水利、水电、交通等：含穿越可溶岩地层隧道的项目</w:t>
                  </w:r>
                </w:p>
              </w:tc>
            </w:tr>
            <w:tr w14:paraId="19AFB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5BCC1547">
                  <w:pPr>
                    <w:shd w:val="clear" w:color="auto" w:fill="auto"/>
                    <w:autoSpaceDE w:val="0"/>
                    <w:autoSpaceDN w:val="0"/>
                    <w:adjustRightInd w:val="0"/>
                    <w:snapToGrid w:val="0"/>
                    <w:spacing w:line="240" w:lineRule="auto"/>
                    <w:jc w:val="center"/>
                    <w:rPr>
                      <w:color w:val="auto"/>
                      <w:sz w:val="18"/>
                      <w:szCs w:val="18"/>
                    </w:rPr>
                  </w:pPr>
                  <w:r>
                    <w:rPr>
                      <w:color w:val="auto"/>
                      <w:sz w:val="18"/>
                      <w:szCs w:val="18"/>
                    </w:rPr>
                    <w:t>生态</w:t>
                  </w:r>
                </w:p>
              </w:tc>
              <w:tc>
                <w:tcPr>
                  <w:tcW w:w="0" w:type="auto"/>
                  <w:tcBorders>
                    <w:tl2br w:val="nil"/>
                    <w:tr2bl w:val="nil"/>
                  </w:tcBorders>
                  <w:noWrap w:val="0"/>
                  <w:vAlign w:val="center"/>
                </w:tcPr>
                <w:p w14:paraId="3CE848D8">
                  <w:pPr>
                    <w:widowControl/>
                    <w:shd w:val="clear" w:color="auto" w:fill="auto"/>
                    <w:spacing w:line="240" w:lineRule="auto"/>
                    <w:jc w:val="left"/>
                    <w:rPr>
                      <w:color w:val="auto"/>
                      <w:sz w:val="18"/>
                      <w:szCs w:val="18"/>
                    </w:rPr>
                  </w:pPr>
                  <w:r>
                    <w:rPr>
                      <w:color w:val="auto"/>
                      <w:kern w:val="0"/>
                      <w:sz w:val="18"/>
                      <w:szCs w:val="18"/>
                      <w:lang w:bidi="ar"/>
                    </w:rPr>
                    <w:t>涉及环境敏感区（不包括饮用水水源保护区，以居住、医疗卫生、文化教育、科研、行政办公为主要功能的区域，以及文物保护单位）的项目</w:t>
                  </w:r>
                </w:p>
              </w:tc>
            </w:tr>
            <w:tr w14:paraId="254DD0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2997F30F">
                  <w:pPr>
                    <w:shd w:val="clear" w:color="auto" w:fill="auto"/>
                    <w:autoSpaceDE w:val="0"/>
                    <w:autoSpaceDN w:val="0"/>
                    <w:adjustRightInd w:val="0"/>
                    <w:snapToGrid w:val="0"/>
                    <w:spacing w:line="240" w:lineRule="auto"/>
                    <w:jc w:val="center"/>
                    <w:rPr>
                      <w:color w:val="auto"/>
                      <w:sz w:val="18"/>
                      <w:szCs w:val="18"/>
                    </w:rPr>
                  </w:pPr>
                  <w:r>
                    <w:rPr>
                      <w:color w:val="auto"/>
                      <w:sz w:val="18"/>
                      <w:szCs w:val="18"/>
                    </w:rPr>
                    <w:t>大气</w:t>
                  </w:r>
                </w:p>
              </w:tc>
              <w:tc>
                <w:tcPr>
                  <w:tcW w:w="0" w:type="auto"/>
                  <w:tcBorders>
                    <w:tl2br w:val="nil"/>
                    <w:tr2bl w:val="nil"/>
                  </w:tcBorders>
                  <w:noWrap w:val="0"/>
                  <w:vAlign w:val="center"/>
                </w:tcPr>
                <w:p w14:paraId="314C41FD">
                  <w:pPr>
                    <w:widowControl/>
                    <w:shd w:val="clear" w:color="auto" w:fill="auto"/>
                    <w:spacing w:line="240" w:lineRule="auto"/>
                    <w:jc w:val="left"/>
                    <w:rPr>
                      <w:color w:val="auto"/>
                      <w:sz w:val="18"/>
                      <w:szCs w:val="18"/>
                    </w:rPr>
                  </w:pPr>
                  <w:r>
                    <w:rPr>
                      <w:color w:val="auto"/>
                      <w:kern w:val="0"/>
                      <w:sz w:val="18"/>
                      <w:szCs w:val="18"/>
                      <w:lang w:bidi="ar"/>
                    </w:rPr>
                    <w:t>油气、液体化工码头：全部；</w:t>
                  </w:r>
                </w:p>
                <w:p w14:paraId="4EC010E6">
                  <w:pPr>
                    <w:widowControl/>
                    <w:shd w:val="clear" w:color="auto" w:fill="auto"/>
                    <w:spacing w:line="240" w:lineRule="auto"/>
                    <w:jc w:val="left"/>
                    <w:rPr>
                      <w:color w:val="auto"/>
                      <w:sz w:val="18"/>
                      <w:szCs w:val="18"/>
                    </w:rPr>
                  </w:pPr>
                  <w:r>
                    <w:rPr>
                      <w:color w:val="auto"/>
                      <w:kern w:val="0"/>
                      <w:sz w:val="18"/>
                      <w:szCs w:val="18"/>
                      <w:lang w:bidi="ar"/>
                    </w:rPr>
                    <w:t>干散货（含煤炭、矿石）、件杂、多用途、通用码头：涉及粉尘、挥发性有机物排放的项目</w:t>
                  </w:r>
                </w:p>
              </w:tc>
            </w:tr>
            <w:tr w14:paraId="7A73B1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478EDD2D">
                  <w:pPr>
                    <w:shd w:val="clear" w:color="auto" w:fill="auto"/>
                    <w:autoSpaceDE w:val="0"/>
                    <w:autoSpaceDN w:val="0"/>
                    <w:adjustRightInd w:val="0"/>
                    <w:snapToGrid w:val="0"/>
                    <w:spacing w:line="240" w:lineRule="auto"/>
                    <w:jc w:val="center"/>
                    <w:rPr>
                      <w:color w:val="auto"/>
                      <w:sz w:val="18"/>
                      <w:szCs w:val="18"/>
                    </w:rPr>
                  </w:pPr>
                  <w:r>
                    <w:rPr>
                      <w:color w:val="auto"/>
                      <w:sz w:val="18"/>
                      <w:szCs w:val="18"/>
                    </w:rPr>
                    <w:t>噪声</w:t>
                  </w:r>
                </w:p>
              </w:tc>
              <w:tc>
                <w:tcPr>
                  <w:tcW w:w="0" w:type="auto"/>
                  <w:tcBorders>
                    <w:tl2br w:val="nil"/>
                    <w:tr2bl w:val="nil"/>
                  </w:tcBorders>
                  <w:noWrap w:val="0"/>
                  <w:vAlign w:val="center"/>
                </w:tcPr>
                <w:p w14:paraId="28FA0FFE">
                  <w:pPr>
                    <w:widowControl/>
                    <w:shd w:val="clear" w:color="auto" w:fill="auto"/>
                    <w:spacing w:line="240" w:lineRule="auto"/>
                    <w:jc w:val="left"/>
                    <w:rPr>
                      <w:color w:val="auto"/>
                      <w:sz w:val="18"/>
                      <w:szCs w:val="18"/>
                    </w:rPr>
                  </w:pPr>
                  <w:r>
                    <w:rPr>
                      <w:color w:val="auto"/>
                      <w:kern w:val="0"/>
                      <w:sz w:val="18"/>
                      <w:szCs w:val="18"/>
                      <w:lang w:bidi="ar"/>
                    </w:rPr>
                    <w:t>公路、铁路、机场等交通运输业涉及环境敏感区（以居住、医疗卫生、文化教育、科研、行政办公为主要功能的区域）的项目；</w:t>
                  </w:r>
                </w:p>
                <w:p w14:paraId="1DBEF252">
                  <w:pPr>
                    <w:widowControl/>
                    <w:shd w:val="clear" w:color="auto" w:fill="auto"/>
                    <w:spacing w:line="240" w:lineRule="auto"/>
                    <w:jc w:val="left"/>
                    <w:rPr>
                      <w:color w:val="auto"/>
                      <w:sz w:val="18"/>
                      <w:szCs w:val="18"/>
                    </w:rPr>
                  </w:pPr>
                  <w:r>
                    <w:rPr>
                      <w:rFonts w:hint="eastAsia"/>
                      <w:color w:val="auto"/>
                      <w:kern w:val="0"/>
                      <w:sz w:val="18"/>
                      <w:szCs w:val="18"/>
                      <w:lang w:val="en-US" w:eastAsia="zh-CN" w:bidi="ar"/>
                    </w:rPr>
                    <w:t>城市道路</w:t>
                  </w:r>
                  <w:r>
                    <w:rPr>
                      <w:color w:val="auto"/>
                      <w:kern w:val="0"/>
                      <w:sz w:val="18"/>
                      <w:szCs w:val="18"/>
                      <w:lang w:bidi="ar"/>
                    </w:rPr>
                    <w:t>（不含维护，不含支路、人行天桥、人行地道）：全部</w:t>
                  </w:r>
                </w:p>
              </w:tc>
            </w:tr>
            <w:tr w14:paraId="53940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793465C4">
                  <w:pPr>
                    <w:shd w:val="clear" w:color="auto" w:fill="auto"/>
                    <w:autoSpaceDE w:val="0"/>
                    <w:autoSpaceDN w:val="0"/>
                    <w:adjustRightInd w:val="0"/>
                    <w:snapToGrid w:val="0"/>
                    <w:spacing w:line="240" w:lineRule="auto"/>
                    <w:jc w:val="center"/>
                    <w:rPr>
                      <w:color w:val="auto"/>
                      <w:sz w:val="18"/>
                      <w:szCs w:val="18"/>
                    </w:rPr>
                  </w:pPr>
                  <w:r>
                    <w:rPr>
                      <w:color w:val="auto"/>
                      <w:sz w:val="18"/>
                      <w:szCs w:val="18"/>
                    </w:rPr>
                    <w:t>环境风险</w:t>
                  </w:r>
                </w:p>
              </w:tc>
              <w:tc>
                <w:tcPr>
                  <w:tcW w:w="0" w:type="auto"/>
                  <w:tcBorders>
                    <w:tl2br w:val="nil"/>
                    <w:tr2bl w:val="nil"/>
                  </w:tcBorders>
                  <w:noWrap w:val="0"/>
                  <w:vAlign w:val="center"/>
                </w:tcPr>
                <w:p w14:paraId="6EE7B8F7">
                  <w:pPr>
                    <w:widowControl/>
                    <w:shd w:val="clear" w:color="auto" w:fill="auto"/>
                    <w:spacing w:line="240" w:lineRule="auto"/>
                    <w:jc w:val="left"/>
                    <w:rPr>
                      <w:color w:val="auto"/>
                      <w:sz w:val="18"/>
                      <w:szCs w:val="18"/>
                    </w:rPr>
                  </w:pPr>
                  <w:r>
                    <w:rPr>
                      <w:color w:val="auto"/>
                      <w:kern w:val="0"/>
                      <w:sz w:val="18"/>
                      <w:szCs w:val="18"/>
                      <w:lang w:bidi="ar"/>
                    </w:rPr>
                    <w:t>石油和天然气开采：全部；</w:t>
                  </w:r>
                </w:p>
                <w:p w14:paraId="35BC8230">
                  <w:pPr>
                    <w:widowControl/>
                    <w:shd w:val="clear" w:color="auto" w:fill="auto"/>
                    <w:spacing w:line="240" w:lineRule="auto"/>
                    <w:jc w:val="left"/>
                    <w:rPr>
                      <w:color w:val="auto"/>
                      <w:sz w:val="18"/>
                      <w:szCs w:val="18"/>
                    </w:rPr>
                  </w:pPr>
                  <w:r>
                    <w:rPr>
                      <w:color w:val="auto"/>
                      <w:kern w:val="0"/>
                      <w:sz w:val="18"/>
                      <w:szCs w:val="18"/>
                      <w:lang w:bidi="ar"/>
                    </w:rPr>
                    <w:t>油气、液体化工码头：全部；</w:t>
                  </w:r>
                </w:p>
                <w:p w14:paraId="3A378705">
                  <w:pPr>
                    <w:widowControl/>
                    <w:shd w:val="clear" w:color="auto" w:fill="auto"/>
                    <w:spacing w:line="240" w:lineRule="auto"/>
                    <w:jc w:val="left"/>
                    <w:rPr>
                      <w:color w:val="auto"/>
                      <w:sz w:val="18"/>
                      <w:szCs w:val="18"/>
                    </w:rPr>
                  </w:pPr>
                  <w:r>
                    <w:rPr>
                      <w:color w:val="auto"/>
                      <w:kern w:val="0"/>
                      <w:sz w:val="18"/>
                      <w:szCs w:val="18"/>
                      <w:lang w:bidi="ar"/>
                    </w:rPr>
                    <w:t>原油、成品油、天然气管线（不含城镇天然气管线、企业厂区内管线），危险化学品输送管线（不含企业厂区内管线）：全部</w:t>
                  </w:r>
                </w:p>
              </w:tc>
            </w:tr>
            <w:tr w14:paraId="4966F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tcBorders>
                    <w:tl2br w:val="nil"/>
                    <w:tr2bl w:val="nil"/>
                  </w:tcBorders>
                  <w:noWrap w:val="0"/>
                  <w:vAlign w:val="center"/>
                </w:tcPr>
                <w:p w14:paraId="3DBAAF4B">
                  <w:pPr>
                    <w:widowControl/>
                    <w:shd w:val="clear" w:color="auto" w:fill="auto"/>
                    <w:spacing w:line="240" w:lineRule="auto"/>
                    <w:jc w:val="left"/>
                    <w:rPr>
                      <w:color w:val="auto"/>
                      <w:kern w:val="0"/>
                      <w:sz w:val="18"/>
                      <w:szCs w:val="18"/>
                      <w:lang w:bidi="ar"/>
                    </w:rPr>
                  </w:pPr>
                  <w:r>
                    <w:rPr>
                      <w:color w:val="auto"/>
                      <w:sz w:val="18"/>
                      <w:szCs w:val="18"/>
                    </w:rPr>
                    <w:t>注：</w:t>
                  </w:r>
                  <w:r>
                    <w:rPr>
                      <w:rFonts w:hint="eastAsia" w:ascii="宋体" w:hAnsi="宋体" w:eastAsia="宋体" w:cs="宋体"/>
                      <w:color w:val="auto"/>
                      <w:sz w:val="18"/>
                      <w:szCs w:val="18"/>
                    </w:rPr>
                    <w:t>“涉及环境敏感区”</w:t>
                  </w:r>
                  <w:r>
                    <w:rPr>
                      <w:color w:val="auto"/>
                      <w:sz w:val="18"/>
                      <w:szCs w:val="18"/>
                    </w:rPr>
                    <w:t>是指建设项目位于、穿（跨）越（无害化通过的除外）环境敏感区，或环境影响范围涵盖环境敏感区。环境敏感区是指《建设项目环境影响评价分类管理名录》中针对该类项目所列的敏感区。</w:t>
                  </w:r>
                </w:p>
              </w:tc>
            </w:tr>
          </w:tbl>
          <w:p w14:paraId="62589E9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color w:val="auto"/>
                <w:sz w:val="24"/>
                <w:lang w:val="en-US" w:eastAsia="zh-CN"/>
              </w:rPr>
              <w:t>本项目位于G216线K1336+358处，项目区周边50m范围内存在村镇属于环境敏感区域，根据上表“公路、铁路、机场等交通运输业涉及环境敏感区（以居住、医疗卫生、文化教育、科研、行政办公为主要功能的区域）的项目”判断项目须编制噪声专项</w:t>
            </w:r>
            <w:r>
              <w:rPr>
                <w:color w:val="auto"/>
                <w:sz w:val="24"/>
              </w:rPr>
              <w:t>。</w:t>
            </w:r>
          </w:p>
        </w:tc>
      </w:tr>
      <w:tr w14:paraId="6D965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768246BA">
            <w:pPr>
              <w:keepNext w:val="0"/>
              <w:keepLines w:val="0"/>
              <w:pageBreakBefore w:val="0"/>
              <w:widowControl w:val="0"/>
              <w:kinsoku/>
              <w:wordWrap/>
              <w:overflowPunct/>
              <w:topLinePunct w:val="0"/>
              <w:autoSpaceDE w:val="0"/>
              <w:autoSpaceDN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规划情况</w:t>
            </w:r>
          </w:p>
        </w:tc>
        <w:tc>
          <w:tcPr>
            <w:tcW w:w="4016" w:type="pct"/>
            <w:gridSpan w:val="3"/>
            <w:tcBorders>
              <w:tl2br w:val="nil"/>
              <w:tr2bl w:val="nil"/>
            </w:tcBorders>
            <w:noWrap w:val="0"/>
            <w:tcMar>
              <w:top w:w="16" w:type="dxa"/>
              <w:left w:w="16" w:type="dxa"/>
              <w:right w:w="16" w:type="dxa"/>
            </w:tcMar>
            <w:vAlign w:val="center"/>
          </w:tcPr>
          <w:p w14:paraId="1464E1EE">
            <w:pPr>
              <w:shd w:val="clear" w:color="auto" w:fill="auto"/>
              <w:spacing w:line="440" w:lineRule="exact"/>
              <w:ind w:firstLine="480" w:firstLineChars="200"/>
              <w:rPr>
                <w:color w:val="auto"/>
                <w:sz w:val="24"/>
                <w:highlight w:val="none"/>
              </w:rPr>
            </w:pPr>
            <w:r>
              <w:rPr>
                <w:rFonts w:hint="eastAsia"/>
                <w:color w:val="auto"/>
                <w:sz w:val="24"/>
                <w:highlight w:val="none"/>
                <w:lang w:val="en-US" w:eastAsia="zh-CN"/>
              </w:rPr>
              <w:t>1、</w:t>
            </w:r>
            <w:r>
              <w:rPr>
                <w:color w:val="auto"/>
                <w:sz w:val="24"/>
                <w:highlight w:val="none"/>
              </w:rPr>
              <w:t>规划名称：《新疆维吾尔自治</w:t>
            </w:r>
            <w:r>
              <w:rPr>
                <w:rFonts w:hint="eastAsia" w:ascii="宋体" w:hAnsi="宋体" w:eastAsia="宋体" w:cs="宋体"/>
                <w:color w:val="auto"/>
                <w:sz w:val="24"/>
                <w:highlight w:val="none"/>
              </w:rPr>
              <w:t>区“十四五”综</w:t>
            </w:r>
            <w:r>
              <w:rPr>
                <w:color w:val="auto"/>
                <w:sz w:val="24"/>
                <w:highlight w:val="none"/>
              </w:rPr>
              <w:t>合交通规划（2021</w:t>
            </w:r>
            <w:r>
              <w:rPr>
                <w:rFonts w:hint="eastAsia"/>
                <w:color w:val="auto"/>
                <w:sz w:val="24"/>
                <w:highlight w:val="none"/>
                <w:lang w:eastAsia="zh-CN"/>
              </w:rPr>
              <w:t>—</w:t>
            </w:r>
            <w:r>
              <w:rPr>
                <w:color w:val="auto"/>
                <w:sz w:val="24"/>
                <w:highlight w:val="none"/>
              </w:rPr>
              <w:t>2025年）》，新疆维吾尔自治区交通运输厅规划设计研究中心2020年编制</w:t>
            </w:r>
          </w:p>
          <w:p w14:paraId="7C1F0925">
            <w:pPr>
              <w:shd w:val="clear" w:color="auto" w:fill="auto"/>
              <w:spacing w:line="440" w:lineRule="exact"/>
              <w:ind w:firstLine="480" w:firstLineChars="200"/>
              <w:rPr>
                <w:color w:val="auto"/>
                <w:sz w:val="24"/>
                <w:highlight w:val="none"/>
              </w:rPr>
            </w:pPr>
            <w:r>
              <w:rPr>
                <w:color w:val="auto"/>
                <w:sz w:val="24"/>
                <w:highlight w:val="none"/>
              </w:rPr>
              <w:t>召集审查机关：新疆维吾尔自治区交通运输厅</w:t>
            </w:r>
          </w:p>
          <w:p w14:paraId="2ACDAAB5">
            <w:pPr>
              <w:shd w:val="clear" w:color="auto" w:fill="auto"/>
              <w:spacing w:line="440" w:lineRule="exact"/>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2、规划名称：《轮台县国土空间总体规划（2021-2035年）》</w:t>
            </w:r>
          </w:p>
          <w:p w14:paraId="5E0656DE">
            <w:pPr>
              <w:shd w:val="clear" w:color="auto" w:fill="auto"/>
              <w:spacing w:line="440" w:lineRule="exact"/>
              <w:ind w:firstLine="480" w:firstLineChars="200"/>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color w:val="auto"/>
                <w:sz w:val="24"/>
                <w:highlight w:val="none"/>
                <w:lang w:val="en-US" w:eastAsia="zh-CN"/>
              </w:rPr>
              <w:t>审查机关：轮台县人民政府</w:t>
            </w:r>
          </w:p>
        </w:tc>
      </w:tr>
      <w:tr w14:paraId="35E706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50D1F819">
            <w:pPr>
              <w:keepNext w:val="0"/>
              <w:keepLines w:val="0"/>
              <w:pageBreakBefore w:val="0"/>
              <w:widowControl w:val="0"/>
              <w:kinsoku/>
              <w:wordWrap/>
              <w:overflowPunct/>
              <w:topLinePunct w:val="0"/>
              <w:autoSpaceDE w:val="0"/>
              <w:autoSpaceDN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规划环境影响</w:t>
            </w:r>
          </w:p>
          <w:p w14:paraId="14C1CB22">
            <w:pPr>
              <w:keepNext w:val="0"/>
              <w:keepLines w:val="0"/>
              <w:pageBreakBefore w:val="0"/>
              <w:widowControl w:val="0"/>
              <w:kinsoku/>
              <w:wordWrap/>
              <w:overflowPunct/>
              <w:topLinePunct w:val="0"/>
              <w:autoSpaceDE w:val="0"/>
              <w:autoSpaceDN w:val="0"/>
              <w:bidi w:val="0"/>
              <w:adjustRightInd w:val="0"/>
              <w:snapToGrid w:val="0"/>
              <w:spacing w:beforeAutospacing="0" w:afterAutospacing="0" w:line="400" w:lineRule="exact"/>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评价情况</w:t>
            </w:r>
          </w:p>
        </w:tc>
        <w:tc>
          <w:tcPr>
            <w:tcW w:w="4016" w:type="pct"/>
            <w:gridSpan w:val="3"/>
            <w:tcBorders>
              <w:tl2br w:val="nil"/>
              <w:tr2bl w:val="nil"/>
            </w:tcBorders>
            <w:noWrap w:val="0"/>
            <w:tcMar>
              <w:top w:w="16" w:type="dxa"/>
              <w:left w:w="16" w:type="dxa"/>
              <w:right w:w="16" w:type="dxa"/>
            </w:tcMar>
            <w:vAlign w:val="center"/>
          </w:tcPr>
          <w:p w14:paraId="3A1FD645">
            <w:pPr>
              <w:pStyle w:val="81"/>
              <w:shd w:val="clear" w:color="auto" w:fill="auto"/>
              <w:ind w:firstLine="480" w:firstLineChars="200"/>
              <w:rPr>
                <w:color w:val="auto"/>
                <w:highlight w:val="none"/>
              </w:rPr>
            </w:pPr>
            <w:r>
              <w:rPr>
                <w:rFonts w:hint="eastAsia"/>
                <w:color w:val="auto"/>
                <w:highlight w:val="none"/>
                <w:lang w:val="en-US" w:eastAsia="zh-CN"/>
              </w:rPr>
              <w:t>规划环境影响评价文件的名称：</w:t>
            </w:r>
            <w:r>
              <w:rPr>
                <w:color w:val="auto"/>
                <w:highlight w:val="none"/>
              </w:rPr>
              <w:t>《新疆维吾尔自</w:t>
            </w:r>
            <w:r>
              <w:rPr>
                <w:rFonts w:hint="eastAsia"/>
                <w:color w:val="auto"/>
                <w:highlight w:val="none"/>
              </w:rPr>
              <w:t>治区“十四五”综合</w:t>
            </w:r>
            <w:r>
              <w:rPr>
                <w:color w:val="auto"/>
                <w:highlight w:val="none"/>
              </w:rPr>
              <w:t>交通规划（2021</w:t>
            </w:r>
            <w:r>
              <w:rPr>
                <w:rFonts w:hint="eastAsia"/>
                <w:color w:val="auto"/>
                <w:highlight w:val="none"/>
                <w:lang w:val="en-US" w:eastAsia="zh-CN"/>
              </w:rPr>
              <w:t>-</w:t>
            </w:r>
            <w:r>
              <w:rPr>
                <w:color w:val="auto"/>
                <w:highlight w:val="none"/>
              </w:rPr>
              <w:t>2025年）环境影响报告书》</w:t>
            </w:r>
          </w:p>
          <w:p w14:paraId="7A593417">
            <w:pPr>
              <w:pStyle w:val="81"/>
              <w:shd w:val="clear" w:color="auto" w:fill="auto"/>
              <w:ind w:firstLine="480" w:firstLineChars="200"/>
              <w:rPr>
                <w:color w:val="auto"/>
                <w:highlight w:val="none"/>
              </w:rPr>
            </w:pPr>
            <w:r>
              <w:rPr>
                <w:rFonts w:hint="eastAsia"/>
                <w:color w:val="auto"/>
                <w:highlight w:val="none"/>
                <w:lang w:val="en-US" w:eastAsia="zh-CN"/>
              </w:rPr>
              <w:t>审查机关：</w:t>
            </w:r>
            <w:r>
              <w:rPr>
                <w:color w:val="auto"/>
                <w:highlight w:val="none"/>
              </w:rPr>
              <w:t>新疆维吾尔自治区生态环境厅</w:t>
            </w:r>
          </w:p>
          <w:p w14:paraId="79CF9294">
            <w:pPr>
              <w:pStyle w:val="81"/>
              <w:shd w:val="clear" w:color="auto" w:fill="auto"/>
              <w:ind w:firstLine="480" w:firstLineChars="200"/>
              <w:rPr>
                <w:color w:val="auto"/>
                <w:highlight w:val="none"/>
              </w:rPr>
            </w:pPr>
            <w:r>
              <w:rPr>
                <w:rFonts w:hint="eastAsia"/>
                <w:color w:val="auto"/>
                <w:highlight w:val="none"/>
                <w:lang w:val="en-US" w:eastAsia="zh-CN"/>
              </w:rPr>
              <w:t>审查文件名称：</w:t>
            </w:r>
            <w:r>
              <w:rPr>
                <w:color w:val="auto"/>
                <w:highlight w:val="none"/>
              </w:rPr>
              <w:t>《关于新疆维吾尔自治</w:t>
            </w:r>
            <w:r>
              <w:rPr>
                <w:rFonts w:hint="eastAsia"/>
                <w:color w:val="auto"/>
                <w:highlight w:val="none"/>
              </w:rPr>
              <w:t>区“十四五”综</w:t>
            </w:r>
            <w:r>
              <w:rPr>
                <w:color w:val="auto"/>
                <w:highlight w:val="none"/>
              </w:rPr>
              <w:t>合交通规划环境影响报告书的审查意见》</w:t>
            </w:r>
          </w:p>
          <w:p w14:paraId="0A11A904">
            <w:pPr>
              <w:pStyle w:val="81"/>
              <w:shd w:val="clear" w:color="auto" w:fill="auto"/>
              <w:ind w:firstLine="480" w:firstLineChars="200"/>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eastAsia"/>
                <w:color w:val="auto"/>
                <w:highlight w:val="none"/>
                <w:lang w:val="en-US" w:eastAsia="zh-CN"/>
              </w:rPr>
              <w:t>文号：</w:t>
            </w:r>
            <w:r>
              <w:rPr>
                <w:rFonts w:hint="eastAsia"/>
                <w:color w:val="auto"/>
                <w:highlight w:val="none"/>
              </w:rPr>
              <w:t>（新环环评函〔</w:t>
            </w:r>
            <w:r>
              <w:rPr>
                <w:rFonts w:hint="eastAsia"/>
                <w:color w:val="auto"/>
                <w:highlight w:val="none"/>
                <w:lang w:val="en-US" w:eastAsia="zh-CN"/>
              </w:rPr>
              <w:t>2022</w:t>
            </w:r>
            <w:r>
              <w:rPr>
                <w:rFonts w:hint="eastAsia"/>
                <w:color w:val="auto"/>
                <w:highlight w:val="none"/>
              </w:rPr>
              <w:t>〕76号）</w:t>
            </w:r>
          </w:p>
        </w:tc>
      </w:tr>
      <w:tr w14:paraId="7A229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53073073">
            <w:pPr>
              <w:pageBreakBefore w:val="0"/>
              <w:wordWrap/>
              <w:topLinePunct w:val="0"/>
              <w:autoSpaceDE w:val="0"/>
              <w:autoSpaceDN w:val="0"/>
              <w:bidi w:val="0"/>
              <w:adjustRightInd w:val="0"/>
              <w:snapToGrid w:val="0"/>
              <w:spacing w:beforeAutospacing="0" w:afterAutospacing="0"/>
              <w:ind w:left="0" w:leftChars="0" w:right="0"/>
              <w:jc w:val="center"/>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规划及规划环境影响评价符合性分析</w:t>
            </w:r>
          </w:p>
        </w:tc>
        <w:tc>
          <w:tcPr>
            <w:tcW w:w="4016" w:type="pct"/>
            <w:gridSpan w:val="3"/>
            <w:tcBorders>
              <w:tl2br w:val="nil"/>
              <w:tr2bl w:val="nil"/>
            </w:tcBorders>
            <w:noWrap w:val="0"/>
            <w:tcMar>
              <w:top w:w="16" w:type="dxa"/>
              <w:left w:w="16" w:type="dxa"/>
              <w:right w:w="16" w:type="dxa"/>
            </w:tcMar>
            <w:vAlign w:val="center"/>
          </w:tcPr>
          <w:p w14:paraId="4279B383">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eastAsia" w:cs="宋体"/>
                <w:b/>
                <w:bCs/>
                <w:color w:val="auto"/>
                <w:sz w:val="24"/>
                <w:szCs w:val="22"/>
                <w:highlight w:val="none"/>
                <w:lang w:val="en-US" w:eastAsia="zh-CN"/>
              </w:rPr>
            </w:pPr>
            <w:r>
              <w:rPr>
                <w:rFonts w:hint="eastAsia" w:cs="宋体"/>
                <w:b/>
                <w:bCs/>
                <w:color w:val="auto"/>
                <w:sz w:val="24"/>
                <w:szCs w:val="22"/>
                <w:highlight w:val="none"/>
                <w:lang w:val="en-US" w:eastAsia="zh-CN"/>
              </w:rPr>
              <w:t>1、</w:t>
            </w:r>
            <w:r>
              <w:rPr>
                <w:rFonts w:hint="eastAsia" w:cs="宋体"/>
                <w:b/>
                <w:bCs/>
                <w:color w:val="auto"/>
                <w:sz w:val="24"/>
                <w:szCs w:val="22"/>
                <w:highlight w:val="none"/>
              </w:rPr>
              <w:t>本项目与</w:t>
            </w:r>
            <w:r>
              <w:rPr>
                <w:rFonts w:hint="eastAsia" w:cs="宋体"/>
                <w:b/>
                <w:bCs/>
                <w:color w:val="auto"/>
                <w:sz w:val="24"/>
                <w:szCs w:val="22"/>
                <w:highlight w:val="none"/>
                <w:lang w:eastAsia="zh-CN"/>
              </w:rPr>
              <w:t>《</w:t>
            </w:r>
            <w:r>
              <w:rPr>
                <w:rFonts w:hint="eastAsia" w:cs="宋体"/>
                <w:b/>
                <w:bCs/>
                <w:color w:val="auto"/>
                <w:sz w:val="24"/>
                <w:szCs w:val="22"/>
                <w:highlight w:val="none"/>
              </w:rPr>
              <w:t>新疆维吾尔自治区“十四五”综合交通规划</w:t>
            </w:r>
            <w:r>
              <w:rPr>
                <w:rFonts w:hint="eastAsia" w:cs="宋体"/>
                <w:b/>
                <w:bCs/>
                <w:color w:val="auto"/>
                <w:sz w:val="24"/>
                <w:szCs w:val="22"/>
                <w:highlight w:val="none"/>
                <w:lang w:eastAsia="zh-CN"/>
              </w:rPr>
              <w:t>》</w:t>
            </w:r>
            <w:r>
              <w:rPr>
                <w:rFonts w:hint="eastAsia" w:cs="宋体"/>
                <w:b/>
                <w:bCs/>
                <w:color w:val="auto"/>
                <w:sz w:val="24"/>
                <w:szCs w:val="22"/>
                <w:highlight w:val="none"/>
                <w:lang w:val="en-US" w:eastAsia="zh-CN"/>
              </w:rPr>
              <w:t>的符合性如下：</w:t>
            </w:r>
          </w:p>
          <w:p w14:paraId="49E9707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58" w:firstLineChars="200"/>
              <w:textAlignment w:val="auto"/>
              <w:rPr>
                <w:rFonts w:hint="default" w:cs="宋体"/>
                <w:color w:val="auto"/>
                <w:spacing w:val="-6"/>
                <w:sz w:val="24"/>
                <w:szCs w:val="22"/>
                <w:highlight w:val="none"/>
                <w:lang w:val="en-US" w:eastAsia="zh-CN"/>
              </w:rPr>
            </w:pPr>
            <w:r>
              <w:rPr>
                <w:rFonts w:hint="eastAsia" w:cs="宋体"/>
                <w:b/>
                <w:bCs/>
                <w:color w:val="auto"/>
                <w:spacing w:val="-6"/>
                <w:sz w:val="24"/>
                <w:szCs w:val="22"/>
                <w:highlight w:val="none"/>
                <w:lang w:val="en-US" w:eastAsia="zh-CN"/>
              </w:rPr>
              <w:t>摘要：</w:t>
            </w:r>
            <w:r>
              <w:rPr>
                <w:rFonts w:hint="eastAsia" w:cs="宋体"/>
                <w:color w:val="auto"/>
                <w:spacing w:val="-6"/>
                <w:sz w:val="24"/>
                <w:szCs w:val="22"/>
                <w:highlight w:val="none"/>
                <w:lang w:val="en-US" w:eastAsia="zh-CN"/>
              </w:rPr>
              <w:t>推进建设广泛的农村基础网。推动通自然村（组）硬化路建设。继续提高农村公路通达深度，推进自然村（组）的公路建设。大力推进南疆地区、贫困地区、兵团交通发展，实现以交通便利稳定脱贫攻坚成果，农村公路建设尽量向进村入户倾斜。</w:t>
            </w:r>
          </w:p>
          <w:p w14:paraId="10D2FCA6">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default" w:cs="宋体"/>
                <w:color w:val="auto"/>
                <w:sz w:val="24"/>
                <w:szCs w:val="22"/>
                <w:highlight w:val="none"/>
                <w:lang w:val="en-US" w:eastAsia="zh-CN"/>
              </w:rPr>
            </w:pPr>
            <w:r>
              <w:rPr>
                <w:rFonts w:hint="eastAsia" w:cs="宋体"/>
                <w:b/>
                <w:bCs/>
                <w:color w:val="auto"/>
                <w:sz w:val="24"/>
                <w:szCs w:val="22"/>
                <w:highlight w:val="none"/>
                <w:lang w:val="en-US" w:eastAsia="zh-CN"/>
              </w:rPr>
              <w:t>符合性</w:t>
            </w:r>
            <w:r>
              <w:rPr>
                <w:rFonts w:hint="eastAsia" w:cs="宋体"/>
                <w:color w:val="auto"/>
                <w:sz w:val="24"/>
                <w:szCs w:val="22"/>
                <w:highlight w:val="none"/>
                <w:lang w:val="en-US" w:eastAsia="zh-CN"/>
              </w:rPr>
              <w:t>：本项目位于G216线K1336+358处，主要内容为对现有G216国道上的阳霞大桥进行老桥拆除后重建，符合规划中关于农村基础网建设的要求。</w:t>
            </w:r>
          </w:p>
          <w:p w14:paraId="0E27A13F">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default" w:cs="宋体"/>
                <w:b/>
                <w:bCs/>
                <w:color w:val="auto"/>
                <w:sz w:val="24"/>
                <w:szCs w:val="22"/>
                <w:highlight w:val="none"/>
                <w:lang w:val="en-US" w:eastAsia="zh-CN"/>
              </w:rPr>
            </w:pPr>
            <w:r>
              <w:rPr>
                <w:rFonts w:hint="eastAsia" w:cs="宋体"/>
                <w:b/>
                <w:bCs/>
                <w:color w:val="auto"/>
                <w:sz w:val="24"/>
                <w:szCs w:val="22"/>
                <w:highlight w:val="none"/>
                <w:lang w:val="en-US" w:eastAsia="zh-CN"/>
              </w:rPr>
              <w:t>2、本项目与《轮台县国土空间总体规划（2021-2035年）》符合性分析如下：</w:t>
            </w:r>
          </w:p>
          <w:p w14:paraId="1FC97D59">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2"/>
                <w:highlight w:val="none"/>
                <w:lang w:val="en-US" w:eastAsia="zh-CN"/>
              </w:rPr>
            </w:pPr>
            <w:r>
              <w:rPr>
                <w:rFonts w:hint="eastAsia" w:ascii="Times New Roman" w:hAnsi="Times New Roman" w:eastAsia="宋体" w:cs="宋体"/>
                <w:color w:val="auto"/>
                <w:sz w:val="24"/>
                <w:szCs w:val="22"/>
                <w:highlight w:val="none"/>
                <w:lang w:val="en-US" w:eastAsia="zh-CN"/>
              </w:rPr>
              <w:t>第八章完善现代化基础设施体系</w:t>
            </w:r>
          </w:p>
          <w:p w14:paraId="2F82D7B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2"/>
                <w:highlight w:val="none"/>
                <w:lang w:val="en-US" w:eastAsia="zh-CN"/>
              </w:rPr>
            </w:pPr>
            <w:r>
              <w:rPr>
                <w:rFonts w:hint="eastAsia" w:ascii="Times New Roman" w:hAnsi="Times New Roman" w:eastAsia="宋体" w:cs="宋体"/>
                <w:color w:val="auto"/>
                <w:sz w:val="24"/>
                <w:szCs w:val="22"/>
                <w:highlight w:val="none"/>
                <w:lang w:val="en-US" w:eastAsia="zh-CN"/>
              </w:rPr>
              <w:t>第一节构筑现代综合交通体系</w:t>
            </w:r>
          </w:p>
          <w:p w14:paraId="501E99D9">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2"/>
                <w:highlight w:val="none"/>
                <w:lang w:val="en-US" w:eastAsia="zh-CN"/>
              </w:rPr>
            </w:pPr>
            <w:r>
              <w:rPr>
                <w:rFonts w:hint="eastAsia" w:ascii="Times New Roman" w:hAnsi="Times New Roman" w:eastAsia="宋体" w:cs="宋体"/>
                <w:color w:val="auto"/>
                <w:sz w:val="24"/>
                <w:szCs w:val="22"/>
                <w:highlight w:val="none"/>
                <w:lang w:val="en-US" w:eastAsia="zh-CN"/>
              </w:rPr>
              <w:t>加快区域交通设施建设，落实重大交通设施布局，完善以库尉轮城镇圈为中心的区域综合交通网络，提升轮台巴州区域性综合交通枢纽地位，全面提高城乡交通品质。实现1小时通达乌鲁木齐、库尔勒和县域重点乡镇，2小时通达疆内重要城市，5小时通达全国重要城市。</w:t>
            </w:r>
          </w:p>
          <w:p w14:paraId="3625F007">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color w:val="auto"/>
                <w:sz w:val="24"/>
                <w:szCs w:val="22"/>
                <w:highlight w:val="none"/>
                <w:lang w:val="en-US" w:eastAsia="zh-CN"/>
              </w:rPr>
            </w:pPr>
            <w:r>
              <w:rPr>
                <w:rFonts w:hint="eastAsia" w:ascii="Times New Roman" w:hAnsi="Times New Roman" w:eastAsia="宋体" w:cs="宋体"/>
                <w:color w:val="auto"/>
                <w:sz w:val="24"/>
                <w:szCs w:val="22"/>
                <w:highlight w:val="none"/>
                <w:lang w:val="en-US" w:eastAsia="zh-CN"/>
              </w:rPr>
              <w:t>打造“航空+铁路+公路”县域综合交通网络，构建网络完善、枢纽齐全、高效便捷的现代化综合交通体系。</w:t>
            </w:r>
          </w:p>
          <w:p w14:paraId="3A3290E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eastAsia" w:cs="宋体"/>
                <w:color w:val="auto"/>
                <w:sz w:val="24"/>
                <w:szCs w:val="22"/>
                <w:highlight w:val="none"/>
                <w:lang w:val="en-US" w:eastAsia="zh-CN"/>
              </w:rPr>
            </w:pPr>
            <w:r>
              <w:rPr>
                <w:rFonts w:hint="eastAsia" w:cs="宋体"/>
                <w:b/>
                <w:bCs/>
                <w:color w:val="auto"/>
                <w:sz w:val="24"/>
                <w:szCs w:val="22"/>
                <w:highlight w:val="none"/>
                <w:lang w:val="en-US" w:eastAsia="zh-CN"/>
              </w:rPr>
              <w:t>符合性：</w:t>
            </w:r>
            <w:r>
              <w:rPr>
                <w:rFonts w:hint="eastAsia" w:cs="宋体"/>
                <w:color w:val="auto"/>
                <w:sz w:val="24"/>
                <w:szCs w:val="22"/>
                <w:highlight w:val="none"/>
                <w:lang w:val="en-US" w:eastAsia="zh-CN"/>
              </w:rPr>
              <w:t>本项目位于G216线K1336+358处，主要内容为对现有G216国道上的阳霞大桥进行老桥拆除后重建，符合《轮台县国土空间总体规划（2021—2035年）》中相关发展要求。</w:t>
            </w:r>
          </w:p>
          <w:p w14:paraId="2A03302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default" w:eastAsia="宋体" w:cs="宋体"/>
                <w:b/>
                <w:bCs/>
                <w:color w:val="auto"/>
                <w:sz w:val="24"/>
                <w:szCs w:val="22"/>
                <w:highlight w:val="none"/>
                <w:lang w:val="en-US" w:eastAsia="zh-CN"/>
              </w:rPr>
            </w:pPr>
            <w:r>
              <w:rPr>
                <w:rFonts w:hint="eastAsia" w:cs="宋体"/>
                <w:b/>
                <w:bCs/>
                <w:color w:val="auto"/>
                <w:sz w:val="24"/>
                <w:szCs w:val="22"/>
                <w:highlight w:val="none"/>
                <w:lang w:val="en-US" w:eastAsia="zh-CN"/>
              </w:rPr>
              <w:t>3、本项目与</w:t>
            </w:r>
            <w:r>
              <w:rPr>
                <w:rFonts w:hint="eastAsia" w:cs="宋体"/>
                <w:b/>
                <w:bCs/>
                <w:color w:val="auto"/>
                <w:sz w:val="24"/>
                <w:szCs w:val="22"/>
                <w:highlight w:val="none"/>
              </w:rPr>
              <w:t>《新疆维吾尔自治区“十四五”综合交通规划环境影响报告书》</w:t>
            </w:r>
            <w:r>
              <w:rPr>
                <w:rFonts w:hint="eastAsia" w:cs="宋体"/>
                <w:b/>
                <w:bCs/>
                <w:color w:val="auto"/>
                <w:sz w:val="24"/>
                <w:szCs w:val="22"/>
                <w:highlight w:val="none"/>
                <w:lang w:val="en-US" w:eastAsia="zh-CN"/>
              </w:rPr>
              <w:t>结论符合性分析</w:t>
            </w:r>
          </w:p>
          <w:p w14:paraId="5871C723">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default" w:cs="宋体"/>
                <w:b/>
                <w:bCs/>
                <w:color w:val="auto"/>
                <w:sz w:val="24"/>
                <w:szCs w:val="22"/>
                <w:highlight w:val="none"/>
                <w:lang w:val="en-US" w:eastAsia="zh-CN"/>
              </w:rPr>
            </w:pPr>
            <w:r>
              <w:rPr>
                <w:rFonts w:hint="eastAsia" w:cs="宋体"/>
                <w:b/>
                <w:bCs/>
                <w:color w:val="auto"/>
                <w:sz w:val="24"/>
                <w:szCs w:val="22"/>
                <w:highlight w:val="none"/>
                <w:lang w:val="en-US" w:eastAsia="zh-CN"/>
              </w:rPr>
              <w:t>摘要：</w:t>
            </w:r>
          </w:p>
          <w:p w14:paraId="41ECB11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cs="宋体"/>
                <w:b w:val="0"/>
                <w:bCs w:val="0"/>
                <w:color w:val="auto"/>
                <w:sz w:val="24"/>
                <w:szCs w:val="22"/>
                <w:highlight w:val="none"/>
                <w:lang w:val="en-US" w:eastAsia="zh-CN"/>
              </w:rPr>
            </w:pPr>
            <w:r>
              <w:rPr>
                <w:rFonts w:hint="eastAsia" w:cs="宋体"/>
                <w:b w:val="0"/>
                <w:bCs w:val="0"/>
                <w:color w:val="auto"/>
                <w:sz w:val="24"/>
                <w:szCs w:val="22"/>
                <w:highlight w:val="none"/>
                <w:lang w:val="en-US" w:eastAsia="zh-CN"/>
              </w:rPr>
              <w:t>10.4.2环境空气影响分析结论</w:t>
            </w:r>
          </w:p>
          <w:p w14:paraId="05D248C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cs="宋体"/>
                <w:b w:val="0"/>
                <w:bCs w:val="0"/>
                <w:color w:val="auto"/>
                <w:sz w:val="24"/>
                <w:szCs w:val="22"/>
                <w:highlight w:val="none"/>
                <w:lang w:val="en-US" w:eastAsia="zh-CN"/>
              </w:rPr>
            </w:pPr>
            <w:r>
              <w:rPr>
                <w:rFonts w:hint="eastAsia" w:cs="宋体"/>
                <w:b w:val="0"/>
                <w:bCs w:val="0"/>
                <w:color w:val="auto"/>
                <w:sz w:val="24"/>
                <w:szCs w:val="22"/>
                <w:highlight w:val="none"/>
                <w:lang w:val="en-US" w:eastAsia="zh-CN"/>
              </w:rPr>
              <w:t>本规划建设期主要大气污染物是TSP，沥青烟气和施工机械废气污染物，排放量总体较小。通过采取合理布设施工场地、设置围挡、避开大风时分和洒水降尘等措施，并加强施工管理，规划建设期对空气的影响较小。</w:t>
            </w:r>
          </w:p>
          <w:p w14:paraId="1B3B247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cs="宋体"/>
                <w:b w:val="0"/>
                <w:bCs w:val="0"/>
                <w:color w:val="auto"/>
                <w:sz w:val="24"/>
                <w:szCs w:val="22"/>
                <w:highlight w:val="none"/>
                <w:lang w:val="en-US" w:eastAsia="zh-CN"/>
              </w:rPr>
            </w:pPr>
            <w:r>
              <w:rPr>
                <w:rFonts w:hint="eastAsia" w:cs="宋体"/>
                <w:b w:val="0"/>
                <w:bCs w:val="0"/>
                <w:color w:val="auto"/>
                <w:sz w:val="24"/>
                <w:szCs w:val="22"/>
                <w:highlight w:val="none"/>
                <w:lang w:val="en-US" w:eastAsia="zh-CN"/>
              </w:rPr>
              <w:t>规划实施运营后，大气污染物主要为机动车尾气。机动车尾气中的CO随着车速的增加排放量将会减小。NOx的排放量随着车速的增大而增多。在相同车速的条件下，道路等级越高，燃油消耗量越少，进而排放的尾气也越少。因此，在公路网规划实施后，由于道路等级的提高，通行条件改善，单车排放尾气将会减少。当然，总体排放仍将受到交通量的增大与汽车技术提高、燃油质量等因素的综合影响。</w:t>
            </w:r>
          </w:p>
          <w:p w14:paraId="5E5E992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default" w:cs="宋体"/>
                <w:b/>
                <w:bCs/>
                <w:color w:val="auto"/>
                <w:sz w:val="24"/>
                <w:szCs w:val="22"/>
                <w:highlight w:val="none"/>
                <w:lang w:val="en-US" w:eastAsia="zh-CN"/>
              </w:rPr>
            </w:pPr>
            <w:r>
              <w:rPr>
                <w:rFonts w:hint="eastAsia" w:cs="宋体"/>
                <w:b/>
                <w:bCs/>
                <w:color w:val="auto"/>
                <w:sz w:val="24"/>
                <w:szCs w:val="22"/>
                <w:highlight w:val="none"/>
                <w:lang w:val="en-US" w:eastAsia="zh-CN"/>
              </w:rPr>
              <w:t>符合性：</w:t>
            </w:r>
          </w:p>
          <w:p w14:paraId="05BE574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cs="宋体"/>
                <w:b w:val="0"/>
                <w:bCs w:val="0"/>
                <w:color w:val="auto"/>
                <w:sz w:val="24"/>
                <w:szCs w:val="22"/>
                <w:highlight w:val="none"/>
                <w:lang w:val="en-US" w:eastAsia="zh-CN"/>
              </w:rPr>
            </w:pPr>
            <w:r>
              <w:rPr>
                <w:rFonts w:hint="eastAsia" w:cs="宋体"/>
                <w:b w:val="0"/>
                <w:bCs w:val="0"/>
                <w:color w:val="auto"/>
                <w:sz w:val="24"/>
                <w:szCs w:val="22"/>
                <w:highlight w:val="none"/>
                <w:lang w:val="en-US" w:eastAsia="zh-CN"/>
              </w:rPr>
              <w:t>本环评要求项目施工期合理布置施工场地，施工过程中施工场地设置施工围挡，洒水，施工材料采取遮盖等措施抑尘，合理安排施工时间，避开大风天气，减少施工扬尘污染。运营期做好道路维护，保障道路交通条件，减少因道路问题导致的车辆尾气大量排放。通过采取上述措施能够有效减少施工期及运营期大气污染，符合规划环评结论发展要求。</w:t>
            </w:r>
          </w:p>
          <w:p w14:paraId="5E60B03F">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default" w:cs="宋体"/>
                <w:b/>
                <w:bCs/>
                <w:color w:val="auto"/>
                <w:sz w:val="24"/>
                <w:szCs w:val="22"/>
                <w:highlight w:val="none"/>
                <w:lang w:val="en-US" w:eastAsia="zh-CN"/>
              </w:rPr>
            </w:pPr>
            <w:r>
              <w:rPr>
                <w:rFonts w:hint="eastAsia" w:cs="宋体"/>
                <w:b/>
                <w:bCs/>
                <w:color w:val="auto"/>
                <w:sz w:val="24"/>
                <w:szCs w:val="22"/>
                <w:highlight w:val="none"/>
                <w:lang w:val="en-US" w:eastAsia="zh-CN"/>
              </w:rPr>
              <w:t>摘要：</w:t>
            </w:r>
          </w:p>
          <w:p w14:paraId="44E05869">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cs="宋体"/>
                <w:b w:val="0"/>
                <w:bCs w:val="0"/>
                <w:color w:val="auto"/>
                <w:sz w:val="24"/>
                <w:szCs w:val="22"/>
                <w:highlight w:val="none"/>
                <w:lang w:val="en-US" w:eastAsia="zh-CN"/>
              </w:rPr>
            </w:pPr>
            <w:r>
              <w:rPr>
                <w:rFonts w:hint="eastAsia" w:cs="宋体"/>
                <w:b w:val="0"/>
                <w:bCs w:val="0"/>
                <w:color w:val="auto"/>
                <w:sz w:val="24"/>
                <w:szCs w:val="22"/>
                <w:highlight w:val="none"/>
                <w:lang w:val="en-US" w:eastAsia="zh-CN"/>
              </w:rPr>
              <w:t>公路、铁路网规划实施后交通量较大的路段交通噪声影响较大，特别是夜间超标问题较突出，其它路段交通噪声影响相对较小。项目环评过程中，应该对这些路线走向进行重点关注，防止对沿线的特殊敏感点造成严重影响，并对噪声超标路段采取减缓措施。从目前噪声防治措施效果来看，交通噪声在采取相应降噪、隔声等措施后，噪声污染控制目标的可达性较好。建议在较为敏感路段的项目环评中，针对具体施工路段周围的噪声敏感区开展较为细致的调查和监测，并在施工过程中要求环境监理单位做重点的监督检查。</w:t>
            </w:r>
          </w:p>
          <w:p w14:paraId="2B5F0BB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default" w:cs="宋体"/>
                <w:b w:val="0"/>
                <w:bCs w:val="0"/>
                <w:color w:val="auto"/>
                <w:sz w:val="24"/>
                <w:szCs w:val="22"/>
                <w:highlight w:val="none"/>
                <w:lang w:val="en-US" w:eastAsia="zh-CN"/>
              </w:rPr>
            </w:pPr>
            <w:r>
              <w:rPr>
                <w:rFonts w:hint="eastAsia" w:cs="宋体"/>
                <w:b/>
                <w:bCs/>
                <w:color w:val="auto"/>
                <w:sz w:val="24"/>
                <w:szCs w:val="22"/>
                <w:highlight w:val="none"/>
                <w:lang w:val="en-US" w:eastAsia="zh-CN"/>
              </w:rPr>
              <w:t>符合性：</w:t>
            </w:r>
          </w:p>
          <w:p w14:paraId="186B180F">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cs="宋体"/>
                <w:b w:val="0"/>
                <w:bCs w:val="0"/>
                <w:color w:val="auto"/>
                <w:sz w:val="24"/>
                <w:szCs w:val="22"/>
                <w:highlight w:val="none"/>
                <w:lang w:val="en-US" w:eastAsia="zh-CN"/>
              </w:rPr>
            </w:pPr>
            <w:r>
              <w:rPr>
                <w:rFonts w:hint="eastAsia" w:cs="宋体"/>
                <w:b w:val="0"/>
                <w:bCs w:val="0"/>
                <w:color w:val="auto"/>
                <w:sz w:val="24"/>
                <w:szCs w:val="22"/>
                <w:highlight w:val="none"/>
                <w:lang w:val="en-US" w:eastAsia="zh-CN"/>
              </w:rPr>
              <w:t>本环评要求施工期合理安排施工现场，避免高噪声施工机械同时施工，合理安排施工时间，减少对工程沿线村庄的噪声影响，做好施工沿线声环境保护目标噪声污染防治工作。施工期及运营期做好施工沿线和声环境保护目标噪声监测工作，根据噪声监测结果制定好相应的隔声、降噪措施，最大程度减少本项目建设造成的噪声污染影响。通过采取上述措施能够有效减少施工期及运营期噪声污染，符合规划环评结论发展要求。</w:t>
            </w:r>
          </w:p>
          <w:p w14:paraId="544A9CA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eastAsia" w:eastAsia="黑体"/>
                <w:b/>
                <w:bCs/>
                <w:color w:val="auto"/>
                <w:sz w:val="24"/>
                <w:highlight w:val="none"/>
              </w:rPr>
            </w:pPr>
            <w:r>
              <w:rPr>
                <w:rFonts w:hint="eastAsia" w:cs="宋体"/>
                <w:b/>
                <w:bCs/>
                <w:color w:val="auto"/>
                <w:sz w:val="24"/>
                <w:szCs w:val="22"/>
                <w:highlight w:val="none"/>
                <w:lang w:val="en-US" w:eastAsia="zh-CN"/>
              </w:rPr>
              <w:t>4、本项目与</w:t>
            </w:r>
            <w:r>
              <w:rPr>
                <w:rFonts w:hint="eastAsia" w:cs="宋体"/>
                <w:b/>
                <w:bCs/>
                <w:color w:val="auto"/>
                <w:sz w:val="24"/>
                <w:szCs w:val="22"/>
                <w:highlight w:val="none"/>
              </w:rPr>
              <w:t>《新疆维吾尔自治区“十四五”综合交通规划环境影响报告书》审查意见符合性分析见表</w:t>
            </w:r>
            <w:r>
              <w:rPr>
                <w:rFonts w:hint="eastAsia"/>
                <w:b/>
                <w:bCs/>
                <w:color w:val="auto"/>
                <w:sz w:val="24"/>
                <w:szCs w:val="22"/>
                <w:highlight w:val="none"/>
              </w:rPr>
              <w:t>1-</w:t>
            </w:r>
            <w:r>
              <w:rPr>
                <w:rFonts w:hint="eastAsia"/>
                <w:b/>
                <w:bCs/>
                <w:color w:val="auto"/>
                <w:sz w:val="24"/>
                <w:szCs w:val="22"/>
                <w:highlight w:val="none"/>
                <w:lang w:val="en-US" w:eastAsia="zh-CN"/>
              </w:rPr>
              <w:t>2</w:t>
            </w:r>
            <w:r>
              <w:rPr>
                <w:rFonts w:hint="eastAsia" w:cs="宋体"/>
                <w:b/>
                <w:bCs/>
                <w:color w:val="auto"/>
                <w:sz w:val="24"/>
                <w:szCs w:val="22"/>
                <w:highlight w:val="none"/>
              </w:rPr>
              <w:t>。</w:t>
            </w:r>
          </w:p>
          <w:p w14:paraId="5DDE74E6">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 </w:t>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与新疆“十四五”综合交通规划环评审查意见符合性分析</w:t>
            </w:r>
          </w:p>
          <w:tbl>
            <w:tblPr>
              <w:tblStyle w:val="30"/>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57"/>
              <w:gridCol w:w="2435"/>
              <w:gridCol w:w="434"/>
            </w:tblGrid>
            <w:tr w14:paraId="14FC4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74B814B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eastAsia="宋体" w:cs="宋体"/>
                      <w:b/>
                      <w:bCs/>
                      <w:color w:val="auto"/>
                      <w:sz w:val="18"/>
                      <w:szCs w:val="18"/>
                      <w:highlight w:val="none"/>
                      <w:vertAlign w:val="baseline"/>
                      <w:lang w:val="en-US" w:eastAsia="zh-CN"/>
                    </w:rPr>
                  </w:pPr>
                  <w:r>
                    <w:rPr>
                      <w:rFonts w:hint="eastAsia" w:cs="宋体"/>
                      <w:b/>
                      <w:bCs/>
                      <w:color w:val="auto"/>
                      <w:sz w:val="18"/>
                      <w:szCs w:val="18"/>
                      <w:highlight w:val="none"/>
                      <w:vertAlign w:val="baseline"/>
                      <w:lang w:val="en-US" w:eastAsia="zh-CN"/>
                    </w:rPr>
                    <w:t>审查意见要求</w:t>
                  </w:r>
                </w:p>
              </w:tc>
              <w:tc>
                <w:tcPr>
                  <w:tcW w:w="0" w:type="auto"/>
                  <w:tcBorders>
                    <w:tl2br w:val="nil"/>
                    <w:tr2bl w:val="nil"/>
                  </w:tcBorders>
                  <w:noWrap w:val="0"/>
                  <w:vAlign w:val="center"/>
                </w:tcPr>
                <w:p w14:paraId="79CD956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eastAsia="宋体" w:cs="宋体"/>
                      <w:b/>
                      <w:bCs/>
                      <w:color w:val="auto"/>
                      <w:sz w:val="18"/>
                      <w:szCs w:val="18"/>
                      <w:highlight w:val="none"/>
                      <w:vertAlign w:val="baseline"/>
                      <w:lang w:val="en-US" w:eastAsia="zh-CN"/>
                    </w:rPr>
                  </w:pPr>
                  <w:r>
                    <w:rPr>
                      <w:rFonts w:hint="eastAsia" w:cs="宋体"/>
                      <w:b/>
                      <w:bCs/>
                      <w:color w:val="auto"/>
                      <w:sz w:val="18"/>
                      <w:szCs w:val="18"/>
                      <w:highlight w:val="none"/>
                      <w:vertAlign w:val="baseline"/>
                      <w:lang w:val="en-US" w:eastAsia="zh-CN"/>
                    </w:rPr>
                    <w:t>本项目落实情况</w:t>
                  </w:r>
                </w:p>
              </w:tc>
              <w:tc>
                <w:tcPr>
                  <w:tcW w:w="0" w:type="auto"/>
                  <w:tcBorders>
                    <w:tl2br w:val="nil"/>
                    <w:tr2bl w:val="nil"/>
                  </w:tcBorders>
                  <w:noWrap w:val="0"/>
                  <w:vAlign w:val="center"/>
                </w:tcPr>
                <w:p w14:paraId="141FA33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eastAsia" w:eastAsia="宋体" w:cs="宋体"/>
                      <w:b/>
                      <w:bCs/>
                      <w:color w:val="auto"/>
                      <w:sz w:val="18"/>
                      <w:szCs w:val="18"/>
                      <w:highlight w:val="none"/>
                      <w:vertAlign w:val="baseline"/>
                      <w:lang w:val="en-US" w:eastAsia="zh-CN"/>
                    </w:rPr>
                  </w:pPr>
                  <w:r>
                    <w:rPr>
                      <w:rFonts w:hint="eastAsia" w:cs="宋体"/>
                      <w:b/>
                      <w:bCs/>
                      <w:color w:val="auto"/>
                      <w:sz w:val="18"/>
                      <w:szCs w:val="18"/>
                      <w:highlight w:val="none"/>
                      <w:vertAlign w:val="baseline"/>
                      <w:lang w:val="en-US" w:eastAsia="zh-CN"/>
                    </w:rPr>
                    <w:t>符合性</w:t>
                  </w:r>
                </w:p>
              </w:tc>
            </w:tr>
            <w:tr w14:paraId="62EF0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234AAA83">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坚持生态优先、绿色发展。根据区域发展战略和主体功能定位，坚持生态保护优先，从顶层设计和源头控制着手，防范环境污染和生态破坏。针对规划涉及区域较为突出的生态环境问题，进一步完善生态环境目标和“三线一单”管控要求。统筹考虑环境敏感区、生态脆弱区、重要物种生境的分布等情况，切实落实各项生态环境保护要求，协同推进生态环境高水平保护和经济高质量发展。</w:t>
                  </w:r>
                </w:p>
              </w:tc>
              <w:tc>
                <w:tcPr>
                  <w:tcW w:w="0" w:type="auto"/>
                  <w:tcBorders>
                    <w:tl2br w:val="nil"/>
                    <w:tr2bl w:val="nil"/>
                  </w:tcBorders>
                  <w:noWrap w:val="0"/>
                  <w:vAlign w:val="center"/>
                </w:tcPr>
                <w:p w14:paraId="21401DF7">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本项目坚持生态保护优先的原则，通过优化选线和源头控制着手，防范环境污染和生态破坏，项目选址选线符合</w:t>
                  </w:r>
                  <w:r>
                    <w:rPr>
                      <w:rFonts w:hint="eastAsia"/>
                      <w:color w:val="auto"/>
                      <w:sz w:val="18"/>
                      <w:szCs w:val="18"/>
                      <w:highlight w:val="none"/>
                      <w:lang w:val="en-US" w:eastAsia="zh-CN"/>
                    </w:rPr>
                    <w:t>生态环境分区</w:t>
                  </w:r>
                  <w:r>
                    <w:rPr>
                      <w:rFonts w:hint="eastAsia"/>
                      <w:color w:val="auto"/>
                      <w:sz w:val="18"/>
                      <w:szCs w:val="18"/>
                      <w:highlight w:val="none"/>
                    </w:rPr>
                    <w:t>管控要求，不占用生态保护红线，施工期采取良好的生态环境保护措施，最大限度降低对区域生态环境的影响。</w:t>
                  </w:r>
                </w:p>
              </w:tc>
              <w:tc>
                <w:tcPr>
                  <w:tcW w:w="0" w:type="auto"/>
                  <w:tcBorders>
                    <w:tl2br w:val="nil"/>
                    <w:tr2bl w:val="nil"/>
                  </w:tcBorders>
                  <w:noWrap w:val="0"/>
                  <w:vAlign w:val="center"/>
                </w:tcPr>
                <w:p w14:paraId="499FDEC2">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符合</w:t>
                  </w:r>
                </w:p>
              </w:tc>
            </w:tr>
            <w:tr w14:paraId="5D59D8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0A0D3357">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严格保护生态空间，优化规划布局。主动对接国家、自治区国土空间规划，加强与“三线一单”分区管控等有关要求的衔接，确保符合相关管控和保护要求，实现综合交通与生态环境保护、人居环境安全相协调。进一步优化运输通道和枢纽空间布局，坚持“绕避”优先原则，严格按照自然保护地、饮用水源保护区等管控要求进行交通开发建设活动。</w:t>
                  </w:r>
                </w:p>
              </w:tc>
              <w:tc>
                <w:tcPr>
                  <w:tcW w:w="0" w:type="auto"/>
                  <w:tcBorders>
                    <w:tl2br w:val="nil"/>
                    <w:tr2bl w:val="nil"/>
                  </w:tcBorders>
                  <w:noWrap w:val="0"/>
                  <w:vAlign w:val="center"/>
                </w:tcPr>
                <w:p w14:paraId="3A8BB803">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本项目在设计阶段充分考虑了国家、自治区国土空间规划，并加强了与</w:t>
                  </w:r>
                  <w:r>
                    <w:rPr>
                      <w:rFonts w:hint="eastAsia"/>
                      <w:color w:val="auto"/>
                      <w:sz w:val="18"/>
                      <w:szCs w:val="18"/>
                      <w:highlight w:val="none"/>
                      <w:lang w:val="en-US" w:eastAsia="zh-CN"/>
                    </w:rPr>
                    <w:t>生态环境分区管控</w:t>
                  </w:r>
                  <w:r>
                    <w:rPr>
                      <w:rFonts w:hint="eastAsia"/>
                      <w:color w:val="auto"/>
                      <w:sz w:val="18"/>
                      <w:szCs w:val="18"/>
                      <w:highlight w:val="none"/>
                    </w:rPr>
                    <w:t>等有关要求的衔接，确保项目建设符合相关管控和保护要求，实现综合交通与生态环境保护、人居环境安全相协调。</w:t>
                  </w:r>
                </w:p>
              </w:tc>
              <w:tc>
                <w:tcPr>
                  <w:tcW w:w="0" w:type="auto"/>
                  <w:tcBorders>
                    <w:tl2br w:val="nil"/>
                    <w:tr2bl w:val="nil"/>
                  </w:tcBorders>
                  <w:noWrap w:val="0"/>
                  <w:vAlign w:val="center"/>
                </w:tcPr>
                <w:p w14:paraId="0C441592">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符合</w:t>
                  </w:r>
                </w:p>
              </w:tc>
            </w:tr>
            <w:tr w14:paraId="175A80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572A98BF">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合理确定开发时序和规模，强化环境管理。优化调整规划开发时序和规模时，应充分考虑对生态环境的累积影响和长期影响。总结凝练综合交通规划开发过程中的主要经验与教训，加强对在建和已建项目事中事后监管，及时整治开发过程产生的环境问题。</w:t>
                  </w:r>
                </w:p>
              </w:tc>
              <w:tc>
                <w:tcPr>
                  <w:tcW w:w="0" w:type="auto"/>
                  <w:tcBorders>
                    <w:tl2br w:val="nil"/>
                    <w:tr2bl w:val="nil"/>
                  </w:tcBorders>
                  <w:noWrap w:val="0"/>
                  <w:vAlign w:val="center"/>
                </w:tcPr>
                <w:p w14:paraId="12887C36">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本项目充分考虑了项目建设对生态环境的累积影响和长期影响，提出了严格的环境保护措施。</w:t>
                  </w:r>
                </w:p>
              </w:tc>
              <w:tc>
                <w:tcPr>
                  <w:tcW w:w="0" w:type="auto"/>
                  <w:tcBorders>
                    <w:tl2br w:val="nil"/>
                    <w:tr2bl w:val="nil"/>
                  </w:tcBorders>
                  <w:noWrap w:val="0"/>
                  <w:vAlign w:val="center"/>
                </w:tcPr>
                <w:p w14:paraId="352A36B8">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符合</w:t>
                  </w:r>
                </w:p>
              </w:tc>
            </w:tr>
            <w:tr w14:paraId="46E1D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51D2D22D">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建立健全长期稳定的环境监测体系。根据规划实施状况、环境敏感目标的分布等，建立和完善生态、大气、声环境等环境要素监控体系。根据监测结果并结合环境影响适时优化、调整规划。</w:t>
                  </w:r>
                </w:p>
              </w:tc>
              <w:tc>
                <w:tcPr>
                  <w:tcW w:w="0" w:type="auto"/>
                  <w:tcBorders>
                    <w:tl2br w:val="nil"/>
                    <w:tr2bl w:val="nil"/>
                  </w:tcBorders>
                  <w:noWrap w:val="0"/>
                  <w:vAlign w:val="center"/>
                </w:tcPr>
                <w:p w14:paraId="44CA4C26">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本项目提出了严格的生态、声环境等环境要素的环境监测计划。</w:t>
                  </w:r>
                </w:p>
              </w:tc>
              <w:tc>
                <w:tcPr>
                  <w:tcW w:w="0" w:type="auto"/>
                  <w:tcBorders>
                    <w:tl2br w:val="nil"/>
                    <w:tr2bl w:val="nil"/>
                  </w:tcBorders>
                  <w:noWrap w:val="0"/>
                  <w:vAlign w:val="center"/>
                </w:tcPr>
                <w:p w14:paraId="4BD54750">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符合</w:t>
                  </w:r>
                </w:p>
              </w:tc>
            </w:tr>
            <w:tr w14:paraId="1BDFC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5C3CEF74">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加强开发过程的环境风险防控。强化风险防控意识，坚持事前防范和事中监管，按照“属地为主、分级响应、区域联动”原则，建立完善各区域环境管理制度、环境风险防控和应急管理体系，健全突发环境事故预警和应急管理机制，制定细化环境风险防控方案和措施，落实主体责任，明晰防控流程，确保环境风险可控。</w:t>
                  </w:r>
                </w:p>
              </w:tc>
              <w:tc>
                <w:tcPr>
                  <w:tcW w:w="0" w:type="auto"/>
                  <w:tcBorders>
                    <w:tl2br w:val="nil"/>
                    <w:tr2bl w:val="nil"/>
                  </w:tcBorders>
                  <w:noWrap w:val="0"/>
                  <w:vAlign w:val="center"/>
                </w:tcPr>
                <w:p w14:paraId="6B891D4B">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本项目制定应急管理机制，并制定细化的环境风险防控方案和措施，落实主体责任，确保本项目环境风险可控。</w:t>
                  </w:r>
                </w:p>
              </w:tc>
              <w:tc>
                <w:tcPr>
                  <w:tcW w:w="0" w:type="auto"/>
                  <w:tcBorders>
                    <w:tl2br w:val="nil"/>
                    <w:tr2bl w:val="nil"/>
                  </w:tcBorders>
                  <w:noWrap w:val="0"/>
                  <w:vAlign w:val="center"/>
                </w:tcPr>
                <w:p w14:paraId="611166AB">
                  <w:pPr>
                    <w:keepNext w:val="0"/>
                    <w:keepLines w:val="0"/>
                    <w:pageBreakBefore w:val="0"/>
                    <w:widowControl w:val="0"/>
                    <w:shd w:val="clear" w:color="auto" w:fill="auto"/>
                    <w:kinsoku/>
                    <w:wordWrap/>
                    <w:overflowPunct/>
                    <w:topLinePunct w:val="0"/>
                    <w:bidi w:val="0"/>
                    <w:adjustRightInd w:val="0"/>
                    <w:snapToGrid w:val="0"/>
                    <w:spacing w:line="240" w:lineRule="auto"/>
                    <w:ind w:left="0" w:leftChars="0" w:right="0" w:rightChars="0"/>
                    <w:jc w:val="center"/>
                    <w:textAlignment w:val="auto"/>
                    <w:rPr>
                      <w:rFonts w:hint="eastAsia" w:cs="宋体"/>
                      <w:color w:val="auto"/>
                      <w:sz w:val="18"/>
                      <w:szCs w:val="18"/>
                      <w:highlight w:val="none"/>
                      <w:vertAlign w:val="baseline"/>
                    </w:rPr>
                  </w:pPr>
                  <w:r>
                    <w:rPr>
                      <w:rFonts w:hint="eastAsia"/>
                      <w:color w:val="auto"/>
                      <w:sz w:val="18"/>
                      <w:szCs w:val="18"/>
                      <w:highlight w:val="none"/>
                    </w:rPr>
                    <w:t>符合</w:t>
                  </w:r>
                </w:p>
              </w:tc>
            </w:tr>
          </w:tbl>
          <w:p w14:paraId="70DABE00">
            <w:pPr>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highlight w:val="none"/>
              </w:rPr>
              <w:t>综上所述，本项目认真落实上述环境影响报告书及其审查意见中提出的相应减缓措施后，可将对环境的影响降至最小，因此从环境保护角度考虑，拟建项目与《新疆维吾尔自治区“十四五”综合交通规划环境影响报告书》及审查意见是相符的。</w:t>
            </w:r>
          </w:p>
        </w:tc>
      </w:tr>
      <w:tr w14:paraId="6FF0C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83" w:type="pct"/>
            <w:tcBorders>
              <w:tl2br w:val="nil"/>
              <w:tr2bl w:val="nil"/>
            </w:tcBorders>
            <w:noWrap w:val="0"/>
            <w:tcMar>
              <w:top w:w="16" w:type="dxa"/>
              <w:left w:w="16" w:type="dxa"/>
              <w:right w:w="16" w:type="dxa"/>
            </w:tcMar>
            <w:vAlign w:val="center"/>
          </w:tcPr>
          <w:p w14:paraId="34B64F4C">
            <w:pPr>
              <w:pageBreakBefore w:val="0"/>
              <w:wordWrap/>
              <w:topLinePunct w:val="0"/>
              <w:autoSpaceDE w:val="0"/>
              <w:autoSpaceDN w:val="0"/>
              <w:bidi w:val="0"/>
              <w:adjustRightInd w:val="0"/>
              <w:snapToGrid w:val="0"/>
              <w:spacing w:beforeAutospacing="0" w:afterAutospacing="0"/>
              <w:ind w:left="0" w:leftChars="0" w:right="0"/>
              <w:jc w:val="center"/>
              <w:rPr>
                <w:rFonts w:hint="default" w:ascii="Times New Roman" w:hAnsi="Times New Roman" w:eastAsia="宋体" w:cs="Times New Roman"/>
                <w:caps w:val="0"/>
                <w:smallCaps w:val="0"/>
                <w:color w:val="auto"/>
                <w:spacing w:val="0"/>
                <w:w w:val="100"/>
                <w:kern w:val="2"/>
                <w:position w:val="0"/>
                <w:sz w:val="24"/>
                <w:szCs w:val="24"/>
                <w:highlight w:val="none"/>
              </w:rPr>
            </w:pPr>
            <w:bookmarkStart w:id="3" w:name="_Hlk56690880"/>
            <w:r>
              <w:rPr>
                <w:rFonts w:hint="default" w:ascii="Times New Roman" w:hAnsi="Times New Roman" w:eastAsia="宋体" w:cs="Times New Roman"/>
                <w:caps w:val="0"/>
                <w:smallCaps w:val="0"/>
                <w:color w:val="auto"/>
                <w:spacing w:val="0"/>
                <w:w w:val="100"/>
                <w:kern w:val="2"/>
                <w:position w:val="0"/>
                <w:sz w:val="24"/>
                <w:szCs w:val="24"/>
                <w:highlight w:val="none"/>
              </w:rPr>
              <w:t>其他符合性分析</w:t>
            </w:r>
            <w:bookmarkEnd w:id="3"/>
          </w:p>
        </w:tc>
        <w:tc>
          <w:tcPr>
            <w:tcW w:w="4016" w:type="pct"/>
            <w:gridSpan w:val="3"/>
            <w:tcBorders>
              <w:tl2br w:val="nil"/>
              <w:tr2bl w:val="nil"/>
            </w:tcBorders>
            <w:noWrap w:val="0"/>
            <w:tcMar>
              <w:top w:w="16" w:type="dxa"/>
              <w:left w:w="16" w:type="dxa"/>
              <w:right w:w="16" w:type="dxa"/>
            </w:tcMar>
            <w:vAlign w:val="center"/>
          </w:tcPr>
          <w:p w14:paraId="156830EA">
            <w:pPr>
              <w:keepNext/>
              <w:keepLines w:val="0"/>
              <w:pageBreakBefore w:val="0"/>
              <w:widowControl w:val="0"/>
              <w:kinsoku/>
              <w:wordWrap/>
              <w:overflowPunct/>
              <w:topLinePunct w:val="0"/>
              <w:autoSpaceDE/>
              <w:autoSpaceDN/>
              <w:bidi w:val="0"/>
              <w:adjustRightInd/>
              <w:snapToGrid/>
              <w:spacing w:beforeAutospacing="0" w:afterAutospacing="0" w:line="360" w:lineRule="auto"/>
              <w:ind w:right="0" w:rightChars="0"/>
              <w:textAlignment w:val="auto"/>
              <w:outlineLvl w:val="9"/>
              <w:rPr>
                <w:rFonts w:hint="default" w:ascii="Times New Roman" w:hAnsi="Times New Roman" w:cs="Times New Roman"/>
                <w:b/>
                <w:bCs/>
                <w:caps w:val="0"/>
                <w:smallCaps w:val="0"/>
                <w:color w:val="auto"/>
                <w:spacing w:val="0"/>
                <w:w w:val="100"/>
                <w:kern w:val="2"/>
                <w:position w:val="0"/>
                <w:sz w:val="24"/>
                <w:szCs w:val="24"/>
                <w:highlight w:val="none"/>
              </w:rPr>
            </w:pPr>
            <w:r>
              <w:rPr>
                <w:rFonts w:hint="eastAsia" w:ascii="Times New Roman" w:hAnsi="Times New Roman" w:cs="Times New Roman"/>
                <w:b/>
                <w:bCs/>
                <w:caps w:val="0"/>
                <w:smallCaps w:val="0"/>
                <w:color w:val="auto"/>
                <w:spacing w:val="0"/>
                <w:w w:val="100"/>
                <w:kern w:val="2"/>
                <w:position w:val="0"/>
                <w:sz w:val="24"/>
                <w:szCs w:val="24"/>
                <w:highlight w:val="none"/>
                <w:lang w:val="en-US" w:eastAsia="zh-CN"/>
              </w:rPr>
              <w:t>1.</w:t>
            </w:r>
            <w:r>
              <w:rPr>
                <w:rFonts w:hint="default" w:ascii="Times New Roman" w:hAnsi="Times New Roman" w:cs="Times New Roman"/>
                <w:b/>
                <w:bCs/>
                <w:caps w:val="0"/>
                <w:smallCaps w:val="0"/>
                <w:color w:val="auto"/>
                <w:spacing w:val="0"/>
                <w:w w:val="100"/>
                <w:kern w:val="2"/>
                <w:position w:val="0"/>
                <w:sz w:val="24"/>
                <w:szCs w:val="24"/>
                <w:highlight w:val="none"/>
              </w:rPr>
              <w:t>产业政策符合性分析</w:t>
            </w:r>
          </w:p>
          <w:p w14:paraId="220E18E8">
            <w:pPr>
              <w:keepLines w:val="0"/>
              <w:pageBreakBefore w:val="0"/>
              <w:widowControl w:val="0"/>
              <w:shd w:val="clear" w:color="auto" w:fill="auto"/>
              <w:kinsoku/>
              <w:wordWrap/>
              <w:overflowPunct/>
              <w:topLinePunct w:val="0"/>
              <w:autoSpaceDE w:val="0"/>
              <w:autoSpaceDN w:val="0"/>
              <w:bidi w:val="0"/>
              <w:adjustRightInd/>
              <w:snapToGrid/>
              <w:spacing w:line="360" w:lineRule="auto"/>
              <w:ind w:firstLine="480" w:firstLineChars="200"/>
              <w:textAlignment w:val="auto"/>
              <w:rPr>
                <w:bCs/>
                <w:color w:val="auto"/>
                <w:sz w:val="24"/>
                <w:highlight w:val="none"/>
              </w:rPr>
            </w:pPr>
            <w:r>
              <w:rPr>
                <w:color w:val="auto"/>
                <w:sz w:val="24"/>
                <w:highlight w:val="none"/>
              </w:rPr>
              <w:t>对照《产业结构调整指导目录（20</w:t>
            </w:r>
            <w:r>
              <w:rPr>
                <w:rFonts w:hint="eastAsia"/>
                <w:color w:val="auto"/>
                <w:sz w:val="24"/>
                <w:highlight w:val="none"/>
                <w:lang w:val="en-US" w:eastAsia="zh-CN"/>
              </w:rPr>
              <w:t>24</w:t>
            </w:r>
            <w:r>
              <w:rPr>
                <w:color w:val="auto"/>
                <w:sz w:val="24"/>
                <w:highlight w:val="none"/>
              </w:rPr>
              <w:t>年本）》，本项目属于鼓励类</w:t>
            </w:r>
            <w:r>
              <w:rPr>
                <w:rFonts w:hint="eastAsia"/>
                <w:color w:val="auto"/>
                <w:sz w:val="24"/>
                <w:highlight w:val="none"/>
              </w:rPr>
              <w:t>中“二十</w:t>
            </w:r>
            <w:r>
              <w:rPr>
                <w:rFonts w:hint="eastAsia"/>
                <w:color w:val="auto"/>
                <w:sz w:val="24"/>
                <w:highlight w:val="none"/>
                <w:lang w:val="en-US" w:eastAsia="zh-CN"/>
              </w:rPr>
              <w:t>四</w:t>
            </w:r>
            <w:r>
              <w:rPr>
                <w:rFonts w:hint="eastAsia"/>
                <w:color w:val="auto"/>
                <w:sz w:val="24"/>
                <w:highlight w:val="none"/>
              </w:rPr>
              <w:t>、</w:t>
            </w:r>
            <w:r>
              <w:rPr>
                <w:rFonts w:hint="eastAsia"/>
                <w:color w:val="auto"/>
                <w:sz w:val="24"/>
                <w:highlight w:val="none"/>
                <w:lang w:val="en-US" w:eastAsia="zh-CN"/>
              </w:rPr>
              <w:t>公路及道路运输1.公路交通网络建设：国家高速公路网项目建设，国省干线改造升级，汽车客货运站、城市公交站，城市公共交通</w:t>
            </w:r>
            <w:r>
              <w:rPr>
                <w:rFonts w:hint="eastAsia"/>
                <w:color w:val="auto"/>
                <w:sz w:val="24"/>
                <w:highlight w:val="none"/>
              </w:rPr>
              <w:t>。因此本项目符合国家及地方产业政策要求。</w:t>
            </w:r>
          </w:p>
          <w:p w14:paraId="6B441887">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auto"/>
              <w:ind w:firstLine="482" w:firstLineChars="200"/>
              <w:textAlignment w:val="auto"/>
              <w:rPr>
                <w:rFonts w:hint="default" w:eastAsia="宋体"/>
                <w:sz w:val="24"/>
                <w:szCs w:val="24"/>
                <w:highlight w:val="none"/>
                <w:lang w:val="en-US" w:eastAsia="zh-CN"/>
              </w:rPr>
            </w:pPr>
            <w:r>
              <w:rPr>
                <w:rFonts w:hint="eastAsia" w:ascii="Times New Roman" w:hAnsi="Times New Roman" w:eastAsia="宋体" w:cs="Times New Roman"/>
                <w:b/>
                <w:caps w:val="0"/>
                <w:smallCaps w:val="0"/>
                <w:color w:val="auto"/>
                <w:spacing w:val="0"/>
                <w:w w:val="100"/>
                <w:kern w:val="2"/>
                <w:position w:val="0"/>
                <w:sz w:val="24"/>
                <w:highlight w:val="none"/>
                <w:lang w:val="en-US" w:eastAsia="zh-CN"/>
              </w:rPr>
              <w:t>2.</w:t>
            </w:r>
            <w:r>
              <w:rPr>
                <w:rFonts w:hint="eastAsia"/>
                <w:b/>
                <w:bCs/>
                <w:sz w:val="24"/>
                <w:szCs w:val="24"/>
                <w:highlight w:val="none"/>
                <w:lang w:val="en-US" w:eastAsia="zh-CN"/>
              </w:rPr>
              <w:t>与</w:t>
            </w:r>
            <w:r>
              <w:rPr>
                <w:rFonts w:hint="eastAsia" w:ascii="Times New Roman" w:hAnsi="Times New Roman" w:eastAsia="宋体" w:cs="Times New Roman"/>
                <w:b/>
                <w:bCs/>
                <w:sz w:val="24"/>
                <w:szCs w:val="24"/>
                <w:highlight w:val="none"/>
                <w:lang w:val="en-US" w:eastAsia="zh-CN"/>
              </w:rPr>
              <w:t>《</w:t>
            </w:r>
            <w:r>
              <w:rPr>
                <w:rFonts w:hint="eastAsia"/>
                <w:b/>
                <w:bCs/>
                <w:sz w:val="24"/>
                <w:szCs w:val="24"/>
                <w:highlight w:val="none"/>
                <w:lang w:val="en-US" w:eastAsia="zh-CN"/>
              </w:rPr>
              <w:t>新疆维吾尔自治区生态环境分区管控动态更新成果》（新环环评发﹝2024﹞157 号）的符合性分析</w:t>
            </w:r>
          </w:p>
          <w:p w14:paraId="2E9C11B1">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auto"/>
              <w:ind w:firstLine="480" w:firstLineChars="200"/>
              <w:textAlignment w:val="auto"/>
              <w:rPr>
                <w:rFonts w:ascii="宋体" w:hAnsi="宋体" w:eastAsia="宋体" w:cs="宋体"/>
                <w:b/>
                <w:bCs/>
                <w:spacing w:val="-2"/>
                <w:sz w:val="24"/>
                <w:szCs w:val="24"/>
                <w:highlight w:val="none"/>
              </w:rPr>
            </w:pPr>
            <w:r>
              <w:rPr>
                <w:rFonts w:hint="eastAsia"/>
                <w:sz w:val="24"/>
                <w:szCs w:val="24"/>
                <w:highlight w:val="none"/>
                <w:lang w:val="en-US" w:eastAsia="zh-CN"/>
              </w:rPr>
              <w:t>结合《新疆维吾尔自治区生态环境分区管控动态更新成果》（新环环评发﹝2024﹞157号），</w:t>
            </w:r>
            <w:r>
              <w:rPr>
                <w:rFonts w:ascii="宋体" w:hAnsi="宋体" w:eastAsia="宋体" w:cs="宋体"/>
                <w:spacing w:val="-6"/>
                <w:sz w:val="24"/>
                <w:szCs w:val="24"/>
                <w:highlight w:val="none"/>
              </w:rPr>
              <w:t>新疆维吾尔自治区总体管控要求符</w:t>
            </w:r>
            <w:r>
              <w:rPr>
                <w:rFonts w:hint="default" w:ascii="Times New Roman" w:hAnsi="Times New Roman" w:eastAsia="宋体" w:cs="Times New Roman"/>
                <w:spacing w:val="-6"/>
                <w:sz w:val="24"/>
                <w:szCs w:val="24"/>
                <w:highlight w:val="none"/>
              </w:rPr>
              <w:t>合性分析见</w:t>
            </w:r>
            <w:r>
              <w:rPr>
                <w:rFonts w:hint="default" w:ascii="Times New Roman" w:hAnsi="Times New Roman" w:eastAsia="宋体" w:cs="Times New Roman"/>
                <w:spacing w:val="-6"/>
                <w:sz w:val="24"/>
                <w:szCs w:val="24"/>
                <w:highlight w:val="none"/>
                <w:lang w:val="en-US" w:eastAsia="zh-CN"/>
              </w:rPr>
              <w:t>表1-</w:t>
            </w:r>
            <w:r>
              <w:rPr>
                <w:rFonts w:hint="eastAsia" w:ascii="Times New Roman" w:hAnsi="Times New Roman" w:eastAsia="宋体" w:cs="Times New Roman"/>
                <w:spacing w:val="-6"/>
                <w:sz w:val="24"/>
                <w:szCs w:val="24"/>
                <w:highlight w:val="none"/>
                <w:lang w:val="en-US" w:eastAsia="zh-CN"/>
              </w:rPr>
              <w:t>3</w:t>
            </w:r>
            <w:r>
              <w:rPr>
                <w:rFonts w:hint="default" w:ascii="Times New Roman" w:hAnsi="Times New Roman" w:eastAsia="宋体" w:cs="Times New Roman"/>
                <w:spacing w:val="-6"/>
                <w:sz w:val="24"/>
                <w:szCs w:val="24"/>
                <w:highlight w:val="none"/>
                <w:lang w:val="en-US" w:eastAsia="zh-CN"/>
              </w:rPr>
              <w:t>。</w:t>
            </w:r>
          </w:p>
          <w:p w14:paraId="619CDD8D">
            <w:pPr>
              <w:shd w:val="clear" w:color="auto" w:fill="auto"/>
              <w:spacing w:before="34" w:line="219" w:lineRule="auto"/>
              <w:ind w:left="617"/>
              <w:rPr>
                <w:rFonts w:hint="default" w:ascii="Times New Roman" w:hAnsi="Times New Roman" w:eastAsia="宋体" w:cs="Times New Roman"/>
                <w:sz w:val="21"/>
                <w:szCs w:val="21"/>
                <w:highlight w:val="none"/>
              </w:rPr>
            </w:pPr>
            <w:r>
              <w:rPr>
                <w:rFonts w:hint="default" w:ascii="Times New Roman" w:hAnsi="Times New Roman" w:eastAsia="宋体" w:cs="Times New Roman"/>
                <w:b/>
                <w:bCs/>
                <w:spacing w:val="-2"/>
                <w:sz w:val="21"/>
                <w:szCs w:val="21"/>
                <w:highlight w:val="none"/>
              </w:rPr>
              <w:t>表</w:t>
            </w:r>
            <w:r>
              <w:rPr>
                <w:rFonts w:hint="default" w:ascii="Times New Roman" w:hAnsi="Times New Roman" w:eastAsia="宋体" w:cs="Times New Roman"/>
                <w:spacing w:val="-37"/>
                <w:sz w:val="21"/>
                <w:szCs w:val="21"/>
                <w:highlight w:val="none"/>
              </w:rPr>
              <w:t xml:space="preserve"> </w:t>
            </w:r>
            <w:r>
              <w:rPr>
                <w:rFonts w:hint="default" w:ascii="Times New Roman" w:hAnsi="Times New Roman" w:eastAsia="宋体" w:cs="Times New Roman"/>
                <w:b/>
                <w:bCs/>
                <w:spacing w:val="-2"/>
                <w:sz w:val="21"/>
                <w:szCs w:val="21"/>
                <w:highlight w:val="none"/>
                <w:lang w:val="en-US" w:eastAsia="zh-CN"/>
              </w:rPr>
              <w:t>1-</w:t>
            </w:r>
            <w:r>
              <w:rPr>
                <w:rFonts w:hint="eastAsia" w:ascii="Times New Roman" w:hAnsi="Times New Roman" w:eastAsia="宋体" w:cs="Times New Roman"/>
                <w:b/>
                <w:bCs/>
                <w:spacing w:val="-2"/>
                <w:sz w:val="21"/>
                <w:szCs w:val="21"/>
                <w:highlight w:val="none"/>
                <w:lang w:val="en-US" w:eastAsia="zh-CN"/>
              </w:rPr>
              <w:t>3</w:t>
            </w:r>
            <w:r>
              <w:rPr>
                <w:rFonts w:hint="default" w:ascii="Times New Roman" w:hAnsi="Times New Roman" w:eastAsia="宋体" w:cs="Times New Roman"/>
                <w:b/>
                <w:bCs/>
                <w:spacing w:val="-2"/>
                <w:sz w:val="21"/>
                <w:szCs w:val="21"/>
                <w:highlight w:val="none"/>
              </w:rPr>
              <w:t xml:space="preserve">  与《新疆维吾尔自治区总体管控要求》符合性分析</w:t>
            </w:r>
          </w:p>
          <w:p w14:paraId="69F74AA7">
            <w:pPr>
              <w:shd w:val="clear" w:color="auto" w:fill="auto"/>
              <w:spacing w:line="85" w:lineRule="auto"/>
              <w:rPr>
                <w:rFonts w:ascii="Arial"/>
                <w:sz w:val="2"/>
                <w:highlight w:val="none"/>
              </w:rPr>
            </w:pPr>
          </w:p>
          <w:tbl>
            <w:tblPr>
              <w:tblStyle w:val="71"/>
              <w:tblW w:w="49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354"/>
              <w:gridCol w:w="309"/>
              <w:gridCol w:w="576"/>
              <w:gridCol w:w="2997"/>
              <w:gridCol w:w="2072"/>
              <w:gridCol w:w="218"/>
            </w:tblGrid>
            <w:tr w14:paraId="0C2E0E9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1" w:type="pct"/>
                  <w:tcBorders>
                    <w:tl2br w:val="nil"/>
                    <w:tr2bl w:val="nil"/>
                  </w:tcBorders>
                  <w:noWrap w:val="0"/>
                  <w:vAlign w:val="center"/>
                </w:tcPr>
                <w:p w14:paraId="6C892C5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3"/>
                      <w:sz w:val="18"/>
                      <w:szCs w:val="18"/>
                      <w:highlight w:val="none"/>
                    </w:rPr>
                    <w:t>名称</w:t>
                  </w:r>
                </w:p>
              </w:tc>
              <w:tc>
                <w:tcPr>
                  <w:tcW w:w="2974" w:type="pct"/>
                  <w:gridSpan w:val="3"/>
                  <w:tcBorders>
                    <w:tl2br w:val="nil"/>
                    <w:tr2bl w:val="nil"/>
                  </w:tcBorders>
                  <w:noWrap w:val="0"/>
                  <w:vAlign w:val="center"/>
                </w:tcPr>
                <w:p w14:paraId="7A7E433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6"/>
                      <w:sz w:val="18"/>
                      <w:szCs w:val="18"/>
                      <w:highlight w:val="none"/>
                    </w:rPr>
                    <w:t>管控要求</w:t>
                  </w:r>
                </w:p>
              </w:tc>
              <w:tc>
                <w:tcPr>
                  <w:tcW w:w="1587" w:type="pct"/>
                  <w:tcBorders>
                    <w:tl2br w:val="nil"/>
                    <w:tr2bl w:val="nil"/>
                  </w:tcBorders>
                  <w:noWrap w:val="0"/>
                  <w:vAlign w:val="center"/>
                </w:tcPr>
                <w:p w14:paraId="0EDF528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7"/>
                      <w:sz w:val="18"/>
                      <w:szCs w:val="18"/>
                      <w:highlight w:val="none"/>
                    </w:rPr>
                    <w:t>本次工程</w:t>
                  </w:r>
                </w:p>
              </w:tc>
              <w:tc>
                <w:tcPr>
                  <w:tcW w:w="167" w:type="pct"/>
                  <w:tcBorders>
                    <w:tl2br w:val="nil"/>
                    <w:tr2bl w:val="nil"/>
                  </w:tcBorders>
                  <w:noWrap w:val="0"/>
                  <w:vAlign w:val="center"/>
                </w:tcPr>
                <w:p w14:paraId="03B2440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6"/>
                      <w:sz w:val="18"/>
                      <w:szCs w:val="18"/>
                      <w:highlight w:val="none"/>
                    </w:rPr>
                    <w:t>符合性</w:t>
                  </w:r>
                </w:p>
              </w:tc>
            </w:tr>
            <w:tr w14:paraId="37D5756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81" w:hRule="atLeast"/>
                <w:jc w:val="center"/>
              </w:trPr>
              <w:tc>
                <w:tcPr>
                  <w:tcW w:w="271" w:type="pct"/>
                  <w:vMerge w:val="restart"/>
                  <w:tcBorders>
                    <w:tl2br w:val="nil"/>
                    <w:tr2bl w:val="nil"/>
                  </w:tcBorders>
                  <w:noWrap w:val="0"/>
                  <w:vAlign w:val="center"/>
                </w:tcPr>
                <w:p w14:paraId="1A8AEFD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4"/>
                      <w:sz w:val="18"/>
                      <w:szCs w:val="18"/>
                      <w:highlight w:val="none"/>
                    </w:rPr>
                    <w:t>新疆维吾尔自治区总体管控要求</w:t>
                  </w:r>
                </w:p>
              </w:tc>
              <w:tc>
                <w:tcPr>
                  <w:tcW w:w="237" w:type="pct"/>
                  <w:vMerge w:val="restart"/>
                  <w:tcBorders>
                    <w:tl2br w:val="nil"/>
                    <w:tr2bl w:val="nil"/>
                  </w:tcBorders>
                  <w:noWrap w:val="0"/>
                  <w:vAlign w:val="center"/>
                </w:tcPr>
                <w:p w14:paraId="581309CB">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319D9C64">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0BA98F2C">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5180DA8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Times New Roman" w:cs="Times New Roman"/>
                      <w:spacing w:val="4"/>
                      <w:sz w:val="18"/>
                      <w:szCs w:val="18"/>
                      <w:highlight w:val="none"/>
                    </w:rPr>
                    <w:t>A1</w:t>
                  </w:r>
                  <w:r>
                    <w:rPr>
                      <w:rFonts w:hint="default" w:ascii="Times New Roman" w:hAnsi="Times New Roman" w:eastAsia="宋体" w:cs="Times New Roman"/>
                      <w:spacing w:val="4"/>
                      <w:sz w:val="18"/>
                      <w:szCs w:val="18"/>
                      <w:highlight w:val="none"/>
                    </w:rPr>
                    <w:t>空间布局约束</w:t>
                  </w:r>
                </w:p>
              </w:tc>
              <w:tc>
                <w:tcPr>
                  <w:tcW w:w="441" w:type="pct"/>
                  <w:vMerge w:val="restart"/>
                  <w:tcBorders>
                    <w:tl2br w:val="nil"/>
                    <w:tr2bl w:val="nil"/>
                  </w:tcBorders>
                  <w:noWrap w:val="0"/>
                  <w:vAlign w:val="center"/>
                </w:tcPr>
                <w:p w14:paraId="0476CFA0">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675B07C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sz w:val="18"/>
                      <w:szCs w:val="18"/>
                      <w:highlight w:val="none"/>
                    </w:rPr>
                  </w:pPr>
                  <w:r>
                    <w:rPr>
                      <w:rFonts w:hint="default" w:ascii="Times New Roman" w:hAnsi="Times New Roman" w:eastAsia="Times New Roman" w:cs="Times New Roman"/>
                      <w:spacing w:val="3"/>
                      <w:sz w:val="18"/>
                      <w:szCs w:val="18"/>
                      <w:highlight w:val="none"/>
                    </w:rPr>
                    <w:t>A1.1</w:t>
                  </w:r>
                </w:p>
                <w:p w14:paraId="1AABB0E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4"/>
                      <w:sz w:val="18"/>
                      <w:szCs w:val="18"/>
                      <w:highlight w:val="none"/>
                    </w:rPr>
                    <w:t>禁止</w:t>
                  </w:r>
                </w:p>
                <w:p w14:paraId="6267F8F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4"/>
                      <w:sz w:val="18"/>
                      <w:szCs w:val="18"/>
                      <w:highlight w:val="none"/>
                    </w:rPr>
                    <w:t>开发</w:t>
                  </w:r>
                </w:p>
                <w:p w14:paraId="17B70CC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3"/>
                      <w:sz w:val="18"/>
                      <w:szCs w:val="18"/>
                      <w:highlight w:val="none"/>
                    </w:rPr>
                    <w:t>建设</w:t>
                  </w:r>
                </w:p>
                <w:p w14:paraId="42EFF27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4"/>
                      <w:sz w:val="18"/>
                      <w:szCs w:val="18"/>
                      <w:highlight w:val="none"/>
                    </w:rPr>
                    <w:t>的活</w:t>
                  </w:r>
                </w:p>
                <w:p w14:paraId="11DF0BC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动</w:t>
                  </w:r>
                </w:p>
              </w:tc>
              <w:tc>
                <w:tcPr>
                  <w:tcW w:w="2295" w:type="pct"/>
                  <w:tcBorders>
                    <w:tl2br w:val="nil"/>
                    <w:tr2bl w:val="nil"/>
                  </w:tcBorders>
                  <w:noWrap w:val="0"/>
                  <w:vAlign w:val="center"/>
                </w:tcPr>
                <w:p w14:paraId="7691AB31">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225CCF2B">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3FE96C8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4"/>
                      <w:sz w:val="18"/>
                      <w:szCs w:val="18"/>
                      <w:highlight w:val="none"/>
                    </w:rPr>
                    <w:t>〔</w:t>
                  </w:r>
                  <w:r>
                    <w:rPr>
                      <w:rFonts w:hint="default" w:ascii="Times New Roman" w:hAnsi="Times New Roman" w:eastAsia="Times New Roman" w:cs="Times New Roman"/>
                      <w:spacing w:val="4"/>
                      <w:sz w:val="18"/>
                      <w:szCs w:val="18"/>
                      <w:highlight w:val="none"/>
                    </w:rPr>
                    <w:t>A1.1-1</w:t>
                  </w:r>
                  <w:r>
                    <w:rPr>
                      <w:rFonts w:hint="default" w:ascii="Times New Roman" w:hAnsi="Times New Roman" w:eastAsia="宋体" w:cs="Times New Roman"/>
                      <w:spacing w:val="4"/>
                      <w:sz w:val="18"/>
                      <w:szCs w:val="18"/>
                      <w:highlight w:val="none"/>
                    </w:rPr>
                    <w:t>〕禁止新建、扩建《产业结构</w:t>
                  </w:r>
                  <w:r>
                    <w:rPr>
                      <w:rFonts w:hint="default" w:ascii="Times New Roman" w:hAnsi="Times New Roman" w:eastAsia="宋体" w:cs="Times New Roman"/>
                      <w:spacing w:val="9"/>
                      <w:sz w:val="18"/>
                      <w:szCs w:val="18"/>
                      <w:highlight w:val="none"/>
                    </w:rPr>
                    <w:t>调整指导目录（</w:t>
                  </w:r>
                  <w:r>
                    <w:rPr>
                      <w:rFonts w:hint="default" w:ascii="Times New Roman" w:hAnsi="Times New Roman" w:eastAsia="Times New Roman" w:cs="Times New Roman"/>
                      <w:spacing w:val="9"/>
                      <w:sz w:val="18"/>
                      <w:szCs w:val="18"/>
                      <w:highlight w:val="none"/>
                    </w:rPr>
                    <w:t>2024</w:t>
                  </w:r>
                  <w:r>
                    <w:rPr>
                      <w:rFonts w:hint="default" w:ascii="Times New Roman" w:hAnsi="Times New Roman" w:eastAsia="宋体" w:cs="Times New Roman"/>
                      <w:spacing w:val="9"/>
                      <w:sz w:val="18"/>
                      <w:szCs w:val="18"/>
                      <w:highlight w:val="none"/>
                    </w:rPr>
                    <w:t>年本）》中淘汰</w:t>
                  </w:r>
                  <w:r>
                    <w:rPr>
                      <w:rFonts w:hint="default" w:ascii="Times New Roman" w:hAnsi="Times New Roman" w:eastAsia="宋体" w:cs="Times New Roman"/>
                      <w:spacing w:val="4"/>
                      <w:sz w:val="18"/>
                      <w:szCs w:val="18"/>
                      <w:highlight w:val="none"/>
                    </w:rPr>
                    <w:t>类项目。禁止引入《市场准入负面清单</w:t>
                  </w:r>
                  <w:r>
                    <w:rPr>
                      <w:rFonts w:hint="default" w:ascii="Times New Roman" w:hAnsi="Times New Roman" w:eastAsia="宋体" w:cs="Times New Roman"/>
                      <w:spacing w:val="7"/>
                      <w:sz w:val="18"/>
                      <w:szCs w:val="18"/>
                      <w:highlight w:val="none"/>
                    </w:rPr>
                    <w:t>（</w:t>
                  </w:r>
                  <w:r>
                    <w:rPr>
                      <w:rFonts w:hint="default" w:ascii="Times New Roman" w:hAnsi="Times New Roman" w:eastAsia="Times New Roman" w:cs="Times New Roman"/>
                      <w:spacing w:val="7"/>
                      <w:sz w:val="18"/>
                      <w:szCs w:val="18"/>
                      <w:highlight w:val="none"/>
                    </w:rPr>
                    <w:t>2022</w:t>
                  </w:r>
                  <w:r>
                    <w:rPr>
                      <w:rFonts w:hint="default" w:ascii="Times New Roman" w:hAnsi="Times New Roman" w:eastAsia="宋体" w:cs="Times New Roman"/>
                      <w:spacing w:val="7"/>
                      <w:sz w:val="18"/>
                      <w:szCs w:val="18"/>
                      <w:highlight w:val="none"/>
                    </w:rPr>
                    <w:t>年版）》禁止准入类事项</w:t>
                  </w:r>
                </w:p>
              </w:tc>
              <w:tc>
                <w:tcPr>
                  <w:tcW w:w="1587" w:type="pct"/>
                  <w:tcBorders>
                    <w:tl2br w:val="nil"/>
                    <w:tr2bl w:val="nil"/>
                  </w:tcBorders>
                  <w:noWrap w:val="0"/>
                  <w:vAlign w:val="center"/>
                </w:tcPr>
                <w:p w14:paraId="706C46D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4"/>
                      <w:sz w:val="18"/>
                      <w:szCs w:val="18"/>
                      <w:highlight w:val="none"/>
                    </w:rPr>
                    <w:t>本工程属于《产业结构调整指导目录</w:t>
                  </w:r>
                  <w:r>
                    <w:rPr>
                      <w:rFonts w:hint="default" w:ascii="Times New Roman" w:hAnsi="Times New Roman" w:eastAsia="宋体" w:cs="Times New Roman"/>
                      <w:spacing w:val="4"/>
                      <w:sz w:val="18"/>
                      <w:szCs w:val="18"/>
                      <w:highlight w:val="none"/>
                      <w:lang w:eastAsia="zh-CN"/>
                    </w:rPr>
                    <w:t>（</w:t>
                  </w:r>
                  <w:r>
                    <w:rPr>
                      <w:rFonts w:hint="default" w:ascii="Times New Roman" w:hAnsi="Times New Roman" w:eastAsia="宋体" w:cs="Times New Roman"/>
                      <w:spacing w:val="4"/>
                      <w:sz w:val="18"/>
                      <w:szCs w:val="18"/>
                      <w:highlight w:val="none"/>
                    </w:rPr>
                    <w:t>2024年本</w:t>
                  </w:r>
                  <w:r>
                    <w:rPr>
                      <w:rFonts w:hint="default" w:ascii="Times New Roman" w:hAnsi="Times New Roman" w:eastAsia="宋体" w:cs="Times New Roman"/>
                      <w:spacing w:val="4"/>
                      <w:sz w:val="18"/>
                      <w:szCs w:val="18"/>
                      <w:highlight w:val="none"/>
                      <w:lang w:eastAsia="zh-CN"/>
                    </w:rPr>
                    <w:t>）</w:t>
                  </w:r>
                  <w:r>
                    <w:rPr>
                      <w:rFonts w:hint="default" w:ascii="Times New Roman" w:hAnsi="Times New Roman" w:eastAsia="宋体" w:cs="Times New Roman"/>
                      <w:spacing w:val="4"/>
                      <w:sz w:val="18"/>
                      <w:szCs w:val="18"/>
                      <w:highlight w:val="none"/>
                    </w:rPr>
                    <w:t>》中鼓励类中“二十四、公路及道路运输</w:t>
                  </w:r>
                  <w:r>
                    <w:rPr>
                      <w:rFonts w:hint="default" w:ascii="Times New Roman" w:hAnsi="Times New Roman" w:eastAsia="宋体" w:cs="Times New Roman"/>
                      <w:spacing w:val="4"/>
                      <w:sz w:val="18"/>
                      <w:szCs w:val="18"/>
                      <w:highlight w:val="none"/>
                      <w:lang w:val="en-US" w:eastAsia="zh-CN"/>
                    </w:rPr>
                    <w:t>1.公路交通网络建设：国家高速公路网项目建设，国省干线改造升级，汽车客货运站、城市公交站，城市公共交通</w:t>
                  </w:r>
                  <w:r>
                    <w:rPr>
                      <w:rFonts w:hint="default" w:ascii="Times New Roman" w:hAnsi="Times New Roman" w:eastAsia="宋体" w:cs="Times New Roman"/>
                      <w:spacing w:val="4"/>
                      <w:sz w:val="18"/>
                      <w:szCs w:val="18"/>
                      <w:highlight w:val="none"/>
                    </w:rPr>
                    <w:t>，同时不属于《市场准入负面清单（202</w:t>
                  </w:r>
                  <w:r>
                    <w:rPr>
                      <w:rFonts w:hint="default" w:ascii="Times New Roman" w:hAnsi="Times New Roman" w:eastAsia="宋体" w:cs="Times New Roman"/>
                      <w:spacing w:val="4"/>
                      <w:sz w:val="18"/>
                      <w:szCs w:val="18"/>
                      <w:highlight w:val="none"/>
                      <w:lang w:val="en-US" w:eastAsia="zh-CN"/>
                    </w:rPr>
                    <w:t>5</w:t>
                  </w:r>
                  <w:r>
                    <w:rPr>
                      <w:rFonts w:hint="default" w:ascii="Times New Roman" w:hAnsi="Times New Roman" w:eastAsia="宋体" w:cs="Times New Roman"/>
                      <w:spacing w:val="4"/>
                      <w:sz w:val="18"/>
                      <w:szCs w:val="18"/>
                      <w:highlight w:val="none"/>
                    </w:rPr>
                    <w:t>年版）》禁止准入类事项。</w:t>
                  </w:r>
                </w:p>
              </w:tc>
              <w:tc>
                <w:tcPr>
                  <w:tcW w:w="167" w:type="pct"/>
                  <w:tcBorders>
                    <w:tl2br w:val="nil"/>
                    <w:tr2bl w:val="nil"/>
                  </w:tcBorders>
                  <w:noWrap w:val="0"/>
                  <w:vAlign w:val="center"/>
                </w:tcPr>
                <w:p w14:paraId="10A7B46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3"/>
                      <w:sz w:val="18"/>
                      <w:szCs w:val="18"/>
                      <w:highlight w:val="none"/>
                    </w:rPr>
                    <w:t>符合</w:t>
                  </w:r>
                </w:p>
              </w:tc>
            </w:tr>
            <w:tr w14:paraId="2EE4481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51DDBD44">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37" w:type="pct"/>
                  <w:vMerge w:val="continue"/>
                  <w:tcBorders>
                    <w:tl2br w:val="nil"/>
                    <w:tr2bl w:val="nil"/>
                  </w:tcBorders>
                  <w:noWrap w:val="0"/>
                  <w:vAlign w:val="center"/>
                </w:tcPr>
                <w:p w14:paraId="7C10FC3B">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441" w:type="pct"/>
                  <w:vMerge w:val="continue"/>
                  <w:tcBorders>
                    <w:tl2br w:val="nil"/>
                    <w:tr2bl w:val="nil"/>
                  </w:tcBorders>
                  <w:noWrap w:val="0"/>
                  <w:vAlign w:val="center"/>
                </w:tcPr>
                <w:p w14:paraId="0C3CD26A">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295" w:type="pct"/>
                  <w:tcBorders>
                    <w:tl2br w:val="nil"/>
                    <w:tr2bl w:val="nil"/>
                  </w:tcBorders>
                  <w:noWrap w:val="0"/>
                  <w:vAlign w:val="center"/>
                </w:tcPr>
                <w:p w14:paraId="4EF7FA1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pacing w:val="4"/>
                      <w:sz w:val="18"/>
                      <w:szCs w:val="18"/>
                      <w:highlight w:val="none"/>
                    </w:rPr>
                    <w:t>〔</w:t>
                  </w:r>
                  <w:r>
                    <w:rPr>
                      <w:rFonts w:hint="default" w:ascii="Times New Roman" w:hAnsi="Times New Roman" w:eastAsia="Times New Roman" w:cs="Times New Roman"/>
                      <w:spacing w:val="4"/>
                      <w:sz w:val="18"/>
                      <w:szCs w:val="18"/>
                      <w:highlight w:val="none"/>
                    </w:rPr>
                    <w:t>A1.1-2</w:t>
                  </w:r>
                  <w:r>
                    <w:rPr>
                      <w:rFonts w:hint="default" w:ascii="Times New Roman" w:hAnsi="Times New Roman" w:eastAsia="宋体" w:cs="Times New Roman"/>
                      <w:spacing w:val="4"/>
                      <w:sz w:val="18"/>
                      <w:szCs w:val="18"/>
                      <w:highlight w:val="none"/>
                    </w:rPr>
                    <w:t>〕禁止建设不符合国家和自治</w:t>
                  </w:r>
                  <w:r>
                    <w:rPr>
                      <w:rFonts w:hint="default" w:ascii="Times New Roman" w:hAnsi="Times New Roman" w:eastAsia="宋体" w:cs="Times New Roman"/>
                      <w:spacing w:val="4"/>
                      <w:sz w:val="18"/>
                      <w:szCs w:val="18"/>
                      <w:highlight w:val="none"/>
                      <w:lang w:val="en-US" w:eastAsia="zh-CN"/>
                    </w:rPr>
                    <w:t>区环境保护标准的项目。</w:t>
                  </w:r>
                </w:p>
              </w:tc>
              <w:tc>
                <w:tcPr>
                  <w:tcW w:w="1587" w:type="pct"/>
                  <w:tcBorders>
                    <w:tl2br w:val="nil"/>
                    <w:tr2bl w:val="nil"/>
                  </w:tcBorders>
                  <w:noWrap w:val="0"/>
                  <w:vAlign w:val="center"/>
                </w:tcPr>
                <w:p w14:paraId="39D72D7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8"/>
                      <w:sz w:val="18"/>
                      <w:szCs w:val="18"/>
                      <w:highlight w:val="none"/>
                    </w:rPr>
                    <w:t>本工程各污染物均达标排放，满</w:t>
                  </w:r>
                  <w:r>
                    <w:rPr>
                      <w:rFonts w:hint="default" w:ascii="Times New Roman" w:hAnsi="Times New Roman" w:eastAsia="宋体" w:cs="Times New Roman"/>
                      <w:spacing w:val="24"/>
                      <w:sz w:val="18"/>
                      <w:szCs w:val="18"/>
                      <w:highlight w:val="none"/>
                    </w:rPr>
                    <w:t>足国家和自治区环境保护</w:t>
                  </w:r>
                  <w:r>
                    <w:rPr>
                      <w:rFonts w:hint="default" w:ascii="Times New Roman" w:hAnsi="Times New Roman" w:eastAsia="宋体" w:cs="Times New Roman"/>
                      <w:spacing w:val="24"/>
                      <w:sz w:val="18"/>
                      <w:szCs w:val="18"/>
                      <w:highlight w:val="none"/>
                      <w:lang w:val="en-US" w:eastAsia="zh-CN"/>
                    </w:rPr>
                    <w:t>相关</w:t>
                  </w:r>
                  <w:r>
                    <w:rPr>
                      <w:rFonts w:hint="default" w:ascii="Times New Roman" w:hAnsi="Times New Roman" w:eastAsia="宋体" w:cs="Times New Roman"/>
                      <w:spacing w:val="7"/>
                      <w:sz w:val="18"/>
                      <w:szCs w:val="18"/>
                      <w:highlight w:val="none"/>
                    </w:rPr>
                    <w:t>标准要求</w:t>
                  </w:r>
                </w:p>
              </w:tc>
              <w:tc>
                <w:tcPr>
                  <w:tcW w:w="167" w:type="pct"/>
                  <w:tcBorders>
                    <w:tl2br w:val="nil"/>
                    <w:tr2bl w:val="nil"/>
                  </w:tcBorders>
                  <w:noWrap w:val="0"/>
                  <w:vAlign w:val="center"/>
                </w:tcPr>
                <w:p w14:paraId="37880ED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3"/>
                      <w:sz w:val="18"/>
                      <w:szCs w:val="18"/>
                      <w:highlight w:val="none"/>
                    </w:rPr>
                    <w:t>符合</w:t>
                  </w:r>
                </w:p>
              </w:tc>
            </w:tr>
            <w:tr w14:paraId="1272C73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266D9CF9">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37" w:type="pct"/>
                  <w:vMerge w:val="continue"/>
                  <w:tcBorders>
                    <w:tl2br w:val="nil"/>
                    <w:tr2bl w:val="nil"/>
                  </w:tcBorders>
                  <w:noWrap w:val="0"/>
                  <w:vAlign w:val="center"/>
                </w:tcPr>
                <w:p w14:paraId="7465861F">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441" w:type="pct"/>
                  <w:vMerge w:val="continue"/>
                  <w:tcBorders>
                    <w:tl2br w:val="nil"/>
                    <w:tr2bl w:val="nil"/>
                  </w:tcBorders>
                  <w:noWrap w:val="0"/>
                  <w:vAlign w:val="center"/>
                </w:tcPr>
                <w:p w14:paraId="4B9BD734">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295" w:type="pct"/>
                  <w:tcBorders>
                    <w:tl2br w:val="nil"/>
                    <w:tr2bl w:val="nil"/>
                  </w:tcBorders>
                  <w:noWrap w:val="0"/>
                  <w:vAlign w:val="center"/>
                </w:tcPr>
                <w:p w14:paraId="4CE49948">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1"/>
                      <w:sz w:val="18"/>
                      <w:szCs w:val="18"/>
                      <w:highlight w:val="none"/>
                    </w:rPr>
                    <w:t>〔</w:t>
                  </w:r>
                  <w:r>
                    <w:rPr>
                      <w:rFonts w:hint="default" w:ascii="Times New Roman" w:hAnsi="Times New Roman" w:eastAsia="Times New Roman" w:cs="Times New Roman"/>
                      <w:spacing w:val="1"/>
                      <w:sz w:val="18"/>
                      <w:szCs w:val="18"/>
                      <w:highlight w:val="none"/>
                    </w:rPr>
                    <w:t>A1.1-9</w:t>
                  </w:r>
                  <w:r>
                    <w:rPr>
                      <w:rFonts w:hint="default" w:ascii="Times New Roman" w:hAnsi="Times New Roman" w:eastAsia="宋体" w:cs="Times New Roman"/>
                      <w:spacing w:val="1"/>
                      <w:sz w:val="18"/>
                      <w:szCs w:val="18"/>
                      <w:highlight w:val="none"/>
                    </w:rPr>
                    <w:t>〕严禁新建自治区《禁止、控</w:t>
                  </w:r>
                  <w:r>
                    <w:rPr>
                      <w:rFonts w:hint="default" w:ascii="Times New Roman" w:hAnsi="Times New Roman" w:eastAsia="宋体" w:cs="Times New Roman"/>
                      <w:spacing w:val="4"/>
                      <w:sz w:val="18"/>
                      <w:szCs w:val="18"/>
                      <w:highlight w:val="none"/>
                    </w:rPr>
                    <w:t>制和限制危险化学品目录》中淘汰类、</w:t>
                  </w:r>
                  <w:r>
                    <w:rPr>
                      <w:rFonts w:hint="default" w:ascii="Times New Roman" w:hAnsi="Times New Roman" w:eastAsia="宋体" w:cs="Times New Roman"/>
                      <w:spacing w:val="2"/>
                      <w:sz w:val="18"/>
                      <w:szCs w:val="18"/>
                      <w:highlight w:val="none"/>
                    </w:rPr>
                    <w:t>禁止类危险化学品化工项目。严格执行</w:t>
                  </w:r>
                  <w:r>
                    <w:rPr>
                      <w:rFonts w:hint="default" w:ascii="Times New Roman" w:hAnsi="Times New Roman" w:eastAsia="宋体" w:cs="Times New Roman"/>
                      <w:spacing w:val="14"/>
                      <w:sz w:val="18"/>
                      <w:szCs w:val="18"/>
                      <w:highlight w:val="none"/>
                    </w:rPr>
                    <w:t>生态保护红线、永久基本农田管控要</w:t>
                  </w:r>
                  <w:r>
                    <w:rPr>
                      <w:rFonts w:hint="default" w:ascii="Times New Roman" w:hAnsi="Times New Roman" w:eastAsia="宋体" w:cs="Times New Roman"/>
                      <w:spacing w:val="2"/>
                      <w:sz w:val="18"/>
                      <w:szCs w:val="18"/>
                      <w:highlight w:val="none"/>
                    </w:rPr>
                    <w:t>求，禁止新（改、扩）建化工项目违规占用生态保护红线和永久基本农田。在塔里木河、伊犁河、额尔齐斯河干流及</w:t>
                  </w:r>
                  <w:r>
                    <w:rPr>
                      <w:rFonts w:hint="default" w:ascii="Times New Roman" w:hAnsi="Times New Roman" w:eastAsia="宋体" w:cs="Times New Roman"/>
                      <w:spacing w:val="8"/>
                      <w:sz w:val="18"/>
                      <w:szCs w:val="18"/>
                      <w:highlight w:val="none"/>
                    </w:rPr>
                    <w:t>主要支流岸线</w:t>
                  </w:r>
                  <w:r>
                    <w:rPr>
                      <w:rFonts w:hint="default" w:ascii="Times New Roman" w:hAnsi="Times New Roman" w:eastAsia="Times New Roman" w:cs="Times New Roman"/>
                      <w:spacing w:val="8"/>
                      <w:sz w:val="18"/>
                      <w:szCs w:val="18"/>
                      <w:highlight w:val="none"/>
                    </w:rPr>
                    <w:t>1</w:t>
                  </w:r>
                  <w:r>
                    <w:rPr>
                      <w:rFonts w:hint="default" w:ascii="Times New Roman" w:hAnsi="Times New Roman" w:eastAsia="宋体" w:cs="Times New Roman"/>
                      <w:spacing w:val="8"/>
                      <w:sz w:val="18"/>
                      <w:szCs w:val="18"/>
                      <w:highlight w:val="none"/>
                    </w:rPr>
                    <w:t>公里范围内，除提升</w:t>
                  </w:r>
                  <w:r>
                    <w:rPr>
                      <w:rFonts w:hint="default" w:ascii="Times New Roman" w:hAnsi="Times New Roman" w:eastAsia="宋体" w:cs="Times New Roman"/>
                      <w:spacing w:val="2"/>
                      <w:sz w:val="18"/>
                      <w:szCs w:val="18"/>
                      <w:highlight w:val="none"/>
                    </w:rPr>
                    <w:t>安全、环保、节能、智能化、产品质量</w:t>
                  </w:r>
                  <w:r>
                    <w:rPr>
                      <w:rFonts w:hint="default" w:ascii="Times New Roman" w:hAnsi="Times New Roman" w:eastAsia="宋体" w:cs="Times New Roman"/>
                      <w:spacing w:val="14"/>
                      <w:sz w:val="18"/>
                      <w:szCs w:val="18"/>
                      <w:highlight w:val="none"/>
                    </w:rPr>
                    <w:t>水平的技术改造项目外，严格禁止新</w:t>
                  </w:r>
                  <w:r>
                    <w:rPr>
                      <w:rFonts w:hint="default" w:ascii="Times New Roman" w:hAnsi="Times New Roman" w:eastAsia="宋体" w:cs="Times New Roman"/>
                      <w:spacing w:val="2"/>
                      <w:sz w:val="18"/>
                      <w:szCs w:val="18"/>
                      <w:highlight w:val="none"/>
                    </w:rPr>
                    <w:t>建、扩建化工项目，不得布局新的化工</w:t>
                  </w:r>
                  <w:r>
                    <w:rPr>
                      <w:rFonts w:hint="default" w:ascii="Times New Roman" w:hAnsi="Times New Roman" w:eastAsia="宋体" w:cs="Times New Roman"/>
                      <w:spacing w:val="5"/>
                      <w:sz w:val="18"/>
                      <w:szCs w:val="18"/>
                      <w:highlight w:val="none"/>
                    </w:rPr>
                    <w:t>园区（含化工集中区）。</w:t>
                  </w:r>
                </w:p>
              </w:tc>
              <w:tc>
                <w:tcPr>
                  <w:tcW w:w="1587" w:type="pct"/>
                  <w:tcBorders>
                    <w:tl2br w:val="nil"/>
                    <w:tr2bl w:val="nil"/>
                  </w:tcBorders>
                  <w:noWrap w:val="0"/>
                  <w:vAlign w:val="center"/>
                </w:tcPr>
                <w:p w14:paraId="16268A4C">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Times New Roman"/>
                      <w:spacing w:val="5"/>
                      <w:sz w:val="18"/>
                      <w:szCs w:val="18"/>
                      <w:highlight w:val="none"/>
                    </w:rPr>
                  </w:pPr>
                  <w:r>
                    <w:rPr>
                      <w:rFonts w:hint="default" w:ascii="Times New Roman" w:hAnsi="Times New Roman" w:eastAsia="宋体" w:cs="Times New Roman"/>
                      <w:spacing w:val="8"/>
                      <w:sz w:val="18"/>
                      <w:szCs w:val="18"/>
                      <w:highlight w:val="none"/>
                    </w:rPr>
                    <w:t>本工程为</w:t>
                  </w:r>
                  <w:r>
                    <w:rPr>
                      <w:rFonts w:hint="default" w:ascii="Times New Roman" w:hAnsi="Times New Roman" w:eastAsia="宋体" w:cs="Times New Roman"/>
                      <w:spacing w:val="8"/>
                      <w:sz w:val="18"/>
                      <w:szCs w:val="18"/>
                      <w:highlight w:val="none"/>
                      <w:lang w:val="en-US" w:eastAsia="zh-CN"/>
                    </w:rPr>
                    <w:t>等级公路建设</w:t>
                  </w:r>
                  <w:r>
                    <w:rPr>
                      <w:rFonts w:hint="default" w:ascii="Times New Roman" w:hAnsi="Times New Roman" w:eastAsia="宋体" w:cs="Times New Roman"/>
                      <w:spacing w:val="8"/>
                      <w:sz w:val="18"/>
                      <w:szCs w:val="18"/>
                      <w:highlight w:val="none"/>
                    </w:rPr>
                    <w:t>，不属于“两</w:t>
                  </w:r>
                  <w:r>
                    <w:rPr>
                      <w:rFonts w:hint="default" w:ascii="Times New Roman" w:hAnsi="Times New Roman" w:eastAsia="宋体" w:cs="Times New Roman"/>
                      <w:spacing w:val="6"/>
                      <w:sz w:val="18"/>
                      <w:szCs w:val="18"/>
                      <w:highlight w:val="none"/>
                    </w:rPr>
                    <w:t>高”项目，工程不占用生态保护红线和基本农田。</w:t>
                  </w:r>
                </w:p>
              </w:tc>
              <w:tc>
                <w:tcPr>
                  <w:tcW w:w="167" w:type="pct"/>
                  <w:tcBorders>
                    <w:tl2br w:val="nil"/>
                    <w:tr2bl w:val="nil"/>
                  </w:tcBorders>
                  <w:noWrap w:val="0"/>
                  <w:vAlign w:val="center"/>
                </w:tcPr>
                <w:p w14:paraId="03C8AD87">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3"/>
                      <w:sz w:val="18"/>
                      <w:szCs w:val="18"/>
                      <w:highlight w:val="none"/>
                    </w:rPr>
                    <w:t>符合</w:t>
                  </w:r>
                </w:p>
              </w:tc>
            </w:tr>
            <w:tr w14:paraId="38F5418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79E53554">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37" w:type="pct"/>
                  <w:vMerge w:val="continue"/>
                  <w:tcBorders>
                    <w:tl2br w:val="nil"/>
                    <w:tr2bl w:val="nil"/>
                  </w:tcBorders>
                  <w:noWrap w:val="0"/>
                  <w:vAlign w:val="center"/>
                </w:tcPr>
                <w:p w14:paraId="42DB50F4">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441" w:type="pct"/>
                  <w:vMerge w:val="restart"/>
                  <w:tcBorders>
                    <w:tl2br w:val="nil"/>
                    <w:tr2bl w:val="nil"/>
                  </w:tcBorders>
                  <w:noWrap w:val="0"/>
                  <w:vAlign w:val="center"/>
                </w:tcPr>
                <w:p w14:paraId="12BFC7E4">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53F9D9FF">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Times New Roman" w:cs="Times New Roman"/>
                      <w:sz w:val="18"/>
                      <w:szCs w:val="18"/>
                      <w:highlight w:val="none"/>
                    </w:rPr>
                  </w:pPr>
                  <w:r>
                    <w:rPr>
                      <w:rFonts w:hint="default" w:ascii="Times New Roman" w:hAnsi="Times New Roman" w:eastAsia="Times New Roman" w:cs="Times New Roman"/>
                      <w:spacing w:val="4"/>
                      <w:sz w:val="18"/>
                      <w:szCs w:val="18"/>
                      <w:highlight w:val="none"/>
                    </w:rPr>
                    <w:t>A1.2</w:t>
                  </w:r>
                </w:p>
                <w:p w14:paraId="64E607E7">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3"/>
                      <w:sz w:val="18"/>
                      <w:szCs w:val="18"/>
                      <w:highlight w:val="none"/>
                    </w:rPr>
                    <w:t>限制</w:t>
                  </w:r>
                </w:p>
                <w:p w14:paraId="759FCF70">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4"/>
                      <w:sz w:val="18"/>
                      <w:szCs w:val="18"/>
                      <w:highlight w:val="none"/>
                    </w:rPr>
                    <w:t>开发</w:t>
                  </w:r>
                </w:p>
                <w:p w14:paraId="3C457FFD">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3"/>
                      <w:sz w:val="18"/>
                      <w:szCs w:val="18"/>
                      <w:highlight w:val="none"/>
                    </w:rPr>
                    <w:t>建设</w:t>
                  </w:r>
                </w:p>
                <w:p w14:paraId="197D9B94">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4"/>
                      <w:sz w:val="18"/>
                      <w:szCs w:val="18"/>
                      <w:highlight w:val="none"/>
                    </w:rPr>
                    <w:t>的活</w:t>
                  </w:r>
                </w:p>
                <w:p w14:paraId="6110EF67">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cs="Times New Roman"/>
                      <w:sz w:val="18"/>
                      <w:szCs w:val="18"/>
                      <w:highlight w:val="none"/>
                    </w:rPr>
                  </w:pPr>
                  <w:r>
                    <w:rPr>
                      <w:rFonts w:hint="default" w:ascii="Times New Roman" w:hAnsi="Times New Roman" w:eastAsia="宋体" w:cs="Times New Roman"/>
                      <w:sz w:val="18"/>
                      <w:szCs w:val="18"/>
                      <w:highlight w:val="none"/>
                    </w:rPr>
                    <w:t>动</w:t>
                  </w:r>
                </w:p>
              </w:tc>
              <w:tc>
                <w:tcPr>
                  <w:tcW w:w="2295" w:type="pct"/>
                  <w:tcBorders>
                    <w:tl2br w:val="nil"/>
                    <w:tr2bl w:val="nil"/>
                  </w:tcBorders>
                  <w:noWrap w:val="0"/>
                  <w:vAlign w:val="center"/>
                </w:tcPr>
                <w:p w14:paraId="513F76DE">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1"/>
                      <w:sz w:val="18"/>
                      <w:szCs w:val="18"/>
                      <w:highlight w:val="none"/>
                    </w:rPr>
                  </w:pPr>
                  <w:r>
                    <w:rPr>
                      <w:rFonts w:hint="default" w:ascii="Times New Roman" w:hAnsi="Times New Roman" w:eastAsia="宋体" w:cs="Times New Roman"/>
                      <w:spacing w:val="4"/>
                      <w:sz w:val="18"/>
                      <w:szCs w:val="18"/>
                      <w:highlight w:val="none"/>
                    </w:rPr>
                    <w:t>〔</w:t>
                  </w:r>
                  <w:r>
                    <w:rPr>
                      <w:rFonts w:hint="default" w:ascii="Times New Roman" w:hAnsi="Times New Roman" w:eastAsia="Times New Roman" w:cs="Times New Roman"/>
                      <w:spacing w:val="4"/>
                      <w:sz w:val="18"/>
                      <w:szCs w:val="18"/>
                      <w:highlight w:val="none"/>
                    </w:rPr>
                    <w:t>A1.2-1</w:t>
                  </w:r>
                  <w:r>
                    <w:rPr>
                      <w:rFonts w:hint="default" w:ascii="Times New Roman" w:hAnsi="Times New Roman" w:eastAsia="宋体" w:cs="Times New Roman"/>
                      <w:spacing w:val="4"/>
                      <w:sz w:val="18"/>
                      <w:szCs w:val="18"/>
                      <w:highlight w:val="none"/>
                    </w:rPr>
                    <w:t>〕严格控制缺水地区、水污染严重区域和敏感区域高耗水、高污染行</w:t>
                  </w:r>
                  <w:r>
                    <w:rPr>
                      <w:rFonts w:hint="default" w:ascii="Times New Roman" w:hAnsi="Times New Roman" w:eastAsia="宋体" w:cs="Times New Roman"/>
                      <w:spacing w:val="5"/>
                      <w:sz w:val="18"/>
                      <w:szCs w:val="18"/>
                      <w:highlight w:val="none"/>
                    </w:rPr>
                    <w:t>业发展。</w:t>
                  </w:r>
                </w:p>
              </w:tc>
              <w:tc>
                <w:tcPr>
                  <w:tcW w:w="1587" w:type="pct"/>
                  <w:tcBorders>
                    <w:tl2br w:val="nil"/>
                    <w:tr2bl w:val="nil"/>
                  </w:tcBorders>
                  <w:noWrap w:val="0"/>
                  <w:vAlign w:val="center"/>
                </w:tcPr>
                <w:p w14:paraId="7BE6ACA8">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6"/>
                      <w:sz w:val="18"/>
                      <w:szCs w:val="18"/>
                      <w:highlight w:val="none"/>
                    </w:rPr>
                  </w:pPr>
                  <w:r>
                    <w:rPr>
                      <w:rFonts w:hint="default" w:ascii="Times New Roman" w:hAnsi="Times New Roman" w:eastAsia="宋体" w:cs="Times New Roman"/>
                      <w:spacing w:val="8"/>
                      <w:sz w:val="18"/>
                      <w:szCs w:val="18"/>
                      <w:highlight w:val="none"/>
                    </w:rPr>
                    <w:t>本工程为</w:t>
                  </w:r>
                  <w:r>
                    <w:rPr>
                      <w:rFonts w:hint="default" w:ascii="Times New Roman" w:hAnsi="Times New Roman" w:eastAsia="宋体" w:cs="Times New Roman"/>
                      <w:spacing w:val="8"/>
                      <w:sz w:val="18"/>
                      <w:szCs w:val="18"/>
                      <w:highlight w:val="none"/>
                      <w:lang w:val="en-US" w:eastAsia="zh-CN"/>
                    </w:rPr>
                    <w:t>等级公路建设</w:t>
                  </w:r>
                  <w:r>
                    <w:rPr>
                      <w:rFonts w:hint="default" w:ascii="Times New Roman" w:hAnsi="Times New Roman" w:eastAsia="宋体" w:cs="Times New Roman"/>
                      <w:spacing w:val="8"/>
                      <w:sz w:val="18"/>
                      <w:szCs w:val="18"/>
                      <w:highlight w:val="none"/>
                    </w:rPr>
                    <w:t>，不属于高耗水、高污染行业</w:t>
                  </w:r>
                </w:p>
              </w:tc>
              <w:tc>
                <w:tcPr>
                  <w:tcW w:w="167" w:type="pct"/>
                  <w:tcBorders>
                    <w:tl2br w:val="nil"/>
                    <w:tr2bl w:val="nil"/>
                  </w:tcBorders>
                  <w:noWrap w:val="0"/>
                  <w:vAlign w:val="center"/>
                </w:tcPr>
                <w:p w14:paraId="329F1F11">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26B11A60">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3"/>
                      <w:sz w:val="18"/>
                      <w:szCs w:val="18"/>
                      <w:highlight w:val="none"/>
                    </w:rPr>
                    <w:t>符合</w:t>
                  </w:r>
                </w:p>
              </w:tc>
            </w:tr>
            <w:tr w14:paraId="2C9CC76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7DDCCDCA">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37" w:type="pct"/>
                  <w:vMerge w:val="continue"/>
                  <w:tcBorders>
                    <w:tl2br w:val="nil"/>
                    <w:tr2bl w:val="nil"/>
                  </w:tcBorders>
                  <w:noWrap w:val="0"/>
                  <w:vAlign w:val="center"/>
                </w:tcPr>
                <w:p w14:paraId="04355A03">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441" w:type="pct"/>
                  <w:vMerge w:val="continue"/>
                  <w:tcBorders>
                    <w:tl2br w:val="nil"/>
                    <w:tr2bl w:val="nil"/>
                  </w:tcBorders>
                  <w:noWrap w:val="0"/>
                  <w:vAlign w:val="center"/>
                </w:tcPr>
                <w:p w14:paraId="5C7CF635">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295" w:type="pct"/>
                  <w:tcBorders>
                    <w:tl2br w:val="nil"/>
                    <w:tr2bl w:val="nil"/>
                  </w:tcBorders>
                  <w:noWrap w:val="0"/>
                  <w:vAlign w:val="center"/>
                </w:tcPr>
                <w:p w14:paraId="70236374">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1"/>
                      <w:sz w:val="18"/>
                      <w:szCs w:val="18"/>
                      <w:highlight w:val="none"/>
                    </w:rPr>
                  </w:pPr>
                  <w:r>
                    <w:rPr>
                      <w:rFonts w:hint="default" w:ascii="Times New Roman" w:hAnsi="Times New Roman" w:eastAsia="宋体" w:cs="Times New Roman"/>
                      <w:spacing w:val="4"/>
                      <w:sz w:val="18"/>
                      <w:szCs w:val="18"/>
                      <w:highlight w:val="none"/>
                    </w:rPr>
                    <w:t>〔</w:t>
                  </w:r>
                  <w:r>
                    <w:rPr>
                      <w:rFonts w:hint="default" w:ascii="Times New Roman" w:hAnsi="Times New Roman" w:eastAsia="Times New Roman" w:cs="Times New Roman"/>
                      <w:spacing w:val="4"/>
                      <w:sz w:val="18"/>
                      <w:szCs w:val="18"/>
                      <w:highlight w:val="none"/>
                    </w:rPr>
                    <w:t>A1.2-2</w:t>
                  </w:r>
                  <w:r>
                    <w:rPr>
                      <w:rFonts w:hint="default" w:ascii="Times New Roman" w:hAnsi="Times New Roman" w:eastAsia="宋体" w:cs="Times New Roman"/>
                      <w:spacing w:val="4"/>
                      <w:sz w:val="18"/>
                      <w:szCs w:val="18"/>
                      <w:highlight w:val="none"/>
                    </w:rPr>
                    <w:t>〕建设项目用地原则上不得占用永久基本农田，确需占用永久基本农田的建设项目须符合《中华人民共和国基本农田保护条例》中相关要求，占用耕地、林地或草地的建设项目须按照国</w:t>
                  </w:r>
                  <w:r>
                    <w:rPr>
                      <w:rFonts w:hint="default" w:ascii="Times New Roman" w:hAnsi="Times New Roman" w:eastAsia="宋体" w:cs="Times New Roman"/>
                      <w:spacing w:val="5"/>
                      <w:sz w:val="18"/>
                      <w:szCs w:val="18"/>
                      <w:highlight w:val="none"/>
                    </w:rPr>
                    <w:t>家、自治区相关补偿要求进行补偿。</w:t>
                  </w:r>
                </w:p>
              </w:tc>
              <w:tc>
                <w:tcPr>
                  <w:tcW w:w="1587" w:type="pct"/>
                  <w:tcBorders>
                    <w:tl2br w:val="nil"/>
                    <w:tr2bl w:val="nil"/>
                  </w:tcBorders>
                  <w:noWrap w:val="0"/>
                  <w:vAlign w:val="center"/>
                </w:tcPr>
                <w:p w14:paraId="6EAE4269">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Times New Roman"/>
                      <w:spacing w:val="6"/>
                      <w:sz w:val="18"/>
                      <w:szCs w:val="18"/>
                      <w:highlight w:val="none"/>
                      <w:lang w:val="en-US" w:eastAsia="zh-CN"/>
                    </w:rPr>
                  </w:pPr>
                  <w:r>
                    <w:rPr>
                      <w:rFonts w:hint="default" w:ascii="Times New Roman" w:hAnsi="Times New Roman" w:eastAsia="宋体" w:cs="Times New Roman"/>
                      <w:spacing w:val="8"/>
                      <w:sz w:val="18"/>
                      <w:szCs w:val="18"/>
                      <w:highlight w:val="none"/>
                      <w:lang w:val="en-US" w:eastAsia="zh-CN"/>
                    </w:rPr>
                    <w:t>项目未占用基本农田，未占用耕地、林地、草地。</w:t>
                  </w:r>
                </w:p>
              </w:tc>
              <w:tc>
                <w:tcPr>
                  <w:tcW w:w="167" w:type="pct"/>
                  <w:tcBorders>
                    <w:tl2br w:val="nil"/>
                    <w:tr2bl w:val="nil"/>
                  </w:tcBorders>
                  <w:noWrap w:val="0"/>
                  <w:vAlign w:val="center"/>
                </w:tcPr>
                <w:p w14:paraId="26D8A2B3">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114A96C3">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0CC86CD1">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21D43070">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3"/>
                      <w:sz w:val="18"/>
                      <w:szCs w:val="18"/>
                      <w:highlight w:val="none"/>
                    </w:rPr>
                    <w:t>符合</w:t>
                  </w:r>
                </w:p>
              </w:tc>
            </w:tr>
            <w:tr w14:paraId="13E038A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593BCF7A">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37" w:type="pct"/>
                  <w:vMerge w:val="continue"/>
                  <w:tcBorders>
                    <w:tl2br w:val="nil"/>
                    <w:tr2bl w:val="nil"/>
                  </w:tcBorders>
                  <w:noWrap w:val="0"/>
                  <w:vAlign w:val="center"/>
                </w:tcPr>
                <w:p w14:paraId="54AD041D">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441" w:type="pct"/>
                  <w:vMerge w:val="restart"/>
                  <w:tcBorders>
                    <w:tl2br w:val="nil"/>
                    <w:tr2bl w:val="nil"/>
                  </w:tcBorders>
                  <w:noWrap w:val="0"/>
                  <w:vAlign w:val="center"/>
                </w:tcPr>
                <w:p w14:paraId="499C0E44">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3FD8CA0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18"/>
                      <w:szCs w:val="18"/>
                      <w:highlight w:val="none"/>
                      <w:lang w:val="en-US"/>
                    </w:rPr>
                  </w:pPr>
                  <w:r>
                    <w:rPr>
                      <w:rFonts w:hint="default" w:ascii="Times New Roman" w:hAnsi="Times New Roman" w:eastAsia="Times New Roman" w:cs="Times New Roman"/>
                      <w:spacing w:val="4"/>
                      <w:sz w:val="18"/>
                      <w:szCs w:val="18"/>
                      <w:highlight w:val="none"/>
                    </w:rPr>
                    <w:t>A1.3</w:t>
                  </w:r>
                  <w:r>
                    <w:rPr>
                      <w:rFonts w:hint="default" w:ascii="Times New Roman" w:hAnsi="Times New Roman" w:eastAsia="宋体" w:cs="Times New Roman"/>
                      <w:sz w:val="18"/>
                      <w:szCs w:val="18"/>
                      <w:highlight w:val="none"/>
                      <w:lang w:val="en-US" w:eastAsia="zh-CN"/>
                    </w:rPr>
                    <w:t>不符合</w:t>
                  </w:r>
                  <w:r>
                    <w:rPr>
                      <w:rFonts w:hint="default" w:ascii="Times New Roman" w:hAnsi="Times New Roman" w:eastAsia="宋体" w:cs="Times New Roman"/>
                      <w:spacing w:val="4"/>
                      <w:sz w:val="18"/>
                      <w:szCs w:val="18"/>
                      <w:highlight w:val="none"/>
                      <w:lang w:val="en-US" w:eastAsia="zh-CN"/>
                    </w:rPr>
                    <w:t>空间布局要求活动的退出要求</w:t>
                  </w:r>
                </w:p>
              </w:tc>
              <w:tc>
                <w:tcPr>
                  <w:tcW w:w="2295" w:type="pct"/>
                  <w:tcBorders>
                    <w:tl2br w:val="nil"/>
                    <w:tr2bl w:val="nil"/>
                  </w:tcBorders>
                  <w:noWrap w:val="0"/>
                  <w:vAlign w:val="center"/>
                </w:tcPr>
                <w:p w14:paraId="4AB5DFF2">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2"/>
                      <w:sz w:val="18"/>
                      <w:szCs w:val="18"/>
                      <w:highlight w:val="none"/>
                    </w:rPr>
                  </w:pPr>
                  <w:r>
                    <w:rPr>
                      <w:rFonts w:hint="default" w:ascii="Times New Roman" w:hAnsi="Times New Roman" w:eastAsia="宋体" w:cs="Times New Roman"/>
                      <w:spacing w:val="2"/>
                      <w:sz w:val="18"/>
                      <w:szCs w:val="18"/>
                      <w:highlight w:val="none"/>
                    </w:rPr>
                    <w:t>〔</w:t>
                  </w:r>
                  <w:r>
                    <w:rPr>
                      <w:rFonts w:hint="default" w:ascii="Times New Roman" w:hAnsi="Times New Roman" w:eastAsia="Times New Roman" w:cs="Times New Roman"/>
                      <w:spacing w:val="2"/>
                      <w:sz w:val="18"/>
                      <w:szCs w:val="18"/>
                      <w:highlight w:val="none"/>
                    </w:rPr>
                    <w:t>A1.3-1</w:t>
                  </w:r>
                  <w:r>
                    <w:rPr>
                      <w:rFonts w:hint="default" w:ascii="Times New Roman" w:hAnsi="Times New Roman" w:eastAsia="宋体" w:cs="Times New Roman"/>
                      <w:spacing w:val="2"/>
                      <w:sz w:val="18"/>
                      <w:szCs w:val="18"/>
                      <w:highlight w:val="none"/>
                    </w:rPr>
                    <w:t>〕任何单位和个人不得在水源</w:t>
                  </w:r>
                  <w:r>
                    <w:rPr>
                      <w:rFonts w:hint="default" w:ascii="Times New Roman" w:hAnsi="Times New Roman" w:eastAsia="宋体" w:cs="Times New Roman"/>
                      <w:spacing w:val="4"/>
                      <w:sz w:val="18"/>
                      <w:szCs w:val="18"/>
                      <w:highlight w:val="none"/>
                    </w:rPr>
                    <w:t>涵养区、饮用水水源保护区内和河流、</w:t>
                  </w:r>
                  <w:r>
                    <w:rPr>
                      <w:rFonts w:hint="default" w:ascii="Times New Roman" w:hAnsi="Times New Roman" w:eastAsia="宋体" w:cs="Times New Roman"/>
                      <w:spacing w:val="2"/>
                      <w:sz w:val="18"/>
                      <w:szCs w:val="18"/>
                      <w:highlight w:val="none"/>
                    </w:rPr>
                    <w:t>湖泊、水库周围建设重化工、涉重金属等工业污染项目；对已建成的工业污染</w:t>
                  </w:r>
                  <w:r>
                    <w:rPr>
                      <w:rFonts w:hint="default" w:ascii="Times New Roman" w:hAnsi="Times New Roman" w:eastAsia="宋体" w:cs="Times New Roman"/>
                      <w:spacing w:val="14"/>
                      <w:sz w:val="18"/>
                      <w:szCs w:val="18"/>
                      <w:highlight w:val="none"/>
                    </w:rPr>
                    <w:t>项目，当地人民政府应当组织限期搬</w:t>
                  </w:r>
                  <w:r>
                    <w:rPr>
                      <w:rFonts w:hint="default" w:ascii="Times New Roman" w:hAnsi="Times New Roman" w:eastAsia="宋体" w:cs="Times New Roman"/>
                      <w:spacing w:val="-1"/>
                      <w:sz w:val="18"/>
                      <w:szCs w:val="18"/>
                      <w:highlight w:val="none"/>
                    </w:rPr>
                    <w:t>迁。</w:t>
                  </w:r>
                </w:p>
              </w:tc>
              <w:tc>
                <w:tcPr>
                  <w:tcW w:w="1587" w:type="pct"/>
                  <w:tcBorders>
                    <w:tl2br w:val="nil"/>
                    <w:tr2bl w:val="nil"/>
                  </w:tcBorders>
                  <w:noWrap w:val="0"/>
                  <w:vAlign w:val="center"/>
                </w:tcPr>
                <w:p w14:paraId="32F9AF60">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9"/>
                      <w:sz w:val="18"/>
                      <w:szCs w:val="18"/>
                      <w:highlight w:val="none"/>
                    </w:rPr>
                  </w:pPr>
                  <w:r>
                    <w:rPr>
                      <w:rFonts w:hint="default" w:ascii="Times New Roman" w:hAnsi="Times New Roman" w:eastAsia="宋体" w:cs="Times New Roman"/>
                      <w:spacing w:val="8"/>
                      <w:sz w:val="18"/>
                      <w:szCs w:val="18"/>
                      <w:highlight w:val="none"/>
                    </w:rPr>
                    <w:t>本工程为</w:t>
                  </w:r>
                  <w:r>
                    <w:rPr>
                      <w:rFonts w:hint="default" w:ascii="Times New Roman" w:hAnsi="Times New Roman" w:eastAsia="宋体" w:cs="Times New Roman"/>
                      <w:spacing w:val="8"/>
                      <w:sz w:val="18"/>
                      <w:szCs w:val="18"/>
                      <w:highlight w:val="none"/>
                      <w:lang w:val="en-US" w:eastAsia="zh-CN"/>
                    </w:rPr>
                    <w:t>等级公路建设项目</w:t>
                  </w:r>
                  <w:r>
                    <w:rPr>
                      <w:rFonts w:hint="default" w:ascii="Times New Roman" w:hAnsi="Times New Roman" w:eastAsia="宋体" w:cs="Times New Roman"/>
                      <w:spacing w:val="8"/>
                      <w:sz w:val="18"/>
                      <w:szCs w:val="18"/>
                      <w:highlight w:val="none"/>
                    </w:rPr>
                    <w:t>，不涉及化工</w:t>
                  </w:r>
                  <w:r>
                    <w:rPr>
                      <w:rFonts w:hint="default" w:ascii="Times New Roman" w:hAnsi="Times New Roman" w:eastAsia="宋体" w:cs="Times New Roman"/>
                      <w:spacing w:val="6"/>
                      <w:sz w:val="18"/>
                      <w:szCs w:val="18"/>
                      <w:highlight w:val="none"/>
                    </w:rPr>
                    <w:t>和重金属</w:t>
                  </w:r>
                  <w:r>
                    <w:rPr>
                      <w:rFonts w:hint="default" w:ascii="Times New Roman" w:hAnsi="Times New Roman" w:eastAsia="宋体" w:cs="Times New Roman"/>
                      <w:spacing w:val="6"/>
                      <w:sz w:val="18"/>
                      <w:szCs w:val="18"/>
                      <w:highlight w:val="none"/>
                      <w:lang w:val="en-US" w:eastAsia="zh-CN"/>
                    </w:rPr>
                    <w:t>污染</w:t>
                  </w:r>
                  <w:r>
                    <w:rPr>
                      <w:rFonts w:hint="default" w:ascii="Times New Roman" w:hAnsi="Times New Roman" w:eastAsia="宋体" w:cs="Times New Roman"/>
                      <w:spacing w:val="6"/>
                      <w:sz w:val="18"/>
                      <w:szCs w:val="18"/>
                      <w:highlight w:val="none"/>
                    </w:rPr>
                    <w:t>。</w:t>
                  </w:r>
                </w:p>
              </w:tc>
              <w:tc>
                <w:tcPr>
                  <w:tcW w:w="167" w:type="pct"/>
                  <w:tcBorders>
                    <w:tl2br w:val="nil"/>
                    <w:tr2bl w:val="nil"/>
                  </w:tcBorders>
                  <w:noWrap w:val="0"/>
                  <w:vAlign w:val="center"/>
                </w:tcPr>
                <w:p w14:paraId="07EFEA5C">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3"/>
                      <w:sz w:val="18"/>
                      <w:szCs w:val="18"/>
                      <w:highlight w:val="none"/>
                    </w:rPr>
                    <w:t>符合</w:t>
                  </w:r>
                </w:p>
              </w:tc>
            </w:tr>
            <w:tr w14:paraId="53307FB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3F4906F8">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37" w:type="pct"/>
                  <w:vMerge w:val="continue"/>
                  <w:tcBorders>
                    <w:tl2br w:val="nil"/>
                    <w:tr2bl w:val="nil"/>
                  </w:tcBorders>
                  <w:noWrap w:val="0"/>
                  <w:vAlign w:val="center"/>
                </w:tcPr>
                <w:p w14:paraId="0C7287A1">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441" w:type="pct"/>
                  <w:vMerge w:val="continue"/>
                  <w:tcBorders>
                    <w:tl2br w:val="nil"/>
                    <w:tr2bl w:val="nil"/>
                  </w:tcBorders>
                  <w:noWrap w:val="0"/>
                  <w:vAlign w:val="center"/>
                </w:tcPr>
                <w:p w14:paraId="075AE050">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295" w:type="pct"/>
                  <w:tcBorders>
                    <w:tl2br w:val="nil"/>
                    <w:tr2bl w:val="nil"/>
                  </w:tcBorders>
                  <w:noWrap w:val="0"/>
                  <w:vAlign w:val="center"/>
                </w:tcPr>
                <w:p w14:paraId="63D6635D">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18"/>
                      <w:szCs w:val="18"/>
                      <w:highlight w:val="none"/>
                    </w:rPr>
                  </w:pPr>
                  <w:r>
                    <w:rPr>
                      <w:rFonts w:hint="default" w:ascii="Times New Roman" w:hAnsi="Times New Roman" w:eastAsia="宋体" w:cs="Times New Roman"/>
                      <w:spacing w:val="4"/>
                      <w:sz w:val="18"/>
                      <w:szCs w:val="18"/>
                      <w:highlight w:val="none"/>
                    </w:rPr>
                    <w:t>〔</w:t>
                  </w:r>
                  <w:r>
                    <w:rPr>
                      <w:rFonts w:hint="default" w:ascii="Times New Roman" w:hAnsi="Times New Roman" w:eastAsia="Times New Roman" w:cs="Times New Roman"/>
                      <w:spacing w:val="4"/>
                      <w:sz w:val="18"/>
                      <w:szCs w:val="18"/>
                      <w:highlight w:val="none"/>
                    </w:rPr>
                    <w:t>A1.3-2</w:t>
                  </w:r>
                  <w:r>
                    <w:rPr>
                      <w:rFonts w:hint="default" w:ascii="Times New Roman" w:hAnsi="Times New Roman" w:eastAsia="宋体" w:cs="Times New Roman"/>
                      <w:spacing w:val="4"/>
                      <w:sz w:val="18"/>
                      <w:szCs w:val="18"/>
                      <w:highlight w:val="none"/>
                    </w:rPr>
                    <w:t>〕对不符合国家产业政策、严</w:t>
                  </w:r>
                  <w:r>
                    <w:rPr>
                      <w:rFonts w:hint="default" w:ascii="Times New Roman" w:hAnsi="Times New Roman" w:eastAsia="宋体" w:cs="Times New Roman"/>
                      <w:spacing w:val="17"/>
                      <w:sz w:val="18"/>
                      <w:szCs w:val="18"/>
                      <w:highlight w:val="none"/>
                    </w:rPr>
                    <w:t>重污染水环境的生产项目全部予以取</w:t>
                  </w:r>
                  <w:r>
                    <w:rPr>
                      <w:rFonts w:hint="default" w:ascii="Times New Roman" w:hAnsi="Times New Roman" w:eastAsia="宋体" w:cs="Times New Roman"/>
                      <w:sz w:val="18"/>
                      <w:szCs w:val="18"/>
                      <w:highlight w:val="none"/>
                    </w:rPr>
                    <w:t>缔。</w:t>
                  </w:r>
                </w:p>
              </w:tc>
              <w:tc>
                <w:tcPr>
                  <w:tcW w:w="1587" w:type="pct"/>
                  <w:tcBorders>
                    <w:tl2br w:val="nil"/>
                    <w:tr2bl w:val="nil"/>
                  </w:tcBorders>
                  <w:noWrap w:val="0"/>
                  <w:vAlign w:val="center"/>
                </w:tcPr>
                <w:p w14:paraId="75803717">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9"/>
                      <w:sz w:val="18"/>
                      <w:szCs w:val="18"/>
                      <w:highlight w:val="none"/>
                    </w:rPr>
                  </w:pPr>
                  <w:r>
                    <w:rPr>
                      <w:rFonts w:ascii="宋体" w:hAnsi="宋体" w:eastAsia="宋体" w:cs="宋体"/>
                      <w:spacing w:val="4"/>
                      <w:sz w:val="18"/>
                      <w:szCs w:val="18"/>
                      <w:highlight w:val="none"/>
                    </w:rPr>
                    <w:t>本工程属于《产业结构调整指导目录</w:t>
                  </w:r>
                  <w:r>
                    <w:rPr>
                      <w:rFonts w:hint="default" w:ascii="Times New Roman" w:hAnsi="Times New Roman" w:eastAsia="宋体" w:cs="Times New Roman"/>
                      <w:spacing w:val="4"/>
                      <w:sz w:val="18"/>
                      <w:szCs w:val="18"/>
                      <w:highlight w:val="none"/>
                      <w:lang w:eastAsia="zh-CN"/>
                    </w:rPr>
                    <w:t>（</w:t>
                  </w:r>
                  <w:r>
                    <w:rPr>
                      <w:rFonts w:hint="default" w:ascii="Times New Roman" w:hAnsi="Times New Roman" w:eastAsia="Times New Roman" w:cs="Times New Roman"/>
                      <w:spacing w:val="4"/>
                      <w:sz w:val="18"/>
                      <w:szCs w:val="18"/>
                      <w:highlight w:val="none"/>
                    </w:rPr>
                    <w:t>2024</w:t>
                  </w:r>
                  <w:r>
                    <w:rPr>
                      <w:rFonts w:hint="default" w:ascii="Times New Roman" w:hAnsi="Times New Roman" w:eastAsia="宋体" w:cs="Times New Roman"/>
                      <w:spacing w:val="4"/>
                      <w:sz w:val="18"/>
                      <w:szCs w:val="18"/>
                      <w:highlight w:val="none"/>
                    </w:rPr>
                    <w:t>年本</w:t>
                  </w:r>
                  <w:r>
                    <w:rPr>
                      <w:rFonts w:hint="default" w:ascii="Times New Roman" w:hAnsi="Times New Roman" w:eastAsia="宋体" w:cs="Times New Roman"/>
                      <w:spacing w:val="4"/>
                      <w:sz w:val="18"/>
                      <w:szCs w:val="18"/>
                      <w:highlight w:val="none"/>
                      <w:lang w:eastAsia="zh-CN"/>
                    </w:rPr>
                    <w:t>）</w:t>
                  </w:r>
                  <w:r>
                    <w:rPr>
                      <w:rFonts w:hint="default" w:ascii="Times New Roman" w:hAnsi="Times New Roman" w:eastAsia="宋体" w:cs="Times New Roman"/>
                      <w:spacing w:val="4"/>
                      <w:sz w:val="18"/>
                      <w:szCs w:val="18"/>
                      <w:highlight w:val="none"/>
                    </w:rPr>
                    <w:t>》中鼓励类中“二十四、公路及道路运输</w:t>
                  </w:r>
                  <w:r>
                    <w:rPr>
                      <w:rFonts w:hint="default" w:ascii="Times New Roman" w:hAnsi="Times New Roman" w:eastAsia="宋体" w:cs="Times New Roman"/>
                      <w:spacing w:val="4"/>
                      <w:sz w:val="18"/>
                      <w:szCs w:val="18"/>
                      <w:highlight w:val="none"/>
                      <w:lang w:val="en-US" w:eastAsia="zh-CN"/>
                    </w:rPr>
                    <w:t>1.公路交通网络建设：国家高速公路网项目建设，</w:t>
                  </w:r>
                  <w:r>
                    <w:rPr>
                      <w:rFonts w:hint="default" w:ascii="Times New Roman" w:hAnsi="Times New Roman" w:eastAsia="宋体" w:cs="Times New Roman"/>
                      <w:b/>
                      <w:bCs/>
                      <w:spacing w:val="4"/>
                      <w:sz w:val="18"/>
                      <w:szCs w:val="18"/>
                      <w:highlight w:val="none"/>
                      <w:lang w:val="en-US" w:eastAsia="zh-CN"/>
                    </w:rPr>
                    <w:t>国省干线改造升级</w:t>
                  </w:r>
                  <w:r>
                    <w:rPr>
                      <w:rFonts w:hint="default" w:ascii="Times New Roman" w:hAnsi="Times New Roman" w:eastAsia="宋体" w:cs="Times New Roman"/>
                      <w:spacing w:val="4"/>
                      <w:sz w:val="18"/>
                      <w:szCs w:val="18"/>
                      <w:highlight w:val="none"/>
                      <w:lang w:val="en-US" w:eastAsia="zh-CN"/>
                    </w:rPr>
                    <w:t>，汽车客货运站、城市公交站，城市公共交通</w:t>
                  </w:r>
                  <w:r>
                    <w:rPr>
                      <w:rFonts w:ascii="宋体" w:hAnsi="宋体" w:eastAsia="宋体" w:cs="宋体"/>
                      <w:spacing w:val="2"/>
                      <w:sz w:val="18"/>
                      <w:szCs w:val="18"/>
                      <w:highlight w:val="none"/>
                    </w:rPr>
                    <w:t>。</w:t>
                  </w:r>
                </w:p>
              </w:tc>
              <w:tc>
                <w:tcPr>
                  <w:tcW w:w="167" w:type="pct"/>
                  <w:tcBorders>
                    <w:tl2br w:val="nil"/>
                    <w:tr2bl w:val="nil"/>
                  </w:tcBorders>
                  <w:noWrap w:val="0"/>
                  <w:vAlign w:val="center"/>
                </w:tcPr>
                <w:p w14:paraId="1B6E7907">
                  <w:pPr>
                    <w:keepNext w:val="0"/>
                    <w:keepLines w:val="0"/>
                    <w:pageBreakBefore w:val="0"/>
                    <w:widowControl w:val="0"/>
                    <w:shd w:val="clear" w:color="auto" w:fill="auto"/>
                    <w:kinsoku/>
                    <w:wordWrap/>
                    <w:overflowPunct/>
                    <w:topLinePunct w:val="0"/>
                    <w:autoSpaceDE w:val="0"/>
                    <w:autoSpaceDN w:val="0"/>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3"/>
                      <w:sz w:val="18"/>
                      <w:szCs w:val="18"/>
                      <w:highlight w:val="none"/>
                    </w:rPr>
                    <w:t>符合</w:t>
                  </w:r>
                </w:p>
              </w:tc>
            </w:tr>
            <w:tr w14:paraId="617BBB8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14F619A1">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37" w:type="pct"/>
                  <w:vMerge w:val="continue"/>
                  <w:tcBorders>
                    <w:tl2br w:val="nil"/>
                    <w:tr2bl w:val="nil"/>
                  </w:tcBorders>
                  <w:noWrap w:val="0"/>
                  <w:vAlign w:val="center"/>
                </w:tcPr>
                <w:p w14:paraId="04EB454E">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441" w:type="pct"/>
                  <w:tcBorders>
                    <w:tl2br w:val="nil"/>
                    <w:tr2bl w:val="nil"/>
                  </w:tcBorders>
                  <w:noWrap w:val="0"/>
                  <w:vAlign w:val="center"/>
                </w:tcPr>
                <w:p w14:paraId="54FB2695">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3C325A62">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27FC39F5">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596E9578">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0AF6F1F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eastAsia="Times New Roman" w:cs="Times New Roman"/>
                      <w:spacing w:val="4"/>
                      <w:sz w:val="18"/>
                      <w:szCs w:val="18"/>
                      <w:highlight w:val="none"/>
                    </w:rPr>
                    <w:t>A1.4</w:t>
                  </w:r>
                  <w:r>
                    <w:rPr>
                      <w:rFonts w:hint="default" w:ascii="Times New Roman" w:hAnsi="Times New Roman" w:eastAsia="宋体" w:cs="Times New Roman"/>
                      <w:spacing w:val="4"/>
                      <w:sz w:val="18"/>
                      <w:szCs w:val="18"/>
                      <w:highlight w:val="none"/>
                    </w:rPr>
                    <w:t>其它布局要求</w:t>
                  </w:r>
                </w:p>
              </w:tc>
              <w:tc>
                <w:tcPr>
                  <w:tcW w:w="2295" w:type="pct"/>
                  <w:tcBorders>
                    <w:tl2br w:val="nil"/>
                    <w:tr2bl w:val="nil"/>
                  </w:tcBorders>
                  <w:noWrap w:val="0"/>
                  <w:vAlign w:val="center"/>
                </w:tcPr>
                <w:p w14:paraId="79FA847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18"/>
                      <w:szCs w:val="18"/>
                      <w:highlight w:val="none"/>
                    </w:rPr>
                  </w:pPr>
                  <w:r>
                    <w:rPr>
                      <w:rFonts w:hint="default" w:ascii="Times New Roman" w:hAnsi="Times New Roman" w:eastAsia="宋体" w:cs="Times New Roman"/>
                      <w:spacing w:val="4"/>
                      <w:sz w:val="18"/>
                      <w:szCs w:val="18"/>
                      <w:highlight w:val="none"/>
                    </w:rPr>
                    <w:t>〔</w:t>
                  </w:r>
                  <w:r>
                    <w:rPr>
                      <w:rFonts w:hint="default" w:ascii="Times New Roman" w:hAnsi="Times New Roman" w:eastAsia="Times New Roman" w:cs="Times New Roman"/>
                      <w:spacing w:val="4"/>
                      <w:sz w:val="18"/>
                      <w:szCs w:val="18"/>
                      <w:highlight w:val="none"/>
                    </w:rPr>
                    <w:t>A1.4-1</w:t>
                  </w:r>
                  <w:r>
                    <w:rPr>
                      <w:rFonts w:hint="default" w:ascii="Times New Roman" w:hAnsi="Times New Roman" w:eastAsia="宋体" w:cs="Times New Roman"/>
                      <w:spacing w:val="4"/>
                      <w:sz w:val="18"/>
                      <w:szCs w:val="18"/>
                      <w:highlight w:val="none"/>
                    </w:rPr>
                    <w:t>〕一切开发建设活动应符合国家、自治区主体功能区规划、自治区和各地颁布实施的生态环境功能区划、国民经济发展规划、产业发展规划、国土</w:t>
                  </w:r>
                  <w:r>
                    <w:rPr>
                      <w:rFonts w:hint="default" w:ascii="Times New Roman" w:hAnsi="Times New Roman" w:eastAsia="宋体" w:cs="Times New Roman"/>
                      <w:spacing w:val="17"/>
                      <w:sz w:val="18"/>
                      <w:szCs w:val="18"/>
                      <w:highlight w:val="none"/>
                    </w:rPr>
                    <w:t>空间规划等相关规划及重点生态功能</w:t>
                  </w:r>
                  <w:r>
                    <w:rPr>
                      <w:rFonts w:hint="default" w:ascii="Times New Roman" w:hAnsi="Times New Roman" w:eastAsia="宋体" w:cs="Times New Roman"/>
                      <w:spacing w:val="4"/>
                      <w:sz w:val="18"/>
                      <w:szCs w:val="18"/>
                      <w:highlight w:val="none"/>
                    </w:rPr>
                    <w:t>区负面清单要求，符合区域或产业规划</w:t>
                  </w:r>
                  <w:r>
                    <w:rPr>
                      <w:rFonts w:hint="default" w:ascii="Times New Roman" w:hAnsi="Times New Roman" w:eastAsia="宋体" w:cs="Times New Roman"/>
                      <w:spacing w:val="5"/>
                      <w:sz w:val="18"/>
                      <w:szCs w:val="18"/>
                      <w:highlight w:val="none"/>
                    </w:rPr>
                    <w:t>环评要求。</w:t>
                  </w:r>
                </w:p>
              </w:tc>
              <w:tc>
                <w:tcPr>
                  <w:tcW w:w="1587" w:type="pct"/>
                  <w:tcBorders>
                    <w:tl2br w:val="nil"/>
                    <w:tr2bl w:val="nil"/>
                  </w:tcBorders>
                  <w:noWrap w:val="0"/>
                  <w:vAlign w:val="center"/>
                </w:tcPr>
                <w:p w14:paraId="696FC5B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18"/>
                      <w:szCs w:val="18"/>
                      <w:highlight w:val="none"/>
                    </w:rPr>
                  </w:pPr>
                  <w:r>
                    <w:rPr>
                      <w:rFonts w:hint="default" w:ascii="Times New Roman" w:hAnsi="Times New Roman" w:eastAsia="宋体" w:cs="Times New Roman"/>
                      <w:spacing w:val="9"/>
                      <w:sz w:val="18"/>
                      <w:szCs w:val="18"/>
                      <w:highlight w:val="none"/>
                    </w:rPr>
                    <w:t>工程符合相关规划及规划环评</w:t>
                  </w:r>
                  <w:r>
                    <w:rPr>
                      <w:rFonts w:hint="default" w:ascii="Times New Roman" w:hAnsi="Times New Roman" w:eastAsia="宋体" w:cs="Times New Roman"/>
                      <w:spacing w:val="2"/>
                      <w:sz w:val="18"/>
                      <w:szCs w:val="18"/>
                      <w:highlight w:val="none"/>
                    </w:rPr>
                    <w:t>要求。</w:t>
                  </w:r>
                </w:p>
              </w:tc>
              <w:tc>
                <w:tcPr>
                  <w:tcW w:w="167" w:type="pct"/>
                  <w:tcBorders>
                    <w:tl2br w:val="nil"/>
                    <w:tr2bl w:val="nil"/>
                  </w:tcBorders>
                  <w:noWrap w:val="0"/>
                  <w:vAlign w:val="center"/>
                </w:tcPr>
                <w:p w14:paraId="2483B0E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3"/>
                      <w:sz w:val="18"/>
                      <w:szCs w:val="18"/>
                      <w:highlight w:val="none"/>
                    </w:rPr>
                    <w:t>符合</w:t>
                  </w:r>
                </w:p>
              </w:tc>
            </w:tr>
            <w:tr w14:paraId="3ACCEAA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4BD03D82">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37" w:type="pct"/>
                  <w:vMerge w:val="restart"/>
                  <w:tcBorders>
                    <w:tl2br w:val="nil"/>
                    <w:tr2bl w:val="nil"/>
                  </w:tcBorders>
                  <w:noWrap w:val="0"/>
                  <w:vAlign w:val="center"/>
                </w:tcPr>
                <w:p w14:paraId="089298EF">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Times New Roman" w:cs="Times New Roman"/>
                      <w:sz w:val="18"/>
                      <w:szCs w:val="18"/>
                      <w:highlight w:val="none"/>
                    </w:rPr>
                  </w:pPr>
                  <w:r>
                    <w:rPr>
                      <w:rFonts w:hint="default" w:ascii="Times New Roman" w:hAnsi="Times New Roman" w:eastAsia="Times New Roman" w:cs="Times New Roman"/>
                      <w:spacing w:val="4"/>
                      <w:sz w:val="18"/>
                      <w:szCs w:val="18"/>
                      <w:highlight w:val="none"/>
                    </w:rPr>
                    <w:t>A2</w:t>
                  </w:r>
                </w:p>
                <w:p w14:paraId="776033C2">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3"/>
                      <w:sz w:val="18"/>
                      <w:szCs w:val="18"/>
                      <w:highlight w:val="none"/>
                    </w:rPr>
                    <w:t>污染</w:t>
                  </w:r>
                </w:p>
                <w:p w14:paraId="6E7B6A25">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4"/>
                      <w:sz w:val="18"/>
                      <w:szCs w:val="18"/>
                      <w:highlight w:val="none"/>
                    </w:rPr>
                    <w:t>物排</w:t>
                  </w:r>
                </w:p>
                <w:p w14:paraId="7819E008">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4"/>
                      <w:sz w:val="18"/>
                      <w:szCs w:val="18"/>
                      <w:highlight w:val="none"/>
                    </w:rPr>
                    <w:t>放管</w:t>
                  </w:r>
                </w:p>
                <w:p w14:paraId="1DF09801">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r>
                    <w:rPr>
                      <w:rFonts w:hint="default" w:ascii="Times New Roman" w:hAnsi="Times New Roman" w:eastAsia="宋体" w:cs="Times New Roman"/>
                      <w:spacing w:val="1"/>
                      <w:sz w:val="18"/>
                      <w:szCs w:val="18"/>
                      <w:highlight w:val="none"/>
                    </w:rPr>
                    <w:t>控</w:t>
                  </w:r>
                </w:p>
              </w:tc>
              <w:tc>
                <w:tcPr>
                  <w:tcW w:w="441" w:type="pct"/>
                  <w:vMerge w:val="restart"/>
                  <w:tcBorders>
                    <w:tl2br w:val="nil"/>
                    <w:tr2bl w:val="nil"/>
                  </w:tcBorders>
                  <w:noWrap w:val="0"/>
                  <w:vAlign w:val="center"/>
                </w:tcPr>
                <w:p w14:paraId="53C16E0A">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41BD82C4">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28AF874E">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4693BCAA">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0BD4587D">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7ADADD77">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2652E094">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0AB287CE">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0AF457CD">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045ACCDD">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44D907D5">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713B01CF">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Times New Roman" w:cs="Times New Roman"/>
                      <w:sz w:val="18"/>
                      <w:szCs w:val="18"/>
                      <w:highlight w:val="none"/>
                    </w:rPr>
                  </w:pPr>
                  <w:r>
                    <w:rPr>
                      <w:rFonts w:hint="default" w:ascii="Times New Roman" w:hAnsi="Times New Roman" w:eastAsia="Times New Roman" w:cs="Times New Roman"/>
                      <w:spacing w:val="3"/>
                      <w:sz w:val="18"/>
                      <w:szCs w:val="18"/>
                      <w:highlight w:val="none"/>
                    </w:rPr>
                    <w:t>A2.1</w:t>
                  </w:r>
                </w:p>
                <w:p w14:paraId="5E6519D1">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3"/>
                      <w:sz w:val="18"/>
                      <w:szCs w:val="18"/>
                      <w:highlight w:val="none"/>
                    </w:rPr>
                    <w:t>污染</w:t>
                  </w:r>
                </w:p>
                <w:p w14:paraId="2E90888E">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4"/>
                      <w:sz w:val="18"/>
                      <w:szCs w:val="18"/>
                      <w:highlight w:val="none"/>
                    </w:rPr>
                    <w:t>物削</w:t>
                  </w:r>
                </w:p>
                <w:p w14:paraId="35BC333E">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4"/>
                      <w:sz w:val="18"/>
                      <w:szCs w:val="18"/>
                      <w:highlight w:val="none"/>
                    </w:rPr>
                    <w:t>减</w:t>
                  </w:r>
                  <w:r>
                    <w:rPr>
                      <w:rFonts w:hint="default" w:ascii="Times New Roman" w:hAnsi="Times New Roman" w:eastAsia="Times New Roman" w:cs="Times New Roman"/>
                      <w:spacing w:val="4"/>
                      <w:sz w:val="18"/>
                      <w:szCs w:val="18"/>
                      <w:highlight w:val="none"/>
                    </w:rPr>
                    <w:t>/</w:t>
                  </w:r>
                  <w:r>
                    <w:rPr>
                      <w:rFonts w:hint="default" w:ascii="Times New Roman" w:hAnsi="Times New Roman" w:eastAsia="宋体" w:cs="Times New Roman"/>
                      <w:spacing w:val="4"/>
                      <w:sz w:val="18"/>
                      <w:szCs w:val="18"/>
                      <w:highlight w:val="none"/>
                    </w:rPr>
                    <w:t>替</w:t>
                  </w:r>
                </w:p>
                <w:p w14:paraId="0D3905D1">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5"/>
                      <w:sz w:val="18"/>
                      <w:szCs w:val="18"/>
                      <w:highlight w:val="none"/>
                    </w:rPr>
                    <w:t>代要</w:t>
                  </w:r>
                </w:p>
                <w:p w14:paraId="6010C79D">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cs="Times New Roman"/>
                      <w:sz w:val="18"/>
                      <w:szCs w:val="18"/>
                      <w:highlight w:val="none"/>
                    </w:rPr>
                  </w:pPr>
                  <w:r>
                    <w:rPr>
                      <w:rFonts w:hint="default" w:ascii="Times New Roman" w:hAnsi="Times New Roman" w:eastAsia="宋体" w:cs="Times New Roman"/>
                      <w:sz w:val="18"/>
                      <w:szCs w:val="18"/>
                      <w:highlight w:val="none"/>
                    </w:rPr>
                    <w:t>求</w:t>
                  </w:r>
                </w:p>
              </w:tc>
              <w:tc>
                <w:tcPr>
                  <w:tcW w:w="2295" w:type="pct"/>
                  <w:tcBorders>
                    <w:tl2br w:val="nil"/>
                    <w:tr2bl w:val="nil"/>
                  </w:tcBorders>
                  <w:noWrap w:val="0"/>
                  <w:vAlign w:val="center"/>
                </w:tcPr>
                <w:p w14:paraId="75438F5C">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4"/>
                      <w:sz w:val="18"/>
                      <w:szCs w:val="18"/>
                      <w:highlight w:val="none"/>
                    </w:rPr>
                  </w:pPr>
                  <w:r>
                    <w:rPr>
                      <w:rFonts w:hint="default" w:ascii="Times New Roman" w:hAnsi="Times New Roman" w:eastAsia="宋体" w:cs="Times New Roman"/>
                      <w:spacing w:val="1"/>
                      <w:sz w:val="18"/>
                      <w:szCs w:val="18"/>
                      <w:highlight w:val="none"/>
                    </w:rPr>
                    <w:t>〔</w:t>
                  </w:r>
                  <w:r>
                    <w:rPr>
                      <w:rFonts w:hint="default" w:ascii="Times New Roman" w:hAnsi="Times New Roman" w:eastAsia="Times New Roman" w:cs="Times New Roman"/>
                      <w:spacing w:val="1"/>
                      <w:sz w:val="18"/>
                      <w:szCs w:val="18"/>
                      <w:highlight w:val="none"/>
                    </w:rPr>
                    <w:t>A2.1-1</w:t>
                  </w:r>
                  <w:r>
                    <w:rPr>
                      <w:rFonts w:hint="default" w:ascii="Times New Roman" w:hAnsi="Times New Roman" w:eastAsia="宋体" w:cs="Times New Roman"/>
                      <w:spacing w:val="1"/>
                      <w:sz w:val="18"/>
                      <w:szCs w:val="18"/>
                      <w:highlight w:val="none"/>
                    </w:rPr>
                    <w:t>〕新、改、扩建重点行业建设</w:t>
                  </w:r>
                  <w:r>
                    <w:rPr>
                      <w:rFonts w:hint="default" w:ascii="Times New Roman" w:hAnsi="Times New Roman" w:eastAsia="宋体" w:cs="Times New Roman"/>
                      <w:spacing w:val="3"/>
                      <w:sz w:val="18"/>
                      <w:szCs w:val="18"/>
                      <w:highlight w:val="none"/>
                    </w:rPr>
                    <w:t>项目应符合“三线一单”、产业政策、</w:t>
                  </w:r>
                  <w:r>
                    <w:rPr>
                      <w:rFonts w:hint="default" w:ascii="Times New Roman" w:hAnsi="Times New Roman" w:eastAsia="宋体" w:cs="Times New Roman"/>
                      <w:spacing w:val="2"/>
                      <w:sz w:val="18"/>
                      <w:szCs w:val="18"/>
                      <w:highlight w:val="none"/>
                    </w:rPr>
                    <w:t>区域环评、规划环评和行业环境准入管控要求。重点区域的新、改、扩建重点</w:t>
                  </w:r>
                  <w:r>
                    <w:rPr>
                      <w:rFonts w:hint="default" w:ascii="Times New Roman" w:hAnsi="Times New Roman" w:eastAsia="宋体" w:cs="Times New Roman"/>
                      <w:spacing w:val="14"/>
                      <w:sz w:val="18"/>
                      <w:szCs w:val="18"/>
                      <w:highlight w:val="none"/>
                    </w:rPr>
                    <w:t>行业建设项目应遵循重点重金属污染</w:t>
                  </w:r>
                  <w:r>
                    <w:rPr>
                      <w:rFonts w:hint="default" w:ascii="Times New Roman" w:hAnsi="Times New Roman" w:eastAsia="宋体" w:cs="Times New Roman"/>
                      <w:spacing w:val="3"/>
                      <w:sz w:val="18"/>
                      <w:szCs w:val="18"/>
                      <w:highlight w:val="none"/>
                    </w:rPr>
                    <w:t>物排放“减量替代”原则。</w:t>
                  </w:r>
                </w:p>
              </w:tc>
              <w:tc>
                <w:tcPr>
                  <w:tcW w:w="1587" w:type="pct"/>
                  <w:tcBorders>
                    <w:tl2br w:val="nil"/>
                    <w:tr2bl w:val="nil"/>
                  </w:tcBorders>
                  <w:noWrap w:val="0"/>
                  <w:vAlign w:val="center"/>
                </w:tcPr>
                <w:p w14:paraId="63EF7C4E">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1CF9C99A">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734210F2">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4C724EEB">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Times New Roman"/>
                      <w:spacing w:val="5"/>
                      <w:sz w:val="18"/>
                      <w:szCs w:val="18"/>
                      <w:highlight w:val="none"/>
                    </w:rPr>
                  </w:pPr>
                  <w:r>
                    <w:rPr>
                      <w:rFonts w:hint="default" w:ascii="Times New Roman" w:hAnsi="Times New Roman" w:eastAsia="宋体" w:cs="Times New Roman"/>
                      <w:spacing w:val="5"/>
                      <w:sz w:val="18"/>
                      <w:szCs w:val="18"/>
                      <w:highlight w:val="none"/>
                    </w:rPr>
                    <w:t>不涉及</w:t>
                  </w:r>
                </w:p>
              </w:tc>
              <w:tc>
                <w:tcPr>
                  <w:tcW w:w="167" w:type="pct"/>
                  <w:tcBorders>
                    <w:tl2br w:val="nil"/>
                    <w:tr2bl w:val="nil"/>
                  </w:tcBorders>
                  <w:noWrap w:val="0"/>
                  <w:vAlign w:val="center"/>
                </w:tcPr>
                <w:p w14:paraId="0FCDDB33">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00008930">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40353ADF">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55ED0133">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3"/>
                      <w:sz w:val="18"/>
                      <w:szCs w:val="18"/>
                      <w:highlight w:val="none"/>
                    </w:rPr>
                    <w:t>符合</w:t>
                  </w:r>
                </w:p>
              </w:tc>
            </w:tr>
            <w:tr w14:paraId="14426B4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38B37AD2">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37" w:type="pct"/>
                  <w:vMerge w:val="continue"/>
                  <w:tcBorders>
                    <w:tl2br w:val="nil"/>
                    <w:tr2bl w:val="nil"/>
                  </w:tcBorders>
                  <w:noWrap w:val="0"/>
                  <w:vAlign w:val="center"/>
                </w:tcPr>
                <w:p w14:paraId="40DBEB08">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441" w:type="pct"/>
                  <w:vMerge w:val="continue"/>
                  <w:tcBorders>
                    <w:tl2br w:val="nil"/>
                    <w:tr2bl w:val="nil"/>
                  </w:tcBorders>
                  <w:noWrap w:val="0"/>
                  <w:vAlign w:val="center"/>
                </w:tcPr>
                <w:p w14:paraId="5DBFE8FA">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295" w:type="pct"/>
                  <w:tcBorders>
                    <w:tl2br w:val="nil"/>
                    <w:tr2bl w:val="nil"/>
                  </w:tcBorders>
                  <w:noWrap w:val="0"/>
                  <w:vAlign w:val="center"/>
                </w:tcPr>
                <w:p w14:paraId="54E9A33C">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4"/>
                      <w:sz w:val="18"/>
                      <w:szCs w:val="18"/>
                      <w:highlight w:val="none"/>
                    </w:rPr>
                  </w:pPr>
                  <w:r>
                    <w:rPr>
                      <w:rFonts w:hint="default" w:ascii="Times New Roman" w:hAnsi="Times New Roman" w:eastAsia="宋体" w:cs="Times New Roman"/>
                      <w:spacing w:val="-7"/>
                      <w:sz w:val="18"/>
                      <w:szCs w:val="18"/>
                      <w:highlight w:val="none"/>
                    </w:rPr>
                    <w:t>〔</w:t>
                  </w:r>
                  <w:r>
                    <w:rPr>
                      <w:rFonts w:hint="default" w:ascii="Times New Roman" w:hAnsi="Times New Roman" w:eastAsia="Times New Roman" w:cs="Times New Roman"/>
                      <w:spacing w:val="-7"/>
                      <w:sz w:val="18"/>
                      <w:szCs w:val="18"/>
                      <w:highlight w:val="none"/>
                    </w:rPr>
                    <w:t>A2.1-2</w:t>
                  </w:r>
                  <w:r>
                    <w:rPr>
                      <w:rFonts w:hint="default" w:ascii="Times New Roman" w:hAnsi="Times New Roman" w:eastAsia="宋体" w:cs="Times New Roman"/>
                      <w:spacing w:val="-7"/>
                      <w:sz w:val="18"/>
                      <w:szCs w:val="18"/>
                      <w:highlight w:val="none"/>
                    </w:rPr>
                    <w:t>〕以石化、化工、涂装、医药、</w:t>
                  </w:r>
                  <w:r>
                    <w:rPr>
                      <w:rFonts w:hint="default" w:ascii="Times New Roman" w:hAnsi="Times New Roman" w:eastAsia="宋体" w:cs="Times New Roman"/>
                      <w:sz w:val="18"/>
                      <w:szCs w:val="18"/>
                      <w:highlight w:val="none"/>
                    </w:rPr>
                    <w:t>包装印刷、油品储运销等行业领域为重点，安全高效推进挥发性有机物综合治</w:t>
                  </w:r>
                  <w:r>
                    <w:rPr>
                      <w:rFonts w:hint="default" w:ascii="Times New Roman" w:hAnsi="Times New Roman" w:eastAsia="宋体" w:cs="Times New Roman"/>
                      <w:spacing w:val="13"/>
                      <w:sz w:val="18"/>
                      <w:szCs w:val="18"/>
                      <w:highlight w:val="none"/>
                    </w:rPr>
                    <w:t>理，实施原辅材料和产品源头替代工</w:t>
                  </w:r>
                  <w:r>
                    <w:rPr>
                      <w:rFonts w:hint="default" w:ascii="Times New Roman" w:hAnsi="Times New Roman" w:eastAsia="宋体" w:cs="Times New Roman"/>
                      <w:spacing w:val="-2"/>
                      <w:sz w:val="18"/>
                      <w:szCs w:val="18"/>
                      <w:highlight w:val="none"/>
                    </w:rPr>
                    <w:t>程。</w:t>
                  </w:r>
                </w:p>
              </w:tc>
              <w:tc>
                <w:tcPr>
                  <w:tcW w:w="1587" w:type="pct"/>
                  <w:tcBorders>
                    <w:tl2br w:val="nil"/>
                    <w:tr2bl w:val="nil"/>
                  </w:tcBorders>
                  <w:noWrap w:val="0"/>
                  <w:vAlign w:val="center"/>
                </w:tcPr>
                <w:p w14:paraId="14DC0DF9">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6FEDFEAE">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6EDDA13E">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54158DE3">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Times New Roman"/>
                      <w:spacing w:val="5"/>
                      <w:sz w:val="18"/>
                      <w:szCs w:val="18"/>
                      <w:highlight w:val="none"/>
                    </w:rPr>
                  </w:pPr>
                  <w:r>
                    <w:rPr>
                      <w:rFonts w:hint="default" w:ascii="Times New Roman" w:hAnsi="Times New Roman" w:eastAsia="宋体" w:cs="Times New Roman"/>
                      <w:spacing w:val="5"/>
                      <w:sz w:val="18"/>
                      <w:szCs w:val="18"/>
                      <w:highlight w:val="none"/>
                    </w:rPr>
                    <w:t>不涉及</w:t>
                  </w:r>
                </w:p>
              </w:tc>
              <w:tc>
                <w:tcPr>
                  <w:tcW w:w="167" w:type="pct"/>
                  <w:tcBorders>
                    <w:tl2br w:val="nil"/>
                    <w:tr2bl w:val="nil"/>
                  </w:tcBorders>
                  <w:noWrap w:val="0"/>
                  <w:vAlign w:val="center"/>
                </w:tcPr>
                <w:p w14:paraId="52930DE5">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19CFBD47">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3868123D">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2635DBD9">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3"/>
                      <w:sz w:val="18"/>
                      <w:szCs w:val="18"/>
                      <w:highlight w:val="none"/>
                    </w:rPr>
                    <w:t>符合</w:t>
                  </w:r>
                </w:p>
              </w:tc>
            </w:tr>
            <w:tr w14:paraId="2D71A71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503D86FA">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37" w:type="pct"/>
                  <w:vMerge w:val="continue"/>
                  <w:tcBorders>
                    <w:tl2br w:val="nil"/>
                    <w:tr2bl w:val="nil"/>
                  </w:tcBorders>
                  <w:noWrap w:val="0"/>
                  <w:vAlign w:val="center"/>
                </w:tcPr>
                <w:p w14:paraId="0CCD17A2">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441" w:type="pct"/>
                  <w:vMerge w:val="continue"/>
                  <w:tcBorders>
                    <w:tl2br w:val="nil"/>
                    <w:tr2bl w:val="nil"/>
                  </w:tcBorders>
                  <w:noWrap w:val="0"/>
                  <w:vAlign w:val="center"/>
                </w:tcPr>
                <w:p w14:paraId="10D11382">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295" w:type="pct"/>
                  <w:tcBorders>
                    <w:tl2br w:val="nil"/>
                    <w:tr2bl w:val="nil"/>
                  </w:tcBorders>
                  <w:noWrap w:val="0"/>
                  <w:vAlign w:val="center"/>
                </w:tcPr>
                <w:p w14:paraId="19D0A2BD">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18"/>
                      <w:szCs w:val="18"/>
                      <w:highlight w:val="none"/>
                    </w:rPr>
                  </w:pPr>
                  <w:r>
                    <w:rPr>
                      <w:rFonts w:hint="default" w:ascii="Times New Roman" w:hAnsi="Times New Roman" w:eastAsia="宋体" w:cs="Times New Roman"/>
                      <w:spacing w:val="3"/>
                      <w:sz w:val="18"/>
                      <w:szCs w:val="18"/>
                      <w:highlight w:val="none"/>
                    </w:rPr>
                    <w:t>〔</w:t>
                  </w:r>
                  <w:r>
                    <w:rPr>
                      <w:rFonts w:hint="default" w:ascii="Times New Roman" w:hAnsi="Times New Roman" w:eastAsia="Times New Roman" w:cs="Times New Roman"/>
                      <w:spacing w:val="3"/>
                      <w:sz w:val="18"/>
                      <w:szCs w:val="18"/>
                      <w:highlight w:val="none"/>
                    </w:rPr>
                    <w:t>A2.1-3</w:t>
                  </w:r>
                  <w:r>
                    <w:rPr>
                      <w:rFonts w:hint="default" w:ascii="Times New Roman" w:hAnsi="Times New Roman" w:eastAsia="宋体" w:cs="Times New Roman"/>
                      <w:spacing w:val="3"/>
                      <w:sz w:val="18"/>
                      <w:szCs w:val="18"/>
                      <w:highlight w:val="none"/>
                    </w:rPr>
                    <w:t>〕促进大气污染物与温室气体</w:t>
                  </w:r>
                  <w:r>
                    <w:rPr>
                      <w:rFonts w:hint="default" w:ascii="Times New Roman" w:hAnsi="Times New Roman" w:eastAsia="宋体" w:cs="Times New Roman"/>
                      <w:spacing w:val="4"/>
                      <w:sz w:val="18"/>
                      <w:szCs w:val="18"/>
                      <w:highlight w:val="none"/>
                    </w:rPr>
                    <w:t>协同控制。实施污染物和温室气体协同控制，实现减污降碳协同效应。开展工业、农业温室气体和污染减排协同控制研究，减少温室气体和污染物排放。强</w:t>
                  </w:r>
                  <w:r>
                    <w:rPr>
                      <w:rFonts w:hint="default" w:ascii="Times New Roman" w:hAnsi="Times New Roman" w:eastAsia="宋体" w:cs="Times New Roman"/>
                      <w:spacing w:val="17"/>
                      <w:sz w:val="18"/>
                      <w:szCs w:val="18"/>
                      <w:highlight w:val="none"/>
                    </w:rPr>
                    <w:t>化污水、垃圾等集中处置设施环境管</w:t>
                  </w:r>
                  <w:r>
                    <w:rPr>
                      <w:rFonts w:hint="default" w:ascii="Times New Roman" w:hAnsi="Times New Roman" w:eastAsia="宋体" w:cs="Times New Roman"/>
                      <w:spacing w:val="4"/>
                      <w:sz w:val="18"/>
                      <w:szCs w:val="18"/>
                      <w:highlight w:val="none"/>
                    </w:rPr>
                    <w:t>理，协同控制氢氟碳化物、甲烷、氧化亚氮等温室气体。加强节约能源与大气污染防治协同有效衔接，促进大气污染</w:t>
                  </w:r>
                  <w:r>
                    <w:rPr>
                      <w:rFonts w:hint="default" w:ascii="Times New Roman" w:hAnsi="Times New Roman" w:eastAsia="宋体" w:cs="Times New Roman"/>
                      <w:spacing w:val="7"/>
                      <w:sz w:val="18"/>
                      <w:szCs w:val="18"/>
                      <w:highlight w:val="none"/>
                    </w:rPr>
                    <w:t>防治协同增效。</w:t>
                  </w:r>
                </w:p>
              </w:tc>
              <w:tc>
                <w:tcPr>
                  <w:tcW w:w="1587" w:type="pct"/>
                  <w:tcBorders>
                    <w:tl2br w:val="nil"/>
                    <w:tr2bl w:val="nil"/>
                  </w:tcBorders>
                  <w:noWrap w:val="0"/>
                  <w:vAlign w:val="center"/>
                </w:tcPr>
                <w:p w14:paraId="075B1E39">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64ADBCAA">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4653B29A">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31162E6C">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59BE6FC0">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0C4E7AF7">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05FDE2CB">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Times New Roman"/>
                      <w:spacing w:val="5"/>
                      <w:sz w:val="18"/>
                      <w:szCs w:val="18"/>
                      <w:highlight w:val="none"/>
                    </w:rPr>
                  </w:pPr>
                  <w:r>
                    <w:rPr>
                      <w:rFonts w:hint="default" w:ascii="Times New Roman" w:hAnsi="Times New Roman" w:eastAsia="宋体" w:cs="Times New Roman"/>
                      <w:spacing w:val="5"/>
                      <w:sz w:val="18"/>
                      <w:szCs w:val="18"/>
                      <w:highlight w:val="none"/>
                    </w:rPr>
                    <w:t>不涉及</w:t>
                  </w:r>
                </w:p>
              </w:tc>
              <w:tc>
                <w:tcPr>
                  <w:tcW w:w="167" w:type="pct"/>
                  <w:tcBorders>
                    <w:tl2br w:val="nil"/>
                    <w:tr2bl w:val="nil"/>
                  </w:tcBorders>
                  <w:noWrap w:val="0"/>
                  <w:vAlign w:val="center"/>
                </w:tcPr>
                <w:p w14:paraId="10D94203">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0F348FDA">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76907011">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114CCEC9">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11B145B8">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51E7A71F">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5C938E7E">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3"/>
                      <w:sz w:val="18"/>
                      <w:szCs w:val="18"/>
                      <w:highlight w:val="none"/>
                    </w:rPr>
                    <w:t>符合</w:t>
                  </w:r>
                </w:p>
              </w:tc>
            </w:tr>
            <w:tr w14:paraId="14EBB17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611E3972">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37" w:type="pct"/>
                  <w:vMerge w:val="continue"/>
                  <w:tcBorders>
                    <w:tl2br w:val="nil"/>
                    <w:tr2bl w:val="nil"/>
                  </w:tcBorders>
                  <w:noWrap w:val="0"/>
                  <w:vAlign w:val="center"/>
                </w:tcPr>
                <w:p w14:paraId="73A45B63">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441" w:type="pct"/>
                  <w:vMerge w:val="restart"/>
                  <w:tcBorders>
                    <w:tl2br w:val="nil"/>
                    <w:tr2bl w:val="nil"/>
                  </w:tcBorders>
                  <w:noWrap w:val="0"/>
                  <w:vAlign w:val="center"/>
                </w:tcPr>
                <w:p w14:paraId="3A222245">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21C43501">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52561B67">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eastAsia="Times New Roman" w:cs="Times New Roman"/>
                      <w:spacing w:val="4"/>
                      <w:sz w:val="18"/>
                      <w:szCs w:val="18"/>
                      <w:highlight w:val="none"/>
                    </w:rPr>
                    <w:t>A2.2</w:t>
                  </w:r>
                  <w:r>
                    <w:rPr>
                      <w:rFonts w:hint="default" w:ascii="Times New Roman" w:hAnsi="Times New Roman" w:eastAsia="宋体" w:cs="Times New Roman"/>
                      <w:spacing w:val="5"/>
                      <w:sz w:val="18"/>
                      <w:szCs w:val="18"/>
                      <w:highlight w:val="none"/>
                    </w:rPr>
                    <w:t>污染控制措施要求</w:t>
                  </w:r>
                </w:p>
              </w:tc>
              <w:tc>
                <w:tcPr>
                  <w:tcW w:w="2295" w:type="pct"/>
                  <w:tcBorders>
                    <w:tl2br w:val="nil"/>
                    <w:tr2bl w:val="nil"/>
                  </w:tcBorders>
                  <w:noWrap w:val="0"/>
                  <w:vAlign w:val="center"/>
                </w:tcPr>
                <w:p w14:paraId="2B48598D">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1"/>
                      <w:sz w:val="18"/>
                      <w:szCs w:val="18"/>
                      <w:highlight w:val="none"/>
                    </w:rPr>
                    <w:t>〔</w:t>
                  </w:r>
                  <w:r>
                    <w:rPr>
                      <w:rFonts w:hint="default" w:ascii="Times New Roman" w:hAnsi="Times New Roman" w:eastAsia="Times New Roman" w:cs="Times New Roman"/>
                      <w:spacing w:val="1"/>
                      <w:sz w:val="18"/>
                      <w:szCs w:val="18"/>
                      <w:highlight w:val="none"/>
                    </w:rPr>
                    <w:t>A2.2-4</w:t>
                  </w:r>
                  <w:r>
                    <w:rPr>
                      <w:rFonts w:hint="default" w:ascii="Times New Roman" w:hAnsi="Times New Roman" w:eastAsia="宋体" w:cs="Times New Roman"/>
                      <w:spacing w:val="1"/>
                      <w:sz w:val="18"/>
                      <w:szCs w:val="18"/>
                      <w:highlight w:val="none"/>
                    </w:rPr>
                    <w:t>〕强化用水定额管理。推进地</w:t>
                  </w:r>
                  <w:r>
                    <w:rPr>
                      <w:rFonts w:hint="default" w:ascii="Times New Roman" w:hAnsi="Times New Roman" w:eastAsia="宋体" w:cs="Times New Roman"/>
                      <w:sz w:val="18"/>
                      <w:szCs w:val="18"/>
                      <w:highlight w:val="none"/>
                    </w:rPr>
                    <w:t>下水超采综合治理。开展河湖生态流量</w:t>
                  </w:r>
                  <w:r>
                    <w:rPr>
                      <w:rFonts w:hint="default" w:ascii="Times New Roman" w:hAnsi="Times New Roman" w:eastAsia="宋体" w:cs="Times New Roman"/>
                      <w:spacing w:val="-7"/>
                      <w:sz w:val="18"/>
                      <w:szCs w:val="18"/>
                      <w:highlight w:val="none"/>
                    </w:rPr>
                    <w:t>（水量）确定工作，强化生态用水保障。</w:t>
                  </w:r>
                </w:p>
              </w:tc>
              <w:tc>
                <w:tcPr>
                  <w:tcW w:w="1587" w:type="pct"/>
                  <w:tcBorders>
                    <w:tl2br w:val="nil"/>
                    <w:tr2bl w:val="nil"/>
                  </w:tcBorders>
                  <w:noWrap w:val="0"/>
                  <w:vAlign w:val="center"/>
                </w:tcPr>
                <w:p w14:paraId="316C2D43">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5"/>
                      <w:sz w:val="18"/>
                      <w:szCs w:val="18"/>
                      <w:highlight w:val="none"/>
                    </w:rPr>
                  </w:pPr>
                  <w:r>
                    <w:rPr>
                      <w:rFonts w:hint="default" w:ascii="Times New Roman" w:hAnsi="Times New Roman" w:eastAsia="宋体" w:cs="Times New Roman"/>
                      <w:spacing w:val="8"/>
                      <w:sz w:val="18"/>
                      <w:szCs w:val="18"/>
                      <w:highlight w:val="none"/>
                    </w:rPr>
                    <w:t>工程</w:t>
                  </w:r>
                  <w:r>
                    <w:rPr>
                      <w:rFonts w:hint="default" w:ascii="Times New Roman" w:hAnsi="Times New Roman" w:eastAsia="宋体" w:cs="Times New Roman"/>
                      <w:spacing w:val="8"/>
                      <w:sz w:val="18"/>
                      <w:szCs w:val="18"/>
                      <w:highlight w:val="none"/>
                      <w:lang w:val="en-US" w:eastAsia="zh-CN"/>
                    </w:rPr>
                    <w:t>施工期施工用水从附近村镇拉运，</w:t>
                  </w:r>
                  <w:r>
                    <w:rPr>
                      <w:rFonts w:hint="default" w:ascii="Times New Roman" w:hAnsi="Times New Roman" w:cs="Times New Roman"/>
                      <w:sz w:val="18"/>
                      <w:szCs w:val="18"/>
                    </w:rPr>
                    <w:t>严禁从沟渠、河流取水，并控制用水总量，严禁浪费</w:t>
                  </w:r>
                  <w:r>
                    <w:rPr>
                      <w:rFonts w:hint="default" w:ascii="Times New Roman" w:hAnsi="Times New Roman" w:eastAsia="宋体" w:cs="Times New Roman"/>
                      <w:spacing w:val="6"/>
                      <w:sz w:val="18"/>
                      <w:szCs w:val="18"/>
                      <w:highlight w:val="none"/>
                    </w:rPr>
                    <w:t>。</w:t>
                  </w:r>
                </w:p>
              </w:tc>
              <w:tc>
                <w:tcPr>
                  <w:tcW w:w="167" w:type="pct"/>
                  <w:tcBorders>
                    <w:tl2br w:val="nil"/>
                    <w:tr2bl w:val="nil"/>
                  </w:tcBorders>
                  <w:noWrap w:val="0"/>
                  <w:vAlign w:val="center"/>
                </w:tcPr>
                <w:p w14:paraId="30754339">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4DB6508F">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3"/>
                      <w:sz w:val="18"/>
                      <w:szCs w:val="18"/>
                      <w:highlight w:val="none"/>
                    </w:rPr>
                    <w:t>符合</w:t>
                  </w:r>
                </w:p>
              </w:tc>
            </w:tr>
            <w:tr w14:paraId="2B659F6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7FA7BD44">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37" w:type="pct"/>
                  <w:vMerge w:val="continue"/>
                  <w:tcBorders>
                    <w:tl2br w:val="nil"/>
                    <w:tr2bl w:val="nil"/>
                  </w:tcBorders>
                  <w:noWrap w:val="0"/>
                  <w:vAlign w:val="center"/>
                </w:tcPr>
                <w:p w14:paraId="3E287392">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441" w:type="pct"/>
                  <w:vMerge w:val="continue"/>
                  <w:tcBorders>
                    <w:tl2br w:val="nil"/>
                    <w:tr2bl w:val="nil"/>
                  </w:tcBorders>
                  <w:noWrap w:val="0"/>
                  <w:vAlign w:val="center"/>
                </w:tcPr>
                <w:p w14:paraId="1E600865">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295" w:type="pct"/>
                  <w:tcBorders>
                    <w:tl2br w:val="nil"/>
                    <w:tr2bl w:val="nil"/>
                  </w:tcBorders>
                  <w:noWrap w:val="0"/>
                  <w:vAlign w:val="center"/>
                </w:tcPr>
                <w:p w14:paraId="36778D3A">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4"/>
                      <w:sz w:val="18"/>
                      <w:szCs w:val="18"/>
                      <w:highlight w:val="none"/>
                    </w:rPr>
                    <w:t>〔</w:t>
                  </w:r>
                  <w:r>
                    <w:rPr>
                      <w:rFonts w:hint="default" w:ascii="Times New Roman" w:hAnsi="Times New Roman" w:eastAsia="Times New Roman" w:cs="Times New Roman"/>
                      <w:spacing w:val="4"/>
                      <w:sz w:val="18"/>
                      <w:szCs w:val="18"/>
                      <w:highlight w:val="none"/>
                    </w:rPr>
                    <w:t>A2.2-6</w:t>
                  </w:r>
                  <w:r>
                    <w:rPr>
                      <w:rFonts w:hint="default" w:ascii="Times New Roman" w:hAnsi="Times New Roman" w:eastAsia="宋体" w:cs="Times New Roman"/>
                      <w:spacing w:val="4"/>
                      <w:sz w:val="18"/>
                      <w:szCs w:val="18"/>
                      <w:highlight w:val="none"/>
                    </w:rPr>
                    <w:t>〕推进地表水与地下水协同防</w:t>
                  </w:r>
                  <w:r>
                    <w:rPr>
                      <w:rFonts w:hint="default" w:ascii="Times New Roman" w:hAnsi="Times New Roman" w:eastAsia="宋体" w:cs="Times New Roman"/>
                      <w:spacing w:val="14"/>
                      <w:sz w:val="18"/>
                      <w:szCs w:val="18"/>
                      <w:highlight w:val="none"/>
                    </w:rPr>
                    <w:t>治。以傍河型地下水饮用水水源为重</w:t>
                  </w:r>
                  <w:r>
                    <w:rPr>
                      <w:rFonts w:hint="default" w:ascii="Times New Roman" w:hAnsi="Times New Roman" w:eastAsia="宋体" w:cs="Times New Roman"/>
                      <w:spacing w:val="4"/>
                      <w:sz w:val="18"/>
                      <w:szCs w:val="18"/>
                      <w:highlight w:val="none"/>
                    </w:rPr>
                    <w:t>点，防范受污染河段侧渗和垂直补给对地下水污染。加强化学品生产企业、工</w:t>
                  </w:r>
                  <w:r>
                    <w:rPr>
                      <w:rFonts w:hint="default" w:ascii="Times New Roman" w:hAnsi="Times New Roman" w:eastAsia="宋体" w:cs="Times New Roman"/>
                      <w:spacing w:val="17"/>
                      <w:sz w:val="18"/>
                      <w:szCs w:val="18"/>
                      <w:highlight w:val="none"/>
                    </w:rPr>
                    <w:t>业聚集区、矿山开采区等污染源的地</w:t>
                  </w:r>
                  <w:r>
                    <w:rPr>
                      <w:rFonts w:hint="default" w:ascii="Times New Roman" w:hAnsi="Times New Roman" w:eastAsia="宋体" w:cs="Times New Roman"/>
                      <w:spacing w:val="2"/>
                      <w:sz w:val="18"/>
                      <w:szCs w:val="18"/>
                      <w:highlight w:val="none"/>
                    </w:rPr>
                    <w:t>表、地下协同防治与环境风险管控。加强工业污染防治。推动重点行业、重点企业绿色发展，严格落实水污染物排放标准和排污许可制度。加强农副食品加</w:t>
                  </w:r>
                  <w:r>
                    <w:rPr>
                      <w:rFonts w:hint="default" w:ascii="Times New Roman" w:hAnsi="Times New Roman" w:eastAsia="宋体" w:cs="Times New Roman"/>
                      <w:spacing w:val="4"/>
                      <w:sz w:val="18"/>
                      <w:szCs w:val="18"/>
                      <w:highlight w:val="none"/>
                    </w:rPr>
                    <w:t>工、化工、印染、棉浆粕、粘胶纤维、</w:t>
                  </w:r>
                  <w:r>
                    <w:rPr>
                      <w:rFonts w:hint="default" w:ascii="Times New Roman" w:hAnsi="Times New Roman" w:eastAsia="宋体" w:cs="Times New Roman"/>
                      <w:spacing w:val="2"/>
                      <w:sz w:val="18"/>
                      <w:szCs w:val="18"/>
                      <w:highlight w:val="none"/>
                    </w:rPr>
                    <w:t>制糖等企业综合治理和清洁化改造。支持企业积极实施节水技术改造，加强工业园区污水集中处理设施运行管理，加快再生水回用设施建设，提升园区水资</w:t>
                  </w:r>
                  <w:r>
                    <w:rPr>
                      <w:rFonts w:hint="default" w:ascii="Times New Roman" w:hAnsi="Times New Roman" w:eastAsia="宋体" w:cs="Times New Roman"/>
                      <w:spacing w:val="5"/>
                      <w:sz w:val="18"/>
                      <w:szCs w:val="18"/>
                      <w:highlight w:val="none"/>
                    </w:rPr>
                    <w:t>源循环利用水平。</w:t>
                  </w:r>
                </w:p>
              </w:tc>
              <w:tc>
                <w:tcPr>
                  <w:tcW w:w="1587" w:type="pct"/>
                  <w:tcBorders>
                    <w:tl2br w:val="nil"/>
                    <w:tr2bl w:val="nil"/>
                  </w:tcBorders>
                  <w:noWrap w:val="0"/>
                  <w:vAlign w:val="center"/>
                </w:tcPr>
                <w:p w14:paraId="57DF89AA">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5"/>
                      <w:sz w:val="18"/>
                      <w:szCs w:val="18"/>
                      <w:highlight w:val="none"/>
                      <w:lang w:eastAsia="zh-CN"/>
                    </w:rPr>
                  </w:pPr>
                  <w:r>
                    <w:rPr>
                      <w:rFonts w:hint="default" w:ascii="Times New Roman" w:hAnsi="Times New Roman" w:eastAsia="宋体" w:cs="Times New Roman"/>
                      <w:spacing w:val="8"/>
                      <w:sz w:val="18"/>
                      <w:szCs w:val="18"/>
                      <w:highlight w:val="none"/>
                    </w:rPr>
                    <w:t>本</w:t>
                  </w:r>
                  <w:r>
                    <w:rPr>
                      <w:rFonts w:hint="default" w:ascii="Times New Roman" w:hAnsi="Times New Roman" w:eastAsia="宋体" w:cs="Times New Roman"/>
                      <w:spacing w:val="8"/>
                      <w:sz w:val="18"/>
                      <w:szCs w:val="18"/>
                      <w:highlight w:val="none"/>
                      <w:lang w:val="en-US" w:eastAsia="zh-CN"/>
                    </w:rPr>
                    <w:t>工程施工期施工废水采用</w:t>
                  </w:r>
                  <w:r>
                    <w:rPr>
                      <w:rFonts w:hint="default" w:ascii="Times New Roman" w:hAnsi="Times New Roman" w:eastAsia="宋体" w:cs="Times New Roman"/>
                      <w:spacing w:val="8"/>
                      <w:sz w:val="18"/>
                      <w:szCs w:val="18"/>
                      <w:highlight w:val="none"/>
                    </w:rPr>
                    <w:t>防渗</w:t>
                  </w:r>
                  <w:r>
                    <w:rPr>
                      <w:rFonts w:hint="default" w:ascii="Times New Roman" w:hAnsi="Times New Roman" w:eastAsia="宋体" w:cs="Times New Roman"/>
                      <w:spacing w:val="8"/>
                      <w:sz w:val="18"/>
                      <w:szCs w:val="18"/>
                      <w:highlight w:val="none"/>
                      <w:lang w:val="en-US" w:eastAsia="zh-CN"/>
                    </w:rPr>
                    <w:t>设施收集处理</w:t>
                  </w:r>
                  <w:r>
                    <w:rPr>
                      <w:rFonts w:hint="default" w:ascii="Times New Roman" w:hAnsi="Times New Roman" w:eastAsia="宋体" w:cs="Times New Roman"/>
                      <w:spacing w:val="8"/>
                      <w:sz w:val="18"/>
                      <w:szCs w:val="18"/>
                      <w:highlight w:val="none"/>
                    </w:rPr>
                    <w:t>，</w:t>
                  </w:r>
                  <w:r>
                    <w:rPr>
                      <w:rFonts w:hint="default" w:ascii="Times New Roman" w:hAnsi="Times New Roman" w:eastAsia="宋体" w:cs="Times New Roman"/>
                      <w:spacing w:val="8"/>
                      <w:sz w:val="18"/>
                      <w:szCs w:val="18"/>
                      <w:highlight w:val="none"/>
                      <w:lang w:val="en-US" w:eastAsia="zh-CN"/>
                    </w:rPr>
                    <w:t>不随意外排废水，且本项目为道路工程，不涉及工业企业</w:t>
                  </w:r>
                  <w:r>
                    <w:rPr>
                      <w:rFonts w:hint="default" w:ascii="Times New Roman" w:hAnsi="Times New Roman" w:eastAsia="宋体" w:cs="Times New Roman"/>
                      <w:spacing w:val="8"/>
                      <w:sz w:val="18"/>
                      <w:szCs w:val="18"/>
                      <w:highlight w:val="none"/>
                    </w:rPr>
                    <w:t>，因此不</w:t>
                  </w:r>
                  <w:r>
                    <w:rPr>
                      <w:rFonts w:hint="default" w:ascii="Times New Roman" w:hAnsi="Times New Roman" w:eastAsia="宋体" w:cs="Times New Roman"/>
                      <w:spacing w:val="17"/>
                      <w:sz w:val="18"/>
                      <w:szCs w:val="18"/>
                      <w:highlight w:val="none"/>
                    </w:rPr>
                    <w:t>会影响饮用水水源保护区对水</w:t>
                  </w:r>
                  <w:r>
                    <w:rPr>
                      <w:rFonts w:hint="default" w:ascii="Times New Roman" w:hAnsi="Times New Roman" w:eastAsia="宋体" w:cs="Times New Roman"/>
                      <w:spacing w:val="6"/>
                      <w:sz w:val="18"/>
                      <w:szCs w:val="18"/>
                      <w:highlight w:val="none"/>
                    </w:rPr>
                    <w:t>质标准的要求</w:t>
                  </w:r>
                  <w:r>
                    <w:rPr>
                      <w:rFonts w:hint="default" w:ascii="Times New Roman" w:hAnsi="Times New Roman" w:eastAsia="宋体" w:cs="Times New Roman"/>
                      <w:spacing w:val="6"/>
                      <w:sz w:val="18"/>
                      <w:szCs w:val="18"/>
                      <w:highlight w:val="none"/>
                      <w:lang w:eastAsia="zh-CN"/>
                    </w:rPr>
                    <w:t>。</w:t>
                  </w:r>
                </w:p>
              </w:tc>
              <w:tc>
                <w:tcPr>
                  <w:tcW w:w="167" w:type="pct"/>
                  <w:tcBorders>
                    <w:tl2br w:val="nil"/>
                    <w:tr2bl w:val="nil"/>
                  </w:tcBorders>
                  <w:noWrap w:val="0"/>
                  <w:vAlign w:val="center"/>
                </w:tcPr>
                <w:p w14:paraId="7450AD95">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53F2CE11">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16D2A644">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4F5CD643">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3"/>
                      <w:sz w:val="18"/>
                      <w:szCs w:val="18"/>
                      <w:highlight w:val="none"/>
                    </w:rPr>
                    <w:t>符合</w:t>
                  </w:r>
                </w:p>
              </w:tc>
            </w:tr>
            <w:tr w14:paraId="3EAA4F8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33D784F3">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37" w:type="pct"/>
                  <w:vMerge w:val="restart"/>
                  <w:tcBorders>
                    <w:tl2br w:val="nil"/>
                    <w:tr2bl w:val="nil"/>
                  </w:tcBorders>
                  <w:noWrap w:val="0"/>
                  <w:vAlign w:val="center"/>
                </w:tcPr>
                <w:p w14:paraId="6AA517C9">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5BA4666F">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4EBB0249">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069AD17D">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30FFF8DD">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140BD2CF">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7CCCB601">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6C1ED86F">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76C5A4DD">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45FF215F">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665B17B6">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eastAsia="Times New Roman" w:cs="Times New Roman"/>
                      <w:spacing w:val="4"/>
                      <w:sz w:val="18"/>
                      <w:szCs w:val="18"/>
                      <w:highlight w:val="none"/>
                    </w:rPr>
                    <w:t>A3</w:t>
                  </w:r>
                  <w:r>
                    <w:rPr>
                      <w:rFonts w:hint="default" w:ascii="Times New Roman" w:hAnsi="Times New Roman" w:eastAsia="宋体" w:cs="Times New Roman"/>
                      <w:spacing w:val="4"/>
                      <w:sz w:val="18"/>
                      <w:szCs w:val="18"/>
                      <w:highlight w:val="none"/>
                    </w:rPr>
                    <w:t>环境风险防控</w:t>
                  </w:r>
                </w:p>
              </w:tc>
              <w:tc>
                <w:tcPr>
                  <w:tcW w:w="441" w:type="pct"/>
                  <w:vMerge w:val="restart"/>
                  <w:tcBorders>
                    <w:tl2br w:val="nil"/>
                    <w:tr2bl w:val="nil"/>
                  </w:tcBorders>
                  <w:noWrap w:val="0"/>
                  <w:vAlign w:val="center"/>
                </w:tcPr>
                <w:p w14:paraId="035296DF">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29BD034F">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4F29D93F">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269DA8AF">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63F02CB7">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45EDC6FE">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42AB9052">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7D7842C2">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43E69B62">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6C978D55">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544C35A2">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eastAsia="Times New Roman" w:cs="Times New Roman"/>
                      <w:spacing w:val="4"/>
                      <w:sz w:val="18"/>
                      <w:szCs w:val="18"/>
                      <w:highlight w:val="none"/>
                    </w:rPr>
                    <w:t>A3.2</w:t>
                  </w:r>
                  <w:r>
                    <w:rPr>
                      <w:rFonts w:hint="default" w:ascii="Times New Roman" w:hAnsi="Times New Roman" w:eastAsia="宋体" w:cs="Times New Roman"/>
                      <w:spacing w:val="4"/>
                      <w:sz w:val="18"/>
                      <w:szCs w:val="18"/>
                      <w:highlight w:val="none"/>
                    </w:rPr>
                    <w:t>联防联控要求</w:t>
                  </w:r>
                </w:p>
              </w:tc>
              <w:tc>
                <w:tcPr>
                  <w:tcW w:w="2295" w:type="pct"/>
                  <w:tcBorders>
                    <w:tl2br w:val="nil"/>
                    <w:tr2bl w:val="nil"/>
                  </w:tcBorders>
                  <w:noWrap w:val="0"/>
                  <w:vAlign w:val="center"/>
                </w:tcPr>
                <w:p w14:paraId="2845E318">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4"/>
                      <w:sz w:val="18"/>
                      <w:szCs w:val="18"/>
                      <w:highlight w:val="none"/>
                    </w:rPr>
                  </w:pPr>
                  <w:r>
                    <w:rPr>
                      <w:rFonts w:hint="default" w:ascii="Times New Roman" w:hAnsi="Times New Roman" w:eastAsia="宋体" w:cs="Times New Roman"/>
                      <w:spacing w:val="4"/>
                      <w:sz w:val="18"/>
                      <w:szCs w:val="18"/>
                      <w:highlight w:val="none"/>
                    </w:rPr>
                    <w:t>〔</w:t>
                  </w:r>
                  <w:r>
                    <w:rPr>
                      <w:rFonts w:hint="default" w:ascii="Times New Roman" w:hAnsi="Times New Roman" w:eastAsia="Times New Roman" w:cs="Times New Roman"/>
                      <w:spacing w:val="4"/>
                      <w:sz w:val="18"/>
                      <w:szCs w:val="18"/>
                      <w:highlight w:val="none"/>
                    </w:rPr>
                    <w:t>A3.2-1</w:t>
                  </w:r>
                  <w:r>
                    <w:rPr>
                      <w:rFonts w:hint="default" w:ascii="Times New Roman" w:hAnsi="Times New Roman" w:eastAsia="宋体" w:cs="Times New Roman"/>
                      <w:spacing w:val="4"/>
                      <w:sz w:val="18"/>
                      <w:szCs w:val="18"/>
                      <w:highlight w:val="none"/>
                    </w:rPr>
                    <w:t>〕提升饮用水安全保障水平。</w:t>
                  </w:r>
                  <w:r>
                    <w:rPr>
                      <w:rFonts w:hint="default" w:ascii="Times New Roman" w:hAnsi="Times New Roman" w:eastAsia="宋体" w:cs="Times New Roman"/>
                      <w:spacing w:val="17"/>
                      <w:sz w:val="18"/>
                      <w:szCs w:val="18"/>
                      <w:highlight w:val="none"/>
                    </w:rPr>
                    <w:t>以县级及以上集中式饮用水水源地为</w:t>
                  </w:r>
                  <w:r>
                    <w:rPr>
                      <w:rFonts w:hint="default" w:ascii="Times New Roman" w:hAnsi="Times New Roman" w:eastAsia="宋体" w:cs="Times New Roman"/>
                      <w:spacing w:val="4"/>
                      <w:sz w:val="18"/>
                      <w:szCs w:val="18"/>
                      <w:highlight w:val="none"/>
                    </w:rPr>
                    <w:t>重点，推进饮用水水源保护区规范化建</w:t>
                  </w:r>
                  <w:r>
                    <w:rPr>
                      <w:rFonts w:hint="default" w:ascii="Times New Roman" w:hAnsi="Times New Roman" w:eastAsia="宋体" w:cs="Times New Roman"/>
                      <w:spacing w:val="17"/>
                      <w:sz w:val="18"/>
                      <w:szCs w:val="18"/>
                      <w:highlight w:val="none"/>
                    </w:rPr>
                    <w:t>设，统筹推进备用水源或应急水源建</w:t>
                  </w:r>
                  <w:r>
                    <w:rPr>
                      <w:rFonts w:hint="default" w:ascii="Times New Roman" w:hAnsi="Times New Roman" w:eastAsia="宋体" w:cs="Times New Roman"/>
                      <w:spacing w:val="9"/>
                      <w:sz w:val="18"/>
                      <w:szCs w:val="18"/>
                      <w:highlight w:val="none"/>
                    </w:rPr>
                    <w:t>设。单一水源供水的重点城市于</w:t>
                  </w:r>
                  <w:r>
                    <w:rPr>
                      <w:rFonts w:hint="default" w:ascii="Times New Roman" w:hAnsi="Times New Roman" w:eastAsia="Times New Roman" w:cs="Times New Roman"/>
                      <w:spacing w:val="9"/>
                      <w:sz w:val="18"/>
                      <w:szCs w:val="18"/>
                      <w:highlight w:val="none"/>
                    </w:rPr>
                    <w:t>2025</w:t>
                  </w:r>
                  <w:r>
                    <w:rPr>
                      <w:rFonts w:hint="default" w:ascii="Times New Roman" w:hAnsi="Times New Roman" w:eastAsia="宋体" w:cs="Times New Roman"/>
                      <w:spacing w:val="17"/>
                      <w:sz w:val="18"/>
                      <w:szCs w:val="18"/>
                      <w:highlight w:val="none"/>
                    </w:rPr>
                    <w:t>年底前基本完成备用水源或应急水源</w:t>
                  </w:r>
                  <w:r>
                    <w:rPr>
                      <w:rFonts w:hint="default" w:ascii="Times New Roman" w:hAnsi="Times New Roman" w:eastAsia="宋体" w:cs="Times New Roman"/>
                      <w:spacing w:val="4"/>
                      <w:sz w:val="18"/>
                      <w:szCs w:val="18"/>
                      <w:highlight w:val="none"/>
                    </w:rPr>
                    <w:t>建设，有条件的地区开展兵地互为备用水源建设。梯次推进农村集中式饮用水</w:t>
                  </w:r>
                  <w:r>
                    <w:rPr>
                      <w:rFonts w:hint="default" w:ascii="Times New Roman" w:hAnsi="Times New Roman" w:eastAsia="宋体" w:cs="Times New Roman"/>
                      <w:spacing w:val="6"/>
                      <w:sz w:val="18"/>
                      <w:szCs w:val="18"/>
                      <w:highlight w:val="none"/>
                    </w:rPr>
                    <w:t>水源保护区划定，到</w:t>
                  </w:r>
                  <w:r>
                    <w:rPr>
                      <w:rFonts w:hint="default" w:ascii="Times New Roman" w:hAnsi="Times New Roman" w:eastAsia="Times New Roman" w:cs="Times New Roman"/>
                      <w:spacing w:val="6"/>
                      <w:sz w:val="18"/>
                      <w:szCs w:val="18"/>
                      <w:highlight w:val="none"/>
                    </w:rPr>
                    <w:t>2025</w:t>
                  </w:r>
                  <w:r>
                    <w:rPr>
                      <w:rFonts w:hint="default" w:ascii="Times New Roman" w:hAnsi="Times New Roman" w:eastAsia="宋体" w:cs="Times New Roman"/>
                      <w:spacing w:val="6"/>
                      <w:sz w:val="18"/>
                      <w:szCs w:val="18"/>
                      <w:highlight w:val="none"/>
                    </w:rPr>
                    <w:t>年，完成乡</w:t>
                  </w:r>
                  <w:r>
                    <w:rPr>
                      <w:rFonts w:hint="default" w:ascii="Times New Roman" w:hAnsi="Times New Roman" w:eastAsia="宋体" w:cs="Times New Roman"/>
                      <w:spacing w:val="17"/>
                      <w:sz w:val="18"/>
                      <w:szCs w:val="18"/>
                      <w:highlight w:val="none"/>
                    </w:rPr>
                    <w:t>镇级集中式饮用水水源保护区划定与</w:t>
                  </w:r>
                  <w:r>
                    <w:rPr>
                      <w:rFonts w:hint="default" w:ascii="Times New Roman" w:hAnsi="Times New Roman" w:eastAsia="宋体" w:cs="Times New Roman"/>
                      <w:spacing w:val="2"/>
                      <w:sz w:val="18"/>
                      <w:szCs w:val="18"/>
                      <w:highlight w:val="none"/>
                    </w:rPr>
                    <w:t>勘界立标。开展“千吨万人”农村饮用</w:t>
                  </w:r>
                  <w:r>
                    <w:rPr>
                      <w:rFonts w:hint="default" w:ascii="Times New Roman" w:hAnsi="Times New Roman" w:eastAsia="宋体" w:cs="Times New Roman"/>
                      <w:spacing w:val="4"/>
                      <w:sz w:val="18"/>
                      <w:szCs w:val="18"/>
                      <w:highlight w:val="none"/>
                    </w:rPr>
                    <w:t>水水源保护区环境风险排查整治，加强农村水源水质监测，依法清理饮用水水源保护区内违法建筑和排污口，实施从水源到水龙头全过程监管。强化饮用水水源保护区环境应急管理，完善重大突发环境事件的物资和技术储备。针对汇水区、补给区存在兵地跨界的，建立统一的饮用水水源应急和执法机制，共享</w:t>
                  </w:r>
                  <w:r>
                    <w:rPr>
                      <w:rFonts w:hint="default" w:ascii="Times New Roman" w:hAnsi="Times New Roman" w:eastAsia="宋体" w:cs="Times New Roman"/>
                      <w:spacing w:val="5"/>
                      <w:sz w:val="18"/>
                      <w:szCs w:val="18"/>
                      <w:highlight w:val="none"/>
                    </w:rPr>
                    <w:t>应急物资。</w:t>
                  </w:r>
                </w:p>
              </w:tc>
              <w:tc>
                <w:tcPr>
                  <w:tcW w:w="1587" w:type="pct"/>
                  <w:tcBorders>
                    <w:tl2br w:val="nil"/>
                    <w:tr2bl w:val="nil"/>
                  </w:tcBorders>
                  <w:noWrap w:val="0"/>
                  <w:vAlign w:val="center"/>
                </w:tcPr>
                <w:p w14:paraId="55AD2070">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8"/>
                      <w:sz w:val="18"/>
                      <w:szCs w:val="18"/>
                      <w:highlight w:val="none"/>
                      <w:lang w:val="en-US" w:eastAsia="zh-CN"/>
                    </w:rPr>
                  </w:pPr>
                  <w:r>
                    <w:rPr>
                      <w:rFonts w:hint="default" w:ascii="Times New Roman" w:hAnsi="Times New Roman" w:eastAsia="宋体" w:cs="Times New Roman"/>
                      <w:spacing w:val="8"/>
                      <w:sz w:val="18"/>
                      <w:szCs w:val="18"/>
                      <w:highlight w:val="none"/>
                    </w:rPr>
                    <w:t>本工程</w:t>
                  </w:r>
                  <w:r>
                    <w:rPr>
                      <w:rFonts w:hint="default" w:ascii="Times New Roman" w:hAnsi="Times New Roman" w:eastAsia="宋体" w:cs="Times New Roman"/>
                      <w:spacing w:val="8"/>
                      <w:sz w:val="18"/>
                      <w:szCs w:val="18"/>
                      <w:highlight w:val="none"/>
                      <w:lang w:val="en-US" w:eastAsia="zh-CN"/>
                    </w:rPr>
                    <w:t>未占用饮用水水源地</w:t>
                  </w:r>
                </w:p>
              </w:tc>
              <w:tc>
                <w:tcPr>
                  <w:tcW w:w="167" w:type="pct"/>
                  <w:tcBorders>
                    <w:tl2br w:val="nil"/>
                    <w:tr2bl w:val="nil"/>
                  </w:tcBorders>
                  <w:noWrap w:val="0"/>
                  <w:vAlign w:val="center"/>
                </w:tcPr>
                <w:p w14:paraId="433F4FD6">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3"/>
                      <w:sz w:val="18"/>
                      <w:szCs w:val="18"/>
                      <w:highlight w:val="none"/>
                      <w:lang w:val="en-US" w:eastAsia="zh-CN"/>
                    </w:rPr>
                    <w:t>符</w:t>
                  </w:r>
                  <w:r>
                    <w:rPr>
                      <w:rFonts w:hint="default" w:ascii="Times New Roman" w:hAnsi="Times New Roman" w:eastAsia="宋体" w:cs="Times New Roman"/>
                      <w:spacing w:val="3"/>
                      <w:sz w:val="18"/>
                      <w:szCs w:val="18"/>
                      <w:highlight w:val="none"/>
                    </w:rPr>
                    <w:t>合</w:t>
                  </w:r>
                </w:p>
              </w:tc>
            </w:tr>
            <w:tr w14:paraId="0E492B7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2E2C1B4D">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37" w:type="pct"/>
                  <w:vMerge w:val="continue"/>
                  <w:tcBorders>
                    <w:tl2br w:val="nil"/>
                    <w:tr2bl w:val="nil"/>
                  </w:tcBorders>
                  <w:noWrap w:val="0"/>
                  <w:vAlign w:val="center"/>
                </w:tcPr>
                <w:p w14:paraId="0C4CC0CF">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spacing w:val="4"/>
                      <w:sz w:val="18"/>
                      <w:szCs w:val="18"/>
                      <w:highlight w:val="none"/>
                    </w:rPr>
                  </w:pPr>
                </w:p>
              </w:tc>
              <w:tc>
                <w:tcPr>
                  <w:tcW w:w="441" w:type="pct"/>
                  <w:vMerge w:val="continue"/>
                  <w:tcBorders>
                    <w:tl2br w:val="nil"/>
                    <w:tr2bl w:val="nil"/>
                  </w:tcBorders>
                  <w:noWrap w:val="0"/>
                  <w:vAlign w:val="center"/>
                </w:tcPr>
                <w:p w14:paraId="7900354E">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spacing w:val="4"/>
                      <w:sz w:val="18"/>
                      <w:szCs w:val="18"/>
                      <w:highlight w:val="none"/>
                    </w:rPr>
                  </w:pPr>
                </w:p>
              </w:tc>
              <w:tc>
                <w:tcPr>
                  <w:tcW w:w="2295" w:type="pct"/>
                  <w:tcBorders>
                    <w:tl2br w:val="nil"/>
                    <w:tr2bl w:val="nil"/>
                  </w:tcBorders>
                  <w:noWrap w:val="0"/>
                  <w:vAlign w:val="center"/>
                </w:tcPr>
                <w:p w14:paraId="56A915C8">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18"/>
                      <w:szCs w:val="18"/>
                      <w:highlight w:val="none"/>
                    </w:rPr>
                  </w:pPr>
                  <w:r>
                    <w:rPr>
                      <w:rFonts w:hint="default" w:ascii="Times New Roman" w:hAnsi="Times New Roman" w:eastAsia="宋体" w:cs="Times New Roman"/>
                      <w:spacing w:val="4"/>
                      <w:sz w:val="18"/>
                      <w:szCs w:val="18"/>
                      <w:highlight w:val="none"/>
                    </w:rPr>
                    <w:t>〔</w:t>
                  </w:r>
                  <w:r>
                    <w:rPr>
                      <w:rFonts w:hint="default" w:ascii="Times New Roman" w:hAnsi="Times New Roman" w:eastAsia="Times New Roman" w:cs="Times New Roman"/>
                      <w:spacing w:val="4"/>
                      <w:sz w:val="18"/>
                      <w:szCs w:val="18"/>
                      <w:highlight w:val="none"/>
                    </w:rPr>
                    <w:t>A3.2-8</w:t>
                  </w:r>
                  <w:r>
                    <w:rPr>
                      <w:rFonts w:hint="default" w:ascii="Times New Roman" w:hAnsi="Times New Roman" w:eastAsia="宋体" w:cs="Times New Roman"/>
                      <w:spacing w:val="4"/>
                      <w:sz w:val="18"/>
                      <w:szCs w:val="18"/>
                      <w:highlight w:val="none"/>
                    </w:rPr>
                    <w:t>〕加强环境风险预警防控。加强涉危险废物企业、涉重金属企业、化工园区、集中式饮用水水源地及重点流域环境风险调查评估，实施分类分级风险管控，协同推进重点区域、流域生态环境污染综合防治、风险防控与生态修</w:t>
                  </w:r>
                  <w:r>
                    <w:rPr>
                      <w:rFonts w:hint="default" w:ascii="Times New Roman" w:hAnsi="Times New Roman" w:eastAsia="宋体" w:cs="Times New Roman"/>
                      <w:sz w:val="18"/>
                      <w:szCs w:val="18"/>
                      <w:highlight w:val="none"/>
                    </w:rPr>
                    <w:t>复。</w:t>
                  </w:r>
                </w:p>
              </w:tc>
              <w:tc>
                <w:tcPr>
                  <w:tcW w:w="1587" w:type="pct"/>
                  <w:tcBorders>
                    <w:tl2br w:val="nil"/>
                    <w:tr2bl w:val="nil"/>
                  </w:tcBorders>
                  <w:noWrap w:val="0"/>
                  <w:vAlign w:val="center"/>
                </w:tcPr>
                <w:p w14:paraId="23271E4A">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8"/>
                      <w:sz w:val="18"/>
                      <w:szCs w:val="18"/>
                      <w:highlight w:val="none"/>
                    </w:rPr>
                  </w:pPr>
                  <w:r>
                    <w:rPr>
                      <w:rFonts w:hint="default" w:ascii="Times New Roman" w:hAnsi="Times New Roman" w:eastAsia="宋体" w:cs="Times New Roman"/>
                      <w:spacing w:val="7"/>
                      <w:sz w:val="18"/>
                      <w:szCs w:val="18"/>
                      <w:highlight w:val="none"/>
                      <w:lang w:val="en-US" w:eastAsia="zh-CN"/>
                    </w:rPr>
                    <w:t>本项目属于等级公路建设项目，不属于工业企业类项目，施工期及运营期不涉及危险废物产生和排放</w:t>
                  </w:r>
                  <w:r>
                    <w:rPr>
                      <w:rFonts w:hint="default" w:ascii="Times New Roman" w:hAnsi="Times New Roman" w:eastAsia="宋体" w:cs="Times New Roman"/>
                      <w:spacing w:val="7"/>
                      <w:sz w:val="18"/>
                      <w:szCs w:val="18"/>
                      <w:highlight w:val="none"/>
                    </w:rPr>
                    <w:t>。</w:t>
                  </w:r>
                </w:p>
              </w:tc>
              <w:tc>
                <w:tcPr>
                  <w:tcW w:w="167" w:type="pct"/>
                  <w:tcBorders>
                    <w:tl2br w:val="nil"/>
                    <w:tr2bl w:val="nil"/>
                  </w:tcBorders>
                  <w:noWrap w:val="0"/>
                  <w:vAlign w:val="center"/>
                </w:tcPr>
                <w:p w14:paraId="6E40F2D4">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3"/>
                      <w:sz w:val="18"/>
                      <w:szCs w:val="18"/>
                      <w:highlight w:val="none"/>
                    </w:rPr>
                    <w:t>符合</w:t>
                  </w:r>
                </w:p>
              </w:tc>
            </w:tr>
            <w:tr w14:paraId="07A68F0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0C37F7B3">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37" w:type="pct"/>
                  <w:vMerge w:val="continue"/>
                  <w:tcBorders>
                    <w:tl2br w:val="nil"/>
                    <w:tr2bl w:val="nil"/>
                  </w:tcBorders>
                  <w:noWrap w:val="0"/>
                  <w:vAlign w:val="center"/>
                </w:tcPr>
                <w:p w14:paraId="09568DDA">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spacing w:val="4"/>
                      <w:sz w:val="18"/>
                      <w:szCs w:val="18"/>
                      <w:highlight w:val="none"/>
                    </w:rPr>
                  </w:pPr>
                </w:p>
              </w:tc>
              <w:tc>
                <w:tcPr>
                  <w:tcW w:w="441" w:type="pct"/>
                  <w:vMerge w:val="continue"/>
                  <w:tcBorders>
                    <w:tl2br w:val="nil"/>
                    <w:tr2bl w:val="nil"/>
                  </w:tcBorders>
                  <w:noWrap w:val="0"/>
                  <w:vAlign w:val="center"/>
                </w:tcPr>
                <w:p w14:paraId="455BBB48">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spacing w:val="4"/>
                      <w:sz w:val="18"/>
                      <w:szCs w:val="18"/>
                      <w:highlight w:val="none"/>
                    </w:rPr>
                  </w:pPr>
                </w:p>
              </w:tc>
              <w:tc>
                <w:tcPr>
                  <w:tcW w:w="2295" w:type="pct"/>
                  <w:tcBorders>
                    <w:tl2br w:val="nil"/>
                    <w:tr2bl w:val="nil"/>
                  </w:tcBorders>
                  <w:noWrap w:val="0"/>
                  <w:vAlign w:val="center"/>
                </w:tcPr>
                <w:p w14:paraId="50C04010">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18"/>
                      <w:szCs w:val="18"/>
                      <w:highlight w:val="none"/>
                    </w:rPr>
                  </w:pPr>
                  <w:r>
                    <w:rPr>
                      <w:rFonts w:hint="default" w:ascii="Times New Roman" w:hAnsi="Times New Roman" w:eastAsia="宋体" w:cs="Times New Roman"/>
                      <w:spacing w:val="4"/>
                      <w:sz w:val="18"/>
                      <w:szCs w:val="18"/>
                      <w:highlight w:val="none"/>
                    </w:rPr>
                    <w:t>〔</w:t>
                  </w:r>
                  <w:r>
                    <w:rPr>
                      <w:rFonts w:hint="default" w:ascii="Times New Roman" w:hAnsi="Times New Roman" w:eastAsia="Times New Roman" w:cs="Times New Roman"/>
                      <w:spacing w:val="4"/>
                      <w:sz w:val="18"/>
                      <w:szCs w:val="18"/>
                      <w:highlight w:val="none"/>
                    </w:rPr>
                    <w:t>A3.2-9</w:t>
                  </w:r>
                  <w:r>
                    <w:rPr>
                      <w:rFonts w:hint="default" w:ascii="Times New Roman" w:hAnsi="Times New Roman" w:eastAsia="宋体" w:cs="Times New Roman"/>
                      <w:spacing w:val="4"/>
                      <w:sz w:val="18"/>
                      <w:szCs w:val="18"/>
                      <w:highlight w:val="none"/>
                    </w:rPr>
                    <w:t>〕强化生态环境应急管理。实</w:t>
                  </w:r>
                  <w:r>
                    <w:rPr>
                      <w:rFonts w:hint="default" w:ascii="Times New Roman" w:hAnsi="Times New Roman" w:eastAsia="宋体" w:cs="Times New Roman"/>
                      <w:spacing w:val="17"/>
                      <w:sz w:val="18"/>
                      <w:szCs w:val="18"/>
                      <w:highlight w:val="none"/>
                    </w:rPr>
                    <w:t>施企业突发生态环境应急预案电子化</w:t>
                  </w:r>
                  <w:r>
                    <w:rPr>
                      <w:rFonts w:hint="default" w:ascii="Times New Roman" w:hAnsi="Times New Roman" w:eastAsia="宋体" w:cs="Times New Roman"/>
                      <w:spacing w:val="4"/>
                      <w:sz w:val="18"/>
                      <w:szCs w:val="18"/>
                      <w:highlight w:val="none"/>
                    </w:rPr>
                    <w:t>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w:t>
                  </w:r>
                  <w:r>
                    <w:rPr>
                      <w:rFonts w:hint="default" w:ascii="Times New Roman" w:hAnsi="Times New Roman" w:eastAsia="宋体" w:cs="Times New Roman"/>
                      <w:spacing w:val="8"/>
                      <w:sz w:val="18"/>
                      <w:szCs w:val="18"/>
                      <w:highlight w:val="none"/>
                    </w:rPr>
                    <w:t>开展应急演练，增强实战能力。</w:t>
                  </w:r>
                </w:p>
              </w:tc>
              <w:tc>
                <w:tcPr>
                  <w:tcW w:w="1587" w:type="pct"/>
                  <w:tcBorders>
                    <w:tl2br w:val="nil"/>
                    <w:tr2bl w:val="nil"/>
                  </w:tcBorders>
                  <w:noWrap w:val="0"/>
                  <w:vAlign w:val="center"/>
                </w:tcPr>
                <w:p w14:paraId="4232421D">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8"/>
                      <w:sz w:val="18"/>
                      <w:szCs w:val="18"/>
                      <w:highlight w:val="none"/>
                    </w:rPr>
                  </w:pPr>
                  <w:r>
                    <w:rPr>
                      <w:rFonts w:hint="default" w:ascii="Times New Roman" w:hAnsi="Times New Roman" w:eastAsia="宋体" w:cs="Times New Roman"/>
                      <w:spacing w:val="9"/>
                      <w:sz w:val="18"/>
                      <w:szCs w:val="18"/>
                      <w:highlight w:val="none"/>
                    </w:rPr>
                    <w:t>本</w:t>
                  </w:r>
                  <w:r>
                    <w:rPr>
                      <w:rFonts w:hint="default" w:ascii="Times New Roman" w:hAnsi="Times New Roman" w:eastAsia="宋体" w:cs="Times New Roman"/>
                      <w:spacing w:val="9"/>
                      <w:sz w:val="18"/>
                      <w:szCs w:val="18"/>
                      <w:highlight w:val="none"/>
                      <w:lang w:val="en-US" w:eastAsia="zh-CN"/>
                    </w:rPr>
                    <w:t>项目为等级公路建设项目，要求施工期做好生态环境保护</w:t>
                  </w:r>
                  <w:r>
                    <w:rPr>
                      <w:rFonts w:hint="default" w:ascii="Times New Roman" w:hAnsi="Times New Roman" w:eastAsia="宋体" w:cs="Times New Roman"/>
                      <w:spacing w:val="6"/>
                      <w:sz w:val="18"/>
                      <w:szCs w:val="18"/>
                      <w:highlight w:val="none"/>
                    </w:rPr>
                    <w:t>。</w:t>
                  </w:r>
                </w:p>
              </w:tc>
              <w:tc>
                <w:tcPr>
                  <w:tcW w:w="167" w:type="pct"/>
                  <w:tcBorders>
                    <w:tl2br w:val="nil"/>
                    <w:tr2bl w:val="nil"/>
                  </w:tcBorders>
                  <w:noWrap w:val="0"/>
                  <w:vAlign w:val="center"/>
                </w:tcPr>
                <w:p w14:paraId="290AC601">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3"/>
                      <w:sz w:val="18"/>
                      <w:szCs w:val="18"/>
                      <w:highlight w:val="none"/>
                    </w:rPr>
                    <w:t>符合</w:t>
                  </w:r>
                </w:p>
              </w:tc>
            </w:tr>
            <w:tr w14:paraId="65362E9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3DC89947">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37" w:type="pct"/>
                  <w:vMerge w:val="restart"/>
                  <w:tcBorders>
                    <w:tl2br w:val="nil"/>
                    <w:tr2bl w:val="nil"/>
                  </w:tcBorders>
                  <w:noWrap w:val="0"/>
                  <w:vAlign w:val="center"/>
                </w:tcPr>
                <w:p w14:paraId="564FA938">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spacing w:val="4"/>
                      <w:sz w:val="18"/>
                      <w:szCs w:val="18"/>
                      <w:highlight w:val="none"/>
                    </w:rPr>
                  </w:pPr>
                  <w:r>
                    <w:rPr>
                      <w:rFonts w:hint="default" w:ascii="Times New Roman" w:hAnsi="Times New Roman" w:eastAsia="Times New Roman" w:cs="Times New Roman"/>
                      <w:spacing w:val="4"/>
                      <w:sz w:val="18"/>
                      <w:szCs w:val="18"/>
                      <w:highlight w:val="none"/>
                    </w:rPr>
                    <w:t>A4</w:t>
                  </w:r>
                  <w:r>
                    <w:rPr>
                      <w:rFonts w:hint="default" w:ascii="Times New Roman" w:hAnsi="Times New Roman" w:eastAsia="宋体" w:cs="Times New Roman"/>
                      <w:spacing w:val="4"/>
                      <w:sz w:val="18"/>
                      <w:szCs w:val="18"/>
                      <w:highlight w:val="none"/>
                    </w:rPr>
                    <w:t>资源利用要求</w:t>
                  </w:r>
                </w:p>
              </w:tc>
              <w:tc>
                <w:tcPr>
                  <w:tcW w:w="441" w:type="pct"/>
                  <w:vMerge w:val="restart"/>
                  <w:tcBorders>
                    <w:tl2br w:val="nil"/>
                    <w:tr2bl w:val="nil"/>
                  </w:tcBorders>
                  <w:noWrap w:val="0"/>
                  <w:vAlign w:val="center"/>
                </w:tcPr>
                <w:p w14:paraId="2836472B">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54589E58">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76208999">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164586E1">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Times New Roman" w:cs="Times New Roman"/>
                      <w:sz w:val="18"/>
                      <w:szCs w:val="18"/>
                      <w:highlight w:val="none"/>
                    </w:rPr>
                  </w:pPr>
                  <w:r>
                    <w:rPr>
                      <w:rFonts w:hint="default" w:ascii="Times New Roman" w:hAnsi="Times New Roman" w:eastAsia="Times New Roman" w:cs="Times New Roman"/>
                      <w:spacing w:val="3"/>
                      <w:sz w:val="18"/>
                      <w:szCs w:val="18"/>
                      <w:highlight w:val="none"/>
                    </w:rPr>
                    <w:t>A4.1</w:t>
                  </w:r>
                </w:p>
                <w:p w14:paraId="29F1C521">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pacing w:val="3"/>
                      <w:sz w:val="18"/>
                      <w:szCs w:val="18"/>
                      <w:highlight w:val="none"/>
                    </w:rPr>
                    <w:t>水资</w:t>
                  </w:r>
                </w:p>
                <w:p w14:paraId="6D3C16C7">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Times New Roman" w:cs="Times New Roman"/>
                      <w:spacing w:val="4"/>
                      <w:sz w:val="18"/>
                      <w:szCs w:val="18"/>
                      <w:highlight w:val="none"/>
                    </w:rPr>
                  </w:pPr>
                  <w:r>
                    <w:rPr>
                      <w:rFonts w:hint="default" w:ascii="Times New Roman" w:hAnsi="Times New Roman" w:eastAsia="宋体" w:cs="Times New Roman"/>
                      <w:spacing w:val="1"/>
                      <w:sz w:val="18"/>
                      <w:szCs w:val="18"/>
                      <w:highlight w:val="none"/>
                    </w:rPr>
                    <w:t>源</w:t>
                  </w:r>
                </w:p>
              </w:tc>
              <w:tc>
                <w:tcPr>
                  <w:tcW w:w="2295" w:type="pct"/>
                  <w:tcBorders>
                    <w:tl2br w:val="nil"/>
                    <w:tr2bl w:val="nil"/>
                  </w:tcBorders>
                  <w:noWrap w:val="0"/>
                  <w:vAlign w:val="center"/>
                </w:tcPr>
                <w:p w14:paraId="11C16B82">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18"/>
                      <w:szCs w:val="18"/>
                      <w:highlight w:val="none"/>
                    </w:rPr>
                  </w:pPr>
                  <w:r>
                    <w:rPr>
                      <w:rFonts w:hint="default" w:ascii="Times New Roman" w:hAnsi="Times New Roman" w:eastAsia="宋体" w:cs="Times New Roman"/>
                      <w:spacing w:val="1"/>
                      <w:sz w:val="18"/>
                      <w:szCs w:val="18"/>
                      <w:highlight w:val="none"/>
                    </w:rPr>
                    <w:t>〔</w:t>
                  </w:r>
                  <w:r>
                    <w:rPr>
                      <w:rFonts w:hint="default" w:ascii="Times New Roman" w:hAnsi="Times New Roman" w:eastAsia="Times New Roman" w:cs="Times New Roman"/>
                      <w:spacing w:val="1"/>
                      <w:sz w:val="18"/>
                      <w:szCs w:val="18"/>
                      <w:highlight w:val="none"/>
                    </w:rPr>
                    <w:t>A4.1-1</w:t>
                  </w:r>
                  <w:r>
                    <w:rPr>
                      <w:rFonts w:hint="default" w:ascii="Times New Roman" w:hAnsi="Times New Roman" w:eastAsia="宋体" w:cs="Times New Roman"/>
                      <w:spacing w:val="1"/>
                      <w:sz w:val="18"/>
                      <w:szCs w:val="18"/>
                      <w:highlight w:val="none"/>
                    </w:rPr>
                    <w:t>〕自治区用水总量</w:t>
                  </w:r>
                  <w:r>
                    <w:rPr>
                      <w:rFonts w:hint="default" w:ascii="Times New Roman" w:hAnsi="Times New Roman" w:eastAsia="Times New Roman" w:cs="Times New Roman"/>
                      <w:spacing w:val="1"/>
                      <w:sz w:val="18"/>
                      <w:szCs w:val="18"/>
                      <w:highlight w:val="none"/>
                    </w:rPr>
                    <w:t>2025</w:t>
                  </w:r>
                  <w:r>
                    <w:rPr>
                      <w:rFonts w:hint="default" w:ascii="Times New Roman" w:hAnsi="Times New Roman" w:eastAsia="宋体" w:cs="Times New Roman"/>
                      <w:spacing w:val="1"/>
                      <w:sz w:val="18"/>
                      <w:szCs w:val="18"/>
                      <w:highlight w:val="none"/>
                    </w:rPr>
                    <w:t>年、</w:t>
                  </w:r>
                  <w:r>
                    <w:rPr>
                      <w:rFonts w:hint="default" w:ascii="Times New Roman" w:hAnsi="Times New Roman" w:eastAsia="Times New Roman" w:cs="Times New Roman"/>
                      <w:spacing w:val="7"/>
                      <w:sz w:val="18"/>
                      <w:szCs w:val="18"/>
                      <w:highlight w:val="none"/>
                    </w:rPr>
                    <w:t>2030</w:t>
                  </w:r>
                  <w:r>
                    <w:rPr>
                      <w:rFonts w:hint="default" w:ascii="Times New Roman" w:hAnsi="Times New Roman" w:eastAsia="宋体" w:cs="Times New Roman"/>
                      <w:spacing w:val="7"/>
                      <w:sz w:val="18"/>
                      <w:szCs w:val="18"/>
                      <w:highlight w:val="none"/>
                    </w:rPr>
                    <w:t>年控制在国家下达的指标内。</w:t>
                  </w:r>
                </w:p>
              </w:tc>
              <w:tc>
                <w:tcPr>
                  <w:tcW w:w="1587" w:type="pct"/>
                  <w:vMerge w:val="restart"/>
                  <w:tcBorders>
                    <w:tl2br w:val="nil"/>
                    <w:tr2bl w:val="nil"/>
                  </w:tcBorders>
                  <w:noWrap w:val="0"/>
                  <w:vAlign w:val="center"/>
                </w:tcPr>
                <w:p w14:paraId="3783CD53">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Times New Roman"/>
                      <w:spacing w:val="9"/>
                      <w:sz w:val="18"/>
                      <w:szCs w:val="18"/>
                      <w:highlight w:val="none"/>
                      <w:lang w:eastAsia="zh-CN"/>
                    </w:rPr>
                  </w:pPr>
                  <w:r>
                    <w:rPr>
                      <w:rFonts w:hint="default" w:ascii="Times New Roman" w:hAnsi="Times New Roman" w:eastAsia="宋体" w:cs="Times New Roman"/>
                      <w:spacing w:val="1"/>
                      <w:sz w:val="18"/>
                      <w:szCs w:val="18"/>
                      <w:highlight w:val="none"/>
                      <w:lang w:val="en-US" w:eastAsia="zh-CN"/>
                    </w:rPr>
                    <w:t>不涉及</w:t>
                  </w:r>
                </w:p>
              </w:tc>
              <w:tc>
                <w:tcPr>
                  <w:tcW w:w="167" w:type="pct"/>
                  <w:tcBorders>
                    <w:tl2br w:val="nil"/>
                    <w:tr2bl w:val="nil"/>
                  </w:tcBorders>
                  <w:noWrap w:val="0"/>
                  <w:vAlign w:val="center"/>
                </w:tcPr>
                <w:p w14:paraId="795D7AB8">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3"/>
                      <w:sz w:val="18"/>
                      <w:szCs w:val="18"/>
                      <w:highlight w:val="none"/>
                    </w:rPr>
                    <w:t>符合</w:t>
                  </w:r>
                </w:p>
              </w:tc>
            </w:tr>
            <w:tr w14:paraId="337EFAC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69593608">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37" w:type="pct"/>
                  <w:vMerge w:val="continue"/>
                  <w:tcBorders>
                    <w:tl2br w:val="nil"/>
                    <w:tr2bl w:val="nil"/>
                  </w:tcBorders>
                  <w:noWrap w:val="0"/>
                  <w:vAlign w:val="center"/>
                </w:tcPr>
                <w:p w14:paraId="2CFE5319">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spacing w:val="4"/>
                      <w:sz w:val="18"/>
                      <w:szCs w:val="18"/>
                      <w:highlight w:val="none"/>
                    </w:rPr>
                  </w:pPr>
                </w:p>
              </w:tc>
              <w:tc>
                <w:tcPr>
                  <w:tcW w:w="441" w:type="pct"/>
                  <w:vMerge w:val="continue"/>
                  <w:tcBorders>
                    <w:tl2br w:val="nil"/>
                    <w:tr2bl w:val="nil"/>
                  </w:tcBorders>
                  <w:noWrap w:val="0"/>
                  <w:vAlign w:val="center"/>
                </w:tcPr>
                <w:p w14:paraId="0A515221">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Times New Roman" w:cs="Times New Roman"/>
                      <w:spacing w:val="4"/>
                      <w:sz w:val="18"/>
                      <w:szCs w:val="18"/>
                      <w:highlight w:val="none"/>
                    </w:rPr>
                  </w:pPr>
                </w:p>
              </w:tc>
              <w:tc>
                <w:tcPr>
                  <w:tcW w:w="2295" w:type="pct"/>
                  <w:tcBorders>
                    <w:tl2br w:val="nil"/>
                    <w:tr2bl w:val="nil"/>
                  </w:tcBorders>
                  <w:noWrap w:val="0"/>
                  <w:vAlign w:val="center"/>
                </w:tcPr>
                <w:p w14:paraId="537BE289">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18"/>
                      <w:szCs w:val="18"/>
                      <w:highlight w:val="none"/>
                    </w:rPr>
                  </w:pPr>
                  <w:r>
                    <w:rPr>
                      <w:rFonts w:hint="default" w:ascii="Times New Roman" w:hAnsi="Times New Roman" w:eastAsia="宋体" w:cs="Times New Roman"/>
                      <w:spacing w:val="3"/>
                      <w:sz w:val="18"/>
                      <w:szCs w:val="18"/>
                      <w:highlight w:val="none"/>
                    </w:rPr>
                    <w:t>〔</w:t>
                  </w:r>
                  <w:r>
                    <w:rPr>
                      <w:rFonts w:hint="default" w:ascii="Times New Roman" w:hAnsi="Times New Roman" w:eastAsia="Times New Roman" w:cs="Times New Roman"/>
                      <w:spacing w:val="3"/>
                      <w:sz w:val="18"/>
                      <w:szCs w:val="18"/>
                      <w:highlight w:val="none"/>
                    </w:rPr>
                    <w:t>A4.1-4</w:t>
                  </w:r>
                  <w:r>
                    <w:rPr>
                      <w:rFonts w:hint="default" w:ascii="Times New Roman" w:hAnsi="Times New Roman" w:eastAsia="宋体" w:cs="Times New Roman"/>
                      <w:spacing w:val="3"/>
                      <w:sz w:val="18"/>
                      <w:szCs w:val="18"/>
                      <w:highlight w:val="none"/>
                    </w:rPr>
                    <w:t>〕地下水资源利用实行总量控</w:t>
                  </w:r>
                  <w:r>
                    <w:rPr>
                      <w:rFonts w:hint="default" w:ascii="Times New Roman" w:hAnsi="Times New Roman" w:eastAsia="宋体" w:cs="Times New Roman"/>
                      <w:spacing w:val="4"/>
                      <w:sz w:val="18"/>
                      <w:szCs w:val="18"/>
                      <w:highlight w:val="none"/>
                    </w:rPr>
                    <w:t>制和水位控制。取用地下水资源，应当</w:t>
                  </w:r>
                  <w:r>
                    <w:rPr>
                      <w:rFonts w:hint="default" w:ascii="Times New Roman" w:hAnsi="Times New Roman" w:eastAsia="宋体" w:cs="Times New Roman"/>
                      <w:spacing w:val="17"/>
                      <w:sz w:val="18"/>
                      <w:szCs w:val="18"/>
                      <w:highlight w:val="none"/>
                    </w:rPr>
                    <w:t>按照国家和自治区有关规定申请取水</w:t>
                  </w:r>
                  <w:r>
                    <w:rPr>
                      <w:rFonts w:hint="default" w:ascii="Times New Roman" w:hAnsi="Times New Roman" w:eastAsia="宋体" w:cs="Times New Roman"/>
                      <w:spacing w:val="4"/>
                      <w:sz w:val="18"/>
                      <w:szCs w:val="18"/>
                      <w:highlight w:val="none"/>
                    </w:rPr>
                    <w:t>许可。地下水利用应当以浅层地下水为</w:t>
                  </w:r>
                  <w:r>
                    <w:rPr>
                      <w:rFonts w:hint="default" w:ascii="Times New Roman" w:hAnsi="Times New Roman" w:eastAsia="宋体" w:cs="Times New Roman"/>
                      <w:sz w:val="18"/>
                      <w:szCs w:val="18"/>
                      <w:highlight w:val="none"/>
                    </w:rPr>
                    <w:t>主。</w:t>
                  </w:r>
                </w:p>
              </w:tc>
              <w:tc>
                <w:tcPr>
                  <w:tcW w:w="1587" w:type="pct"/>
                  <w:vMerge w:val="continue"/>
                  <w:tcBorders>
                    <w:tl2br w:val="nil"/>
                    <w:tr2bl w:val="nil"/>
                  </w:tcBorders>
                  <w:noWrap w:val="0"/>
                  <w:vAlign w:val="center"/>
                </w:tcPr>
                <w:p w14:paraId="510CDB39">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Times New Roman"/>
                      <w:spacing w:val="9"/>
                      <w:sz w:val="18"/>
                      <w:szCs w:val="18"/>
                      <w:highlight w:val="none"/>
                    </w:rPr>
                  </w:pPr>
                </w:p>
              </w:tc>
              <w:tc>
                <w:tcPr>
                  <w:tcW w:w="167" w:type="pct"/>
                  <w:tcBorders>
                    <w:tl2br w:val="nil"/>
                    <w:tr2bl w:val="nil"/>
                  </w:tcBorders>
                  <w:noWrap w:val="0"/>
                  <w:vAlign w:val="center"/>
                </w:tcPr>
                <w:p w14:paraId="2E12E9C2">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3"/>
                      <w:sz w:val="18"/>
                      <w:szCs w:val="18"/>
                      <w:highlight w:val="none"/>
                    </w:rPr>
                    <w:t>符合</w:t>
                  </w:r>
                </w:p>
              </w:tc>
            </w:tr>
            <w:tr w14:paraId="0924DC0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7C81EA97">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37" w:type="pct"/>
                  <w:vMerge w:val="continue"/>
                  <w:tcBorders>
                    <w:tl2br w:val="nil"/>
                    <w:tr2bl w:val="nil"/>
                  </w:tcBorders>
                  <w:noWrap w:val="0"/>
                  <w:vAlign w:val="center"/>
                </w:tcPr>
                <w:p w14:paraId="6BD1242B">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spacing w:val="4"/>
                      <w:sz w:val="18"/>
                      <w:szCs w:val="18"/>
                      <w:highlight w:val="none"/>
                    </w:rPr>
                  </w:pPr>
                </w:p>
              </w:tc>
              <w:tc>
                <w:tcPr>
                  <w:tcW w:w="441" w:type="pct"/>
                  <w:tcBorders>
                    <w:tl2br w:val="nil"/>
                    <w:tr2bl w:val="nil"/>
                  </w:tcBorders>
                  <w:noWrap w:val="0"/>
                  <w:vAlign w:val="center"/>
                </w:tcPr>
                <w:p w14:paraId="29D162A5">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spacing w:val="4"/>
                      <w:sz w:val="18"/>
                      <w:szCs w:val="18"/>
                      <w:highlight w:val="none"/>
                    </w:rPr>
                  </w:pPr>
                  <w:r>
                    <w:rPr>
                      <w:rFonts w:hint="default" w:ascii="Times New Roman" w:hAnsi="Times New Roman" w:eastAsia="Times New Roman" w:cs="Times New Roman"/>
                      <w:spacing w:val="4"/>
                      <w:sz w:val="18"/>
                      <w:szCs w:val="18"/>
                      <w:highlight w:val="none"/>
                    </w:rPr>
                    <w:t>A4.2</w:t>
                  </w:r>
                  <w:r>
                    <w:rPr>
                      <w:rFonts w:hint="default" w:ascii="Times New Roman" w:hAnsi="Times New Roman" w:eastAsia="宋体" w:cs="Times New Roman"/>
                      <w:spacing w:val="4"/>
                      <w:sz w:val="18"/>
                      <w:szCs w:val="18"/>
                      <w:highlight w:val="none"/>
                    </w:rPr>
                    <w:t>土地资源</w:t>
                  </w:r>
                </w:p>
              </w:tc>
              <w:tc>
                <w:tcPr>
                  <w:tcW w:w="2295" w:type="pct"/>
                  <w:tcBorders>
                    <w:tl2br w:val="nil"/>
                    <w:tr2bl w:val="nil"/>
                  </w:tcBorders>
                  <w:noWrap w:val="0"/>
                  <w:vAlign w:val="center"/>
                </w:tcPr>
                <w:p w14:paraId="42471BF5">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4"/>
                      <w:sz w:val="18"/>
                      <w:szCs w:val="18"/>
                      <w:highlight w:val="none"/>
                    </w:rPr>
                    <w:t>〔</w:t>
                  </w:r>
                  <w:r>
                    <w:rPr>
                      <w:rFonts w:hint="default" w:ascii="Times New Roman" w:hAnsi="Times New Roman" w:eastAsia="Times New Roman" w:cs="Times New Roman"/>
                      <w:spacing w:val="4"/>
                      <w:sz w:val="18"/>
                      <w:szCs w:val="18"/>
                      <w:highlight w:val="none"/>
                    </w:rPr>
                    <w:t>A4.2-1</w:t>
                  </w:r>
                  <w:r>
                    <w:rPr>
                      <w:rFonts w:hint="default" w:ascii="Times New Roman" w:hAnsi="Times New Roman" w:eastAsia="宋体" w:cs="Times New Roman"/>
                      <w:spacing w:val="4"/>
                      <w:sz w:val="18"/>
                      <w:szCs w:val="18"/>
                      <w:highlight w:val="none"/>
                    </w:rPr>
                    <w:t>〕土地资源上线指标控制在最</w:t>
                  </w:r>
                  <w:r>
                    <w:rPr>
                      <w:rFonts w:hint="default" w:ascii="Times New Roman" w:hAnsi="Times New Roman" w:eastAsia="宋体" w:cs="Times New Roman"/>
                      <w:spacing w:val="8"/>
                      <w:sz w:val="18"/>
                      <w:szCs w:val="18"/>
                      <w:highlight w:val="none"/>
                    </w:rPr>
                    <w:t>终批复的国土空间规划控制指标内。</w:t>
                  </w:r>
                </w:p>
              </w:tc>
              <w:tc>
                <w:tcPr>
                  <w:tcW w:w="1587" w:type="pct"/>
                  <w:tcBorders>
                    <w:tl2br w:val="nil"/>
                    <w:tr2bl w:val="nil"/>
                  </w:tcBorders>
                  <w:noWrap w:val="0"/>
                  <w:vAlign w:val="center"/>
                </w:tcPr>
                <w:p w14:paraId="7958ED3A">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Times New Roman"/>
                      <w:spacing w:val="9"/>
                      <w:sz w:val="18"/>
                      <w:szCs w:val="18"/>
                      <w:highlight w:val="none"/>
                    </w:rPr>
                  </w:pPr>
                  <w:r>
                    <w:rPr>
                      <w:rFonts w:hint="default" w:ascii="Times New Roman" w:hAnsi="Times New Roman" w:eastAsia="宋体" w:cs="Times New Roman"/>
                      <w:spacing w:val="9"/>
                      <w:sz w:val="18"/>
                      <w:szCs w:val="18"/>
                      <w:highlight w:val="none"/>
                    </w:rPr>
                    <w:t>本工程占地应从土地资源节约</w:t>
                  </w:r>
                  <w:r>
                    <w:rPr>
                      <w:rFonts w:hint="default" w:ascii="Times New Roman" w:hAnsi="Times New Roman" w:eastAsia="宋体" w:cs="Times New Roman"/>
                      <w:spacing w:val="8"/>
                      <w:sz w:val="18"/>
                      <w:szCs w:val="18"/>
                      <w:highlight w:val="none"/>
                    </w:rPr>
                    <w:t>方面考虑，尽可能缩小占地面积</w:t>
                  </w:r>
                  <w:r>
                    <w:rPr>
                      <w:rFonts w:hint="default" w:ascii="Times New Roman" w:hAnsi="Times New Roman" w:eastAsia="宋体" w:cs="Times New Roman"/>
                      <w:spacing w:val="7"/>
                      <w:sz w:val="18"/>
                      <w:szCs w:val="18"/>
                      <w:highlight w:val="none"/>
                    </w:rPr>
                    <w:t>和控制施工范围。</w:t>
                  </w:r>
                </w:p>
              </w:tc>
              <w:tc>
                <w:tcPr>
                  <w:tcW w:w="167" w:type="pct"/>
                  <w:tcBorders>
                    <w:tl2br w:val="nil"/>
                    <w:tr2bl w:val="nil"/>
                  </w:tcBorders>
                  <w:noWrap w:val="0"/>
                  <w:vAlign w:val="center"/>
                </w:tcPr>
                <w:p w14:paraId="2E20CB8B">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5E701332">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3"/>
                      <w:sz w:val="18"/>
                      <w:szCs w:val="18"/>
                      <w:highlight w:val="none"/>
                    </w:rPr>
                    <w:t>符合</w:t>
                  </w:r>
                </w:p>
              </w:tc>
            </w:tr>
            <w:tr w14:paraId="7E6710C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271" w:type="pct"/>
                  <w:vMerge w:val="continue"/>
                  <w:tcBorders>
                    <w:tl2br w:val="nil"/>
                    <w:tr2bl w:val="nil"/>
                  </w:tcBorders>
                  <w:noWrap w:val="0"/>
                  <w:vAlign w:val="center"/>
                </w:tcPr>
                <w:p w14:paraId="5C6201C3">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tc>
              <w:tc>
                <w:tcPr>
                  <w:tcW w:w="237" w:type="pct"/>
                  <w:vMerge w:val="continue"/>
                  <w:tcBorders>
                    <w:tl2br w:val="nil"/>
                    <w:tr2bl w:val="nil"/>
                  </w:tcBorders>
                  <w:noWrap w:val="0"/>
                  <w:vAlign w:val="center"/>
                </w:tcPr>
                <w:p w14:paraId="1C3B53C2">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spacing w:val="4"/>
                      <w:sz w:val="18"/>
                      <w:szCs w:val="18"/>
                      <w:highlight w:val="none"/>
                    </w:rPr>
                  </w:pPr>
                </w:p>
              </w:tc>
              <w:tc>
                <w:tcPr>
                  <w:tcW w:w="441" w:type="pct"/>
                  <w:tcBorders>
                    <w:tl2br w:val="nil"/>
                    <w:tr2bl w:val="nil"/>
                  </w:tcBorders>
                  <w:noWrap w:val="0"/>
                  <w:vAlign w:val="center"/>
                </w:tcPr>
                <w:p w14:paraId="066AA8BC">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2840FE6E">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6257D41C">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291E5268">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18C9B5B8">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204F4784">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06D7AD9B">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309929F8">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59455337">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04E02572">
                  <w:pPr>
                    <w:pStyle w:val="75"/>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cs="Times New Roman"/>
                      <w:sz w:val="18"/>
                      <w:szCs w:val="18"/>
                      <w:highlight w:val="none"/>
                    </w:rPr>
                  </w:pPr>
                </w:p>
                <w:p w14:paraId="3EE42D61">
                  <w:pPr>
                    <w:keepNext w:val="0"/>
                    <w:keepLines w:val="0"/>
                    <w:pageBreakBefore w:val="0"/>
                    <w:widowControl w:val="0"/>
                    <w:shd w:val="clear" w:color="auto" w:fill="auto"/>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spacing w:val="4"/>
                      <w:sz w:val="18"/>
                      <w:szCs w:val="18"/>
                      <w:highlight w:val="none"/>
                    </w:rPr>
                  </w:pPr>
                  <w:r>
                    <w:rPr>
                      <w:rFonts w:hint="default" w:ascii="Times New Roman" w:hAnsi="Times New Roman" w:eastAsia="Times New Roman" w:cs="Times New Roman"/>
                      <w:spacing w:val="4"/>
                      <w:sz w:val="18"/>
                      <w:szCs w:val="18"/>
                      <w:highlight w:val="none"/>
                    </w:rPr>
                    <w:t>A4.5</w:t>
                  </w:r>
                  <w:r>
                    <w:rPr>
                      <w:rFonts w:hint="default" w:ascii="Times New Roman" w:hAnsi="Times New Roman" w:eastAsia="宋体" w:cs="Times New Roman"/>
                      <w:spacing w:val="4"/>
                      <w:sz w:val="18"/>
                      <w:szCs w:val="18"/>
                      <w:highlight w:val="none"/>
                    </w:rPr>
                    <w:t>资源综合利用</w:t>
                  </w:r>
                </w:p>
              </w:tc>
              <w:tc>
                <w:tcPr>
                  <w:tcW w:w="2295" w:type="pct"/>
                  <w:tcBorders>
                    <w:tl2br w:val="nil"/>
                    <w:tr2bl w:val="nil"/>
                  </w:tcBorders>
                  <w:noWrap w:val="0"/>
                  <w:vAlign w:val="center"/>
                </w:tcPr>
                <w:p w14:paraId="3483F985">
                  <w:pPr>
                    <w:keepNext w:val="0"/>
                    <w:keepLines w:val="0"/>
                    <w:pageBreakBefore w:val="0"/>
                    <w:widowControl w:val="0"/>
                    <w:shd w:val="clear" w:color="auto" w:fill="auto"/>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10"/>
                      <w:sz w:val="18"/>
                      <w:szCs w:val="18"/>
                      <w:highlight w:val="none"/>
                    </w:rPr>
                  </w:pPr>
                  <w:r>
                    <w:rPr>
                      <w:rFonts w:hint="default" w:ascii="Times New Roman" w:hAnsi="Times New Roman" w:eastAsia="宋体" w:cs="Times New Roman"/>
                      <w:spacing w:val="2"/>
                      <w:sz w:val="18"/>
                      <w:szCs w:val="18"/>
                      <w:highlight w:val="none"/>
                    </w:rPr>
                    <w:t>〔</w:t>
                  </w:r>
                  <w:r>
                    <w:rPr>
                      <w:rFonts w:hint="default" w:ascii="Times New Roman" w:hAnsi="Times New Roman" w:eastAsia="Times New Roman" w:cs="Times New Roman"/>
                      <w:spacing w:val="2"/>
                      <w:sz w:val="18"/>
                      <w:szCs w:val="18"/>
                      <w:highlight w:val="none"/>
                    </w:rPr>
                    <w:t>A4.5-1</w:t>
                  </w:r>
                  <w:r>
                    <w:rPr>
                      <w:rFonts w:hint="default" w:ascii="Times New Roman" w:hAnsi="Times New Roman" w:eastAsia="宋体" w:cs="Times New Roman"/>
                      <w:spacing w:val="2"/>
                      <w:sz w:val="18"/>
                      <w:szCs w:val="18"/>
                      <w:highlight w:val="none"/>
                    </w:rPr>
                    <w:t>〕加强固体废物源头减量、资</w:t>
                  </w:r>
                  <w:r>
                    <w:rPr>
                      <w:rFonts w:hint="default" w:ascii="Times New Roman" w:hAnsi="Times New Roman" w:eastAsia="宋体" w:cs="Times New Roman"/>
                      <w:spacing w:val="1"/>
                      <w:sz w:val="18"/>
                      <w:szCs w:val="18"/>
                      <w:highlight w:val="none"/>
                    </w:rPr>
                    <w:t>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w:t>
                  </w:r>
                  <w:r>
                    <w:rPr>
                      <w:rFonts w:hint="default" w:ascii="Times New Roman" w:hAnsi="Times New Roman" w:eastAsia="宋体" w:cs="Times New Roman"/>
                      <w:sz w:val="18"/>
                      <w:szCs w:val="18"/>
                      <w:highlight w:val="none"/>
                    </w:rPr>
                    <w:t>企业“逆向回收”等模式。以尾矿和共</w:t>
                  </w:r>
                  <w:r>
                    <w:rPr>
                      <w:rFonts w:hint="default" w:ascii="Times New Roman" w:hAnsi="Times New Roman" w:eastAsia="宋体" w:cs="Times New Roman"/>
                      <w:spacing w:val="1"/>
                      <w:sz w:val="18"/>
                      <w:szCs w:val="18"/>
                      <w:highlight w:val="none"/>
                    </w:rPr>
                    <w:t>伴生矿、煤矸石、炉渣、粉煤灰、脱硫石膏、冶炼渣、建筑垃圾等为重点，持</w:t>
                  </w:r>
                  <w:r>
                    <w:rPr>
                      <w:rFonts w:hint="default" w:ascii="Times New Roman" w:hAnsi="Times New Roman" w:eastAsia="宋体" w:cs="Times New Roman"/>
                      <w:spacing w:val="4"/>
                      <w:sz w:val="18"/>
                      <w:szCs w:val="18"/>
                      <w:highlight w:val="none"/>
                    </w:rPr>
                    <w:t>续推进固体废物综合利用和环境整治，</w:t>
                  </w:r>
                  <w:r>
                    <w:rPr>
                      <w:rFonts w:hint="default" w:ascii="Times New Roman" w:hAnsi="Times New Roman" w:eastAsia="宋体" w:cs="Times New Roman"/>
                      <w:spacing w:val="14"/>
                      <w:sz w:val="18"/>
                      <w:szCs w:val="18"/>
                      <w:highlight w:val="none"/>
                    </w:rPr>
                    <w:t>不断提高大宗固体废物资源化利用水平。推行生活垃圾分类，加快建设县</w:t>
                  </w:r>
                  <w:r>
                    <w:rPr>
                      <w:rFonts w:hint="default" w:ascii="Times New Roman" w:hAnsi="Times New Roman" w:eastAsia="宋体" w:cs="Times New Roman"/>
                      <w:spacing w:val="-2"/>
                      <w:sz w:val="18"/>
                      <w:szCs w:val="18"/>
                      <w:highlight w:val="none"/>
                    </w:rPr>
                    <w:t>（市）生活垃圾处理设施，到</w:t>
                  </w:r>
                  <w:r>
                    <w:rPr>
                      <w:rFonts w:hint="default" w:ascii="Times New Roman" w:hAnsi="Times New Roman" w:eastAsia="Times New Roman" w:cs="Times New Roman"/>
                      <w:spacing w:val="-2"/>
                      <w:sz w:val="18"/>
                      <w:szCs w:val="18"/>
                      <w:highlight w:val="none"/>
                    </w:rPr>
                    <w:t>2025</w:t>
                  </w:r>
                  <w:r>
                    <w:rPr>
                      <w:rFonts w:hint="default" w:ascii="Times New Roman" w:hAnsi="Times New Roman" w:eastAsia="宋体" w:cs="Times New Roman"/>
                      <w:spacing w:val="-2"/>
                      <w:sz w:val="18"/>
                      <w:szCs w:val="18"/>
                      <w:highlight w:val="none"/>
                    </w:rPr>
                    <w:t>年，</w:t>
                  </w:r>
                  <w:r>
                    <w:rPr>
                      <w:rFonts w:hint="default" w:ascii="Times New Roman" w:hAnsi="Times New Roman" w:eastAsia="宋体" w:cs="Times New Roman"/>
                      <w:spacing w:val="14"/>
                      <w:sz w:val="18"/>
                      <w:szCs w:val="18"/>
                      <w:highlight w:val="none"/>
                    </w:rPr>
                    <w:t>全疆城市生活垃圾无害化处理率达到</w:t>
                  </w:r>
                  <w:r>
                    <w:rPr>
                      <w:rFonts w:hint="default" w:ascii="Times New Roman" w:hAnsi="Times New Roman" w:eastAsia="Times New Roman" w:cs="Times New Roman"/>
                      <w:spacing w:val="2"/>
                      <w:sz w:val="18"/>
                      <w:szCs w:val="18"/>
                      <w:highlight w:val="none"/>
                    </w:rPr>
                    <w:t>99%</w:t>
                  </w:r>
                  <w:r>
                    <w:rPr>
                      <w:rFonts w:hint="default" w:ascii="Times New Roman" w:hAnsi="Times New Roman" w:eastAsia="宋体" w:cs="Times New Roman"/>
                      <w:spacing w:val="2"/>
                      <w:sz w:val="18"/>
                      <w:szCs w:val="18"/>
                      <w:highlight w:val="none"/>
                    </w:rPr>
                    <w:t>以上。</w:t>
                  </w:r>
                </w:p>
              </w:tc>
              <w:tc>
                <w:tcPr>
                  <w:tcW w:w="1587" w:type="pct"/>
                  <w:tcBorders>
                    <w:tl2br w:val="nil"/>
                    <w:tr2bl w:val="nil"/>
                  </w:tcBorders>
                  <w:noWrap w:val="0"/>
                  <w:vAlign w:val="center"/>
                </w:tcPr>
                <w:p w14:paraId="72BF2D2F">
                  <w:pPr>
                    <w:keepNext w:val="0"/>
                    <w:keepLines w:val="0"/>
                    <w:pageBreakBefore w:val="0"/>
                    <w:widowControl w:val="0"/>
                    <w:shd w:val="clear" w:color="auto" w:fill="auto"/>
                    <w:kinsoku/>
                    <w:wordWrap/>
                    <w:overflowPunct/>
                    <w:topLinePunct w:val="0"/>
                    <w:bidi w:val="0"/>
                    <w:adjustRightInd/>
                    <w:snapToGrid/>
                    <w:spacing w:line="240" w:lineRule="auto"/>
                    <w:ind w:left="0" w:right="0" w:rightChars="0" w:firstLine="0"/>
                    <w:jc w:val="center"/>
                    <w:textAlignment w:val="auto"/>
                    <w:rPr>
                      <w:rFonts w:hint="default" w:ascii="Times New Roman" w:hAnsi="Times New Roman" w:eastAsia="宋体" w:cs="Times New Roman"/>
                      <w:spacing w:val="5"/>
                      <w:sz w:val="18"/>
                      <w:szCs w:val="18"/>
                      <w:highlight w:val="none"/>
                    </w:rPr>
                  </w:pPr>
                  <w:r>
                    <w:rPr>
                      <w:rFonts w:hint="default" w:ascii="Times New Roman" w:hAnsi="Times New Roman" w:eastAsia="宋体" w:cs="Times New Roman"/>
                      <w:spacing w:val="9"/>
                      <w:sz w:val="18"/>
                      <w:szCs w:val="18"/>
                      <w:highlight w:val="none"/>
                    </w:rPr>
                    <w:t>工程产生的</w:t>
                  </w:r>
                  <w:r>
                    <w:rPr>
                      <w:rFonts w:hint="default" w:ascii="Times New Roman" w:hAnsi="Times New Roman" w:eastAsia="宋体" w:cs="Times New Roman"/>
                      <w:spacing w:val="9"/>
                      <w:sz w:val="18"/>
                      <w:szCs w:val="18"/>
                      <w:highlight w:val="none"/>
                      <w:lang w:val="en-US" w:eastAsia="zh-CN"/>
                    </w:rPr>
                    <w:t>施工弃土、沉淀池泥沙等全部拉运至项目取土场堆存用于生态恢复，废弃沥青集中收集运至主管部门指定地点处置，施工人员生活垃圾集中收集交由环卫部门清运处理，工程产生的各类固废</w:t>
                  </w:r>
                  <w:r>
                    <w:rPr>
                      <w:rFonts w:hint="default" w:ascii="Times New Roman" w:hAnsi="Times New Roman" w:eastAsia="宋体" w:cs="Times New Roman"/>
                      <w:spacing w:val="9"/>
                      <w:sz w:val="18"/>
                      <w:szCs w:val="18"/>
                      <w:highlight w:val="none"/>
                    </w:rPr>
                    <w:t>全部</w:t>
                  </w:r>
                  <w:r>
                    <w:rPr>
                      <w:rFonts w:hint="default" w:ascii="Times New Roman" w:hAnsi="Times New Roman" w:eastAsia="宋体" w:cs="Times New Roman"/>
                      <w:spacing w:val="5"/>
                      <w:sz w:val="18"/>
                      <w:szCs w:val="18"/>
                      <w:highlight w:val="none"/>
                    </w:rPr>
                    <w:t>妥善处置。</w:t>
                  </w:r>
                </w:p>
              </w:tc>
              <w:tc>
                <w:tcPr>
                  <w:tcW w:w="167" w:type="pct"/>
                  <w:tcBorders>
                    <w:tl2br w:val="nil"/>
                    <w:tr2bl w:val="nil"/>
                  </w:tcBorders>
                  <w:noWrap w:val="0"/>
                  <w:vAlign w:val="center"/>
                </w:tcPr>
                <w:p w14:paraId="2F02FA71">
                  <w:pPr>
                    <w:keepNext w:val="0"/>
                    <w:keepLines w:val="0"/>
                    <w:pageBreakBefore w:val="0"/>
                    <w:widowControl w:val="0"/>
                    <w:shd w:val="clear" w:color="auto" w:fill="auto"/>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Times New Roman"/>
                      <w:spacing w:val="3"/>
                      <w:sz w:val="18"/>
                      <w:szCs w:val="18"/>
                      <w:highlight w:val="none"/>
                    </w:rPr>
                  </w:pPr>
                  <w:r>
                    <w:rPr>
                      <w:rFonts w:hint="default" w:ascii="Times New Roman" w:hAnsi="Times New Roman" w:eastAsia="宋体" w:cs="Times New Roman"/>
                      <w:spacing w:val="3"/>
                      <w:sz w:val="18"/>
                      <w:szCs w:val="18"/>
                      <w:highlight w:val="none"/>
                    </w:rPr>
                    <w:t>符合</w:t>
                  </w:r>
                </w:p>
              </w:tc>
            </w:tr>
          </w:tbl>
          <w:p w14:paraId="6207EF0D">
            <w:pPr>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firstLine="482" w:firstLineChars="200"/>
              <w:textAlignment w:val="auto"/>
              <w:rPr>
                <w:b/>
                <w:color w:val="auto"/>
                <w:sz w:val="24"/>
                <w:highlight w:val="none"/>
              </w:rPr>
            </w:pPr>
            <w:r>
              <w:rPr>
                <w:rFonts w:hint="eastAsia"/>
                <w:b/>
                <w:color w:val="auto"/>
                <w:sz w:val="24"/>
                <w:highlight w:val="none"/>
                <w:lang w:val="en-US" w:eastAsia="zh-CN"/>
              </w:rPr>
              <w:t>3</w:t>
            </w:r>
            <w:r>
              <w:rPr>
                <w:b/>
                <w:color w:val="auto"/>
                <w:sz w:val="24"/>
                <w:highlight w:val="none"/>
              </w:rPr>
              <w:t>、与</w:t>
            </w:r>
            <w:r>
              <w:rPr>
                <w:rFonts w:hint="eastAsia"/>
                <w:b/>
                <w:color w:val="auto"/>
                <w:sz w:val="24"/>
                <w:highlight w:val="none"/>
              </w:rPr>
              <w:t>巴音郭楞蒙古自治州生态环境准入清单（2023年）</w:t>
            </w:r>
            <w:r>
              <w:rPr>
                <w:b/>
                <w:color w:val="auto"/>
                <w:sz w:val="24"/>
                <w:highlight w:val="none"/>
              </w:rPr>
              <w:t>的符合性分析</w:t>
            </w:r>
          </w:p>
          <w:p w14:paraId="336861F2">
            <w:pPr>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firstLine="480" w:firstLineChars="200"/>
              <w:textAlignment w:val="auto"/>
              <w:rPr>
                <w:b/>
                <w:bCs/>
                <w:color w:val="auto"/>
                <w:kern w:val="0"/>
                <w:sz w:val="24"/>
                <w:highlight w:val="none"/>
              </w:rPr>
            </w:pPr>
            <w:r>
              <w:rPr>
                <w:rFonts w:hint="default" w:ascii="Times New Roman" w:hAnsi="Times New Roman" w:cs="Times New Roman"/>
                <w:color w:val="auto"/>
                <w:sz w:val="24"/>
                <w:szCs w:val="20"/>
                <w:highlight w:val="none"/>
              </w:rPr>
              <w:t>通过对比巴音郭楞蒙古自治州生态环境准入清单（2023年），项目</w:t>
            </w:r>
            <w:r>
              <w:rPr>
                <w:rFonts w:hint="eastAsia" w:ascii="Times New Roman" w:hAnsi="Times New Roman" w:cs="Times New Roman"/>
                <w:color w:val="auto"/>
                <w:sz w:val="24"/>
                <w:szCs w:val="20"/>
                <w:highlight w:val="none"/>
                <w:lang w:val="en-US" w:eastAsia="zh-CN"/>
              </w:rPr>
              <w:t>占地为</w:t>
            </w:r>
            <w:r>
              <w:rPr>
                <w:rFonts w:hint="eastAsia" w:ascii="宋体" w:hAnsi="宋体" w:eastAsia="宋体" w:cs="宋体"/>
                <w:color w:val="auto"/>
                <w:sz w:val="24"/>
                <w:szCs w:val="20"/>
                <w:highlight w:val="none"/>
                <w:lang w:val="en-US" w:eastAsia="zh-CN"/>
              </w:rPr>
              <w:t>轮台县重点</w:t>
            </w:r>
            <w:r>
              <w:rPr>
                <w:rFonts w:hint="eastAsia" w:ascii="宋体" w:hAnsi="宋体" w:eastAsia="宋体" w:cs="宋体"/>
                <w:color w:val="auto"/>
                <w:sz w:val="24"/>
                <w:szCs w:val="20"/>
                <w:highlight w:val="none"/>
              </w:rPr>
              <w:t>管控单元</w:t>
            </w:r>
            <w:r>
              <w:rPr>
                <w:rFonts w:hint="eastAsia" w:ascii="宋体" w:hAnsi="宋体" w:eastAsia="宋体" w:cs="宋体"/>
                <w:color w:val="auto"/>
                <w:sz w:val="24"/>
                <w:szCs w:val="20"/>
                <w:highlight w:val="none"/>
                <w:lang w:eastAsia="zh-CN"/>
              </w:rPr>
              <w:t>，</w:t>
            </w:r>
            <w:r>
              <w:rPr>
                <w:rFonts w:hint="default" w:ascii="Times New Roman" w:hAnsi="Times New Roman" w:eastAsia="宋体" w:cs="Times New Roman"/>
                <w:color w:val="auto"/>
                <w:sz w:val="24"/>
                <w:szCs w:val="20"/>
                <w:highlight w:val="none"/>
              </w:rPr>
              <w:t>管控单元编码ZH65282220003、管控单元名</w:t>
            </w:r>
            <w:r>
              <w:rPr>
                <w:rFonts w:hint="eastAsia" w:ascii="宋体" w:hAnsi="宋体" w:eastAsia="宋体" w:cs="宋体"/>
                <w:color w:val="auto"/>
                <w:sz w:val="24"/>
                <w:szCs w:val="20"/>
                <w:highlight w:val="none"/>
              </w:rPr>
              <w:t>称“</w:t>
            </w:r>
            <w:r>
              <w:rPr>
                <w:rFonts w:hint="eastAsia" w:ascii="宋体" w:hAnsi="宋体" w:eastAsia="宋体" w:cs="宋体"/>
                <w:color w:val="auto"/>
                <w:sz w:val="24"/>
                <w:szCs w:val="20"/>
                <w:highlight w:val="none"/>
                <w:lang w:val="en-US" w:eastAsia="zh-CN"/>
              </w:rPr>
              <w:t>轮台县工业水污染重点管控区</w:t>
            </w:r>
            <w:r>
              <w:rPr>
                <w:rFonts w:hint="eastAsia" w:ascii="宋体" w:hAnsi="宋体" w:eastAsia="宋体" w:cs="宋体"/>
                <w:color w:val="auto"/>
                <w:sz w:val="24"/>
                <w:szCs w:val="20"/>
                <w:highlight w:val="none"/>
              </w:rPr>
              <w:t>”</w:t>
            </w:r>
            <w:r>
              <w:rPr>
                <w:rFonts w:hint="default" w:ascii="Times New Roman" w:hAnsi="Times New Roman" w:eastAsia="宋体" w:cs="Times New Roman"/>
                <w:color w:val="auto"/>
                <w:sz w:val="24"/>
                <w:szCs w:val="20"/>
                <w:highlight w:val="none"/>
              </w:rPr>
              <w:t>，</w:t>
            </w:r>
            <w:r>
              <w:rPr>
                <w:rFonts w:hint="default" w:ascii="Times New Roman" w:hAnsi="Times New Roman" w:cs="Times New Roman"/>
                <w:color w:val="auto"/>
                <w:sz w:val="24"/>
                <w:szCs w:val="20"/>
                <w:highlight w:val="none"/>
              </w:rPr>
              <w:t>管控单元类别：</w:t>
            </w:r>
            <w:r>
              <w:rPr>
                <w:rFonts w:hint="eastAsia" w:ascii="Times New Roman" w:hAnsi="Times New Roman" w:cs="Times New Roman"/>
                <w:color w:val="auto"/>
                <w:sz w:val="24"/>
                <w:szCs w:val="20"/>
                <w:highlight w:val="none"/>
                <w:lang w:val="en-US" w:eastAsia="zh-CN"/>
              </w:rPr>
              <w:t>重点</w:t>
            </w:r>
            <w:r>
              <w:rPr>
                <w:rFonts w:hint="default" w:ascii="Times New Roman" w:hAnsi="Times New Roman" w:cs="Times New Roman"/>
                <w:color w:val="auto"/>
                <w:sz w:val="24"/>
                <w:szCs w:val="20"/>
                <w:highlight w:val="none"/>
              </w:rPr>
              <w:t>管</w:t>
            </w:r>
            <w:r>
              <w:rPr>
                <w:color w:val="auto"/>
                <w:sz w:val="24"/>
                <w:szCs w:val="20"/>
                <w:highlight w:val="none"/>
              </w:rPr>
              <w:t>控单元</w:t>
            </w:r>
            <w:r>
              <w:rPr>
                <w:rFonts w:hint="eastAsia"/>
                <w:color w:val="auto"/>
                <w:sz w:val="24"/>
                <w:szCs w:val="20"/>
                <w:highlight w:val="none"/>
                <w:lang w:eastAsia="zh-CN"/>
              </w:rPr>
              <w:t>；</w:t>
            </w:r>
            <w:r>
              <w:rPr>
                <w:color w:val="auto"/>
                <w:sz w:val="24"/>
                <w:szCs w:val="20"/>
                <w:highlight w:val="none"/>
              </w:rPr>
              <w:t>详见附图</w:t>
            </w:r>
            <w:r>
              <w:rPr>
                <w:rFonts w:hint="eastAsia"/>
                <w:color w:val="auto"/>
                <w:sz w:val="24"/>
                <w:szCs w:val="20"/>
                <w:highlight w:val="none"/>
              </w:rPr>
              <w:t>。</w:t>
            </w:r>
          </w:p>
          <w:p w14:paraId="5572EE1C">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firstLineChars="0"/>
              <w:jc w:val="center"/>
              <w:textAlignment w:val="auto"/>
              <w:rPr>
                <w:b/>
                <w:bCs/>
                <w:color w:val="auto"/>
                <w:kern w:val="0"/>
                <w:sz w:val="24"/>
                <w:highlight w:val="none"/>
              </w:rPr>
            </w:pPr>
            <w:r>
              <w:rPr>
                <w:b/>
                <w:bCs/>
                <w:color w:val="auto"/>
                <w:kern w:val="0"/>
                <w:sz w:val="21"/>
                <w:szCs w:val="21"/>
                <w:highlight w:val="none"/>
              </w:rPr>
              <w:t>表1-</w:t>
            </w:r>
            <w:r>
              <w:rPr>
                <w:rFonts w:hint="eastAsia"/>
                <w:b/>
                <w:bCs/>
                <w:color w:val="auto"/>
                <w:kern w:val="0"/>
                <w:sz w:val="21"/>
                <w:szCs w:val="21"/>
                <w:highlight w:val="none"/>
                <w:lang w:val="en-US" w:eastAsia="zh-CN"/>
              </w:rPr>
              <w:t>4</w:t>
            </w:r>
            <w:r>
              <w:rPr>
                <w:b/>
                <w:bCs/>
                <w:color w:val="auto"/>
                <w:kern w:val="0"/>
                <w:sz w:val="21"/>
                <w:szCs w:val="21"/>
                <w:highlight w:val="none"/>
              </w:rPr>
              <w:t xml:space="preserve">    项目与</w:t>
            </w:r>
            <w:r>
              <w:rPr>
                <w:rFonts w:hint="default" w:ascii="宋体" w:hAnsi="宋体" w:eastAsia="宋体" w:cs="宋体"/>
                <w:b/>
                <w:bCs/>
                <w:spacing w:val="-2"/>
                <w:sz w:val="21"/>
                <w:szCs w:val="21"/>
                <w:highlight w:val="none"/>
              </w:rPr>
              <w:t>巴音郭楞蒙古自治州生态环境准入清单（2023年）</w:t>
            </w:r>
            <w:r>
              <w:rPr>
                <w:rFonts w:ascii="宋体" w:hAnsi="宋体" w:eastAsia="宋体" w:cs="宋体"/>
                <w:b/>
                <w:bCs/>
                <w:spacing w:val="-2"/>
                <w:sz w:val="21"/>
                <w:szCs w:val="21"/>
                <w:highlight w:val="none"/>
              </w:rPr>
              <w:t>符合性分析</w:t>
            </w:r>
            <w:r>
              <w:rPr>
                <w:b/>
                <w:bCs/>
                <w:color w:val="auto"/>
                <w:kern w:val="0"/>
                <w:sz w:val="21"/>
                <w:szCs w:val="21"/>
                <w:highlight w:val="none"/>
              </w:rPr>
              <w:t>一览表</w:t>
            </w:r>
          </w:p>
          <w:tbl>
            <w:tblPr>
              <w:tblStyle w:val="71"/>
              <w:tblW w:w="49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362"/>
              <w:gridCol w:w="281"/>
              <w:gridCol w:w="2987"/>
              <w:gridCol w:w="2673"/>
              <w:gridCol w:w="223"/>
            </w:tblGrid>
            <w:tr w14:paraId="16E045F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77" w:type="pct"/>
                  <w:tcBorders>
                    <w:tl2br w:val="nil"/>
                    <w:tr2bl w:val="nil"/>
                  </w:tcBorders>
                  <w:noWrap w:val="0"/>
                  <w:vAlign w:val="center"/>
                </w:tcPr>
                <w:p w14:paraId="2A22871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b/>
                      <w:bCs/>
                      <w:sz w:val="18"/>
                      <w:szCs w:val="18"/>
                      <w:highlight w:val="none"/>
                    </w:rPr>
                  </w:pPr>
                  <w:r>
                    <w:rPr>
                      <w:rFonts w:ascii="宋体" w:hAnsi="宋体" w:eastAsia="宋体" w:cs="宋体"/>
                      <w:b/>
                      <w:bCs/>
                      <w:spacing w:val="3"/>
                      <w:sz w:val="18"/>
                      <w:szCs w:val="18"/>
                      <w:highlight w:val="none"/>
                    </w:rPr>
                    <w:t>名称</w:t>
                  </w:r>
                </w:p>
              </w:tc>
              <w:tc>
                <w:tcPr>
                  <w:tcW w:w="2503" w:type="pct"/>
                  <w:gridSpan w:val="2"/>
                  <w:tcBorders>
                    <w:tl2br w:val="nil"/>
                    <w:tr2bl w:val="nil"/>
                  </w:tcBorders>
                  <w:noWrap w:val="0"/>
                  <w:vAlign w:val="center"/>
                </w:tcPr>
                <w:p w14:paraId="5A7E300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b/>
                      <w:bCs/>
                      <w:sz w:val="18"/>
                      <w:szCs w:val="18"/>
                      <w:highlight w:val="none"/>
                    </w:rPr>
                  </w:pPr>
                  <w:r>
                    <w:rPr>
                      <w:rFonts w:ascii="宋体" w:hAnsi="宋体" w:eastAsia="宋体" w:cs="宋体"/>
                      <w:b/>
                      <w:bCs/>
                      <w:spacing w:val="6"/>
                      <w:sz w:val="18"/>
                      <w:szCs w:val="18"/>
                      <w:highlight w:val="none"/>
                    </w:rPr>
                    <w:t>管控要求</w:t>
                  </w:r>
                </w:p>
              </w:tc>
              <w:tc>
                <w:tcPr>
                  <w:tcW w:w="2048" w:type="pct"/>
                  <w:tcBorders>
                    <w:tl2br w:val="nil"/>
                    <w:tr2bl w:val="nil"/>
                  </w:tcBorders>
                  <w:noWrap w:val="0"/>
                  <w:vAlign w:val="center"/>
                </w:tcPr>
                <w:p w14:paraId="4931CF7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b/>
                      <w:bCs/>
                      <w:sz w:val="18"/>
                      <w:szCs w:val="18"/>
                      <w:highlight w:val="none"/>
                    </w:rPr>
                  </w:pPr>
                  <w:r>
                    <w:rPr>
                      <w:rFonts w:ascii="宋体" w:hAnsi="宋体" w:eastAsia="宋体" w:cs="宋体"/>
                      <w:b/>
                      <w:bCs/>
                      <w:spacing w:val="6"/>
                      <w:sz w:val="18"/>
                      <w:szCs w:val="18"/>
                      <w:highlight w:val="none"/>
                    </w:rPr>
                    <w:t>本项目</w:t>
                  </w:r>
                </w:p>
              </w:tc>
              <w:tc>
                <w:tcPr>
                  <w:tcW w:w="171" w:type="pct"/>
                  <w:tcBorders>
                    <w:tl2br w:val="nil"/>
                    <w:tr2bl w:val="nil"/>
                  </w:tcBorders>
                  <w:noWrap w:val="0"/>
                  <w:vAlign w:val="center"/>
                </w:tcPr>
                <w:p w14:paraId="4C25578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b/>
                      <w:bCs/>
                      <w:sz w:val="18"/>
                      <w:szCs w:val="18"/>
                      <w:highlight w:val="none"/>
                    </w:rPr>
                  </w:pPr>
                  <w:r>
                    <w:rPr>
                      <w:rFonts w:ascii="宋体" w:hAnsi="宋体" w:eastAsia="宋体" w:cs="宋体"/>
                      <w:b/>
                      <w:bCs/>
                      <w:spacing w:val="6"/>
                      <w:sz w:val="18"/>
                      <w:szCs w:val="18"/>
                      <w:highlight w:val="none"/>
                    </w:rPr>
                    <w:t>符合性</w:t>
                  </w:r>
                </w:p>
              </w:tc>
            </w:tr>
            <w:tr w14:paraId="1ADA9F5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77" w:type="pct"/>
                  <w:vMerge w:val="restart"/>
                  <w:tcBorders>
                    <w:tl2br w:val="nil"/>
                    <w:tr2bl w:val="nil"/>
                  </w:tcBorders>
                  <w:noWrap w:val="0"/>
                  <w:vAlign w:val="center"/>
                </w:tcPr>
                <w:p w14:paraId="1CC3CC6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hint="eastAsia" w:ascii="宋体" w:hAnsi="宋体" w:eastAsia="宋体" w:cs="宋体"/>
                      <w:sz w:val="18"/>
                      <w:szCs w:val="18"/>
                      <w:highlight w:val="none"/>
                      <w:lang w:val="en-US" w:eastAsia="zh-CN"/>
                    </w:rPr>
                    <w:t>轮台县工业水污染重点管控区</w:t>
                  </w:r>
                </w:p>
              </w:tc>
              <w:tc>
                <w:tcPr>
                  <w:tcW w:w="215" w:type="pct"/>
                  <w:tcBorders>
                    <w:tl2br w:val="nil"/>
                    <w:tr2bl w:val="nil"/>
                  </w:tcBorders>
                  <w:noWrap w:val="0"/>
                  <w:vAlign w:val="center"/>
                </w:tcPr>
                <w:p w14:paraId="6D20645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5"/>
                      <w:sz w:val="18"/>
                      <w:szCs w:val="18"/>
                      <w:highlight w:val="none"/>
                    </w:rPr>
                    <w:t>空间布局</w:t>
                  </w:r>
                  <w:r>
                    <w:rPr>
                      <w:rFonts w:ascii="宋体" w:hAnsi="宋体" w:eastAsia="宋体" w:cs="宋体"/>
                      <w:spacing w:val="2"/>
                      <w:sz w:val="18"/>
                      <w:szCs w:val="18"/>
                      <w:highlight w:val="none"/>
                    </w:rPr>
                    <w:t>约束</w:t>
                  </w:r>
                </w:p>
              </w:tc>
              <w:tc>
                <w:tcPr>
                  <w:tcW w:w="2287" w:type="pct"/>
                  <w:tcBorders>
                    <w:tl2br w:val="nil"/>
                    <w:tr2bl w:val="nil"/>
                  </w:tcBorders>
                  <w:noWrap w:val="0"/>
                  <w:vAlign w:val="center"/>
                </w:tcPr>
                <w:p w14:paraId="20A6EB6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强化环境准入，促进产业升级。禁止不符合国家、自治区和地区产业政策，已列入淘汰生产能力、工艺和产品目录的项目建设。优化高耗水、重污染工业项目的布局与发展，逐步淘汰落后工艺和设备。</w:t>
                  </w:r>
                </w:p>
              </w:tc>
              <w:tc>
                <w:tcPr>
                  <w:tcW w:w="2048" w:type="pct"/>
                  <w:tcBorders>
                    <w:tl2br w:val="nil"/>
                    <w:tr2bl w:val="nil"/>
                  </w:tcBorders>
                  <w:noWrap w:val="0"/>
                  <w:vAlign w:val="center"/>
                </w:tcPr>
                <w:p w14:paraId="7DA3A5B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本项目</w:t>
                  </w:r>
                  <w:r>
                    <w:rPr>
                      <w:rFonts w:hint="default" w:ascii="Times New Roman" w:hAnsi="Times New Roman" w:eastAsia="宋体" w:cs="Times New Roman"/>
                      <w:sz w:val="18"/>
                      <w:szCs w:val="18"/>
                      <w:highlight w:val="none"/>
                    </w:rPr>
                    <w:t>属于《产业结构调整指导目录</w:t>
                  </w:r>
                  <w:r>
                    <w:rPr>
                      <w:rFonts w:hint="default"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2024年本</w:t>
                  </w:r>
                  <w:r>
                    <w:rPr>
                      <w:rFonts w:hint="default"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中鼓励类中“二十四、公路及道路运输2．公路智能运输系统开发：快速客货运输、公路甩挂运输系统开发与建设，公路集装箱和厢式运输，农村公路和客货运输网络开发与建设，出租汽车服务调度信息系统开发与建设，同时不属于《市场准入负面清单（202</w:t>
                  </w:r>
                  <w:r>
                    <w:rPr>
                      <w:rFonts w:hint="default" w:ascii="Times New Roman" w:hAnsi="Times New Roman" w:eastAsia="宋体" w:cs="Times New Roman"/>
                      <w:sz w:val="18"/>
                      <w:szCs w:val="18"/>
                      <w:highlight w:val="none"/>
                      <w:lang w:val="en-US" w:eastAsia="zh-CN"/>
                    </w:rPr>
                    <w:t>5</w:t>
                  </w:r>
                  <w:r>
                    <w:rPr>
                      <w:rFonts w:hint="default" w:ascii="Times New Roman" w:hAnsi="Times New Roman" w:eastAsia="宋体" w:cs="Times New Roman"/>
                      <w:sz w:val="18"/>
                      <w:szCs w:val="18"/>
                      <w:highlight w:val="none"/>
                    </w:rPr>
                    <w:t>年版）》禁止准入类事项。</w:t>
                  </w:r>
                </w:p>
              </w:tc>
              <w:tc>
                <w:tcPr>
                  <w:tcW w:w="171" w:type="pct"/>
                  <w:tcBorders>
                    <w:tl2br w:val="nil"/>
                    <w:tr2bl w:val="nil"/>
                  </w:tcBorders>
                  <w:noWrap w:val="0"/>
                  <w:vAlign w:val="center"/>
                </w:tcPr>
                <w:p w14:paraId="6D49E6A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18"/>
                      <w:szCs w:val="18"/>
                      <w:highlight w:val="none"/>
                    </w:rPr>
                  </w:pPr>
                  <w:r>
                    <w:rPr>
                      <w:rFonts w:ascii="宋体" w:hAnsi="宋体" w:eastAsia="宋体" w:cs="宋体"/>
                      <w:spacing w:val="3"/>
                      <w:sz w:val="18"/>
                      <w:szCs w:val="18"/>
                      <w:highlight w:val="none"/>
                    </w:rPr>
                    <w:t>符合</w:t>
                  </w:r>
                </w:p>
              </w:tc>
            </w:tr>
            <w:tr w14:paraId="7C42ACB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77" w:type="pct"/>
                  <w:vMerge w:val="continue"/>
                  <w:tcBorders>
                    <w:tl2br w:val="nil"/>
                    <w:tr2bl w:val="nil"/>
                  </w:tcBorders>
                  <w:noWrap w:val="0"/>
                  <w:vAlign w:val="center"/>
                </w:tcPr>
                <w:p w14:paraId="59FF6276">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15" w:type="pct"/>
                  <w:vMerge w:val="restart"/>
                  <w:tcBorders>
                    <w:tl2br w:val="nil"/>
                    <w:tr2bl w:val="nil"/>
                  </w:tcBorders>
                  <w:noWrap w:val="0"/>
                  <w:vAlign w:val="center"/>
                </w:tcPr>
                <w:p w14:paraId="08AC85BD">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eastAsia="宋体"/>
                      <w:sz w:val="18"/>
                      <w:szCs w:val="18"/>
                      <w:highlight w:val="none"/>
                      <w:lang w:val="en-US" w:eastAsia="zh-CN"/>
                    </w:rPr>
                  </w:pPr>
                  <w:r>
                    <w:rPr>
                      <w:rFonts w:hint="eastAsia"/>
                      <w:sz w:val="18"/>
                      <w:szCs w:val="18"/>
                      <w:highlight w:val="none"/>
                      <w:lang w:val="en-US" w:eastAsia="zh-CN"/>
                    </w:rPr>
                    <w:t>污染物排放管控</w:t>
                  </w:r>
                </w:p>
              </w:tc>
              <w:tc>
                <w:tcPr>
                  <w:tcW w:w="2287" w:type="pct"/>
                  <w:tcBorders>
                    <w:tl2br w:val="nil"/>
                    <w:tr2bl w:val="nil"/>
                  </w:tcBorders>
                  <w:noWrap w:val="0"/>
                  <w:vAlign w:val="top"/>
                </w:tcPr>
                <w:p w14:paraId="56106C6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spacing w:val="7"/>
                      <w:sz w:val="18"/>
                      <w:szCs w:val="18"/>
                      <w:highlight w:val="none"/>
                    </w:rPr>
                  </w:pPr>
                  <w:r>
                    <w:rPr>
                      <w:rFonts w:hint="eastAsia" w:ascii="宋体" w:hAnsi="宋体" w:eastAsia="宋体" w:cs="宋体"/>
                      <w:spacing w:val="7"/>
                      <w:sz w:val="18"/>
                      <w:szCs w:val="18"/>
                      <w:highlight w:val="none"/>
                    </w:rPr>
                    <w:t>1.全面推行排污许可。全面完成重点污染源排污许可证的核发工作，加强日常监督检查，依法查处违反排污许可证管理规定的行为。以改善水质、防范环境风险为目标，将污染物排放种类、浓度、总量、排放去向等纳入许可证管理范围，实现对排污单位环境管理要求的全方位规范和全过程监管。</w:t>
                  </w:r>
                </w:p>
              </w:tc>
              <w:tc>
                <w:tcPr>
                  <w:tcW w:w="2048" w:type="pct"/>
                  <w:tcBorders>
                    <w:tl2br w:val="nil"/>
                    <w:tr2bl w:val="nil"/>
                  </w:tcBorders>
                  <w:noWrap w:val="0"/>
                  <w:vAlign w:val="top"/>
                </w:tcPr>
                <w:p w14:paraId="4C36266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0"/>
                    <w:jc w:val="center"/>
                    <w:textAlignment w:val="auto"/>
                    <w:rPr>
                      <w:rFonts w:hint="default" w:ascii="宋体" w:hAnsi="宋体" w:eastAsia="宋体" w:cs="宋体"/>
                      <w:spacing w:val="5"/>
                      <w:sz w:val="18"/>
                      <w:szCs w:val="18"/>
                      <w:highlight w:val="none"/>
                      <w:lang w:val="en-US" w:eastAsia="zh-CN"/>
                    </w:rPr>
                  </w:pPr>
                  <w:r>
                    <w:rPr>
                      <w:rFonts w:hint="eastAsia" w:ascii="宋体" w:hAnsi="宋体" w:eastAsia="宋体" w:cs="宋体"/>
                      <w:spacing w:val="5"/>
                      <w:sz w:val="18"/>
                      <w:szCs w:val="18"/>
                      <w:highlight w:val="none"/>
                      <w:lang w:val="en-US" w:eastAsia="zh-CN"/>
                    </w:rPr>
                    <w:t>本项目不纳入排污许可管理</w:t>
                  </w:r>
                </w:p>
              </w:tc>
              <w:tc>
                <w:tcPr>
                  <w:tcW w:w="171" w:type="pct"/>
                  <w:tcBorders>
                    <w:tl2br w:val="nil"/>
                    <w:tr2bl w:val="nil"/>
                  </w:tcBorders>
                  <w:noWrap w:val="0"/>
                  <w:vAlign w:val="top"/>
                </w:tcPr>
                <w:p w14:paraId="705BEB4B">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0"/>
                    <w:jc w:val="center"/>
                    <w:textAlignment w:val="auto"/>
                    <w:rPr>
                      <w:sz w:val="18"/>
                      <w:szCs w:val="18"/>
                      <w:highlight w:val="none"/>
                    </w:rPr>
                  </w:pPr>
                </w:p>
                <w:p w14:paraId="2CD2B1F3">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0"/>
                    <w:jc w:val="center"/>
                    <w:textAlignment w:val="auto"/>
                    <w:rPr>
                      <w:sz w:val="18"/>
                      <w:szCs w:val="18"/>
                      <w:highlight w:val="none"/>
                    </w:rPr>
                  </w:pPr>
                </w:p>
                <w:p w14:paraId="76759FF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7DED566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77" w:type="pct"/>
                  <w:vMerge w:val="continue"/>
                  <w:tcBorders>
                    <w:tl2br w:val="nil"/>
                    <w:tr2bl w:val="nil"/>
                  </w:tcBorders>
                  <w:noWrap w:val="0"/>
                  <w:vAlign w:val="center"/>
                </w:tcPr>
                <w:p w14:paraId="15D3681D">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15" w:type="pct"/>
                  <w:vMerge w:val="continue"/>
                  <w:tcBorders>
                    <w:tl2br w:val="nil"/>
                    <w:tr2bl w:val="nil"/>
                  </w:tcBorders>
                  <w:noWrap w:val="0"/>
                  <w:vAlign w:val="center"/>
                </w:tcPr>
                <w:p w14:paraId="2D15F6D7">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287" w:type="pct"/>
                  <w:tcBorders>
                    <w:tl2br w:val="nil"/>
                    <w:tr2bl w:val="nil"/>
                  </w:tcBorders>
                  <w:noWrap w:val="0"/>
                  <w:vAlign w:val="top"/>
                </w:tcPr>
                <w:p w14:paraId="01733CD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55" w:rightChars="0" w:firstLine="0" w:firstLineChars="0"/>
                    <w:jc w:val="center"/>
                    <w:textAlignment w:val="auto"/>
                    <w:rPr>
                      <w:rFonts w:ascii="宋体" w:hAnsi="宋体" w:eastAsia="宋体" w:cs="宋体"/>
                      <w:spacing w:val="7"/>
                      <w:sz w:val="18"/>
                      <w:szCs w:val="18"/>
                      <w:highlight w:val="none"/>
                    </w:rPr>
                  </w:pPr>
                  <w:r>
                    <w:rPr>
                      <w:rFonts w:hint="eastAsia" w:ascii="宋体" w:hAnsi="宋体" w:eastAsia="宋体" w:cs="宋体"/>
                      <w:spacing w:val="7"/>
                      <w:sz w:val="18"/>
                      <w:szCs w:val="18"/>
                      <w:highlight w:val="none"/>
                    </w:rPr>
                    <w:t>2.加快产业结构转型升级，完善农副产品加工业等工业企业污染治理设施，推进工业污水达标排放。县城规划区内生活污水处理率达到90%以上。</w:t>
                  </w:r>
                </w:p>
              </w:tc>
              <w:tc>
                <w:tcPr>
                  <w:tcW w:w="2048" w:type="pct"/>
                  <w:tcBorders>
                    <w:tl2br w:val="nil"/>
                    <w:tr2bl w:val="nil"/>
                  </w:tcBorders>
                  <w:noWrap w:val="0"/>
                  <w:vAlign w:val="top"/>
                </w:tcPr>
                <w:p w14:paraId="00BA478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0"/>
                    <w:jc w:val="center"/>
                    <w:textAlignment w:val="auto"/>
                    <w:rPr>
                      <w:rFonts w:hint="default" w:ascii="宋体" w:hAnsi="宋体" w:eastAsia="宋体" w:cs="宋体"/>
                      <w:spacing w:val="5"/>
                      <w:sz w:val="18"/>
                      <w:szCs w:val="18"/>
                      <w:highlight w:val="none"/>
                      <w:lang w:val="en-US" w:eastAsia="zh-CN"/>
                    </w:rPr>
                  </w:pPr>
                  <w:r>
                    <w:rPr>
                      <w:rFonts w:hint="eastAsia" w:ascii="宋体" w:hAnsi="宋体" w:eastAsia="宋体" w:cs="宋体"/>
                      <w:spacing w:val="5"/>
                      <w:sz w:val="18"/>
                      <w:szCs w:val="18"/>
                      <w:highlight w:val="none"/>
                      <w:lang w:val="en-US" w:eastAsia="zh-CN"/>
                    </w:rPr>
                    <w:t>本项目不属于工业项目。</w:t>
                  </w:r>
                </w:p>
              </w:tc>
              <w:tc>
                <w:tcPr>
                  <w:tcW w:w="171" w:type="pct"/>
                  <w:tcBorders>
                    <w:tl2br w:val="nil"/>
                    <w:tr2bl w:val="nil"/>
                  </w:tcBorders>
                  <w:noWrap w:val="0"/>
                  <w:vAlign w:val="top"/>
                </w:tcPr>
                <w:p w14:paraId="239E009F">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0"/>
                    <w:jc w:val="center"/>
                    <w:textAlignment w:val="auto"/>
                    <w:rPr>
                      <w:sz w:val="18"/>
                      <w:szCs w:val="18"/>
                      <w:highlight w:val="none"/>
                    </w:rPr>
                  </w:pPr>
                </w:p>
                <w:p w14:paraId="345F51E3">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0"/>
                    <w:jc w:val="center"/>
                    <w:textAlignment w:val="auto"/>
                    <w:rPr>
                      <w:sz w:val="18"/>
                      <w:szCs w:val="18"/>
                      <w:highlight w:val="none"/>
                    </w:rPr>
                  </w:pPr>
                </w:p>
                <w:p w14:paraId="0DA8904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27AE333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77" w:type="pct"/>
                  <w:vMerge w:val="continue"/>
                  <w:tcBorders>
                    <w:tl2br w:val="nil"/>
                    <w:tr2bl w:val="nil"/>
                  </w:tcBorders>
                  <w:noWrap w:val="0"/>
                  <w:vAlign w:val="center"/>
                </w:tcPr>
                <w:p w14:paraId="0FE6AE60">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15" w:type="pct"/>
                  <w:vMerge w:val="restart"/>
                  <w:tcBorders>
                    <w:tl2br w:val="nil"/>
                    <w:tr2bl w:val="nil"/>
                  </w:tcBorders>
                  <w:noWrap w:val="0"/>
                  <w:vAlign w:val="top"/>
                </w:tcPr>
                <w:p w14:paraId="2CB47F78">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textAlignment w:val="auto"/>
                    <w:rPr>
                      <w:sz w:val="18"/>
                      <w:szCs w:val="18"/>
                      <w:highlight w:val="none"/>
                    </w:rPr>
                  </w:pPr>
                </w:p>
                <w:p w14:paraId="5A846E6D">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textAlignment w:val="auto"/>
                    <w:rPr>
                      <w:sz w:val="18"/>
                      <w:szCs w:val="18"/>
                      <w:highlight w:val="none"/>
                    </w:rPr>
                  </w:pPr>
                </w:p>
                <w:p w14:paraId="41D1733B">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textAlignment w:val="auto"/>
                    <w:rPr>
                      <w:sz w:val="18"/>
                      <w:szCs w:val="18"/>
                      <w:highlight w:val="none"/>
                    </w:rPr>
                  </w:pPr>
                </w:p>
                <w:p w14:paraId="02B63F2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textAlignment w:val="auto"/>
                    <w:rPr>
                      <w:sz w:val="18"/>
                      <w:szCs w:val="18"/>
                      <w:highlight w:val="none"/>
                    </w:rPr>
                  </w:pPr>
                  <w:r>
                    <w:rPr>
                      <w:rFonts w:ascii="宋体" w:hAnsi="宋体" w:eastAsia="宋体" w:cs="宋体"/>
                      <w:spacing w:val="6"/>
                      <w:sz w:val="18"/>
                      <w:szCs w:val="18"/>
                      <w:highlight w:val="none"/>
                    </w:rPr>
                    <w:t>环境风</w:t>
                  </w:r>
                  <w:r>
                    <w:rPr>
                      <w:rFonts w:ascii="宋体" w:hAnsi="宋体" w:eastAsia="宋体" w:cs="宋体"/>
                      <w:spacing w:val="3"/>
                      <w:sz w:val="18"/>
                      <w:szCs w:val="18"/>
                      <w:highlight w:val="none"/>
                    </w:rPr>
                    <w:t>险防控</w:t>
                  </w:r>
                </w:p>
              </w:tc>
              <w:tc>
                <w:tcPr>
                  <w:tcW w:w="2287" w:type="pct"/>
                  <w:tcBorders>
                    <w:tl2br w:val="nil"/>
                    <w:tr2bl w:val="nil"/>
                  </w:tcBorders>
                  <w:noWrap w:val="0"/>
                  <w:vAlign w:val="center"/>
                </w:tcPr>
                <w:p w14:paraId="7BA99B5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7"/>
                      <w:sz w:val="18"/>
                      <w:szCs w:val="18"/>
                      <w:highlight w:val="none"/>
                      <w:lang w:eastAsia="zh-CN"/>
                    </w:rPr>
                  </w:pPr>
                  <w:r>
                    <w:rPr>
                      <w:rFonts w:hint="eastAsia" w:ascii="Times New Roman" w:hAnsi="Times New Roman" w:eastAsia="宋体" w:cs="Times New Roman"/>
                      <w:spacing w:val="7"/>
                      <w:sz w:val="18"/>
                      <w:szCs w:val="18"/>
                      <w:highlight w:val="none"/>
                      <w:lang w:eastAsia="zh-CN"/>
                    </w:rPr>
                    <w:t>1.严格环境风险控制。防范环境风险，定期评估工业集聚区环境和健康风险，加强预案管理，落实防控措施，排除水污染隐患。</w:t>
                  </w:r>
                </w:p>
              </w:tc>
              <w:tc>
                <w:tcPr>
                  <w:tcW w:w="2048" w:type="pct"/>
                  <w:tcBorders>
                    <w:tl2br w:val="nil"/>
                    <w:tr2bl w:val="nil"/>
                  </w:tcBorders>
                  <w:noWrap w:val="0"/>
                  <w:vAlign w:val="center"/>
                </w:tcPr>
                <w:p w14:paraId="5384E58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宋体" w:hAnsi="宋体" w:eastAsia="宋体" w:cs="宋体"/>
                      <w:spacing w:val="5"/>
                      <w:sz w:val="18"/>
                      <w:szCs w:val="18"/>
                      <w:highlight w:val="none"/>
                      <w:lang w:val="en-US" w:eastAsia="zh-CN"/>
                    </w:rPr>
                  </w:pPr>
                  <w:r>
                    <w:rPr>
                      <w:rFonts w:hint="eastAsia" w:ascii="宋体" w:hAnsi="宋体" w:eastAsia="宋体" w:cs="宋体"/>
                      <w:spacing w:val="5"/>
                      <w:sz w:val="18"/>
                      <w:szCs w:val="18"/>
                      <w:highlight w:val="none"/>
                      <w:lang w:val="en-US" w:eastAsia="zh-CN"/>
                    </w:rPr>
                    <w:t>本项目不涉及</w:t>
                  </w:r>
                </w:p>
              </w:tc>
              <w:tc>
                <w:tcPr>
                  <w:tcW w:w="171" w:type="pct"/>
                  <w:tcBorders>
                    <w:tl2br w:val="nil"/>
                    <w:tr2bl w:val="nil"/>
                  </w:tcBorders>
                  <w:noWrap w:val="0"/>
                  <w:vAlign w:val="center"/>
                </w:tcPr>
                <w:p w14:paraId="23D9A13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r w14:paraId="229CC21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77" w:type="pct"/>
                  <w:vMerge w:val="continue"/>
                  <w:tcBorders>
                    <w:tl2br w:val="nil"/>
                    <w:tr2bl w:val="nil"/>
                  </w:tcBorders>
                  <w:noWrap w:val="0"/>
                  <w:vAlign w:val="center"/>
                </w:tcPr>
                <w:p w14:paraId="46849349">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15" w:type="pct"/>
                  <w:vMerge w:val="continue"/>
                  <w:tcBorders>
                    <w:tl2br w:val="nil"/>
                    <w:tr2bl w:val="nil"/>
                  </w:tcBorders>
                  <w:noWrap w:val="0"/>
                  <w:vAlign w:val="top"/>
                </w:tcPr>
                <w:p w14:paraId="1AB17BF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textAlignment w:val="auto"/>
                    <w:rPr>
                      <w:rFonts w:ascii="宋体" w:hAnsi="宋体" w:eastAsia="宋体" w:cs="宋体"/>
                      <w:spacing w:val="6"/>
                      <w:sz w:val="18"/>
                      <w:szCs w:val="18"/>
                      <w:highlight w:val="none"/>
                    </w:rPr>
                  </w:pPr>
                </w:p>
              </w:tc>
              <w:tc>
                <w:tcPr>
                  <w:tcW w:w="2287" w:type="pct"/>
                  <w:tcBorders>
                    <w:tl2br w:val="nil"/>
                    <w:tr2bl w:val="nil"/>
                  </w:tcBorders>
                  <w:noWrap w:val="0"/>
                  <w:vAlign w:val="center"/>
                </w:tcPr>
                <w:p w14:paraId="54F8EE9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7"/>
                      <w:sz w:val="18"/>
                      <w:szCs w:val="18"/>
                      <w:highlight w:val="none"/>
                      <w:lang w:eastAsia="zh-CN"/>
                    </w:rPr>
                  </w:pPr>
                  <w:r>
                    <w:rPr>
                      <w:rFonts w:hint="eastAsia" w:ascii="Times New Roman" w:hAnsi="Times New Roman" w:eastAsia="宋体" w:cs="Times New Roman"/>
                      <w:spacing w:val="7"/>
                      <w:sz w:val="18"/>
                      <w:szCs w:val="18"/>
                      <w:highlight w:val="none"/>
                      <w:lang w:eastAsia="zh-CN"/>
                    </w:rPr>
                    <w:t>2.加强对地下水、地表水污染的动态监测，禁止利用渗坑、渗井排放工业废水和生活污水，控制或杜绝污染。</w:t>
                  </w:r>
                </w:p>
              </w:tc>
              <w:tc>
                <w:tcPr>
                  <w:tcW w:w="2048" w:type="pct"/>
                  <w:tcBorders>
                    <w:tl2br w:val="nil"/>
                    <w:tr2bl w:val="nil"/>
                  </w:tcBorders>
                  <w:noWrap w:val="0"/>
                  <w:vAlign w:val="center"/>
                </w:tcPr>
                <w:p w14:paraId="5090F8F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宋体" w:hAnsi="宋体" w:eastAsia="宋体" w:cs="宋体"/>
                      <w:spacing w:val="5"/>
                      <w:sz w:val="18"/>
                      <w:szCs w:val="18"/>
                      <w:highlight w:val="none"/>
                      <w:lang w:val="en-US" w:eastAsia="zh-CN"/>
                    </w:rPr>
                  </w:pPr>
                  <w:r>
                    <w:rPr>
                      <w:rFonts w:hint="eastAsia" w:ascii="宋体" w:hAnsi="宋体" w:eastAsia="宋体" w:cs="宋体"/>
                      <w:spacing w:val="5"/>
                      <w:sz w:val="18"/>
                      <w:szCs w:val="18"/>
                      <w:highlight w:val="none"/>
                      <w:lang w:val="en-US" w:eastAsia="zh-CN"/>
                    </w:rPr>
                    <w:t>本项目不涉及</w:t>
                  </w:r>
                </w:p>
              </w:tc>
              <w:tc>
                <w:tcPr>
                  <w:tcW w:w="171" w:type="pct"/>
                  <w:tcBorders>
                    <w:tl2br w:val="nil"/>
                    <w:tr2bl w:val="nil"/>
                  </w:tcBorders>
                  <w:noWrap w:val="0"/>
                  <w:vAlign w:val="center"/>
                </w:tcPr>
                <w:p w14:paraId="45254DC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p>
              </w:tc>
            </w:tr>
            <w:tr w14:paraId="64B918C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77" w:type="pct"/>
                  <w:vMerge w:val="continue"/>
                  <w:tcBorders>
                    <w:tl2br w:val="nil"/>
                    <w:tr2bl w:val="nil"/>
                  </w:tcBorders>
                  <w:noWrap w:val="0"/>
                  <w:vAlign w:val="center"/>
                </w:tcPr>
                <w:p w14:paraId="358AEF21">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sz w:val="18"/>
                      <w:szCs w:val="18"/>
                      <w:highlight w:val="none"/>
                    </w:rPr>
                  </w:pPr>
                </w:p>
              </w:tc>
              <w:tc>
                <w:tcPr>
                  <w:tcW w:w="215" w:type="pct"/>
                  <w:tcBorders>
                    <w:tl2br w:val="nil"/>
                    <w:tr2bl w:val="nil"/>
                  </w:tcBorders>
                  <w:noWrap w:val="0"/>
                  <w:vAlign w:val="top"/>
                </w:tcPr>
                <w:p w14:paraId="33744FFE">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textAlignment w:val="auto"/>
                    <w:rPr>
                      <w:sz w:val="18"/>
                      <w:szCs w:val="18"/>
                      <w:highlight w:val="none"/>
                    </w:rPr>
                  </w:pPr>
                </w:p>
                <w:p w14:paraId="40974785">
                  <w:pPr>
                    <w:pStyle w:val="75"/>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textAlignment w:val="auto"/>
                    <w:rPr>
                      <w:sz w:val="18"/>
                      <w:szCs w:val="18"/>
                      <w:highlight w:val="none"/>
                    </w:rPr>
                  </w:pPr>
                </w:p>
                <w:p w14:paraId="05BD902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textAlignment w:val="auto"/>
                    <w:rPr>
                      <w:rFonts w:ascii="宋体" w:hAnsi="宋体" w:eastAsia="宋体" w:cs="宋体"/>
                      <w:spacing w:val="6"/>
                      <w:sz w:val="18"/>
                      <w:szCs w:val="18"/>
                      <w:highlight w:val="none"/>
                    </w:rPr>
                  </w:pPr>
                  <w:r>
                    <w:rPr>
                      <w:rFonts w:ascii="宋体" w:hAnsi="宋体" w:eastAsia="宋体" w:cs="宋体"/>
                      <w:spacing w:val="3"/>
                      <w:sz w:val="18"/>
                      <w:szCs w:val="18"/>
                      <w:highlight w:val="none"/>
                    </w:rPr>
                    <w:t>资源利</w:t>
                  </w:r>
                  <w:r>
                    <w:rPr>
                      <w:rFonts w:ascii="宋体" w:hAnsi="宋体" w:eastAsia="宋体" w:cs="宋体"/>
                      <w:spacing w:val="6"/>
                      <w:sz w:val="18"/>
                      <w:szCs w:val="18"/>
                      <w:highlight w:val="none"/>
                    </w:rPr>
                    <w:t>用要求</w:t>
                  </w:r>
                </w:p>
              </w:tc>
              <w:tc>
                <w:tcPr>
                  <w:tcW w:w="2287" w:type="pct"/>
                  <w:tcBorders>
                    <w:tl2br w:val="nil"/>
                    <w:tr2bl w:val="nil"/>
                  </w:tcBorders>
                  <w:noWrap w:val="0"/>
                  <w:vAlign w:val="center"/>
                </w:tcPr>
                <w:p w14:paraId="46BCD4A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spacing w:val="8"/>
                      <w:sz w:val="18"/>
                      <w:szCs w:val="18"/>
                      <w:highlight w:val="none"/>
                    </w:rPr>
                  </w:pPr>
                  <w:r>
                    <w:rPr>
                      <w:rFonts w:hint="eastAsia" w:ascii="Times New Roman" w:hAnsi="Times New Roman" w:eastAsia="Times New Roman" w:cs="Times New Roman"/>
                      <w:spacing w:val="8"/>
                      <w:sz w:val="18"/>
                      <w:szCs w:val="18"/>
                      <w:highlight w:val="none"/>
                    </w:rPr>
                    <w:t>控制用水总量。实施最严格水资源管理。调整和优化用水结构，切实保障用水总量与当地水资源、水环境承载能力相适应。加强相关规划和项目建设布局水资源论证工作，充分考虑当地水资源条件和防洪要求，对水资源论证不过关的用水项目一律不予批准。对取用水总量已达到或超过控制指标的地区，暂停审批其建设项目新增取水许可。严格实施取水许可制度，对纳入取水许可管理的单位和其他用水大户实行计划用水管理。</w:t>
                  </w:r>
                </w:p>
              </w:tc>
              <w:tc>
                <w:tcPr>
                  <w:tcW w:w="2048" w:type="pct"/>
                  <w:tcBorders>
                    <w:tl2br w:val="nil"/>
                    <w:tr2bl w:val="nil"/>
                  </w:tcBorders>
                  <w:noWrap w:val="0"/>
                  <w:vAlign w:val="center"/>
                </w:tcPr>
                <w:p w14:paraId="6E2C653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pacing w:val="9"/>
                      <w:sz w:val="18"/>
                      <w:szCs w:val="18"/>
                      <w:highlight w:val="none"/>
                      <w:lang w:val="en-US" w:eastAsia="zh-CN"/>
                    </w:rPr>
                  </w:pPr>
                  <w:r>
                    <w:rPr>
                      <w:rFonts w:hint="eastAsia" w:ascii="宋体" w:hAnsi="宋体" w:eastAsia="宋体" w:cs="宋体"/>
                      <w:spacing w:val="9"/>
                      <w:sz w:val="18"/>
                      <w:szCs w:val="18"/>
                      <w:highlight w:val="none"/>
                      <w:lang w:val="en-US" w:eastAsia="zh-CN"/>
                    </w:rPr>
                    <w:t>本项目不涉及</w:t>
                  </w:r>
                </w:p>
              </w:tc>
              <w:tc>
                <w:tcPr>
                  <w:tcW w:w="171" w:type="pct"/>
                  <w:tcBorders>
                    <w:tl2br w:val="nil"/>
                    <w:tr2bl w:val="nil"/>
                  </w:tcBorders>
                  <w:noWrap w:val="0"/>
                  <w:vAlign w:val="center"/>
                </w:tcPr>
                <w:p w14:paraId="728DEE7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firstLine="0"/>
                    <w:jc w:val="center"/>
                    <w:textAlignment w:val="auto"/>
                    <w:rPr>
                      <w:rFonts w:ascii="宋体" w:hAnsi="宋体" w:eastAsia="宋体" w:cs="宋体"/>
                      <w:spacing w:val="3"/>
                      <w:sz w:val="18"/>
                      <w:szCs w:val="18"/>
                      <w:highlight w:val="none"/>
                    </w:rPr>
                  </w:pPr>
                  <w:r>
                    <w:rPr>
                      <w:rFonts w:ascii="宋体" w:hAnsi="宋体" w:eastAsia="宋体" w:cs="宋体"/>
                      <w:spacing w:val="3"/>
                      <w:sz w:val="18"/>
                      <w:szCs w:val="18"/>
                      <w:highlight w:val="none"/>
                    </w:rPr>
                    <w:t>符合</w:t>
                  </w:r>
                </w:p>
              </w:tc>
            </w:tr>
          </w:tbl>
          <w:p w14:paraId="224FC9F7">
            <w:pPr>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firstLine="480" w:firstLineChars="200"/>
              <w:textAlignment w:val="auto"/>
              <w:rPr>
                <w:rFonts w:hint="default"/>
                <w:color w:val="auto"/>
                <w:sz w:val="24"/>
                <w:highlight w:val="none"/>
                <w:lang w:val="en-US" w:eastAsia="zh-CN"/>
              </w:rPr>
            </w:pPr>
            <w:r>
              <w:rPr>
                <w:color w:val="auto"/>
                <w:sz w:val="24"/>
                <w:highlight w:val="none"/>
              </w:rPr>
              <w:t>综上所述，建设项目符合国家及地方的相关产业政策，符</w:t>
            </w:r>
            <w:r>
              <w:rPr>
                <w:rFonts w:hint="eastAsia"/>
                <w:color w:val="auto"/>
                <w:sz w:val="24"/>
                <w:highlight w:val="none"/>
              </w:rPr>
              <w:t>合生态环境准入</w:t>
            </w:r>
            <w:r>
              <w:rPr>
                <w:rFonts w:hint="eastAsia"/>
                <w:color w:val="auto"/>
                <w:sz w:val="24"/>
                <w:highlight w:val="none"/>
                <w:lang w:val="en-US" w:eastAsia="zh-CN"/>
              </w:rPr>
              <w:t>的</w:t>
            </w:r>
            <w:r>
              <w:rPr>
                <w:rFonts w:hint="eastAsia"/>
                <w:color w:val="auto"/>
                <w:sz w:val="24"/>
                <w:highlight w:val="none"/>
              </w:rPr>
              <w:t>相关</w:t>
            </w:r>
            <w:r>
              <w:rPr>
                <w:color w:val="auto"/>
                <w:sz w:val="24"/>
                <w:highlight w:val="none"/>
              </w:rPr>
              <w:t>要求</w:t>
            </w:r>
            <w:r>
              <w:rPr>
                <w:rFonts w:hint="eastAsia"/>
                <w:color w:val="auto"/>
                <w:sz w:val="24"/>
                <w:highlight w:val="none"/>
                <w:lang w:val="en-US" w:eastAsia="zh-CN"/>
              </w:rPr>
              <w:t>。</w:t>
            </w:r>
          </w:p>
          <w:p w14:paraId="2843CC6B">
            <w:pPr>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4、与《新疆生态环境保护“十四五”规划》符合性分析</w:t>
            </w:r>
          </w:p>
          <w:p w14:paraId="352FB114">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表1-5   与《新疆生态环境保护“十四五”规划》符合性分析</w:t>
            </w:r>
          </w:p>
          <w:tbl>
            <w:tblPr>
              <w:tblStyle w:val="29"/>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92"/>
              <w:gridCol w:w="1893"/>
              <w:gridCol w:w="441"/>
            </w:tblGrid>
            <w:tr w14:paraId="6D1855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top"/>
                </w:tcPr>
                <w:p w14:paraId="31A48870">
                  <w:pPr>
                    <w:shd w:val="clear" w:color="auto" w:fill="auto"/>
                    <w:autoSpaceDE w:val="0"/>
                    <w:autoSpaceDN w:val="0"/>
                    <w:spacing w:line="240" w:lineRule="auto"/>
                    <w:jc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文件要求</w:t>
                  </w:r>
                </w:p>
              </w:tc>
              <w:tc>
                <w:tcPr>
                  <w:tcW w:w="0" w:type="auto"/>
                  <w:tcBorders>
                    <w:tl2br w:val="nil"/>
                    <w:tr2bl w:val="nil"/>
                  </w:tcBorders>
                  <w:noWrap w:val="0"/>
                  <w:vAlign w:val="top"/>
                </w:tcPr>
                <w:p w14:paraId="2C4E3D74">
                  <w:pPr>
                    <w:shd w:val="clear" w:color="auto" w:fill="auto"/>
                    <w:autoSpaceDE w:val="0"/>
                    <w:autoSpaceDN w:val="0"/>
                    <w:spacing w:line="240" w:lineRule="auto"/>
                    <w:jc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项目情况</w:t>
                  </w:r>
                </w:p>
              </w:tc>
              <w:tc>
                <w:tcPr>
                  <w:tcW w:w="0" w:type="auto"/>
                  <w:tcBorders>
                    <w:tl2br w:val="nil"/>
                    <w:tr2bl w:val="nil"/>
                  </w:tcBorders>
                  <w:noWrap w:val="0"/>
                  <w:vAlign w:val="top"/>
                </w:tcPr>
                <w:p w14:paraId="0027E13E">
                  <w:pPr>
                    <w:shd w:val="clear" w:color="auto" w:fill="auto"/>
                    <w:autoSpaceDE w:val="0"/>
                    <w:autoSpaceDN w:val="0"/>
                    <w:spacing w:line="240" w:lineRule="auto"/>
                    <w:jc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符合性</w:t>
                  </w:r>
                </w:p>
              </w:tc>
            </w:tr>
            <w:tr w14:paraId="6C21D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5C5CD250">
                  <w:pPr>
                    <w:shd w:val="clear" w:color="auto" w:fill="auto"/>
                    <w:spacing w:line="240" w:lineRule="auto"/>
                    <w:rPr>
                      <w:rFonts w:ascii="Times New Roman" w:hAnsi="Times New Roman" w:eastAsia="宋体" w:cs="Times New Roman"/>
                      <w:b/>
                      <w:bCs/>
                      <w:color w:val="auto"/>
                      <w:kern w:val="0"/>
                      <w:sz w:val="18"/>
                      <w:szCs w:val="18"/>
                      <w:highlight w:val="none"/>
                    </w:rPr>
                  </w:pPr>
                  <w:r>
                    <w:rPr>
                      <w:rFonts w:ascii="Times New Roman" w:hAnsi="Times New Roman" w:eastAsia="宋体" w:cs="Times New Roman"/>
                      <w:color w:val="auto"/>
                      <w:sz w:val="18"/>
                      <w:szCs w:val="18"/>
                      <w:highlight w:val="none"/>
                    </w:rPr>
                    <w:t>加强重点行业VOCs治理。实施VOCs排放总量控制，重点推进石油天然气开采、石化、化工、包装印刷、工业涂装、油品储运销等重点行业排放源以及机动车等移动源VOCs污染防治，加强重点行业、重点企业的精细化管控；全面推进使用低VOCs含量涂料、油墨、胶粘剂、清洗剂等；加强汽修行业VOCs综合治理，加大餐饮油烟污染治理力度，持续削减VOCs排放量。</w:t>
                  </w:r>
                </w:p>
              </w:tc>
              <w:tc>
                <w:tcPr>
                  <w:tcW w:w="0" w:type="auto"/>
                  <w:tcBorders>
                    <w:tl2br w:val="nil"/>
                    <w:tr2bl w:val="nil"/>
                  </w:tcBorders>
                  <w:noWrap w:val="0"/>
                  <w:vAlign w:val="center"/>
                </w:tcPr>
                <w:p w14:paraId="7A7C8E10">
                  <w:pPr>
                    <w:shd w:val="clear" w:color="auto" w:fill="auto"/>
                    <w:spacing w:line="240" w:lineRule="auto"/>
                    <w:rPr>
                      <w:rFonts w:ascii="Times New Roman" w:hAnsi="Times New Roman" w:eastAsia="宋体" w:cs="Times New Roman"/>
                      <w:b/>
                      <w:bCs/>
                      <w:color w:val="auto"/>
                      <w:kern w:val="0"/>
                      <w:sz w:val="18"/>
                      <w:szCs w:val="18"/>
                      <w:highlight w:val="none"/>
                    </w:rPr>
                  </w:pPr>
                  <w:r>
                    <w:rPr>
                      <w:rFonts w:ascii="Times New Roman" w:hAnsi="Times New Roman" w:eastAsia="宋体" w:cs="Times New Roman"/>
                      <w:color w:val="auto"/>
                      <w:sz w:val="18"/>
                      <w:szCs w:val="18"/>
                      <w:highlight w:val="none"/>
                    </w:rPr>
                    <w:t>本项目属于</w:t>
                  </w:r>
                  <w:r>
                    <w:rPr>
                      <w:rFonts w:hint="eastAsia" w:ascii="Times New Roman" w:hAnsi="Times New Roman" w:eastAsia="宋体" w:cs="Times New Roman"/>
                      <w:color w:val="auto"/>
                      <w:sz w:val="18"/>
                      <w:szCs w:val="18"/>
                      <w:highlight w:val="none"/>
                      <w:lang w:val="en-US" w:eastAsia="zh-CN"/>
                    </w:rPr>
                    <w:t>等级</w:t>
                  </w:r>
                  <w:r>
                    <w:rPr>
                      <w:rFonts w:ascii="Times New Roman" w:hAnsi="Times New Roman" w:eastAsia="宋体" w:cs="Times New Roman"/>
                      <w:color w:val="auto"/>
                      <w:sz w:val="18"/>
                      <w:szCs w:val="18"/>
                      <w:highlight w:val="none"/>
                    </w:rPr>
                    <w:t>公路建设项目，</w:t>
                  </w:r>
                  <w:r>
                    <w:rPr>
                      <w:rFonts w:hint="eastAsia" w:ascii="Times New Roman" w:hAnsi="Times New Roman" w:eastAsia="宋体" w:cs="Times New Roman"/>
                      <w:color w:val="auto"/>
                      <w:sz w:val="18"/>
                      <w:szCs w:val="18"/>
                      <w:highlight w:val="none"/>
                      <w:lang w:val="en-US" w:eastAsia="zh-CN"/>
                    </w:rPr>
                    <w:t>施工期有少量施工扬尘、沥青烟排放，不涉及有组织VOCs持续产排，运营期仅有过往车辆尾气排放</w:t>
                  </w:r>
                  <w:r>
                    <w:rPr>
                      <w:rFonts w:ascii="Times New Roman" w:hAnsi="Times New Roman" w:eastAsia="宋体" w:cs="Times New Roman"/>
                      <w:color w:val="auto"/>
                      <w:sz w:val="18"/>
                      <w:szCs w:val="18"/>
                      <w:highlight w:val="none"/>
                    </w:rPr>
                    <w:t>。</w:t>
                  </w:r>
                </w:p>
              </w:tc>
              <w:tc>
                <w:tcPr>
                  <w:tcW w:w="0" w:type="auto"/>
                  <w:tcBorders>
                    <w:tl2br w:val="nil"/>
                    <w:tr2bl w:val="nil"/>
                  </w:tcBorders>
                  <w:noWrap w:val="0"/>
                  <w:vAlign w:val="center"/>
                </w:tcPr>
                <w:p w14:paraId="3F61DF07">
                  <w:pPr>
                    <w:shd w:val="clear" w:color="auto" w:fill="auto"/>
                    <w:autoSpaceDE w:val="0"/>
                    <w:autoSpaceDN w:val="0"/>
                    <w:spacing w:line="240" w:lineRule="auto"/>
                    <w:jc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color w:val="auto"/>
                      <w:kern w:val="0"/>
                      <w:sz w:val="18"/>
                      <w:szCs w:val="18"/>
                      <w:highlight w:val="none"/>
                    </w:rPr>
                    <w:t>符合</w:t>
                  </w:r>
                </w:p>
              </w:tc>
            </w:tr>
            <w:tr w14:paraId="7D8F1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777E4769">
                  <w:pPr>
                    <w:shd w:val="clear" w:color="auto" w:fill="auto"/>
                    <w:autoSpaceDE w:val="0"/>
                    <w:autoSpaceDN w:val="0"/>
                    <w:spacing w:line="240" w:lineRule="auto"/>
                    <w:jc w:val="left"/>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sz w:val="18"/>
                      <w:szCs w:val="18"/>
                      <w:highlight w:val="none"/>
                    </w:rPr>
                    <w:t>加强环评与排污许可监管。全面实行排污许可制，构建以排污许可制为核心的固定污染源监管制度体系，全面落实排污许可</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一证式</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管理。</w:t>
                  </w:r>
                </w:p>
              </w:tc>
              <w:tc>
                <w:tcPr>
                  <w:tcW w:w="0" w:type="auto"/>
                  <w:tcBorders>
                    <w:tl2br w:val="nil"/>
                    <w:tr2bl w:val="nil"/>
                  </w:tcBorders>
                  <w:noWrap w:val="0"/>
                  <w:vAlign w:val="center"/>
                </w:tcPr>
                <w:p w14:paraId="187A0BCD">
                  <w:pPr>
                    <w:shd w:val="clear" w:color="auto" w:fill="auto"/>
                    <w:autoSpaceDE w:val="0"/>
                    <w:autoSpaceDN w:val="0"/>
                    <w:spacing w:line="24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本项目为公路建设项目，不设加油站，</w:t>
                  </w:r>
                  <w:r>
                    <w:rPr>
                      <w:rFonts w:hint="eastAsia" w:ascii="Times New Roman" w:hAnsi="Times New Roman" w:eastAsia="宋体" w:cs="Times New Roman"/>
                      <w:color w:val="auto"/>
                      <w:sz w:val="18"/>
                      <w:szCs w:val="18"/>
                      <w:highlight w:val="none"/>
                      <w:lang w:val="en-US" w:eastAsia="zh-CN"/>
                    </w:rPr>
                    <w:t>无需申领</w:t>
                  </w:r>
                  <w:r>
                    <w:rPr>
                      <w:rFonts w:ascii="Times New Roman" w:hAnsi="Times New Roman" w:eastAsia="宋体" w:cs="Times New Roman"/>
                      <w:color w:val="auto"/>
                      <w:sz w:val="18"/>
                      <w:szCs w:val="18"/>
                      <w:highlight w:val="none"/>
                    </w:rPr>
                    <w:t>排污许可。</w:t>
                  </w:r>
                </w:p>
              </w:tc>
              <w:tc>
                <w:tcPr>
                  <w:tcW w:w="0" w:type="auto"/>
                  <w:tcBorders>
                    <w:tl2br w:val="nil"/>
                    <w:tr2bl w:val="nil"/>
                  </w:tcBorders>
                  <w:noWrap w:val="0"/>
                  <w:vAlign w:val="center"/>
                </w:tcPr>
                <w:p w14:paraId="78F20F4F">
                  <w:pPr>
                    <w:shd w:val="clear" w:color="auto" w:fill="auto"/>
                    <w:autoSpaceDE w:val="0"/>
                    <w:autoSpaceDN w:val="0"/>
                    <w:spacing w:line="240"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符合</w:t>
                  </w:r>
                </w:p>
              </w:tc>
            </w:tr>
          </w:tbl>
          <w:p w14:paraId="11DE1C9E">
            <w:pPr>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4"/>
                <w:highlight w:val="none"/>
                <w:lang w:val="en-US" w:eastAsia="zh-CN"/>
              </w:rPr>
              <w:t>5</w:t>
            </w:r>
            <w:r>
              <w:rPr>
                <w:rFonts w:hint="default" w:ascii="Times New Roman" w:hAnsi="Times New Roman" w:eastAsia="宋体" w:cs="Times New Roman"/>
                <w:b/>
                <w:color w:val="auto"/>
                <w:sz w:val="24"/>
                <w:highlight w:val="none"/>
                <w:lang w:val="en-US" w:eastAsia="zh-CN"/>
              </w:rPr>
              <w:t>、与《</w:t>
            </w:r>
            <w:r>
              <w:rPr>
                <w:rFonts w:hint="eastAsia" w:ascii="Times New Roman" w:hAnsi="Times New Roman" w:eastAsia="宋体" w:cs="Times New Roman"/>
                <w:b/>
                <w:color w:val="auto"/>
                <w:sz w:val="24"/>
                <w:highlight w:val="none"/>
                <w:lang w:val="en-US" w:eastAsia="zh-CN"/>
              </w:rPr>
              <w:t>巴音郭楞蒙古自治州生态环境保护“十四五”规划</w:t>
            </w:r>
            <w:r>
              <w:rPr>
                <w:rFonts w:hint="default" w:ascii="Times New Roman" w:hAnsi="Times New Roman" w:eastAsia="宋体" w:cs="Times New Roman"/>
                <w:b/>
                <w:color w:val="auto"/>
                <w:sz w:val="24"/>
                <w:highlight w:val="none"/>
                <w:lang w:val="en-US" w:eastAsia="zh-CN"/>
              </w:rPr>
              <w:t>》符合性分析</w:t>
            </w:r>
          </w:p>
          <w:p w14:paraId="00304B8B">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表1-</w:t>
            </w:r>
            <w:r>
              <w:rPr>
                <w:rFonts w:hint="eastAsia" w:ascii="Times New Roman" w:hAnsi="Times New Roman" w:eastAsia="宋体" w:cs="Times New Roman"/>
                <w:b/>
                <w:color w:val="auto"/>
                <w:sz w:val="21"/>
                <w:szCs w:val="21"/>
                <w:highlight w:val="none"/>
                <w:lang w:val="en-US" w:eastAsia="zh-CN"/>
              </w:rPr>
              <w:t xml:space="preserve">6  </w:t>
            </w:r>
            <w:r>
              <w:rPr>
                <w:rFonts w:hint="default" w:ascii="Times New Roman" w:hAnsi="Times New Roman" w:eastAsia="宋体" w:cs="Times New Roman"/>
                <w:b/>
                <w:color w:val="auto"/>
                <w:sz w:val="21"/>
                <w:szCs w:val="21"/>
                <w:highlight w:val="none"/>
                <w:lang w:val="en-US" w:eastAsia="zh-CN"/>
              </w:rPr>
              <w:t>与《</w:t>
            </w:r>
            <w:r>
              <w:rPr>
                <w:rFonts w:hint="eastAsia" w:ascii="Times New Roman" w:hAnsi="Times New Roman" w:eastAsia="宋体" w:cs="Times New Roman"/>
                <w:b/>
                <w:color w:val="auto"/>
                <w:sz w:val="21"/>
                <w:szCs w:val="21"/>
                <w:highlight w:val="none"/>
                <w:lang w:val="en-US" w:eastAsia="zh-CN"/>
              </w:rPr>
              <w:t>巴音郭楞蒙古自治州生态环境保护“十四五”规划</w:t>
            </w:r>
            <w:r>
              <w:rPr>
                <w:rFonts w:hint="default" w:ascii="Times New Roman" w:hAnsi="Times New Roman" w:eastAsia="宋体" w:cs="Times New Roman"/>
                <w:b/>
                <w:color w:val="auto"/>
                <w:sz w:val="21"/>
                <w:szCs w:val="21"/>
                <w:highlight w:val="none"/>
                <w:lang w:val="en-US" w:eastAsia="zh-CN"/>
              </w:rPr>
              <w:t>》符合性分析</w:t>
            </w:r>
          </w:p>
          <w:tbl>
            <w:tblPr>
              <w:tblStyle w:val="29"/>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92"/>
              <w:gridCol w:w="3010"/>
              <w:gridCol w:w="424"/>
            </w:tblGrid>
            <w:tr w14:paraId="7AA04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top"/>
                </w:tcPr>
                <w:p w14:paraId="6EC74C91">
                  <w:pPr>
                    <w:shd w:val="clear" w:color="auto" w:fill="auto"/>
                    <w:autoSpaceDE w:val="0"/>
                    <w:autoSpaceDN w:val="0"/>
                    <w:spacing w:line="240" w:lineRule="auto"/>
                    <w:jc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文件要求</w:t>
                  </w:r>
                </w:p>
              </w:tc>
              <w:tc>
                <w:tcPr>
                  <w:tcW w:w="0" w:type="auto"/>
                  <w:tcBorders>
                    <w:tl2br w:val="nil"/>
                    <w:tr2bl w:val="nil"/>
                  </w:tcBorders>
                  <w:noWrap w:val="0"/>
                  <w:vAlign w:val="top"/>
                </w:tcPr>
                <w:p w14:paraId="40519133">
                  <w:pPr>
                    <w:shd w:val="clear" w:color="auto" w:fill="auto"/>
                    <w:autoSpaceDE w:val="0"/>
                    <w:autoSpaceDN w:val="0"/>
                    <w:spacing w:line="240" w:lineRule="auto"/>
                    <w:jc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项目情况</w:t>
                  </w:r>
                </w:p>
              </w:tc>
              <w:tc>
                <w:tcPr>
                  <w:tcW w:w="0" w:type="auto"/>
                  <w:tcBorders>
                    <w:tl2br w:val="nil"/>
                    <w:tr2bl w:val="nil"/>
                  </w:tcBorders>
                  <w:noWrap w:val="0"/>
                  <w:vAlign w:val="top"/>
                </w:tcPr>
                <w:p w14:paraId="797B1424">
                  <w:pPr>
                    <w:shd w:val="clear" w:color="auto" w:fill="auto"/>
                    <w:autoSpaceDE w:val="0"/>
                    <w:autoSpaceDN w:val="0"/>
                    <w:spacing w:line="240" w:lineRule="auto"/>
                    <w:jc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符合性</w:t>
                  </w:r>
                </w:p>
              </w:tc>
            </w:tr>
            <w:tr w14:paraId="7BCD5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6B695E65">
                  <w:pPr>
                    <w:widowControl w:val="0"/>
                    <w:shd w:val="clear" w:color="auto" w:fill="auto"/>
                    <w:spacing w:line="240" w:lineRule="auto"/>
                    <w:jc w:val="center"/>
                    <w:rPr>
                      <w:rFonts w:ascii="Times New Roman" w:hAnsi="Times New Roman" w:eastAsia="宋体" w:cs="宋体"/>
                      <w:b/>
                      <w:bCs/>
                      <w:color w:val="auto"/>
                      <w:kern w:val="0"/>
                      <w:sz w:val="18"/>
                      <w:szCs w:val="18"/>
                      <w:highlight w:val="none"/>
                      <w:lang w:val="en-US" w:eastAsia="zh-CN" w:bidi="ar-SA"/>
                    </w:rPr>
                  </w:pPr>
                  <w:r>
                    <w:rPr>
                      <w:rFonts w:hint="default" w:ascii="Times New Roman" w:hAnsi="Times New Roman" w:cs="Times New Roman"/>
                      <w:color w:val="auto"/>
                      <w:sz w:val="18"/>
                      <w:szCs w:val="18"/>
                      <w:highlight w:val="none"/>
                    </w:rPr>
                    <w:t>加强重点行业VOCs协同控制。深入实施《自治州重点行业挥发性有机物综合治理方案》，切实推进重点行业VOCs污染治理。重点推进石化、化工、包装印刷、工业涂装等重点行业以及机动车、油品储运销等交通源VOCs污染防治，加强芳香烃、烯烃、炔烃、醛类等活性强的VOCs排放控制，持续削减重点企业VOCs排放量。建立健全以改善环境空气质量为核心的VOCs污染防治管理体系，加强石化、煤化工、表面处理、印刷、油气储罐等重点排放行业的精细化管控，持续实施LARD治理。强化新增污染物排放控制，推进VOCs与NOx等的协同减排，改善环境空气质量。</w:t>
                  </w:r>
                </w:p>
              </w:tc>
              <w:tc>
                <w:tcPr>
                  <w:tcW w:w="0" w:type="auto"/>
                  <w:tcBorders>
                    <w:tl2br w:val="nil"/>
                    <w:tr2bl w:val="nil"/>
                  </w:tcBorders>
                  <w:noWrap w:val="0"/>
                  <w:vAlign w:val="center"/>
                </w:tcPr>
                <w:p w14:paraId="0DD12476">
                  <w:pPr>
                    <w:shd w:val="clear" w:color="auto" w:fill="auto"/>
                    <w:spacing w:line="240" w:lineRule="auto"/>
                    <w:rPr>
                      <w:rFonts w:ascii="Times New Roman" w:hAnsi="Times New Roman" w:eastAsia="宋体" w:cs="Times New Roman"/>
                      <w:b/>
                      <w:bCs/>
                      <w:color w:val="auto"/>
                      <w:kern w:val="0"/>
                      <w:sz w:val="18"/>
                      <w:szCs w:val="18"/>
                      <w:highlight w:val="none"/>
                    </w:rPr>
                  </w:pPr>
                  <w:r>
                    <w:rPr>
                      <w:rFonts w:ascii="Times New Roman" w:hAnsi="Times New Roman" w:eastAsia="宋体" w:cs="Times New Roman"/>
                      <w:color w:val="auto"/>
                      <w:sz w:val="18"/>
                      <w:szCs w:val="18"/>
                      <w:highlight w:val="none"/>
                    </w:rPr>
                    <w:t>本项目属于公路建设项目，</w:t>
                  </w:r>
                  <w:r>
                    <w:rPr>
                      <w:rFonts w:hint="eastAsia" w:ascii="Times New Roman" w:hAnsi="Times New Roman" w:eastAsia="宋体" w:cs="Times New Roman"/>
                      <w:color w:val="auto"/>
                      <w:sz w:val="18"/>
                      <w:szCs w:val="18"/>
                      <w:highlight w:val="none"/>
                      <w:lang w:val="en-US" w:eastAsia="zh-CN"/>
                    </w:rPr>
                    <w:t>施工期有少量施工扬尘、沥青烟排放，不涉及VOCs产排，运营期仅有过往车辆尾气排放</w:t>
                  </w:r>
                  <w:r>
                    <w:rPr>
                      <w:rFonts w:ascii="Times New Roman" w:hAnsi="Times New Roman" w:eastAsia="宋体" w:cs="Times New Roman"/>
                      <w:color w:val="auto"/>
                      <w:sz w:val="18"/>
                      <w:szCs w:val="18"/>
                      <w:highlight w:val="none"/>
                    </w:rPr>
                    <w:t>。</w:t>
                  </w:r>
                </w:p>
              </w:tc>
              <w:tc>
                <w:tcPr>
                  <w:tcW w:w="0" w:type="auto"/>
                  <w:tcBorders>
                    <w:tl2br w:val="nil"/>
                    <w:tr2bl w:val="nil"/>
                  </w:tcBorders>
                  <w:noWrap w:val="0"/>
                  <w:vAlign w:val="center"/>
                </w:tcPr>
                <w:p w14:paraId="51882CA4">
                  <w:pPr>
                    <w:shd w:val="clear" w:color="auto" w:fill="auto"/>
                    <w:autoSpaceDE w:val="0"/>
                    <w:autoSpaceDN w:val="0"/>
                    <w:spacing w:line="240" w:lineRule="auto"/>
                    <w:jc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color w:val="auto"/>
                      <w:kern w:val="0"/>
                      <w:sz w:val="18"/>
                      <w:szCs w:val="18"/>
                      <w:highlight w:val="none"/>
                    </w:rPr>
                    <w:t>符合</w:t>
                  </w:r>
                </w:p>
              </w:tc>
            </w:tr>
            <w:tr w14:paraId="4300AA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5E73A653">
                  <w:pPr>
                    <w:widowControl w:val="0"/>
                    <w:shd w:val="clear" w:color="auto" w:fill="auto"/>
                    <w:spacing w:line="240" w:lineRule="auto"/>
                    <w:jc w:val="center"/>
                    <w:rPr>
                      <w:rFonts w:ascii="Times New Roman" w:hAnsi="Times New Roman" w:eastAsia="宋体" w:cs="宋体"/>
                      <w:b/>
                      <w:bCs/>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强化面源污染防控。加强城市扬尘综合防控，积极推进绿色工地和“阳光施工”创建，县级及以上城市建成区建筑工地扬尘防控标准化管理全覆盖；控制道路交通扬尘污染，加强城市道路清扫保洁和洒水抑尘，提高机械化作业水平；加强矿山粉尘治理，充分运用新型、高效的防尘、降尘、除尘技术，全面加强矿山开采各环节粉尘防控措施；全面推进秸秆实现资源化利用，推进农业大气氨污染防治，加强种植业氨排放控制，调整氮肥结构，加速挥发性氮肥产品的应用。</w:t>
                  </w:r>
                </w:p>
              </w:tc>
              <w:tc>
                <w:tcPr>
                  <w:tcW w:w="0" w:type="auto"/>
                  <w:tcBorders>
                    <w:tl2br w:val="nil"/>
                    <w:tr2bl w:val="nil"/>
                  </w:tcBorders>
                  <w:noWrap w:val="0"/>
                  <w:vAlign w:val="center"/>
                </w:tcPr>
                <w:p w14:paraId="192C1310">
                  <w:pPr>
                    <w:shd w:val="clear" w:color="auto" w:fill="auto"/>
                    <w:spacing w:line="240" w:lineRule="auto"/>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lang w:val="en-US" w:eastAsia="zh-CN"/>
                    </w:rPr>
                    <w:t>项目施工期采取以下措施控制扬尘：①道路洒水降尘，控制车辆车速，禁止大风天气施工，缩短基层施工和面层施工之间的时间，道路施工采取湿法作业；②施工场地设置围挡抑制扬尘扩散；③施工现场出现四级及以上的大风天气时禁止进行土方施工；运输砂石，清运建筑垃圾时，要捆扎封闭严密，防止遗洒飞扬；④运输车辆按当地政府规定线路行驶，不得随意更改路线，经过居民点时，减速慢行。</w:t>
                  </w:r>
                </w:p>
              </w:tc>
              <w:tc>
                <w:tcPr>
                  <w:tcW w:w="0" w:type="auto"/>
                  <w:tcBorders>
                    <w:tl2br w:val="nil"/>
                    <w:tr2bl w:val="nil"/>
                  </w:tcBorders>
                  <w:noWrap w:val="0"/>
                  <w:vAlign w:val="center"/>
                </w:tcPr>
                <w:p w14:paraId="466232F6">
                  <w:pPr>
                    <w:shd w:val="clear" w:color="auto" w:fill="auto"/>
                    <w:autoSpaceDE w:val="0"/>
                    <w:autoSpaceDN w:val="0"/>
                    <w:spacing w:line="240" w:lineRule="auto"/>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符合</w:t>
                  </w:r>
                </w:p>
              </w:tc>
            </w:tr>
          </w:tbl>
          <w:p w14:paraId="6EAEB223">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7676E964">
            <w:pPr>
              <w:pStyle w:val="23"/>
              <w:rPr>
                <w:rFonts w:hint="default" w:ascii="Times New Roman" w:hAnsi="Times New Roman" w:eastAsia="宋体" w:cs="Times New Roman"/>
                <w:b/>
                <w:color w:val="auto"/>
                <w:sz w:val="21"/>
                <w:szCs w:val="21"/>
                <w:highlight w:val="none"/>
                <w:lang w:val="en-US" w:eastAsia="zh-CN"/>
              </w:rPr>
            </w:pPr>
          </w:p>
          <w:p w14:paraId="24FF5F70">
            <w:pPr>
              <w:rPr>
                <w:rFonts w:hint="default" w:ascii="Times New Roman" w:hAnsi="Times New Roman" w:eastAsia="宋体" w:cs="Times New Roman"/>
                <w:b/>
                <w:color w:val="auto"/>
                <w:sz w:val="21"/>
                <w:szCs w:val="21"/>
                <w:highlight w:val="none"/>
                <w:lang w:val="en-US" w:eastAsia="zh-CN"/>
              </w:rPr>
            </w:pPr>
          </w:p>
          <w:p w14:paraId="3DA75F4A">
            <w:pPr>
              <w:pStyle w:val="23"/>
              <w:rPr>
                <w:rFonts w:hint="default" w:ascii="Times New Roman" w:hAnsi="Times New Roman" w:eastAsia="宋体" w:cs="Times New Roman"/>
                <w:b/>
                <w:color w:val="auto"/>
                <w:sz w:val="21"/>
                <w:szCs w:val="21"/>
                <w:highlight w:val="none"/>
                <w:lang w:val="en-US" w:eastAsia="zh-CN"/>
              </w:rPr>
            </w:pPr>
          </w:p>
          <w:p w14:paraId="6094F886">
            <w:pPr>
              <w:rPr>
                <w:rFonts w:hint="default" w:ascii="Times New Roman" w:hAnsi="Times New Roman" w:eastAsia="宋体" w:cs="Times New Roman"/>
                <w:b/>
                <w:color w:val="auto"/>
                <w:sz w:val="21"/>
                <w:szCs w:val="21"/>
                <w:highlight w:val="none"/>
                <w:lang w:val="en-US" w:eastAsia="zh-CN"/>
              </w:rPr>
            </w:pPr>
          </w:p>
          <w:p w14:paraId="2BE5CD54">
            <w:pPr>
              <w:pStyle w:val="23"/>
              <w:rPr>
                <w:rFonts w:hint="default" w:ascii="Times New Roman" w:hAnsi="Times New Roman" w:eastAsia="宋体" w:cs="Times New Roman"/>
                <w:b/>
                <w:color w:val="auto"/>
                <w:sz w:val="21"/>
                <w:szCs w:val="21"/>
                <w:highlight w:val="none"/>
                <w:lang w:val="en-US" w:eastAsia="zh-CN"/>
              </w:rPr>
            </w:pPr>
          </w:p>
          <w:p w14:paraId="762203C6">
            <w:pPr>
              <w:rPr>
                <w:rFonts w:hint="default" w:ascii="Times New Roman" w:hAnsi="Times New Roman" w:eastAsia="宋体" w:cs="Times New Roman"/>
                <w:b/>
                <w:color w:val="auto"/>
                <w:sz w:val="21"/>
                <w:szCs w:val="21"/>
                <w:highlight w:val="none"/>
                <w:lang w:val="en-US" w:eastAsia="zh-CN"/>
              </w:rPr>
            </w:pPr>
          </w:p>
          <w:p w14:paraId="644B5638">
            <w:pPr>
              <w:pStyle w:val="23"/>
              <w:rPr>
                <w:rFonts w:hint="default" w:ascii="Times New Roman" w:hAnsi="Times New Roman" w:eastAsia="宋体" w:cs="Times New Roman"/>
                <w:b/>
                <w:color w:val="auto"/>
                <w:sz w:val="21"/>
                <w:szCs w:val="21"/>
                <w:highlight w:val="none"/>
                <w:lang w:val="en-US" w:eastAsia="zh-CN"/>
              </w:rPr>
            </w:pPr>
          </w:p>
          <w:p w14:paraId="324BC4C8">
            <w:pPr>
              <w:rPr>
                <w:rFonts w:hint="default" w:ascii="Times New Roman" w:hAnsi="Times New Roman" w:eastAsia="宋体" w:cs="Times New Roman"/>
                <w:b/>
                <w:color w:val="auto"/>
                <w:sz w:val="21"/>
                <w:szCs w:val="21"/>
                <w:highlight w:val="none"/>
                <w:lang w:val="en-US" w:eastAsia="zh-CN"/>
              </w:rPr>
            </w:pPr>
          </w:p>
          <w:p w14:paraId="13A733CF">
            <w:pPr>
              <w:pStyle w:val="23"/>
              <w:rPr>
                <w:rFonts w:hint="default" w:ascii="Times New Roman" w:hAnsi="Times New Roman" w:eastAsia="宋体" w:cs="Times New Roman"/>
                <w:b/>
                <w:color w:val="auto"/>
                <w:sz w:val="21"/>
                <w:szCs w:val="21"/>
                <w:highlight w:val="none"/>
                <w:lang w:val="en-US" w:eastAsia="zh-CN"/>
              </w:rPr>
            </w:pPr>
          </w:p>
          <w:p w14:paraId="2F9CC22A">
            <w:pPr>
              <w:rPr>
                <w:rFonts w:hint="default" w:ascii="Times New Roman" w:hAnsi="Times New Roman" w:eastAsia="宋体" w:cs="Times New Roman"/>
                <w:b/>
                <w:color w:val="auto"/>
                <w:sz w:val="21"/>
                <w:szCs w:val="21"/>
                <w:highlight w:val="none"/>
                <w:lang w:val="en-US" w:eastAsia="zh-CN"/>
              </w:rPr>
            </w:pPr>
          </w:p>
          <w:p w14:paraId="3294DDC4">
            <w:pPr>
              <w:pStyle w:val="23"/>
              <w:rPr>
                <w:rFonts w:hint="default" w:ascii="Times New Roman" w:hAnsi="Times New Roman" w:eastAsia="宋体" w:cs="Times New Roman"/>
                <w:b/>
                <w:color w:val="auto"/>
                <w:sz w:val="21"/>
                <w:szCs w:val="21"/>
                <w:highlight w:val="none"/>
                <w:lang w:val="en-US" w:eastAsia="zh-CN"/>
              </w:rPr>
            </w:pPr>
          </w:p>
          <w:p w14:paraId="107F5A47">
            <w:pPr>
              <w:rPr>
                <w:rFonts w:hint="default" w:ascii="Times New Roman" w:hAnsi="Times New Roman" w:eastAsia="宋体" w:cs="Times New Roman"/>
                <w:b/>
                <w:color w:val="auto"/>
                <w:sz w:val="21"/>
                <w:szCs w:val="21"/>
                <w:highlight w:val="none"/>
                <w:lang w:val="en-US" w:eastAsia="zh-CN"/>
              </w:rPr>
            </w:pPr>
          </w:p>
          <w:p w14:paraId="4E8B8BC1">
            <w:pPr>
              <w:pStyle w:val="23"/>
              <w:rPr>
                <w:rFonts w:hint="default" w:ascii="Times New Roman" w:hAnsi="Times New Roman" w:eastAsia="宋体" w:cs="Times New Roman"/>
                <w:b/>
                <w:color w:val="auto"/>
                <w:sz w:val="21"/>
                <w:szCs w:val="21"/>
                <w:highlight w:val="none"/>
                <w:lang w:val="en-US" w:eastAsia="zh-CN"/>
              </w:rPr>
            </w:pPr>
          </w:p>
          <w:p w14:paraId="787342DB">
            <w:pPr>
              <w:rPr>
                <w:rFonts w:hint="default" w:ascii="Times New Roman" w:hAnsi="Times New Roman" w:eastAsia="宋体" w:cs="Times New Roman"/>
                <w:b/>
                <w:color w:val="auto"/>
                <w:sz w:val="21"/>
                <w:szCs w:val="21"/>
                <w:highlight w:val="none"/>
                <w:lang w:val="en-US" w:eastAsia="zh-CN"/>
              </w:rPr>
            </w:pPr>
          </w:p>
          <w:p w14:paraId="0EEB4D77">
            <w:pPr>
              <w:pStyle w:val="23"/>
              <w:rPr>
                <w:rFonts w:hint="default" w:ascii="Times New Roman" w:hAnsi="Times New Roman" w:eastAsia="宋体" w:cs="Times New Roman"/>
                <w:b/>
                <w:color w:val="auto"/>
                <w:sz w:val="21"/>
                <w:szCs w:val="21"/>
                <w:highlight w:val="none"/>
                <w:lang w:val="en-US" w:eastAsia="zh-CN"/>
              </w:rPr>
            </w:pPr>
          </w:p>
          <w:p w14:paraId="5667C9D4">
            <w:pPr>
              <w:rPr>
                <w:rFonts w:hint="default" w:ascii="Times New Roman" w:hAnsi="Times New Roman" w:eastAsia="宋体" w:cs="Times New Roman"/>
                <w:b/>
                <w:color w:val="auto"/>
                <w:sz w:val="21"/>
                <w:szCs w:val="21"/>
                <w:highlight w:val="none"/>
                <w:lang w:val="en-US" w:eastAsia="zh-CN"/>
              </w:rPr>
            </w:pPr>
          </w:p>
          <w:p w14:paraId="23A864D6">
            <w:pPr>
              <w:pStyle w:val="23"/>
              <w:rPr>
                <w:rFonts w:hint="default" w:ascii="Times New Roman" w:hAnsi="Times New Roman" w:eastAsia="宋体" w:cs="Times New Roman"/>
                <w:b/>
                <w:color w:val="auto"/>
                <w:sz w:val="21"/>
                <w:szCs w:val="21"/>
                <w:highlight w:val="none"/>
                <w:lang w:val="en-US" w:eastAsia="zh-CN"/>
              </w:rPr>
            </w:pPr>
          </w:p>
          <w:p w14:paraId="35844AAA">
            <w:pPr>
              <w:rPr>
                <w:rFonts w:hint="default" w:ascii="Times New Roman" w:hAnsi="Times New Roman" w:eastAsia="宋体" w:cs="Times New Roman"/>
                <w:b/>
                <w:color w:val="auto"/>
                <w:sz w:val="21"/>
                <w:szCs w:val="21"/>
                <w:highlight w:val="none"/>
                <w:lang w:val="en-US" w:eastAsia="zh-CN"/>
              </w:rPr>
            </w:pPr>
          </w:p>
          <w:p w14:paraId="7CAD2D60">
            <w:pPr>
              <w:pStyle w:val="23"/>
              <w:rPr>
                <w:rFonts w:hint="default" w:ascii="Times New Roman" w:hAnsi="Times New Roman" w:eastAsia="宋体" w:cs="Times New Roman"/>
                <w:b/>
                <w:color w:val="auto"/>
                <w:sz w:val="21"/>
                <w:szCs w:val="21"/>
                <w:highlight w:val="none"/>
                <w:lang w:val="en-US" w:eastAsia="zh-CN"/>
              </w:rPr>
            </w:pPr>
          </w:p>
          <w:p w14:paraId="5BE3C4B9">
            <w:pPr>
              <w:rPr>
                <w:rFonts w:hint="default" w:ascii="Times New Roman" w:hAnsi="Times New Roman" w:eastAsia="宋体" w:cs="Times New Roman"/>
                <w:b/>
                <w:color w:val="auto"/>
                <w:sz w:val="21"/>
                <w:szCs w:val="21"/>
                <w:highlight w:val="none"/>
                <w:lang w:val="en-US" w:eastAsia="zh-CN"/>
              </w:rPr>
            </w:pPr>
          </w:p>
          <w:p w14:paraId="37359736">
            <w:pPr>
              <w:pStyle w:val="23"/>
              <w:rPr>
                <w:rFonts w:hint="default" w:ascii="Times New Roman" w:hAnsi="Times New Roman" w:eastAsia="宋体" w:cs="Times New Roman"/>
                <w:b/>
                <w:color w:val="auto"/>
                <w:sz w:val="21"/>
                <w:szCs w:val="21"/>
                <w:highlight w:val="none"/>
                <w:lang w:val="en-US" w:eastAsia="zh-CN"/>
              </w:rPr>
            </w:pPr>
          </w:p>
          <w:p w14:paraId="7062ED03">
            <w:pPr>
              <w:rPr>
                <w:rFonts w:hint="default" w:ascii="Times New Roman" w:hAnsi="Times New Roman" w:eastAsia="宋体" w:cs="Times New Roman"/>
                <w:b/>
                <w:color w:val="auto"/>
                <w:sz w:val="21"/>
                <w:szCs w:val="21"/>
                <w:highlight w:val="none"/>
                <w:lang w:val="en-US" w:eastAsia="zh-CN"/>
              </w:rPr>
            </w:pPr>
          </w:p>
          <w:p w14:paraId="0ED00018">
            <w:pPr>
              <w:pStyle w:val="23"/>
              <w:rPr>
                <w:rFonts w:hint="default"/>
                <w:lang w:val="en-US" w:eastAsia="zh-CN"/>
              </w:rPr>
            </w:pPr>
          </w:p>
          <w:p w14:paraId="61CFDAAC">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1F647ED4">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5635939A">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6F1B0623">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1183084E">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5CACB76C">
            <w:pPr>
              <w:keepNext w:val="0"/>
              <w:keepLines w:val="0"/>
              <w:pageBreakBefore w:val="0"/>
              <w:widowControl w:val="0"/>
              <w:shd w:val="clear" w:color="auto" w:fill="auto"/>
              <w:kinsoku/>
              <w:wordWrap/>
              <w:overflowPunct/>
              <w:topLinePunct w:val="0"/>
              <w:autoSpaceDE w:val="0"/>
              <w:autoSpaceDN w:val="0"/>
              <w:bidi w:val="0"/>
              <w:adjustRightInd w:val="0"/>
              <w:snapToGrid w:val="0"/>
              <w:spacing w:line="240" w:lineRule="auto"/>
              <w:ind w:firstLine="422" w:firstLineChars="200"/>
              <w:textAlignment w:val="auto"/>
              <w:rPr>
                <w:rFonts w:hint="default" w:ascii="Times New Roman" w:hAnsi="Times New Roman" w:eastAsia="宋体" w:cs="Times New Roman"/>
                <w:b/>
                <w:color w:val="auto"/>
                <w:sz w:val="21"/>
                <w:szCs w:val="21"/>
                <w:highlight w:val="none"/>
                <w:lang w:val="en-US" w:eastAsia="zh-CN"/>
              </w:rPr>
            </w:pPr>
          </w:p>
          <w:p w14:paraId="5FB499ED">
            <w:pPr>
              <w:pageBreakBefore w:val="0"/>
              <w:wordWrap/>
              <w:topLinePunct w:val="0"/>
              <w:autoSpaceDE w:val="0"/>
              <w:autoSpaceDN w:val="0"/>
              <w:bidi w:val="0"/>
              <w:adjustRightInd w:val="0"/>
              <w:snapToGrid w:val="0"/>
              <w:spacing w:beforeAutospacing="0" w:afterAutospacing="0"/>
              <w:ind w:left="0" w:leftChars="0" w:right="0" w:rightChars="0"/>
              <w:rPr>
                <w:rFonts w:hint="default" w:ascii="Times New Roman" w:hAnsi="Times New Roman" w:eastAsia="宋体" w:cs="Times New Roman"/>
                <w:caps w:val="0"/>
                <w:smallCaps w:val="0"/>
                <w:color w:val="auto"/>
                <w:spacing w:val="0"/>
                <w:w w:val="100"/>
                <w:kern w:val="2"/>
                <w:position w:val="0"/>
                <w:sz w:val="24"/>
                <w:szCs w:val="24"/>
                <w:highlight w:val="none"/>
              </w:rPr>
            </w:pPr>
          </w:p>
        </w:tc>
      </w:tr>
    </w:tbl>
    <w:p w14:paraId="75AED874">
      <w:pPr>
        <w:pageBreakBefore w:val="0"/>
        <w:wordWrap/>
        <w:topLinePunct w:val="0"/>
        <w:bidi w:val="0"/>
        <w:spacing w:beforeAutospacing="0" w:afterAutospacing="0" w:line="360" w:lineRule="auto"/>
        <w:ind w:left="0" w:leftChars="0" w:right="0"/>
        <w:outlineLvl w:val="9"/>
        <w:rPr>
          <w:rFonts w:hint="default" w:ascii="Times New Roman" w:hAnsi="Times New Roman" w:eastAsia="黑体" w:cs="Times New Roman"/>
          <w:caps w:val="0"/>
          <w:smallCaps w:val="0"/>
          <w:color w:val="auto"/>
          <w:spacing w:val="0"/>
          <w:w w:val="100"/>
          <w:kern w:val="2"/>
          <w:position w:val="0"/>
          <w:sz w:val="30"/>
          <w:highlight w:val="none"/>
        </w:rPr>
        <w:sectPr>
          <w:footerReference r:id="rId8" w:type="default"/>
          <w:pgSz w:w="11906" w:h="16838"/>
          <w:pgMar w:top="1440" w:right="1803" w:bottom="1440" w:left="1803"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14062BC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outlineLvl w:val="0"/>
        <w:rPr>
          <w:rFonts w:hint="default" w:ascii="Times New Roman" w:hAnsi="Times New Roman" w:eastAsia="黑体" w:cs="Times New Roman"/>
          <w:b w:val="0"/>
          <w:bCs w:val="0"/>
          <w:caps w:val="0"/>
          <w:smallCaps w:val="0"/>
          <w:snapToGrid w:val="0"/>
          <w:color w:val="auto"/>
          <w:spacing w:val="0"/>
          <w:w w:val="100"/>
          <w:kern w:val="2"/>
          <w:position w:val="0"/>
          <w:sz w:val="30"/>
          <w:szCs w:val="30"/>
          <w:highlight w:val="none"/>
        </w:rPr>
      </w:pPr>
      <w:bookmarkStart w:id="4" w:name="_Toc19625"/>
      <w:r>
        <w:rPr>
          <w:rFonts w:hint="default" w:ascii="Times New Roman" w:hAnsi="Times New Roman" w:eastAsia="黑体" w:cs="Times New Roman"/>
          <w:b w:val="0"/>
          <w:bCs w:val="0"/>
          <w:caps w:val="0"/>
          <w:smallCaps w:val="0"/>
          <w:snapToGrid w:val="0"/>
          <w:color w:val="auto"/>
          <w:spacing w:val="0"/>
          <w:w w:val="100"/>
          <w:kern w:val="2"/>
          <w:position w:val="0"/>
          <w:sz w:val="30"/>
          <w:szCs w:val="30"/>
          <w:highlight w:val="none"/>
        </w:rPr>
        <w:t>二、建设内容</w:t>
      </w:r>
      <w:bookmarkEnd w:id="4"/>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067"/>
      </w:tblGrid>
      <w:tr w14:paraId="75CEB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5" w:type="pct"/>
            <w:tcBorders>
              <w:tl2br w:val="nil"/>
              <w:tr2bl w:val="nil"/>
            </w:tcBorders>
            <w:noWrap w:val="0"/>
            <w:vAlign w:val="center"/>
          </w:tcPr>
          <w:p w14:paraId="31B6ED7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jc w:val="center"/>
              <w:textAlignment w:val="auto"/>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caps w:val="0"/>
                <w:smallCaps w:val="0"/>
                <w:color w:val="auto"/>
                <w:spacing w:val="0"/>
                <w:w w:val="100"/>
                <w:kern w:val="2"/>
                <w:position w:val="0"/>
                <w:sz w:val="24"/>
                <w:szCs w:val="24"/>
                <w:highlight w:val="none"/>
              </w:rPr>
              <w:t>地理位置</w:t>
            </w:r>
          </w:p>
        </w:tc>
        <w:tc>
          <w:tcPr>
            <w:tcW w:w="4734" w:type="pct"/>
            <w:tcBorders>
              <w:tl2br w:val="nil"/>
              <w:tr2bl w:val="nil"/>
            </w:tcBorders>
            <w:noWrap w:val="0"/>
            <w:vAlign w:val="center"/>
          </w:tcPr>
          <w:p w14:paraId="3934046E">
            <w:pPr>
              <w:pStyle w:val="79"/>
              <w:keepNext w:val="0"/>
              <w:keepLines w:val="0"/>
              <w:pageBreakBefore w:val="0"/>
              <w:widowControl w:val="0"/>
              <w:kinsoku/>
              <w:wordWrap w:val="0"/>
              <w:overflowPunct/>
              <w:topLinePunct w:val="0"/>
              <w:autoSpaceDE/>
              <w:autoSpaceDN/>
              <w:bidi w:val="0"/>
              <w:adjustRightInd/>
              <w:snapToGrid/>
              <w:spacing w:before="0" w:beforeLines="0" w:after="0" w:afterLines="0" w:line="360" w:lineRule="auto"/>
              <w:ind w:left="0" w:leftChars="0" w:right="0" w:rightChars="0" w:firstLine="482" w:firstLineChars="200"/>
              <w:textAlignment w:val="auto"/>
              <w:rPr>
                <w:rFonts w:hint="eastAsia" w:ascii="Times New Roman" w:hAnsi="Times New Roman" w:eastAsia="宋体" w:cs="Times New Roman"/>
                <w:color w:val="auto"/>
                <w:spacing w:val="0"/>
                <w:w w:val="100"/>
                <w:position w:val="0"/>
                <w:sz w:val="24"/>
                <w:szCs w:val="24"/>
                <w:highlight w:val="none"/>
                <w:lang w:val="en-US" w:eastAsia="zh-CN"/>
              </w:rPr>
            </w:pPr>
            <w:r>
              <w:rPr>
                <w:rFonts w:hint="default" w:ascii="Times New Roman" w:hAnsi="Times New Roman" w:cs="Times New Roman"/>
                <w:b/>
                <w:bCs/>
                <w:color w:val="auto"/>
                <w:spacing w:val="0"/>
                <w:w w:val="100"/>
                <w:position w:val="0"/>
                <w:sz w:val="24"/>
                <w:szCs w:val="24"/>
                <w:highlight w:val="none"/>
                <w:lang w:val="en-US" w:eastAsia="zh-CN"/>
              </w:rPr>
              <w:t>地理位置：</w:t>
            </w:r>
            <w:r>
              <w:rPr>
                <w:rFonts w:hint="default" w:ascii="Times New Roman" w:hAnsi="Times New Roman" w:eastAsia="宋体" w:cs="Times New Roman"/>
                <w:color w:val="auto"/>
                <w:spacing w:val="0"/>
                <w:w w:val="100"/>
                <w:position w:val="0"/>
                <w:sz w:val="24"/>
                <w:szCs w:val="24"/>
                <w:highlight w:val="none"/>
                <w:lang w:val="en-US" w:eastAsia="zh-CN"/>
              </w:rPr>
              <w:t>本项目</w:t>
            </w:r>
            <w:r>
              <w:rPr>
                <w:rFonts w:hint="eastAsia" w:ascii="Times New Roman" w:hAnsi="Times New Roman" w:eastAsia="宋体" w:cs="Times New Roman"/>
                <w:color w:val="auto"/>
                <w:spacing w:val="0"/>
                <w:w w:val="100"/>
                <w:position w:val="0"/>
                <w:sz w:val="24"/>
                <w:szCs w:val="24"/>
                <w:highlight w:val="none"/>
                <w:lang w:val="en-US" w:eastAsia="zh-CN"/>
              </w:rPr>
              <w:t>建设点</w:t>
            </w:r>
            <w:r>
              <w:rPr>
                <w:rFonts w:hint="default" w:ascii="Times New Roman" w:hAnsi="Times New Roman" w:eastAsia="宋体" w:cs="Times New Roman"/>
                <w:color w:val="auto"/>
                <w:spacing w:val="0"/>
                <w:w w:val="100"/>
                <w:position w:val="0"/>
                <w:sz w:val="24"/>
                <w:szCs w:val="24"/>
                <w:highlight w:val="none"/>
                <w:lang w:val="en-US" w:eastAsia="zh-CN"/>
              </w:rPr>
              <w:t>位于</w:t>
            </w:r>
            <w:r>
              <w:rPr>
                <w:rFonts w:hint="eastAsia" w:ascii="Times New Roman" w:hAnsi="Times New Roman" w:eastAsia="宋体" w:cs="Times New Roman"/>
                <w:color w:val="auto"/>
                <w:spacing w:val="0"/>
                <w:w w:val="100"/>
                <w:position w:val="0"/>
                <w:sz w:val="24"/>
                <w:szCs w:val="24"/>
                <w:highlight w:val="none"/>
                <w:lang w:val="en-US" w:eastAsia="zh-CN"/>
              </w:rPr>
              <w:t>G216线K1336+358处</w:t>
            </w:r>
            <w:r>
              <w:rPr>
                <w:rFonts w:hint="default" w:ascii="Times New Roman" w:hAnsi="Times New Roman" w:eastAsia="宋体" w:cs="Times New Roman"/>
                <w:color w:val="auto"/>
                <w:spacing w:val="0"/>
                <w:w w:val="100"/>
                <w:position w:val="0"/>
                <w:sz w:val="24"/>
                <w:szCs w:val="24"/>
                <w:highlight w:val="none"/>
                <w:lang w:val="en-US" w:eastAsia="zh-CN"/>
              </w:rPr>
              <w:t>，</w:t>
            </w:r>
            <w:r>
              <w:rPr>
                <w:rFonts w:hint="eastAsia" w:ascii="Times New Roman" w:hAnsi="Times New Roman" w:eastAsia="宋体" w:cs="Times New Roman"/>
                <w:color w:val="auto"/>
                <w:spacing w:val="0"/>
                <w:w w:val="100"/>
                <w:position w:val="0"/>
                <w:sz w:val="24"/>
                <w:szCs w:val="24"/>
                <w:highlight w:val="none"/>
                <w:lang w:val="en-US" w:eastAsia="zh-CN"/>
              </w:rPr>
              <w:t>对现有G216国道上的阳霞大桥进行老桥拆除后重建。</w:t>
            </w:r>
          </w:p>
          <w:p w14:paraId="468799E6">
            <w:pPr>
              <w:pStyle w:val="79"/>
              <w:keepNext w:val="0"/>
              <w:keepLines w:val="0"/>
              <w:pageBreakBefore w:val="0"/>
              <w:widowControl w:val="0"/>
              <w:kinsoku/>
              <w:wordWrap w:val="0"/>
              <w:overflowPunct/>
              <w:topLinePunct w:val="0"/>
              <w:autoSpaceDE/>
              <w:autoSpaceDN/>
              <w:bidi w:val="0"/>
              <w:adjustRightInd/>
              <w:snapToGrid/>
              <w:spacing w:before="0" w:beforeLines="0" w:after="0" w:afterLines="0" w:line="360" w:lineRule="auto"/>
              <w:ind w:left="0" w:leftChars="0" w:right="0" w:rightChars="0" w:firstLine="480" w:firstLineChars="200"/>
              <w:textAlignment w:val="auto"/>
              <w:rPr>
                <w:rFonts w:hint="default" w:ascii="Times New Roman" w:hAnsi="Times New Roman" w:eastAsia="宋体" w:cs="Times New Roman"/>
                <w:caps w:val="0"/>
                <w:smallCaps w:val="0"/>
                <w:color w:val="auto"/>
                <w:spacing w:val="0"/>
                <w:w w:val="100"/>
                <w:kern w:val="2"/>
                <w:position w:val="0"/>
                <w:highlight w:val="none"/>
                <w:lang w:val="en-US" w:eastAsia="zh-CN"/>
              </w:rPr>
            </w:pPr>
            <w:r>
              <w:rPr>
                <w:rFonts w:hint="eastAsia" w:ascii="Times New Roman" w:hAnsi="Times New Roman" w:eastAsia="宋体" w:cs="Times New Roman"/>
                <w:color w:val="auto"/>
                <w:spacing w:val="0"/>
                <w:w w:val="100"/>
                <w:position w:val="0"/>
                <w:sz w:val="24"/>
                <w:szCs w:val="24"/>
                <w:highlight w:val="none"/>
                <w:lang w:val="en-US" w:eastAsia="zh-CN"/>
              </w:rPr>
              <w:t>起点：E：84°36′12.556″，N：41°57′8.149″；终点：E：84°36′17.886″，N：41°57′9.423″。</w:t>
            </w:r>
          </w:p>
        </w:tc>
      </w:tr>
      <w:tr w14:paraId="64E34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5" w:type="pct"/>
            <w:tcBorders>
              <w:tl2br w:val="nil"/>
              <w:tr2bl w:val="nil"/>
            </w:tcBorders>
            <w:noWrap w:val="0"/>
            <w:vAlign w:val="center"/>
          </w:tcPr>
          <w:p w14:paraId="006DE89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jc w:val="center"/>
              <w:textAlignment w:val="auto"/>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caps w:val="0"/>
                <w:smallCaps w:val="0"/>
                <w:color w:val="auto"/>
                <w:spacing w:val="0"/>
                <w:w w:val="100"/>
                <w:kern w:val="2"/>
                <w:position w:val="0"/>
                <w:sz w:val="24"/>
                <w:szCs w:val="24"/>
                <w:highlight w:val="none"/>
              </w:rPr>
              <w:t>项目组成及规模</w:t>
            </w:r>
          </w:p>
        </w:tc>
        <w:tc>
          <w:tcPr>
            <w:tcW w:w="4734" w:type="pct"/>
            <w:tcBorders>
              <w:tl2br w:val="nil"/>
              <w:tr2bl w:val="nil"/>
            </w:tcBorders>
            <w:noWrap w:val="0"/>
            <w:vAlign w:val="center"/>
          </w:tcPr>
          <w:p w14:paraId="0E881F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jc w:val="left"/>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1</w:t>
            </w: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、项目背景</w:t>
            </w:r>
          </w:p>
          <w:p w14:paraId="10CCC2F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both"/>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t>老桥基本状况</w:t>
            </w:r>
          </w:p>
          <w:p w14:paraId="34E7A77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阳霞大桥桥位于G216线K1336+358.00处，桥梁全长104.0m，该桥建成于1974年，桥梁于当年通车。桥梁跨径组合为7×14.0m，桥面全宽为12.0m，桥宽组合为0.5m（防撞护栏）+11.0m（桥面净宽）+0.5m（防撞护栏），设计荷载等级为汽车-15级。</w:t>
            </w:r>
            <w:r>
              <w:rPr>
                <w:rFonts w:hint="eastAsia" w:cs="Times New Roman"/>
                <w:caps w:val="0"/>
                <w:smallCaps w:val="0"/>
                <w:color w:val="auto"/>
                <w:spacing w:val="0"/>
                <w:w w:val="100"/>
                <w:kern w:val="2"/>
                <w:position w:val="0"/>
                <w:sz w:val="24"/>
                <w:szCs w:val="24"/>
                <w:highlight w:val="none"/>
                <w:lang w:val="en-US" w:eastAsia="zh-CN" w:bidi="ar-SA"/>
              </w:rPr>
              <w:t>2026年危旧桥改造项目G216线K1336+358处阳霞大桥改造工程</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桥梁上部结构为混凝土双曲拱，桥梁下部结构桥台为钢筋混凝土多柱式墩、柱基础，桥梁下部结构桥台为钢筋混凝土重力式桥台、桩基础，桥面铺装为沥青混凝土铺装，两侧设钢筋混凝土防撞护栏。</w:t>
            </w:r>
          </w:p>
          <w:p w14:paraId="3983608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该桥自1974年建成后，于2005年进行拼宽改造，同时修复了部分裂缝，2005年改造之后仅有管养单位对其进行常规性养护。</w:t>
            </w:r>
          </w:p>
          <w:p w14:paraId="4969621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both"/>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t>原桥主要病害情况</w:t>
            </w:r>
          </w:p>
          <w:p w14:paraId="43D46F7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both"/>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t xml:space="preserve">上部结构： </w:t>
            </w:r>
          </w:p>
          <w:p w14:paraId="4864DFC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cs="Times New Roman"/>
                <w:caps w:val="0"/>
                <w:smallCaps w:val="0"/>
                <w:color w:val="auto"/>
                <w:spacing w:val="0"/>
                <w:w w:val="100"/>
                <w:kern w:val="2"/>
                <w:position w:val="0"/>
                <w:sz w:val="24"/>
                <w:szCs w:val="24"/>
                <w:highlight w:val="none"/>
                <w:lang w:val="en-US" w:eastAsia="zh-CN" w:bidi="ar-SA"/>
              </w:rPr>
              <w:t>（1）</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 xml:space="preserve">拱肋裂缝病害 </w:t>
            </w:r>
          </w:p>
          <w:p w14:paraId="621CC29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 xml:space="preserve">原因分析： </w:t>
            </w:r>
          </w:p>
          <w:p w14:paraId="4C610FE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 xml:space="preserve">①拱肋横向刚度太差：这会导致拱肋在受到外力作用时容易发生变形，从而产生裂缝。 </w:t>
            </w:r>
          </w:p>
          <w:p w14:paraId="25D0221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 xml:space="preserve">②拱肋强度不够：如果拱肋的强度不足以承受车辆荷载和其他外部力量，就会发生裂缝。 </w:t>
            </w:r>
          </w:p>
          <w:p w14:paraId="78598E1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 xml:space="preserve">③横向联系太弱：横向联系是指拱肋之间的连接，如果连接不够牢固，会导致拱肋在受力时出现裂缝。 </w:t>
            </w:r>
          </w:p>
          <w:p w14:paraId="27F950F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 xml:space="preserve">④拱脚移位：拱脚的移位会导致整个拱肋结构的受力不均衡，从而引发裂缝。 </w:t>
            </w:r>
          </w:p>
          <w:p w14:paraId="7F5947F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 xml:space="preserve">⑤此外，还有一些其他因素会。导致或加剧拱肋裂缝的形成，例如：混凝土收缩和徐变：混凝土在硬化过程中会收缩，如果收缩受到限制，就会产生裂缝。温度变化：温度的变化会导致混凝土的热胀冷缩，从而产生应力，可能导致裂缝。长期超负荷运营：长期的超负荷运营会使拱肋逐渐疲劳，最终导致裂缝的出现。综上所述，双曲拱桥拱肋裂缝的原因多种多样，包括结构设计上的缺陷、材料强度不足以及长期使用中的疲劳损伤等。 </w:t>
            </w:r>
          </w:p>
          <w:p w14:paraId="546F1B0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cs="Times New Roman"/>
                <w:caps w:val="0"/>
                <w:smallCaps w:val="0"/>
                <w:color w:val="auto"/>
                <w:spacing w:val="0"/>
                <w:w w:val="100"/>
                <w:kern w:val="2"/>
                <w:position w:val="0"/>
                <w:sz w:val="24"/>
                <w:szCs w:val="24"/>
                <w:highlight w:val="none"/>
                <w:lang w:val="en-US" w:eastAsia="zh-CN" w:bidi="ar-SA"/>
              </w:rPr>
              <w:t>（2）</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 xml:space="preserve">拱波裂缝病害 </w:t>
            </w:r>
          </w:p>
          <w:p w14:paraId="5726294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 xml:space="preserve">拱波可视为支撑于拱肋之上的拱式结构，在荷载作用下，拱波对拱肋产生推力，当拱肋产生位移时易在拱波中部产生沿纵桥向裂缝。由于拱肋在拱脚附近受约束较强，而在拱顶最弱，因此拱波顶部纵向开裂也主要出现在跨中附近。 </w:t>
            </w:r>
          </w:p>
          <w:p w14:paraId="114CD64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both"/>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t xml:space="preserve">下部结构： </w:t>
            </w:r>
          </w:p>
          <w:p w14:paraId="03C44FA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 xml:space="preserve">桥墩台混凝土剥落、掉角病害原因分析：混凝土保护层厚度不足，浇筑质量不佳；在冰雪凝冻天气采用除冰盐进行融冰、融雪，导致氯离子侵蚀混凝土，继而造成钢筋锈胀、混凝土开裂剥落、掉角。 </w:t>
            </w:r>
          </w:p>
          <w:p w14:paraId="2DA0824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both"/>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t xml:space="preserve">桥面系： </w:t>
            </w:r>
          </w:p>
          <w:p w14:paraId="5D9B6D8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护栏裂缝病害原因分析：护栏混凝土收缩、徐变及主梁的温度收缩变形等。</w:t>
            </w:r>
          </w:p>
          <w:p w14:paraId="3942F3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2、建设项目基本情况</w:t>
            </w:r>
          </w:p>
          <w:p w14:paraId="553A9FF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项目名称：</w:t>
            </w:r>
            <w:r>
              <w:rPr>
                <w:rFonts w:hint="eastAsia" w:cs="Times New Roman"/>
                <w:caps w:val="0"/>
                <w:smallCaps w:val="0"/>
                <w:color w:val="auto"/>
                <w:spacing w:val="0"/>
                <w:w w:val="100"/>
                <w:kern w:val="2"/>
                <w:position w:val="0"/>
                <w:sz w:val="24"/>
                <w:szCs w:val="24"/>
                <w:highlight w:val="none"/>
                <w:lang w:val="en-US" w:eastAsia="zh-CN"/>
              </w:rPr>
              <w:t>2026年危旧桥改造项目G216线K1336+358处阳霞大桥改造工程</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w:t>
            </w:r>
          </w:p>
          <w:p w14:paraId="4ADD392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建设单位：库尔勒公路事业发展中心；</w:t>
            </w:r>
          </w:p>
          <w:p w14:paraId="655C88A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建设地点：新疆巴州轮台县G216线K1336+358处；</w:t>
            </w:r>
          </w:p>
          <w:p w14:paraId="66B28E3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建设性质：改建；</w:t>
            </w:r>
          </w:p>
          <w:p w14:paraId="7970F4C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项目投资：项目总投资952.9726万元，其中环保投资41万元，占总投资的4.30%；</w:t>
            </w:r>
          </w:p>
          <w:p w14:paraId="1911DF6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建设周期：2026年4月-2026年8月，共计4个月。</w:t>
            </w:r>
          </w:p>
          <w:p w14:paraId="3326E1A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both"/>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SA"/>
              </w:rPr>
              <w:t>3、主要建设内容及项目组成</w:t>
            </w:r>
          </w:p>
          <w:p w14:paraId="5E0E349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pP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本次项目对G216线K1336+358处阳霞大桥进行老桥拆除后重建。本桥全长147.08m，宽12m，新建25m+3-30m+25m预应力混凝土简支小箱梁，下部结构桥台采用柱式台，桥墩采用柱式墩，墩台采用桩基础。本项目不新增用地。</w:t>
            </w:r>
          </w:p>
          <w:p w14:paraId="47747F3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default" w:ascii="Times New Roman" w:hAnsi="Times New Roman" w:cs="Times New Roman"/>
                <w:b/>
                <w:bCs/>
                <w:caps w:val="0"/>
                <w:smallCaps w:val="0"/>
                <w:color w:val="auto"/>
                <w:spacing w:val="0"/>
                <w:w w:val="100"/>
                <w:kern w:val="2"/>
                <w:position w:val="0"/>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项目主要工程</w:t>
            </w: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内容及规模</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详见下表：</w:t>
            </w:r>
          </w:p>
          <w:p w14:paraId="359B340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422" w:firstLineChars="200"/>
              <w:jc w:val="center"/>
              <w:textAlignment w:val="auto"/>
              <w:rPr>
                <w:rFonts w:hint="default" w:ascii="Times New Roman" w:hAnsi="Times New Roman" w:eastAsia="宋体" w:cs="Times New Roman"/>
                <w:b/>
                <w:bCs/>
                <w:caps w:val="0"/>
                <w:smallCaps w:val="0"/>
                <w:color w:val="auto"/>
                <w:spacing w:val="0"/>
                <w:w w:val="100"/>
                <w:kern w:val="2"/>
                <w:position w:val="0"/>
                <w:sz w:val="21"/>
                <w:szCs w:val="16"/>
                <w:highlight w:val="none"/>
                <w:lang w:val="en-US" w:eastAsia="zh-CN" w:bidi="ar-SA"/>
              </w:rPr>
            </w:pPr>
            <w:r>
              <w:rPr>
                <w:rFonts w:hint="default" w:ascii="Times New Roman" w:hAnsi="Times New Roman" w:eastAsia="宋体" w:cs="Times New Roman"/>
                <w:b/>
                <w:bCs/>
                <w:caps w:val="0"/>
                <w:smallCaps w:val="0"/>
                <w:color w:val="auto"/>
                <w:spacing w:val="0"/>
                <w:w w:val="100"/>
                <w:kern w:val="2"/>
                <w:position w:val="0"/>
                <w:sz w:val="21"/>
                <w:szCs w:val="16"/>
                <w:highlight w:val="none"/>
                <w:lang w:val="en-US" w:eastAsia="zh-CN" w:bidi="ar-SA"/>
              </w:rPr>
              <w:t>表2-</w:t>
            </w:r>
            <w:r>
              <w:rPr>
                <w:rFonts w:hint="eastAsia" w:cs="Times New Roman"/>
                <w:b/>
                <w:bCs/>
                <w:caps w:val="0"/>
                <w:smallCaps w:val="0"/>
                <w:color w:val="auto"/>
                <w:spacing w:val="0"/>
                <w:w w:val="100"/>
                <w:kern w:val="2"/>
                <w:position w:val="0"/>
                <w:sz w:val="21"/>
                <w:szCs w:val="16"/>
                <w:highlight w:val="none"/>
                <w:lang w:val="en-US" w:eastAsia="zh-CN" w:bidi="ar-SA"/>
              </w:rPr>
              <w:t>1</w:t>
            </w:r>
            <w:r>
              <w:rPr>
                <w:rFonts w:hint="eastAsia" w:ascii="Times New Roman" w:hAnsi="Times New Roman" w:eastAsia="宋体" w:cs="Times New Roman"/>
                <w:b/>
                <w:bCs/>
                <w:caps w:val="0"/>
                <w:smallCaps w:val="0"/>
                <w:color w:val="auto"/>
                <w:spacing w:val="0"/>
                <w:w w:val="100"/>
                <w:kern w:val="2"/>
                <w:position w:val="0"/>
                <w:sz w:val="21"/>
                <w:szCs w:val="16"/>
                <w:highlight w:val="none"/>
                <w:lang w:val="en-US" w:eastAsia="zh-CN" w:bidi="ar-SA"/>
              </w:rPr>
              <w:t xml:space="preserve">    工程</w:t>
            </w:r>
            <w:r>
              <w:rPr>
                <w:rFonts w:hint="default" w:ascii="Times New Roman" w:hAnsi="Times New Roman" w:eastAsia="宋体" w:cs="Times New Roman"/>
                <w:b/>
                <w:bCs/>
                <w:caps w:val="0"/>
                <w:smallCaps w:val="0"/>
                <w:color w:val="auto"/>
                <w:spacing w:val="0"/>
                <w:w w:val="100"/>
                <w:kern w:val="2"/>
                <w:position w:val="0"/>
                <w:sz w:val="21"/>
                <w:szCs w:val="16"/>
                <w:highlight w:val="none"/>
                <w:lang w:val="en-US" w:eastAsia="zh-CN" w:bidi="ar-SA"/>
              </w:rPr>
              <w:t>建设</w:t>
            </w:r>
            <w:r>
              <w:rPr>
                <w:rFonts w:hint="eastAsia" w:ascii="Times New Roman" w:hAnsi="Times New Roman" w:eastAsia="宋体" w:cs="Times New Roman"/>
                <w:b/>
                <w:bCs/>
                <w:caps w:val="0"/>
                <w:smallCaps w:val="0"/>
                <w:color w:val="auto"/>
                <w:spacing w:val="0"/>
                <w:w w:val="100"/>
                <w:kern w:val="2"/>
                <w:position w:val="0"/>
                <w:sz w:val="21"/>
                <w:szCs w:val="16"/>
                <w:highlight w:val="none"/>
                <w:lang w:val="en-US" w:eastAsia="zh-CN" w:bidi="ar-SA"/>
              </w:rPr>
              <w:t>内容</w:t>
            </w:r>
            <w:r>
              <w:rPr>
                <w:rFonts w:hint="default" w:ascii="Times New Roman" w:hAnsi="Times New Roman" w:eastAsia="宋体" w:cs="Times New Roman"/>
                <w:b/>
                <w:bCs/>
                <w:caps w:val="0"/>
                <w:smallCaps w:val="0"/>
                <w:color w:val="auto"/>
                <w:spacing w:val="0"/>
                <w:w w:val="100"/>
                <w:kern w:val="2"/>
                <w:position w:val="0"/>
                <w:sz w:val="21"/>
                <w:szCs w:val="16"/>
                <w:highlight w:val="none"/>
                <w:lang w:val="en-US" w:eastAsia="zh-CN" w:bidi="ar-SA"/>
              </w:rPr>
              <w:t>一览表</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634"/>
              <w:gridCol w:w="6625"/>
            </w:tblGrid>
            <w:tr w14:paraId="21654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tcBorders>
                    <w:tl2br w:val="nil"/>
                    <w:tr2bl w:val="nil"/>
                  </w:tcBorders>
                  <w:noWrap w:val="0"/>
                  <w:vAlign w:val="center"/>
                </w:tcPr>
                <w:p w14:paraId="38BD7F54">
                  <w:pPr>
                    <w:keepNext w:val="0"/>
                    <w:keepLines w:val="0"/>
                    <w:widowControl/>
                    <w:suppressLineNumbers w:val="0"/>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aps w:val="0"/>
                      <w:smallCaps w:val="0"/>
                      <w:color w:val="auto"/>
                      <w:spacing w:val="0"/>
                      <w:w w:val="100"/>
                      <w:kern w:val="2"/>
                      <w:position w:val="0"/>
                      <w:sz w:val="18"/>
                      <w:szCs w:val="18"/>
                      <w:highlight w:val="none"/>
                      <w:vertAlign w:val="baseline"/>
                      <w:lang w:val="en-US" w:eastAsia="zh-CN"/>
                    </w:rPr>
                  </w:pPr>
                  <w:r>
                    <w:rPr>
                      <w:rFonts w:hint="default" w:ascii="Times New Roman" w:hAnsi="Times New Roman" w:eastAsia="宋体" w:cs="Times New Roman"/>
                      <w:kern w:val="0"/>
                      <w:sz w:val="18"/>
                      <w:szCs w:val="18"/>
                      <w:highlight w:val="none"/>
                      <w:lang w:val="en-US" w:eastAsia="zh-CN" w:bidi="ar-SA"/>
                    </w:rPr>
                    <w:t>项目组成</w:t>
                  </w:r>
                </w:p>
              </w:tc>
              <w:tc>
                <w:tcPr>
                  <w:tcW w:w="404" w:type="pct"/>
                  <w:tcBorders>
                    <w:tl2br w:val="nil"/>
                    <w:tr2bl w:val="nil"/>
                  </w:tcBorders>
                  <w:noWrap w:val="0"/>
                  <w:vAlign w:val="center"/>
                </w:tcPr>
                <w:p w14:paraId="748DDEF0">
                  <w:pPr>
                    <w:keepNext w:val="0"/>
                    <w:keepLines w:val="0"/>
                    <w:widowControl/>
                    <w:suppressLineNumbers w:val="0"/>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caps w:val="0"/>
                      <w:smallCaps w:val="0"/>
                      <w:color w:val="auto"/>
                      <w:spacing w:val="0"/>
                      <w:w w:val="100"/>
                      <w:kern w:val="2"/>
                      <w:position w:val="0"/>
                      <w:sz w:val="18"/>
                      <w:szCs w:val="18"/>
                      <w:highlight w:val="none"/>
                      <w:vertAlign w:val="baseline"/>
                      <w:lang w:val="en-US" w:eastAsia="zh-CN"/>
                    </w:rPr>
                  </w:pPr>
                  <w:r>
                    <w:rPr>
                      <w:rFonts w:hint="default" w:ascii="Times New Roman" w:hAnsi="Times New Roman" w:eastAsia="宋体" w:cs="Times New Roman"/>
                      <w:kern w:val="0"/>
                      <w:sz w:val="18"/>
                      <w:szCs w:val="18"/>
                      <w:highlight w:val="none"/>
                      <w:lang w:val="en-US" w:eastAsia="zh-CN" w:bidi="ar-SA"/>
                    </w:rPr>
                    <w:t>建设内容</w:t>
                  </w:r>
                </w:p>
              </w:tc>
              <w:tc>
                <w:tcPr>
                  <w:tcW w:w="4220" w:type="pct"/>
                  <w:tcBorders>
                    <w:tl2br w:val="nil"/>
                    <w:tr2bl w:val="nil"/>
                  </w:tcBorders>
                  <w:noWrap w:val="0"/>
                  <w:vAlign w:val="center"/>
                </w:tcPr>
                <w:p w14:paraId="1AE8AD69">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bCs/>
                      <w:caps w:val="0"/>
                      <w:smallCaps w:val="0"/>
                      <w:color w:val="auto"/>
                      <w:spacing w:val="0"/>
                      <w:w w:val="100"/>
                      <w:kern w:val="2"/>
                      <w:position w:val="0"/>
                      <w:sz w:val="18"/>
                      <w:szCs w:val="18"/>
                      <w:highlight w:val="none"/>
                      <w:vertAlign w:val="baseline"/>
                      <w:lang w:val="en-US" w:eastAsia="zh-CN"/>
                    </w:rPr>
                  </w:pPr>
                  <w:r>
                    <w:rPr>
                      <w:rFonts w:hint="default" w:ascii="Times New Roman" w:hAnsi="Times New Roman" w:cs="Times New Roman"/>
                      <w:b/>
                      <w:bCs/>
                      <w:caps w:val="0"/>
                      <w:smallCaps w:val="0"/>
                      <w:color w:val="auto"/>
                      <w:spacing w:val="0"/>
                      <w:w w:val="100"/>
                      <w:kern w:val="2"/>
                      <w:position w:val="0"/>
                      <w:sz w:val="18"/>
                      <w:szCs w:val="18"/>
                      <w:highlight w:val="none"/>
                      <w:vertAlign w:val="baseline"/>
                      <w:lang w:val="en-US" w:eastAsia="zh-CN"/>
                    </w:rPr>
                    <w:t>建设内容</w:t>
                  </w:r>
                </w:p>
              </w:tc>
            </w:tr>
            <w:tr w14:paraId="7A9082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75" w:type="pct"/>
                  <w:tcBorders>
                    <w:tl2br w:val="nil"/>
                    <w:tr2bl w:val="nil"/>
                  </w:tcBorders>
                  <w:noWrap w:val="0"/>
                  <w:vAlign w:val="center"/>
                </w:tcPr>
                <w:p w14:paraId="1BB0FF06">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vertAlign w:val="baseline"/>
                      <w:lang w:val="en-US" w:eastAsia="zh-CN"/>
                    </w:rPr>
                  </w:pPr>
                  <w:r>
                    <w:rPr>
                      <w:rFonts w:hint="default" w:ascii="Times New Roman" w:hAnsi="Times New Roman" w:cs="Times New Roman"/>
                      <w:caps w:val="0"/>
                      <w:smallCaps w:val="0"/>
                      <w:color w:val="auto"/>
                      <w:spacing w:val="0"/>
                      <w:w w:val="100"/>
                      <w:kern w:val="2"/>
                      <w:position w:val="0"/>
                      <w:sz w:val="18"/>
                      <w:szCs w:val="18"/>
                      <w:highlight w:val="none"/>
                      <w:vertAlign w:val="baseline"/>
                      <w:lang w:val="en-US" w:eastAsia="zh-CN"/>
                    </w:rPr>
                    <w:t>主体工程</w:t>
                  </w:r>
                </w:p>
              </w:tc>
              <w:tc>
                <w:tcPr>
                  <w:tcW w:w="404" w:type="pct"/>
                  <w:tcBorders>
                    <w:tl2br w:val="nil"/>
                    <w:tr2bl w:val="nil"/>
                  </w:tcBorders>
                  <w:noWrap w:val="0"/>
                  <w:vAlign w:val="center"/>
                </w:tcPr>
                <w:p w14:paraId="2857D39B">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vertAlign w:val="baseline"/>
                      <w:lang w:val="en-US" w:eastAsia="zh-CN"/>
                    </w:rPr>
                  </w:pPr>
                  <w:r>
                    <w:rPr>
                      <w:rFonts w:hint="eastAsia" w:ascii="Times New Roman" w:hAnsi="Times New Roman" w:eastAsia="宋体" w:cs="Times New Roman"/>
                      <w:caps w:val="0"/>
                      <w:smallCaps w:val="0"/>
                      <w:color w:val="auto"/>
                      <w:spacing w:val="0"/>
                      <w:w w:val="100"/>
                      <w:kern w:val="2"/>
                      <w:position w:val="0"/>
                      <w:sz w:val="18"/>
                      <w:szCs w:val="18"/>
                      <w:highlight w:val="none"/>
                      <w:vertAlign w:val="baseline"/>
                      <w:lang w:val="en-US" w:eastAsia="zh-CN"/>
                    </w:rPr>
                    <w:t>阳霞大桥</w:t>
                  </w:r>
                </w:p>
              </w:tc>
              <w:tc>
                <w:tcPr>
                  <w:tcW w:w="4220" w:type="pct"/>
                  <w:tcBorders>
                    <w:tl2br w:val="nil"/>
                    <w:tr2bl w:val="nil"/>
                  </w:tcBorders>
                  <w:noWrap w:val="0"/>
                  <w:vAlign w:val="center"/>
                </w:tcPr>
                <w:p w14:paraId="74F1804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eastAsia" w:ascii="Times New Roman" w:hAnsi="Times New Roman" w:eastAsia="宋体" w:cs="Times New Roman"/>
                      <w:caps w:val="0"/>
                      <w:smallCaps w:val="0"/>
                      <w:color w:val="auto"/>
                      <w:spacing w:val="0"/>
                      <w:w w:val="100"/>
                      <w:kern w:val="2"/>
                      <w:position w:val="0"/>
                      <w:sz w:val="18"/>
                      <w:szCs w:val="18"/>
                      <w:highlight w:val="none"/>
                      <w:vertAlign w:val="baseline"/>
                      <w:lang w:eastAsia="zh-CN"/>
                    </w:rPr>
                  </w:pPr>
                  <w:r>
                    <w:rPr>
                      <w:rFonts w:hint="eastAsia" w:ascii="Times New Roman" w:hAnsi="Times New Roman" w:eastAsia="宋体" w:cs="Times New Roman"/>
                      <w:caps w:val="0"/>
                      <w:smallCaps w:val="0"/>
                      <w:color w:val="auto"/>
                      <w:spacing w:val="0"/>
                      <w:w w:val="100"/>
                      <w:kern w:val="2"/>
                      <w:position w:val="0"/>
                      <w:sz w:val="18"/>
                      <w:szCs w:val="18"/>
                      <w:highlight w:val="none"/>
                      <w:vertAlign w:val="baseline"/>
                      <w:lang w:val="en-US" w:eastAsia="zh-CN"/>
                    </w:rPr>
                    <w:t>本桥平面位于直线段，桥梁角度为 90°，桥面双向 1.5%横坡，桥面纵坡为 0.003%，桥梁全长147.08m，桥宽 12m=0.5m 防撞护栏+净宽 11m+0.5m 防撞护栏，上部结构采用 25m+3×30m+25m 预应力混凝土(后张)简支小箱梁；下部结构桥台采用柱式台，桥墩采用柱式墩，墩、台采用桩基础；桥头设置锥坡防护。</w:t>
                  </w:r>
                </w:p>
              </w:tc>
            </w:tr>
            <w:tr w14:paraId="202D3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vMerge w:val="restart"/>
                  <w:tcBorders>
                    <w:tl2br w:val="nil"/>
                    <w:tr2bl w:val="nil"/>
                  </w:tcBorders>
                  <w:noWrap w:val="0"/>
                  <w:vAlign w:val="center"/>
                </w:tcPr>
                <w:p w14:paraId="7BA574FD">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vertAlign w:val="baseline"/>
                      <w:lang w:val="en-US" w:eastAsia="zh-CN"/>
                    </w:rPr>
                  </w:pPr>
                  <w:r>
                    <w:rPr>
                      <w:rFonts w:hint="eastAsia" w:ascii="Times New Roman" w:hAnsi="Times New Roman" w:cs="Times New Roman"/>
                      <w:caps w:val="0"/>
                      <w:smallCaps w:val="0"/>
                      <w:color w:val="auto"/>
                      <w:spacing w:val="0"/>
                      <w:w w:val="100"/>
                      <w:kern w:val="2"/>
                      <w:position w:val="0"/>
                      <w:sz w:val="18"/>
                      <w:szCs w:val="18"/>
                      <w:highlight w:val="none"/>
                      <w:vertAlign w:val="baseline"/>
                      <w:lang w:val="en-US" w:eastAsia="zh-CN"/>
                    </w:rPr>
                    <w:t>临时工程</w:t>
                  </w:r>
                </w:p>
              </w:tc>
              <w:tc>
                <w:tcPr>
                  <w:tcW w:w="404" w:type="pct"/>
                  <w:tcBorders>
                    <w:tl2br w:val="nil"/>
                    <w:tr2bl w:val="nil"/>
                  </w:tcBorders>
                  <w:noWrap w:val="0"/>
                  <w:vAlign w:val="center"/>
                </w:tcPr>
                <w:p w14:paraId="7411024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
                    </w:rPr>
                    <w:t>预制场</w:t>
                  </w:r>
                </w:p>
              </w:tc>
              <w:tc>
                <w:tcPr>
                  <w:tcW w:w="4220" w:type="pct"/>
                  <w:tcBorders>
                    <w:tl2br w:val="nil"/>
                    <w:tr2bl w:val="nil"/>
                  </w:tcBorders>
                  <w:noWrap w:val="0"/>
                  <w:vAlign w:val="center"/>
                </w:tcPr>
                <w:p w14:paraId="601872A5">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本项目不设置临时预制场，水稳料、沥青混凝土、商混料等均从周边既有商品料场采购。</w:t>
                  </w:r>
                </w:p>
              </w:tc>
            </w:tr>
            <w:tr w14:paraId="6C14A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vMerge w:val="continue"/>
                  <w:tcBorders>
                    <w:tl2br w:val="nil"/>
                    <w:tr2bl w:val="nil"/>
                  </w:tcBorders>
                  <w:noWrap w:val="0"/>
                  <w:vAlign w:val="center"/>
                </w:tcPr>
                <w:p w14:paraId="52E1D9A9">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aps w:val="0"/>
                      <w:smallCaps w:val="0"/>
                      <w:color w:val="auto"/>
                      <w:spacing w:val="0"/>
                      <w:w w:val="100"/>
                      <w:kern w:val="2"/>
                      <w:position w:val="0"/>
                      <w:sz w:val="18"/>
                      <w:szCs w:val="18"/>
                      <w:highlight w:val="none"/>
                      <w:vertAlign w:val="baseline"/>
                    </w:rPr>
                  </w:pPr>
                </w:p>
              </w:tc>
              <w:tc>
                <w:tcPr>
                  <w:tcW w:w="404" w:type="pct"/>
                  <w:tcBorders>
                    <w:tl2br w:val="nil"/>
                    <w:tr2bl w:val="nil"/>
                  </w:tcBorders>
                  <w:noWrap w:val="0"/>
                  <w:vAlign w:val="center"/>
                </w:tcPr>
                <w:p w14:paraId="76E33F0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
                    </w:rPr>
                    <w:t>施工营地</w:t>
                  </w:r>
                </w:p>
              </w:tc>
              <w:tc>
                <w:tcPr>
                  <w:tcW w:w="4220" w:type="pct"/>
                  <w:tcBorders>
                    <w:tl2br w:val="nil"/>
                    <w:tr2bl w:val="nil"/>
                  </w:tcBorders>
                  <w:noWrap w:val="0"/>
                  <w:vAlign w:val="center"/>
                </w:tcPr>
                <w:p w14:paraId="529ECC78">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本项目位于G216线K1336+358处附近，施工人员租住项目周边村民房屋，不新增临时生活区。</w:t>
                  </w:r>
                </w:p>
              </w:tc>
            </w:tr>
            <w:tr w14:paraId="355DA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75" w:type="pct"/>
                  <w:vMerge w:val="continue"/>
                  <w:tcBorders>
                    <w:tl2br w:val="nil"/>
                    <w:tr2bl w:val="nil"/>
                  </w:tcBorders>
                  <w:noWrap w:val="0"/>
                  <w:vAlign w:val="center"/>
                </w:tcPr>
                <w:p w14:paraId="011402AA">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aps w:val="0"/>
                      <w:smallCaps w:val="0"/>
                      <w:color w:val="auto"/>
                      <w:spacing w:val="0"/>
                      <w:w w:val="100"/>
                      <w:kern w:val="2"/>
                      <w:position w:val="0"/>
                      <w:sz w:val="18"/>
                      <w:szCs w:val="18"/>
                      <w:highlight w:val="none"/>
                      <w:vertAlign w:val="baseline"/>
                    </w:rPr>
                  </w:pPr>
                </w:p>
              </w:tc>
              <w:tc>
                <w:tcPr>
                  <w:tcW w:w="404" w:type="pct"/>
                  <w:tcBorders>
                    <w:tl2br w:val="nil"/>
                    <w:tr2bl w:val="nil"/>
                  </w:tcBorders>
                  <w:noWrap w:val="0"/>
                  <w:vAlign w:val="center"/>
                </w:tcPr>
                <w:p w14:paraId="6787E96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
                    </w:rPr>
                    <w:t>施工便道</w:t>
                  </w:r>
                </w:p>
              </w:tc>
              <w:tc>
                <w:tcPr>
                  <w:tcW w:w="4220" w:type="pct"/>
                  <w:tcBorders>
                    <w:tl2br w:val="nil"/>
                    <w:tr2bl w:val="nil"/>
                  </w:tcBorders>
                  <w:noWrap w:val="0"/>
                  <w:vAlign w:val="center"/>
                </w:tcPr>
                <w:p w14:paraId="22824A5A">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本项目施工便道与社会便道合并设置，采用双车道四级公路技术标准建设，便道设置与前进方向右侧，全长215.4m，采用沥青混凝土路面，路基宽7.0m，路面宽6.0m。</w:t>
                  </w:r>
                </w:p>
              </w:tc>
            </w:tr>
            <w:tr w14:paraId="7E5E3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75" w:type="pct"/>
                  <w:vMerge w:val="continue"/>
                  <w:tcBorders>
                    <w:tl2br w:val="nil"/>
                    <w:tr2bl w:val="nil"/>
                  </w:tcBorders>
                  <w:noWrap w:val="0"/>
                  <w:vAlign w:val="center"/>
                </w:tcPr>
                <w:p w14:paraId="434A0678">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aps w:val="0"/>
                      <w:smallCaps w:val="0"/>
                      <w:color w:val="auto"/>
                      <w:spacing w:val="0"/>
                      <w:w w:val="100"/>
                      <w:kern w:val="2"/>
                      <w:position w:val="0"/>
                      <w:sz w:val="18"/>
                      <w:szCs w:val="18"/>
                      <w:highlight w:val="none"/>
                      <w:vertAlign w:val="baseline"/>
                    </w:rPr>
                  </w:pPr>
                </w:p>
              </w:tc>
              <w:tc>
                <w:tcPr>
                  <w:tcW w:w="404" w:type="pct"/>
                  <w:tcBorders>
                    <w:tl2br w:val="nil"/>
                    <w:tr2bl w:val="nil"/>
                  </w:tcBorders>
                  <w:noWrap w:val="0"/>
                  <w:vAlign w:val="center"/>
                </w:tcPr>
                <w:p w14:paraId="09D5897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
                    </w:rPr>
                    <w:t>取土场</w:t>
                  </w:r>
                </w:p>
              </w:tc>
              <w:tc>
                <w:tcPr>
                  <w:tcW w:w="4220" w:type="pct"/>
                  <w:tcBorders>
                    <w:tl2br w:val="nil"/>
                    <w:tr2bl w:val="nil"/>
                  </w:tcBorders>
                  <w:noWrap w:val="0"/>
                  <w:vAlign w:val="center"/>
                </w:tcPr>
                <w:p w14:paraId="178BE3D9">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本项目不单独设置取土场，</w:t>
                  </w: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依托周边</w:t>
                  </w: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既有社会料场为项目全线提供基础用砂石料。</w:t>
                  </w:r>
                </w:p>
              </w:tc>
            </w:tr>
            <w:tr w14:paraId="7371F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75" w:type="pct"/>
                  <w:vMerge w:val="continue"/>
                  <w:tcBorders>
                    <w:tl2br w:val="nil"/>
                    <w:tr2bl w:val="nil"/>
                  </w:tcBorders>
                  <w:noWrap w:val="0"/>
                  <w:vAlign w:val="center"/>
                </w:tcPr>
                <w:p w14:paraId="068C5A88">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sz w:val="18"/>
                      <w:szCs w:val="18"/>
                      <w:highlight w:val="none"/>
                    </w:rPr>
                  </w:pPr>
                </w:p>
              </w:tc>
              <w:tc>
                <w:tcPr>
                  <w:tcW w:w="404" w:type="pct"/>
                  <w:tcBorders>
                    <w:tl2br w:val="nil"/>
                    <w:tr2bl w:val="nil"/>
                  </w:tcBorders>
                  <w:noWrap w:val="0"/>
                  <w:vAlign w:val="center"/>
                </w:tcPr>
                <w:p w14:paraId="15F402CD">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
                    </w:rPr>
                    <w:t>弃土场</w:t>
                  </w:r>
                </w:p>
              </w:tc>
              <w:tc>
                <w:tcPr>
                  <w:tcW w:w="4220" w:type="pct"/>
                  <w:tcBorders>
                    <w:tl2br w:val="nil"/>
                    <w:tr2bl w:val="nil"/>
                  </w:tcBorders>
                  <w:noWrap w:val="0"/>
                  <w:vAlign w:val="center"/>
                </w:tcPr>
                <w:p w14:paraId="1A2EF903">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
                    </w:rPr>
                    <w:t>本项目不设置独立的弃土场，道路挖方过程产生的弃土集中收集运至政府主管部门指定的弃土坑内堆存。</w:t>
                  </w:r>
                </w:p>
              </w:tc>
            </w:tr>
            <w:tr w14:paraId="49C249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75" w:type="pct"/>
                  <w:vMerge w:val="restart"/>
                  <w:tcBorders>
                    <w:tl2br w:val="nil"/>
                    <w:tr2bl w:val="nil"/>
                  </w:tcBorders>
                  <w:noWrap w:val="0"/>
                  <w:vAlign w:val="center"/>
                </w:tcPr>
                <w:p w14:paraId="1C0C09B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公用工程</w:t>
                  </w:r>
                </w:p>
              </w:tc>
              <w:tc>
                <w:tcPr>
                  <w:tcW w:w="404" w:type="pct"/>
                  <w:tcBorders>
                    <w:tl2br w:val="nil"/>
                    <w:tr2bl w:val="nil"/>
                  </w:tcBorders>
                  <w:noWrap w:val="0"/>
                  <w:vAlign w:val="center"/>
                </w:tcPr>
                <w:p w14:paraId="3102EB8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供电系统</w:t>
                  </w:r>
                </w:p>
              </w:tc>
              <w:tc>
                <w:tcPr>
                  <w:tcW w:w="4220" w:type="pct"/>
                  <w:tcBorders>
                    <w:tl2br w:val="nil"/>
                    <w:tr2bl w:val="nil"/>
                  </w:tcBorders>
                  <w:noWrap w:val="0"/>
                  <w:vAlign w:val="center"/>
                </w:tcPr>
                <w:p w14:paraId="217CC66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施工用电由施工单位自备柴油发电机提供，燃料油从周边乡镇加油站购买。</w:t>
                  </w:r>
                </w:p>
              </w:tc>
            </w:tr>
            <w:tr w14:paraId="18C22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75" w:type="pct"/>
                  <w:vMerge w:val="continue"/>
                  <w:tcBorders>
                    <w:tl2br w:val="nil"/>
                    <w:tr2bl w:val="nil"/>
                  </w:tcBorders>
                  <w:noWrap w:val="0"/>
                  <w:vAlign w:val="center"/>
                </w:tcPr>
                <w:p w14:paraId="7C4B972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sz w:val="18"/>
                      <w:szCs w:val="18"/>
                      <w:highlight w:val="none"/>
                    </w:rPr>
                  </w:pPr>
                </w:p>
              </w:tc>
              <w:tc>
                <w:tcPr>
                  <w:tcW w:w="404" w:type="pct"/>
                  <w:tcBorders>
                    <w:tl2br w:val="nil"/>
                    <w:tr2bl w:val="nil"/>
                  </w:tcBorders>
                  <w:noWrap w:val="0"/>
                  <w:vAlign w:val="center"/>
                </w:tcPr>
                <w:p w14:paraId="5654E83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给水系统</w:t>
                  </w:r>
                </w:p>
              </w:tc>
              <w:tc>
                <w:tcPr>
                  <w:tcW w:w="4220" w:type="pct"/>
                  <w:tcBorders>
                    <w:tl2br w:val="nil"/>
                    <w:tr2bl w:val="nil"/>
                  </w:tcBorders>
                  <w:noWrap w:val="0"/>
                  <w:vAlign w:val="center"/>
                </w:tcPr>
                <w:p w14:paraId="0E37098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施工人员生活用水依托租住房屋既有的自来水系统；生产用水从道路工程附近的村镇拉运。</w:t>
                  </w:r>
                </w:p>
              </w:tc>
            </w:tr>
            <w:tr w14:paraId="3D8A80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75" w:type="pct"/>
                  <w:vMerge w:val="restart"/>
                  <w:tcBorders>
                    <w:tl2br w:val="nil"/>
                    <w:tr2bl w:val="nil"/>
                  </w:tcBorders>
                  <w:noWrap w:val="0"/>
                  <w:vAlign w:val="center"/>
                </w:tcPr>
                <w:p w14:paraId="223437B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环保工程</w:t>
                  </w:r>
                </w:p>
              </w:tc>
              <w:tc>
                <w:tcPr>
                  <w:tcW w:w="404" w:type="pct"/>
                  <w:vMerge w:val="restart"/>
                  <w:tcBorders>
                    <w:tl2br w:val="nil"/>
                    <w:tr2bl w:val="nil"/>
                  </w:tcBorders>
                  <w:noWrap w:val="0"/>
                  <w:vAlign w:val="center"/>
                </w:tcPr>
                <w:p w14:paraId="737B9A2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废气治理</w:t>
                  </w:r>
                </w:p>
              </w:tc>
              <w:tc>
                <w:tcPr>
                  <w:tcW w:w="4220" w:type="pct"/>
                  <w:tcBorders>
                    <w:tl2br w:val="nil"/>
                    <w:tr2bl w:val="nil"/>
                  </w:tcBorders>
                  <w:noWrap w:val="0"/>
                  <w:vAlign w:val="center"/>
                </w:tcPr>
                <w:p w14:paraId="324BBDC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原材料运输途中要加苫盖；砂石料外购运输至临时堆土场堆放，设置防尘网覆盖，定期洒水；施工机械使用符合国家标准的优质燃油，减少机械和车辆尾气排放。施工道路路面洒水降尘。</w:t>
                  </w:r>
                </w:p>
              </w:tc>
            </w:tr>
            <w:tr w14:paraId="4958E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vMerge w:val="continue"/>
                  <w:tcBorders>
                    <w:tl2br w:val="nil"/>
                    <w:tr2bl w:val="nil"/>
                  </w:tcBorders>
                  <w:noWrap w:val="0"/>
                  <w:vAlign w:val="center"/>
                </w:tcPr>
                <w:p w14:paraId="6126882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04" w:type="pct"/>
                  <w:vMerge w:val="continue"/>
                  <w:tcBorders>
                    <w:tl2br w:val="nil"/>
                    <w:tr2bl w:val="nil"/>
                  </w:tcBorders>
                  <w:noWrap w:val="0"/>
                  <w:vAlign w:val="center"/>
                </w:tcPr>
                <w:p w14:paraId="180EBAD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220" w:type="pct"/>
                  <w:tcBorders>
                    <w:tl2br w:val="nil"/>
                    <w:tr2bl w:val="nil"/>
                  </w:tcBorders>
                  <w:noWrap w:val="0"/>
                  <w:vAlign w:val="center"/>
                </w:tcPr>
                <w:p w14:paraId="5842BEA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运营期加强道路运营管理，禁止尾气超标车辆上路，避免车辆怠速行驶。</w:t>
                  </w:r>
                </w:p>
              </w:tc>
            </w:tr>
            <w:tr w14:paraId="596EE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vMerge w:val="continue"/>
                  <w:tcBorders>
                    <w:tl2br w:val="nil"/>
                    <w:tr2bl w:val="nil"/>
                  </w:tcBorders>
                  <w:noWrap w:val="0"/>
                  <w:vAlign w:val="center"/>
                </w:tcPr>
                <w:p w14:paraId="0852F0D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04" w:type="pct"/>
                  <w:tcBorders>
                    <w:tl2br w:val="nil"/>
                    <w:tr2bl w:val="nil"/>
                  </w:tcBorders>
                  <w:noWrap w:val="0"/>
                  <w:vAlign w:val="center"/>
                </w:tcPr>
                <w:p w14:paraId="5804F6B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废水治理</w:t>
                  </w:r>
                </w:p>
              </w:tc>
              <w:tc>
                <w:tcPr>
                  <w:tcW w:w="4220" w:type="pct"/>
                  <w:tcBorders>
                    <w:tl2br w:val="nil"/>
                    <w:tr2bl w:val="nil"/>
                  </w:tcBorders>
                  <w:noWrap w:val="0"/>
                  <w:vAlign w:val="center"/>
                </w:tcPr>
                <w:p w14:paraId="0A04F1A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施工期</w:t>
                  </w: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设置临时沉淀池收集施工废水及车轮冲洗废水，经沉淀处理后回用于施工现场；本项目不设置临时施工生活区无生活污水排放</w:t>
                  </w: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w:t>
                  </w:r>
                </w:p>
              </w:tc>
            </w:tr>
            <w:tr w14:paraId="0BFAF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vMerge w:val="continue"/>
                  <w:tcBorders>
                    <w:tl2br w:val="nil"/>
                    <w:tr2bl w:val="nil"/>
                  </w:tcBorders>
                  <w:noWrap w:val="0"/>
                  <w:vAlign w:val="center"/>
                </w:tcPr>
                <w:p w14:paraId="18B0C33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04" w:type="pct"/>
                  <w:vMerge w:val="restart"/>
                  <w:tcBorders>
                    <w:tl2br w:val="nil"/>
                    <w:tr2bl w:val="nil"/>
                  </w:tcBorders>
                  <w:noWrap w:val="0"/>
                  <w:vAlign w:val="center"/>
                </w:tcPr>
                <w:p w14:paraId="393A70F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噪声治理</w:t>
                  </w:r>
                </w:p>
              </w:tc>
              <w:tc>
                <w:tcPr>
                  <w:tcW w:w="4220" w:type="pct"/>
                  <w:tcBorders>
                    <w:tl2br w:val="nil"/>
                    <w:tr2bl w:val="nil"/>
                  </w:tcBorders>
                  <w:noWrap w:val="0"/>
                  <w:vAlign w:val="center"/>
                </w:tcPr>
                <w:p w14:paraId="6C51AB7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施工期合理安排工期，选用低噪声设备。</w:t>
                  </w:r>
                </w:p>
              </w:tc>
            </w:tr>
            <w:tr w14:paraId="1328A9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vMerge w:val="continue"/>
                  <w:tcBorders>
                    <w:tl2br w:val="nil"/>
                    <w:tr2bl w:val="nil"/>
                  </w:tcBorders>
                  <w:noWrap w:val="0"/>
                  <w:vAlign w:val="center"/>
                </w:tcPr>
                <w:p w14:paraId="4153AE0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04" w:type="pct"/>
                  <w:vMerge w:val="continue"/>
                  <w:tcBorders>
                    <w:tl2br w:val="nil"/>
                    <w:tr2bl w:val="nil"/>
                  </w:tcBorders>
                  <w:noWrap w:val="0"/>
                  <w:vAlign w:val="center"/>
                </w:tcPr>
                <w:p w14:paraId="3532138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220" w:type="pct"/>
                  <w:tcBorders>
                    <w:tl2br w:val="nil"/>
                    <w:tr2bl w:val="nil"/>
                  </w:tcBorders>
                  <w:noWrap w:val="0"/>
                  <w:vAlign w:val="center"/>
                </w:tcPr>
                <w:p w14:paraId="544ED3A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运营期加强道路交通管理，如限制车速，设置限速标志灯等。</w:t>
                  </w:r>
                </w:p>
              </w:tc>
            </w:tr>
            <w:tr w14:paraId="4A280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vMerge w:val="continue"/>
                  <w:tcBorders>
                    <w:tl2br w:val="nil"/>
                    <w:tr2bl w:val="nil"/>
                  </w:tcBorders>
                  <w:noWrap w:val="0"/>
                  <w:vAlign w:val="center"/>
                </w:tcPr>
                <w:p w14:paraId="2033B91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04" w:type="pct"/>
                  <w:vMerge w:val="restart"/>
                  <w:tcBorders>
                    <w:tl2br w:val="nil"/>
                    <w:tr2bl w:val="nil"/>
                  </w:tcBorders>
                  <w:noWrap w:val="0"/>
                  <w:vAlign w:val="center"/>
                </w:tcPr>
                <w:p w14:paraId="11CECC3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固废治理</w:t>
                  </w:r>
                </w:p>
              </w:tc>
              <w:tc>
                <w:tcPr>
                  <w:tcW w:w="4220" w:type="pct"/>
                  <w:tcBorders>
                    <w:tl2br w:val="nil"/>
                    <w:tr2bl w:val="nil"/>
                  </w:tcBorders>
                  <w:noWrap w:val="0"/>
                  <w:vAlign w:val="center"/>
                </w:tcPr>
                <w:p w14:paraId="6BC5A9D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施工期</w:t>
                  </w: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产生的废弃钢筋、废塑料等建筑材料统一收集外售综合利用；不可回收建筑垃圾集中收集运至政府部门指定垃圾填埋场处置；工程弃方运至项目政府主管部门指定弃土场堆存；施工人员生活垃圾集中收集交由环卫部门清运处置。</w:t>
                  </w:r>
                </w:p>
              </w:tc>
            </w:tr>
            <w:tr w14:paraId="511DB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vMerge w:val="continue"/>
                  <w:tcBorders>
                    <w:tl2br w:val="nil"/>
                    <w:tr2bl w:val="nil"/>
                  </w:tcBorders>
                  <w:noWrap w:val="0"/>
                  <w:vAlign w:val="center"/>
                </w:tcPr>
                <w:p w14:paraId="37FA37B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04" w:type="pct"/>
                  <w:vMerge w:val="continue"/>
                  <w:tcBorders>
                    <w:tl2br w:val="nil"/>
                    <w:tr2bl w:val="nil"/>
                  </w:tcBorders>
                  <w:noWrap w:val="0"/>
                  <w:vAlign w:val="center"/>
                </w:tcPr>
                <w:p w14:paraId="1D8F3C0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220" w:type="pct"/>
                  <w:tcBorders>
                    <w:tl2br w:val="nil"/>
                    <w:tr2bl w:val="nil"/>
                  </w:tcBorders>
                  <w:noWrap w:val="0"/>
                  <w:vAlign w:val="center"/>
                </w:tcPr>
                <w:p w14:paraId="420C83B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运营期道路维护产生的废沥青等少量废料统一收集运至市政部门指定地点处置。</w:t>
                  </w:r>
                </w:p>
              </w:tc>
            </w:tr>
            <w:tr w14:paraId="3CA79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vMerge w:val="continue"/>
                  <w:tcBorders>
                    <w:tl2br w:val="nil"/>
                    <w:tr2bl w:val="nil"/>
                  </w:tcBorders>
                  <w:noWrap w:val="0"/>
                  <w:vAlign w:val="center"/>
                </w:tcPr>
                <w:p w14:paraId="196F59C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04" w:type="pct"/>
                  <w:tcBorders>
                    <w:tl2br w:val="nil"/>
                    <w:tr2bl w:val="nil"/>
                  </w:tcBorders>
                  <w:noWrap w:val="0"/>
                  <w:vAlign w:val="center"/>
                </w:tcPr>
                <w:p w14:paraId="66CB00B0">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生态保护</w:t>
                  </w:r>
                </w:p>
              </w:tc>
              <w:tc>
                <w:tcPr>
                  <w:tcW w:w="4220" w:type="pct"/>
                  <w:tcBorders>
                    <w:tl2br w:val="nil"/>
                    <w:tr2bl w:val="nil"/>
                  </w:tcBorders>
                  <w:noWrap w:val="0"/>
                  <w:vAlign w:val="center"/>
                </w:tcPr>
                <w:p w14:paraId="40C2EAF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施工期严格控制施工占地范围，严禁随意扩大，减少对施工区及周围土壤和植被的破坏，落实水土保持方案中有关生态保护和水土保持措施；运营期加强日常管理</w:t>
                  </w: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w:t>
                  </w:r>
                </w:p>
              </w:tc>
            </w:tr>
            <w:tr w14:paraId="22D42D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5" w:type="pct"/>
                  <w:vMerge w:val="restart"/>
                  <w:tcBorders>
                    <w:tl2br w:val="nil"/>
                    <w:tr2bl w:val="nil"/>
                  </w:tcBorders>
                  <w:noWrap w:val="0"/>
                  <w:vAlign w:val="center"/>
                </w:tcPr>
                <w:p w14:paraId="6884CF5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依托工程</w:t>
                  </w:r>
                </w:p>
              </w:tc>
              <w:tc>
                <w:tcPr>
                  <w:tcW w:w="404" w:type="pct"/>
                  <w:tcBorders>
                    <w:tl2br w:val="nil"/>
                    <w:tr2bl w:val="nil"/>
                  </w:tcBorders>
                  <w:noWrap w:val="0"/>
                  <w:vAlign w:val="center"/>
                </w:tcPr>
                <w:p w14:paraId="24A32C0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沥青拌合站</w:t>
                  </w:r>
                </w:p>
              </w:tc>
              <w:tc>
                <w:tcPr>
                  <w:tcW w:w="4220" w:type="pct"/>
                  <w:tcBorders>
                    <w:tl2br w:val="nil"/>
                    <w:tr2bl w:val="nil"/>
                  </w:tcBorders>
                  <w:noWrap w:val="0"/>
                  <w:vAlign w:val="center"/>
                </w:tcPr>
                <w:p w14:paraId="7600BDC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left"/>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本项目不</w:t>
                  </w:r>
                  <w:r>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t>设置独立沥青拌合站，</w:t>
                  </w: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依托周边既有拌合站提供。</w:t>
                  </w:r>
                </w:p>
              </w:tc>
            </w:tr>
            <w:tr w14:paraId="63174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75" w:type="pct"/>
                  <w:vMerge w:val="continue"/>
                  <w:tcBorders>
                    <w:tl2br w:val="nil"/>
                    <w:tr2bl w:val="nil"/>
                  </w:tcBorders>
                  <w:noWrap w:val="0"/>
                  <w:vAlign w:val="center"/>
                </w:tcPr>
                <w:p w14:paraId="66BEC6B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p>
              </w:tc>
              <w:tc>
                <w:tcPr>
                  <w:tcW w:w="404" w:type="pct"/>
                  <w:tcBorders>
                    <w:tl2br w:val="nil"/>
                    <w:tr2bl w:val="nil"/>
                  </w:tcBorders>
                  <w:noWrap w:val="0"/>
                  <w:vAlign w:val="center"/>
                </w:tcPr>
                <w:p w14:paraId="15F5E78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商品料场</w:t>
                  </w:r>
                </w:p>
              </w:tc>
              <w:tc>
                <w:tcPr>
                  <w:tcW w:w="4220" w:type="pct"/>
                  <w:tcBorders>
                    <w:tl2br w:val="nil"/>
                    <w:tr2bl w:val="nil"/>
                  </w:tcBorders>
                  <w:noWrap w:val="0"/>
                  <w:vAlign w:val="center"/>
                </w:tcPr>
                <w:p w14:paraId="40CAD39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both"/>
                    <w:textAlignment w:val="auto"/>
                    <w:rPr>
                      <w:rFonts w:hint="default" w:ascii="Times New Roman" w:hAnsi="Times New Roman" w:eastAsia="宋体" w:cs="Times New Roman"/>
                      <w:caps w:val="0"/>
                      <w:smallCaps w:val="0"/>
                      <w:color w:val="auto"/>
                      <w:spacing w:val="0"/>
                      <w:w w:val="100"/>
                      <w:kern w:val="2"/>
                      <w:position w:val="0"/>
                      <w:sz w:val="18"/>
                      <w:szCs w:val="18"/>
                      <w:highlight w:val="none"/>
                      <w:lang w:val="en-US" w:eastAsia="zh-CN" w:bidi="ar-SA"/>
                    </w:rPr>
                  </w:pPr>
                  <w:r>
                    <w:rPr>
                      <w:rFonts w:hint="eastAsia" w:ascii="Times New Roman" w:hAnsi="Times New Roman" w:eastAsia="宋体" w:cs="Times New Roman"/>
                      <w:caps w:val="0"/>
                      <w:smallCaps w:val="0"/>
                      <w:color w:val="auto"/>
                      <w:spacing w:val="0"/>
                      <w:w w:val="100"/>
                      <w:kern w:val="2"/>
                      <w:position w:val="0"/>
                      <w:sz w:val="18"/>
                      <w:szCs w:val="18"/>
                      <w:highlight w:val="none"/>
                      <w:lang w:val="en-US" w:eastAsia="zh-CN" w:bidi="ar-SA"/>
                    </w:rPr>
                    <w:t>本项目桥涵工程施工原料依托周边的商品料场提供。</w:t>
                  </w:r>
                </w:p>
              </w:tc>
            </w:tr>
          </w:tbl>
          <w:p w14:paraId="509E8B3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jc w:val="left"/>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t>4、主要技术指标</w:t>
            </w:r>
          </w:p>
          <w:p w14:paraId="3D4D857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公路等级：二级公路；</w:t>
            </w:r>
          </w:p>
          <w:p w14:paraId="0DD7796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设计荷载：公路-Ⅰ级；</w:t>
            </w:r>
          </w:p>
          <w:p w14:paraId="4D8777D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设计时速：60Km/h；</w:t>
            </w:r>
          </w:p>
          <w:p w14:paraId="40F170E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桥面宽度：12.0m=0.5m防撞护栏+11.0m行车道+0.5m防撞护栏；</w:t>
            </w:r>
          </w:p>
          <w:p w14:paraId="06E292F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桥涵结构设计基准期：100年；</w:t>
            </w:r>
          </w:p>
          <w:p w14:paraId="0BAC902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设计洪水频率：1/100；</w:t>
            </w:r>
          </w:p>
          <w:p w14:paraId="776C073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桥面铺装：7cm厚沥青混凝土桥面铺装+防水层+10cm厚C50混凝土现浇层；</w:t>
            </w:r>
          </w:p>
          <w:p w14:paraId="462401E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抗震设计：桥梁抗震设防类别为B类，地震动峰值加速度为0.20g，地震反应谱周期为0.40s，抗震设防烈度为Ⅷ度，桥梁抗震设防等级为四级；</w:t>
            </w:r>
          </w:p>
          <w:p w14:paraId="7C55CCD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jc w:val="left"/>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t>5、桥梁参数</w:t>
            </w:r>
          </w:p>
          <w:p w14:paraId="47F3F7B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2" w:firstLineChars="200"/>
              <w:jc w:val="left"/>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t>5.1上部结构</w:t>
            </w:r>
          </w:p>
          <w:p w14:paraId="38D2414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①上部结构采用简支结构，桥台处设置D80型伸缩缝，按A类预应力混凝土构件设计。标准跨径25m和30m，斜度0°,桥梁片数为4片，梁间距2.9m，梁高1.4m和1.6m，25m预制梁最大吊装重量：边梁801KN，中梁744KN；30m预制梁最大吊装重量：边梁1053.0KN，中梁988.0KN。</w:t>
            </w:r>
          </w:p>
          <w:p w14:paraId="589D939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②结构设计采用荷载横向分配系数采用刚性横梁法、刚接板（梁）法和梁格法三种计算方法进行对比分析，取大值控制设计。</w:t>
            </w:r>
          </w:p>
          <w:p w14:paraId="4DE0B57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③设计参数</w:t>
            </w:r>
          </w:p>
          <w:p w14:paraId="5659AF7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混凝土：重力密度γ=26.0KN/m</w:t>
            </w:r>
            <w:r>
              <w:rPr>
                <w:rFonts w:hint="eastAsia" w:ascii="Times New Roman" w:hAnsi="Times New Roman" w:eastAsia="宋体" w:cs="Times New Roman"/>
                <w:caps w:val="0"/>
                <w:smallCaps w:val="0"/>
                <w:color w:val="auto"/>
                <w:spacing w:val="0"/>
                <w:w w:val="100"/>
                <w:kern w:val="2"/>
                <w:position w:val="0"/>
                <w:sz w:val="24"/>
                <w:szCs w:val="24"/>
                <w:highlight w:val="none"/>
                <w:vertAlign w:val="superscript"/>
                <w:lang w:val="en-US" w:eastAsia="zh-CN"/>
              </w:rPr>
              <w:t>3</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，弹性模量为Ec=3.45×104MPa；</w:t>
            </w:r>
          </w:p>
          <w:p w14:paraId="1F3AC7E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沥青混凝土：重力密度γ=24.0KN/m</w:t>
            </w:r>
            <w:r>
              <w:rPr>
                <w:rFonts w:hint="eastAsia" w:ascii="Times New Roman" w:hAnsi="Times New Roman" w:eastAsia="宋体" w:cs="Times New Roman"/>
                <w:caps w:val="0"/>
                <w:smallCaps w:val="0"/>
                <w:color w:val="auto"/>
                <w:spacing w:val="0"/>
                <w:w w:val="100"/>
                <w:kern w:val="2"/>
                <w:position w:val="0"/>
                <w:sz w:val="24"/>
                <w:szCs w:val="24"/>
                <w:highlight w:val="none"/>
                <w:vertAlign w:val="superscript"/>
                <w:lang w:val="en-US" w:eastAsia="zh-CN"/>
              </w:rPr>
              <w:t>3</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w:t>
            </w:r>
          </w:p>
          <w:p w14:paraId="1292926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预应力钢筋：弹性模量Ep=1.95×105MPa，松驰率ρ=0.035，松驰系数ζ=0.3；</w:t>
            </w:r>
          </w:p>
          <w:p w14:paraId="608F3B6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锚具：锚具变形、钢筋回缩取6mm（一端）；</w:t>
            </w:r>
          </w:p>
          <w:p w14:paraId="2A45FE2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管道摩擦系数：u=0.25；管道偏差系数：κ=0.0015；支座不均匀沉降：Δ=5mm；</w:t>
            </w:r>
          </w:p>
          <w:p w14:paraId="79CDB8A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竖向梯度温度效应：考虑沥青铺装层和调平层（含水泥混凝土铺装）对梯度温度的影响，按现行规范规定取值。</w:t>
            </w:r>
          </w:p>
          <w:p w14:paraId="1380AF7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年平均相对湿度：55％。</w:t>
            </w:r>
          </w:p>
          <w:p w14:paraId="1CDC851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④桥面板按单向板和悬臂板进行计算。</w:t>
            </w:r>
          </w:p>
          <w:p w14:paraId="0526DC3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⑤一片梁梁端支点最大反力（汽车荷载考虑冲击系数）：</w:t>
            </w:r>
          </w:p>
          <w:p w14:paraId="5EDB997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482" w:firstLineChars="200"/>
              <w:jc w:val="center"/>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t>25m跨径一片梁梁端支点最大反力</w:t>
            </w:r>
          </w:p>
          <w:tbl>
            <w:tblPr>
              <w:tblStyle w:val="71"/>
              <w:tblW w:w="4998"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797"/>
              <w:gridCol w:w="1186"/>
              <w:gridCol w:w="1186"/>
              <w:gridCol w:w="2679"/>
            </w:tblGrid>
            <w:tr w14:paraId="632380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82" w:type="pct"/>
                  <w:vMerge w:val="restart"/>
                  <w:tcBorders>
                    <w:tl2br w:val="nil"/>
                    <w:tr2bl w:val="nil"/>
                  </w:tcBorders>
                  <w:noWrap w:val="0"/>
                  <w:vAlign w:val="center"/>
                </w:tcPr>
                <w:p w14:paraId="41ABDDD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跨径（m）</w:t>
                  </w:r>
                </w:p>
              </w:tc>
              <w:tc>
                <w:tcPr>
                  <w:tcW w:w="755" w:type="pct"/>
                  <w:vMerge w:val="restart"/>
                  <w:tcBorders>
                    <w:tl2br w:val="nil"/>
                    <w:tr2bl w:val="nil"/>
                  </w:tcBorders>
                  <w:noWrap w:val="0"/>
                  <w:vAlign w:val="center"/>
                </w:tcPr>
                <w:p w14:paraId="7941509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部位</w:t>
                  </w:r>
                </w:p>
              </w:tc>
              <w:tc>
                <w:tcPr>
                  <w:tcW w:w="2461" w:type="pct"/>
                  <w:gridSpan w:val="2"/>
                  <w:tcBorders>
                    <w:tl2br w:val="nil"/>
                    <w:tr2bl w:val="nil"/>
                  </w:tcBorders>
                  <w:noWrap w:val="0"/>
                  <w:vAlign w:val="center"/>
                </w:tcPr>
                <w:p w14:paraId="3D4E2ED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反力（KN）</w:t>
                  </w:r>
                </w:p>
              </w:tc>
            </w:tr>
            <w:tr w14:paraId="7BEAE9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82" w:type="pct"/>
                  <w:vMerge w:val="continue"/>
                  <w:tcBorders>
                    <w:tl2br w:val="nil"/>
                    <w:tr2bl w:val="nil"/>
                  </w:tcBorders>
                  <w:noWrap w:val="0"/>
                  <w:vAlign w:val="center"/>
                </w:tcPr>
                <w:p w14:paraId="11853EE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p>
              </w:tc>
              <w:tc>
                <w:tcPr>
                  <w:tcW w:w="755" w:type="pct"/>
                  <w:vMerge w:val="continue"/>
                  <w:tcBorders>
                    <w:tl2br w:val="nil"/>
                    <w:tr2bl w:val="nil"/>
                  </w:tcBorders>
                  <w:noWrap w:val="0"/>
                  <w:vAlign w:val="center"/>
                </w:tcPr>
                <w:p w14:paraId="6E304B4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p>
              </w:tc>
              <w:tc>
                <w:tcPr>
                  <w:tcW w:w="755" w:type="pct"/>
                  <w:tcBorders>
                    <w:tl2br w:val="nil"/>
                    <w:tr2bl w:val="nil"/>
                  </w:tcBorders>
                  <w:noWrap w:val="0"/>
                  <w:vAlign w:val="center"/>
                </w:tcPr>
                <w:p w14:paraId="7B25698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恒载</w:t>
                  </w:r>
                </w:p>
              </w:tc>
              <w:tc>
                <w:tcPr>
                  <w:tcW w:w="1705" w:type="pct"/>
                  <w:tcBorders>
                    <w:tl2br w:val="nil"/>
                    <w:tr2bl w:val="nil"/>
                  </w:tcBorders>
                  <w:noWrap w:val="0"/>
                  <w:vAlign w:val="center"/>
                </w:tcPr>
                <w:p w14:paraId="0B2CA3A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恒载+汽车</w:t>
                  </w:r>
                </w:p>
              </w:tc>
            </w:tr>
            <w:tr w14:paraId="017219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82" w:type="pct"/>
                  <w:vMerge w:val="restart"/>
                  <w:tcBorders>
                    <w:tl2br w:val="nil"/>
                    <w:tr2bl w:val="nil"/>
                  </w:tcBorders>
                  <w:noWrap w:val="0"/>
                  <w:vAlign w:val="center"/>
                </w:tcPr>
                <w:p w14:paraId="7E905D2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25</w:t>
                  </w:r>
                </w:p>
              </w:tc>
              <w:tc>
                <w:tcPr>
                  <w:tcW w:w="755" w:type="pct"/>
                  <w:tcBorders>
                    <w:tl2br w:val="nil"/>
                    <w:tr2bl w:val="nil"/>
                  </w:tcBorders>
                  <w:noWrap w:val="0"/>
                  <w:vAlign w:val="center"/>
                </w:tcPr>
                <w:p w14:paraId="4F8EBC6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边梁</w:t>
                  </w:r>
                </w:p>
              </w:tc>
              <w:tc>
                <w:tcPr>
                  <w:tcW w:w="755" w:type="pct"/>
                  <w:tcBorders>
                    <w:tl2br w:val="nil"/>
                    <w:tr2bl w:val="nil"/>
                  </w:tcBorders>
                  <w:noWrap w:val="0"/>
                  <w:vAlign w:val="center"/>
                </w:tcPr>
                <w:p w14:paraId="38CA5D9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752</w:t>
                  </w:r>
                </w:p>
              </w:tc>
              <w:tc>
                <w:tcPr>
                  <w:tcW w:w="1705" w:type="pct"/>
                  <w:tcBorders>
                    <w:tl2br w:val="nil"/>
                    <w:tr2bl w:val="nil"/>
                  </w:tcBorders>
                  <w:noWrap w:val="0"/>
                  <w:vAlign w:val="center"/>
                </w:tcPr>
                <w:p w14:paraId="65D6B21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1446</w:t>
                  </w:r>
                </w:p>
              </w:tc>
            </w:tr>
            <w:tr w14:paraId="493A95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82" w:type="pct"/>
                  <w:vMerge w:val="continue"/>
                  <w:tcBorders>
                    <w:tl2br w:val="nil"/>
                    <w:tr2bl w:val="nil"/>
                  </w:tcBorders>
                  <w:noWrap w:val="0"/>
                  <w:vAlign w:val="center"/>
                </w:tcPr>
                <w:p w14:paraId="4E014E8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p>
              </w:tc>
              <w:tc>
                <w:tcPr>
                  <w:tcW w:w="755" w:type="pct"/>
                  <w:tcBorders>
                    <w:tl2br w:val="nil"/>
                    <w:tr2bl w:val="nil"/>
                  </w:tcBorders>
                  <w:noWrap w:val="0"/>
                  <w:vAlign w:val="center"/>
                </w:tcPr>
                <w:p w14:paraId="5BF21F9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中梁</w:t>
                  </w:r>
                </w:p>
              </w:tc>
              <w:tc>
                <w:tcPr>
                  <w:tcW w:w="755" w:type="pct"/>
                  <w:tcBorders>
                    <w:tl2br w:val="nil"/>
                    <w:tr2bl w:val="nil"/>
                  </w:tcBorders>
                  <w:noWrap w:val="0"/>
                  <w:vAlign w:val="center"/>
                </w:tcPr>
                <w:p w14:paraId="4341F5A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691</w:t>
                  </w:r>
                </w:p>
              </w:tc>
              <w:tc>
                <w:tcPr>
                  <w:tcW w:w="1705" w:type="pct"/>
                  <w:tcBorders>
                    <w:tl2br w:val="nil"/>
                    <w:tr2bl w:val="nil"/>
                  </w:tcBorders>
                  <w:noWrap w:val="0"/>
                  <w:vAlign w:val="center"/>
                </w:tcPr>
                <w:p w14:paraId="51B9298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1367</w:t>
                  </w:r>
                </w:p>
              </w:tc>
            </w:tr>
          </w:tbl>
          <w:p w14:paraId="324CF9B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482" w:firstLineChars="200"/>
              <w:jc w:val="center"/>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t>30m跨径一片梁梁端支点最大反力</w:t>
            </w:r>
          </w:p>
          <w:tbl>
            <w:tblPr>
              <w:tblStyle w:val="71"/>
              <w:tblW w:w="4998"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795"/>
              <w:gridCol w:w="1191"/>
              <w:gridCol w:w="1191"/>
              <w:gridCol w:w="2671"/>
            </w:tblGrid>
            <w:tr w14:paraId="18FB74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0" w:type="auto"/>
                  <w:vMerge w:val="restart"/>
                  <w:tcBorders>
                    <w:tl2br w:val="nil"/>
                    <w:tr2bl w:val="nil"/>
                  </w:tcBorders>
                  <w:noWrap w:val="0"/>
                  <w:vAlign w:val="center"/>
                </w:tcPr>
                <w:p w14:paraId="721E747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跨径（m）</w:t>
                  </w:r>
                </w:p>
              </w:tc>
              <w:tc>
                <w:tcPr>
                  <w:tcW w:w="0" w:type="auto"/>
                  <w:vMerge w:val="restart"/>
                  <w:tcBorders>
                    <w:tl2br w:val="nil"/>
                    <w:tr2bl w:val="nil"/>
                  </w:tcBorders>
                  <w:noWrap w:val="0"/>
                  <w:vAlign w:val="center"/>
                </w:tcPr>
                <w:p w14:paraId="73412DC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部位</w:t>
                  </w:r>
                </w:p>
              </w:tc>
              <w:tc>
                <w:tcPr>
                  <w:tcW w:w="0" w:type="auto"/>
                  <w:gridSpan w:val="2"/>
                  <w:tcBorders>
                    <w:tl2br w:val="nil"/>
                    <w:tr2bl w:val="nil"/>
                  </w:tcBorders>
                  <w:noWrap w:val="0"/>
                  <w:vAlign w:val="center"/>
                </w:tcPr>
                <w:p w14:paraId="1680883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反力（KN）</w:t>
                  </w:r>
                </w:p>
              </w:tc>
            </w:tr>
            <w:tr w14:paraId="04C6BC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0" w:type="auto"/>
                  <w:vMerge w:val="continue"/>
                  <w:tcBorders>
                    <w:tl2br w:val="nil"/>
                    <w:tr2bl w:val="nil"/>
                  </w:tcBorders>
                  <w:noWrap w:val="0"/>
                  <w:vAlign w:val="center"/>
                </w:tcPr>
                <w:p w14:paraId="0D59254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p>
              </w:tc>
              <w:tc>
                <w:tcPr>
                  <w:tcW w:w="0" w:type="auto"/>
                  <w:vMerge w:val="continue"/>
                  <w:tcBorders>
                    <w:tl2br w:val="nil"/>
                    <w:tr2bl w:val="nil"/>
                  </w:tcBorders>
                  <w:noWrap w:val="0"/>
                  <w:vAlign w:val="center"/>
                </w:tcPr>
                <w:p w14:paraId="3217932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p>
              </w:tc>
              <w:tc>
                <w:tcPr>
                  <w:tcW w:w="0" w:type="auto"/>
                  <w:tcBorders>
                    <w:tl2br w:val="nil"/>
                    <w:tr2bl w:val="nil"/>
                  </w:tcBorders>
                  <w:noWrap w:val="0"/>
                  <w:vAlign w:val="center"/>
                </w:tcPr>
                <w:p w14:paraId="3DCD9C7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恒载</w:t>
                  </w:r>
                </w:p>
              </w:tc>
              <w:tc>
                <w:tcPr>
                  <w:tcW w:w="0" w:type="auto"/>
                  <w:tcBorders>
                    <w:tl2br w:val="nil"/>
                    <w:tr2bl w:val="nil"/>
                  </w:tcBorders>
                  <w:noWrap w:val="0"/>
                  <w:vAlign w:val="center"/>
                </w:tcPr>
                <w:p w14:paraId="4833139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恒载+汽车</w:t>
                  </w:r>
                </w:p>
              </w:tc>
            </w:tr>
            <w:tr w14:paraId="211E1B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0" w:type="auto"/>
                  <w:vMerge w:val="restart"/>
                  <w:tcBorders>
                    <w:tl2br w:val="nil"/>
                    <w:tr2bl w:val="nil"/>
                  </w:tcBorders>
                  <w:noWrap w:val="0"/>
                  <w:vAlign w:val="center"/>
                </w:tcPr>
                <w:p w14:paraId="38C8497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30</w:t>
                  </w:r>
                </w:p>
              </w:tc>
              <w:tc>
                <w:tcPr>
                  <w:tcW w:w="0" w:type="auto"/>
                  <w:tcBorders>
                    <w:tl2br w:val="nil"/>
                    <w:tr2bl w:val="nil"/>
                  </w:tcBorders>
                  <w:noWrap w:val="0"/>
                  <w:vAlign w:val="center"/>
                </w:tcPr>
                <w:p w14:paraId="0253761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边梁</w:t>
                  </w:r>
                </w:p>
              </w:tc>
              <w:tc>
                <w:tcPr>
                  <w:tcW w:w="0" w:type="auto"/>
                  <w:tcBorders>
                    <w:tl2br w:val="nil"/>
                    <w:tr2bl w:val="nil"/>
                  </w:tcBorders>
                  <w:noWrap w:val="0"/>
                  <w:vAlign w:val="center"/>
                </w:tcPr>
                <w:p w14:paraId="5BF08A4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983</w:t>
                  </w:r>
                </w:p>
              </w:tc>
              <w:tc>
                <w:tcPr>
                  <w:tcW w:w="0" w:type="auto"/>
                  <w:tcBorders>
                    <w:tl2br w:val="nil"/>
                    <w:tr2bl w:val="nil"/>
                  </w:tcBorders>
                  <w:noWrap w:val="0"/>
                  <w:vAlign w:val="center"/>
                </w:tcPr>
                <w:p w14:paraId="3E653F7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1751</w:t>
                  </w:r>
                </w:p>
              </w:tc>
            </w:tr>
            <w:tr w14:paraId="2379E9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0" w:type="auto"/>
                  <w:vMerge w:val="continue"/>
                  <w:tcBorders>
                    <w:tl2br w:val="nil"/>
                    <w:tr2bl w:val="nil"/>
                  </w:tcBorders>
                  <w:noWrap w:val="0"/>
                  <w:vAlign w:val="center"/>
                </w:tcPr>
                <w:p w14:paraId="6D675E4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p>
              </w:tc>
              <w:tc>
                <w:tcPr>
                  <w:tcW w:w="0" w:type="auto"/>
                  <w:tcBorders>
                    <w:tl2br w:val="nil"/>
                    <w:tr2bl w:val="nil"/>
                  </w:tcBorders>
                  <w:noWrap w:val="0"/>
                  <w:vAlign w:val="center"/>
                </w:tcPr>
                <w:p w14:paraId="552D79B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中梁</w:t>
                  </w:r>
                </w:p>
              </w:tc>
              <w:tc>
                <w:tcPr>
                  <w:tcW w:w="0" w:type="auto"/>
                  <w:tcBorders>
                    <w:tl2br w:val="nil"/>
                    <w:tr2bl w:val="nil"/>
                  </w:tcBorders>
                  <w:noWrap w:val="0"/>
                  <w:vAlign w:val="center"/>
                </w:tcPr>
                <w:p w14:paraId="2D6E87D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867</w:t>
                  </w:r>
                </w:p>
              </w:tc>
              <w:tc>
                <w:tcPr>
                  <w:tcW w:w="0" w:type="auto"/>
                  <w:tcBorders>
                    <w:tl2br w:val="nil"/>
                    <w:tr2bl w:val="nil"/>
                  </w:tcBorders>
                  <w:noWrap w:val="0"/>
                  <w:vAlign w:val="center"/>
                </w:tcPr>
                <w:p w14:paraId="400C9BD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1585</w:t>
                  </w:r>
                </w:p>
              </w:tc>
            </w:tr>
          </w:tbl>
          <w:p w14:paraId="32CA11E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⑥耐久性设计</w:t>
            </w:r>
          </w:p>
          <w:p w14:paraId="635CA4E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上部结构混凝土强度为C50，混凝土配合比、最大氯离子计最大碱含量应满足耐久性要求。</w:t>
            </w:r>
          </w:p>
          <w:p w14:paraId="710AA56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对于有抗冻要求的混凝土结构，应提出抗冻等级要求。抗冻混凝土中应掺入适量引气剂，其性能指标应符合《混凝土外加剂》（GB8076-2008）的规定。</w:t>
            </w:r>
          </w:p>
          <w:p w14:paraId="56A7288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为保证主梁钢筋保护层厚度满足设计要求，在钢筋保护层厚度范围内设置与主梁结构相同标号的混凝土垫块，水平面垫块间距不大于40cm，垫块数不少于6个/m</w:t>
            </w:r>
            <w:r>
              <w:rPr>
                <w:rFonts w:hint="eastAsia" w:ascii="Times New Roman" w:hAnsi="Times New Roman" w:eastAsia="宋体" w:cs="Times New Roman"/>
                <w:caps w:val="0"/>
                <w:smallCaps w:val="0"/>
                <w:color w:val="auto"/>
                <w:spacing w:val="0"/>
                <w:w w:val="100"/>
                <w:kern w:val="2"/>
                <w:position w:val="0"/>
                <w:sz w:val="24"/>
                <w:szCs w:val="24"/>
                <w:highlight w:val="none"/>
                <w:vertAlign w:val="superscript"/>
                <w:lang w:val="en-US" w:eastAsia="zh-CN"/>
              </w:rPr>
              <w:t>2</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，竖向面垫块间距不大于50cm，垫块数不少于4个/m</w:t>
            </w:r>
            <w:r>
              <w:rPr>
                <w:rFonts w:hint="eastAsia" w:ascii="Times New Roman" w:hAnsi="Times New Roman" w:eastAsia="宋体" w:cs="Times New Roman"/>
                <w:caps w:val="0"/>
                <w:smallCaps w:val="0"/>
                <w:color w:val="auto"/>
                <w:spacing w:val="0"/>
                <w:w w:val="100"/>
                <w:kern w:val="2"/>
                <w:position w:val="0"/>
                <w:sz w:val="24"/>
                <w:szCs w:val="24"/>
                <w:highlight w:val="none"/>
                <w:vertAlign w:val="superscript"/>
                <w:lang w:val="en-US" w:eastAsia="zh-CN"/>
              </w:rPr>
              <w:t>2</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，对于任何短边尺寸超过70cm的面，其任一边上垫块数目不能小于3个。</w:t>
            </w:r>
          </w:p>
          <w:p w14:paraId="7F4E188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⑦桥面横坡由预制梁顶横坡和支座垫石高度变化共同调节而形成。盖梁（台帽）纵横桥向保持水平，纵坡通过梁底楔形块进行调整。</w:t>
            </w:r>
          </w:p>
          <w:p w14:paraId="7AE98B4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⑧为了增加主梁施工安装稳定性，避免支座受恒载作用产生剪切变形，应使支座保持水平。</w:t>
            </w:r>
          </w:p>
          <w:p w14:paraId="410D906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2" w:firstLineChars="200"/>
              <w:jc w:val="left"/>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t>5.2下部结构</w:t>
            </w:r>
          </w:p>
          <w:p w14:paraId="7D72CF3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①墩、台盖梁按照《公路钢筋混凝土及预应力混凝土桥涵设计规范》（JTG 3362-2018）中规定简化计算模型，活载分配系数采用杠杆法计算。</w:t>
            </w:r>
          </w:p>
          <w:p w14:paraId="4617F89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②考虑支座与柱、桩的抗推刚度，采用其联合抗推刚度计算纵向水平力和径向力在各个墩顶的分配。</w:t>
            </w:r>
          </w:p>
          <w:p w14:paraId="1DF6DE2E">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③墩帽在横桥向设有防止落梁的防震挡块，挡块与板之间设5cm的缝隙，缝隙间垫2cm厚的橡胶块。</w:t>
            </w:r>
          </w:p>
          <w:p w14:paraId="526A62F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④车辆荷载换算成等代均布土层厚度，计算其引起的土侧压力。台后主动土压力按库伦理论计算，并考虑土与台背的摩擦作用，台前的被动土压力不予考虑。台内回填土内摩擦角φ=30°,容重γ=18KN/m3。</w:t>
            </w:r>
          </w:p>
          <w:p w14:paraId="2DBB74B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⑤桩的内力按“m法”计算。</w:t>
            </w:r>
          </w:p>
          <w:p w14:paraId="230CB4E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⑥桥头搭板的长度采用8m。</w:t>
            </w:r>
          </w:p>
          <w:p w14:paraId="002AEC5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⑦桩基础按摩擦桩设计时，桩底沉渣厚度：桩径D≤1.5m时，沉渣厚度≤20cm。</w:t>
            </w:r>
          </w:p>
          <w:p w14:paraId="12C5C9D6">
            <w:pPr>
              <w:pStyle w:val="46"/>
              <w:keepNext w:val="0"/>
              <w:keepLines w:val="0"/>
              <w:pageBreakBefore w:val="0"/>
              <w:widowControl w:val="0"/>
              <w:kinsoku/>
              <w:wordWrap/>
              <w:overflowPunct/>
              <w:topLinePunct w:val="0"/>
              <w:bidi w:val="0"/>
              <w:snapToGrid/>
              <w:spacing w:beforeAutospacing="0" w:afterAutospacing="0" w:line="360" w:lineRule="auto"/>
              <w:ind w:right="0"/>
              <w:jc w:val="both"/>
              <w:textAlignment w:val="auto"/>
              <w:rPr>
                <w:rFonts w:hint="eastAsia" w:ascii="Times New Roman" w:hAnsi="Times New Roman" w:eastAsia="宋体" w:cs="Times New Roman"/>
                <w:b/>
                <w:bCs w:val="0"/>
                <w:caps w:val="0"/>
                <w:smallCaps w:val="0"/>
                <w:color w:val="auto"/>
                <w:spacing w:val="0"/>
                <w:w w:val="100"/>
                <w:kern w:val="2"/>
                <w:position w:val="0"/>
                <w:sz w:val="24"/>
                <w:szCs w:val="24"/>
                <w:highlight w:val="none"/>
                <w:lang w:val="en-US" w:eastAsia="zh-CN" w:bidi="ar-SA"/>
              </w:rPr>
            </w:pPr>
            <w:r>
              <w:rPr>
                <w:rFonts w:hint="eastAsia" w:ascii="Times New Roman" w:hAnsi="Times New Roman" w:eastAsia="宋体" w:cs="Times New Roman"/>
                <w:b/>
                <w:bCs w:val="0"/>
                <w:caps w:val="0"/>
                <w:smallCaps w:val="0"/>
                <w:color w:val="auto"/>
                <w:spacing w:val="0"/>
                <w:w w:val="100"/>
                <w:kern w:val="2"/>
                <w:position w:val="0"/>
                <w:sz w:val="24"/>
                <w:szCs w:val="24"/>
                <w:highlight w:val="none"/>
                <w:lang w:val="en-US" w:eastAsia="zh-CN" w:bidi="ar-SA"/>
              </w:rPr>
              <w:drawing>
                <wp:inline distT="0" distB="0" distL="114300" distR="114300">
                  <wp:extent cx="5009515" cy="5759450"/>
                  <wp:effectExtent l="0" t="0" r="635" b="12700"/>
                  <wp:docPr id="1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1"/>
                          <pic:cNvPicPr>
                            <a:picLocks noChangeAspect="1"/>
                          </pic:cNvPicPr>
                        </pic:nvPicPr>
                        <pic:blipFill>
                          <a:blip r:embed="rId18"/>
                          <a:stretch>
                            <a:fillRect/>
                          </a:stretch>
                        </pic:blipFill>
                        <pic:spPr>
                          <a:xfrm>
                            <a:off x="0" y="0"/>
                            <a:ext cx="5009515" cy="5759450"/>
                          </a:xfrm>
                          <a:prstGeom prst="rect">
                            <a:avLst/>
                          </a:prstGeom>
                          <a:noFill/>
                          <a:ln>
                            <a:noFill/>
                          </a:ln>
                        </pic:spPr>
                      </pic:pic>
                    </a:graphicData>
                  </a:graphic>
                </wp:inline>
              </w:drawing>
            </w:r>
            <w:r>
              <w:rPr>
                <w:rFonts w:hint="eastAsia" w:ascii="Times New Roman" w:hAnsi="Times New Roman" w:eastAsia="宋体" w:cs="Times New Roman"/>
                <w:b/>
                <w:bCs w:val="0"/>
                <w:caps w:val="0"/>
                <w:smallCaps w:val="0"/>
                <w:color w:val="auto"/>
                <w:spacing w:val="0"/>
                <w:w w:val="100"/>
                <w:kern w:val="2"/>
                <w:position w:val="0"/>
                <w:sz w:val="24"/>
                <w:szCs w:val="24"/>
                <w:highlight w:val="none"/>
                <w:lang w:val="en-US" w:eastAsia="zh-CN" w:bidi="ar-SA"/>
              </w:rPr>
              <w:t>6主要施工机械设备</w:t>
            </w:r>
          </w:p>
          <w:p w14:paraId="23D6C900">
            <w:pPr>
              <w:pStyle w:val="46"/>
              <w:keepNext w:val="0"/>
              <w:keepLines w:val="0"/>
              <w:pageBreakBefore w:val="0"/>
              <w:widowControl w:val="0"/>
              <w:kinsoku/>
              <w:wordWrap/>
              <w:overflowPunct/>
              <w:topLinePunct w:val="0"/>
              <w:bidi w:val="0"/>
              <w:snapToGrid/>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b/>
                <w:bCs/>
                <w:caps w:val="0"/>
                <w:smallCaps w:val="0"/>
                <w:snapToGrid/>
                <w:color w:val="auto"/>
                <w:spacing w:val="0"/>
                <w:w w:val="100"/>
                <w:kern w:val="2"/>
                <w:position w:val="0"/>
                <w:sz w:val="21"/>
                <w:szCs w:val="16"/>
                <w:highlight w:val="none"/>
                <w:lang w:val="en-US" w:eastAsia="zh-CN" w:bidi="ar-SA"/>
              </w:rPr>
            </w:pPr>
            <w:r>
              <w:rPr>
                <w:rFonts w:hint="eastAsia" w:ascii="Times New Roman" w:hAnsi="Times New Roman" w:eastAsia="宋体" w:cs="Times New Roman"/>
                <w:b w:val="0"/>
                <w:bCs/>
                <w:caps w:val="0"/>
                <w:smallCaps w:val="0"/>
                <w:color w:val="auto"/>
                <w:spacing w:val="0"/>
                <w:w w:val="100"/>
                <w:kern w:val="2"/>
                <w:position w:val="0"/>
                <w:sz w:val="24"/>
                <w:szCs w:val="24"/>
                <w:highlight w:val="none"/>
                <w:lang w:val="en-US" w:eastAsia="zh-CN" w:bidi="ar-SA"/>
              </w:rPr>
              <w:t>施工期主要生产设施及机械等设备清单：</w:t>
            </w:r>
          </w:p>
          <w:p w14:paraId="19B2D7E7">
            <w:pPr>
              <w:pStyle w:val="76"/>
              <w:spacing w:line="240" w:lineRule="auto"/>
              <w:rPr>
                <w:rFonts w:hint="default" w:ascii="Times New Roman" w:hAnsi="Times New Roman" w:eastAsia="宋体" w:cs="Times New Roman"/>
                <w:b/>
                <w:bCs/>
                <w:caps w:val="0"/>
                <w:smallCaps w:val="0"/>
                <w:snapToGrid/>
                <w:color w:val="auto"/>
                <w:spacing w:val="0"/>
                <w:w w:val="100"/>
                <w:kern w:val="2"/>
                <w:position w:val="0"/>
                <w:sz w:val="21"/>
                <w:szCs w:val="16"/>
                <w:highlight w:val="none"/>
                <w:lang w:val="en-US" w:eastAsia="zh-CN" w:bidi="ar-SA"/>
              </w:rPr>
            </w:pPr>
            <w:r>
              <w:rPr>
                <w:rFonts w:hint="default" w:ascii="Times New Roman" w:hAnsi="Times New Roman" w:eastAsia="宋体" w:cs="Times New Roman"/>
                <w:b/>
                <w:bCs/>
                <w:caps w:val="0"/>
                <w:smallCaps w:val="0"/>
                <w:snapToGrid/>
                <w:color w:val="auto"/>
                <w:spacing w:val="0"/>
                <w:w w:val="100"/>
                <w:kern w:val="2"/>
                <w:position w:val="0"/>
                <w:sz w:val="21"/>
                <w:szCs w:val="16"/>
                <w:highlight w:val="none"/>
                <w:lang w:val="en-US" w:eastAsia="zh-CN" w:bidi="ar-SA"/>
              </w:rPr>
              <w:t>表</w:t>
            </w:r>
            <w:r>
              <w:rPr>
                <w:rFonts w:hint="eastAsia" w:ascii="Times New Roman" w:hAnsi="Times New Roman" w:eastAsia="宋体" w:cs="Times New Roman"/>
                <w:b/>
                <w:bCs/>
                <w:caps w:val="0"/>
                <w:smallCaps w:val="0"/>
                <w:snapToGrid/>
                <w:color w:val="auto"/>
                <w:spacing w:val="0"/>
                <w:w w:val="100"/>
                <w:kern w:val="2"/>
                <w:position w:val="0"/>
                <w:sz w:val="21"/>
                <w:szCs w:val="16"/>
                <w:highlight w:val="none"/>
                <w:lang w:val="en-US" w:eastAsia="zh-CN" w:bidi="ar-SA"/>
              </w:rPr>
              <w:t>2-</w:t>
            </w:r>
            <w:r>
              <w:rPr>
                <w:rFonts w:hint="eastAsia" w:ascii="Times New Roman" w:cs="Times New Roman"/>
                <w:b/>
                <w:bCs/>
                <w:caps w:val="0"/>
                <w:smallCaps w:val="0"/>
                <w:snapToGrid/>
                <w:color w:val="auto"/>
                <w:spacing w:val="0"/>
                <w:w w:val="100"/>
                <w:kern w:val="2"/>
                <w:position w:val="0"/>
                <w:sz w:val="21"/>
                <w:szCs w:val="16"/>
                <w:highlight w:val="none"/>
                <w:lang w:val="en-US" w:eastAsia="zh-CN" w:bidi="ar-SA"/>
              </w:rPr>
              <w:t>2</w:t>
            </w:r>
            <w:r>
              <w:rPr>
                <w:rFonts w:hint="default" w:ascii="Times New Roman" w:hAnsi="Times New Roman" w:eastAsia="宋体" w:cs="Times New Roman"/>
                <w:b/>
                <w:bCs/>
                <w:caps w:val="0"/>
                <w:smallCaps w:val="0"/>
                <w:snapToGrid/>
                <w:color w:val="auto"/>
                <w:spacing w:val="0"/>
                <w:w w:val="100"/>
                <w:kern w:val="2"/>
                <w:position w:val="0"/>
                <w:sz w:val="21"/>
                <w:szCs w:val="16"/>
                <w:highlight w:val="none"/>
                <w:lang w:val="en-US" w:eastAsia="zh-CN" w:bidi="ar-SA"/>
              </w:rPr>
              <w:t xml:space="preserve">    </w:t>
            </w:r>
            <w:r>
              <w:rPr>
                <w:rFonts w:hint="eastAsia" w:ascii="Times New Roman" w:hAnsi="Times New Roman" w:eastAsia="宋体" w:cs="Times New Roman"/>
                <w:b/>
                <w:bCs/>
                <w:caps w:val="0"/>
                <w:smallCaps w:val="0"/>
                <w:snapToGrid/>
                <w:color w:val="auto"/>
                <w:spacing w:val="0"/>
                <w:w w:val="100"/>
                <w:kern w:val="2"/>
                <w:position w:val="0"/>
                <w:sz w:val="21"/>
                <w:szCs w:val="16"/>
                <w:highlight w:val="none"/>
                <w:lang w:val="en-US" w:eastAsia="zh-CN" w:bidi="ar-SA"/>
              </w:rPr>
              <w:t>施工期</w:t>
            </w:r>
            <w:r>
              <w:rPr>
                <w:rFonts w:hint="default" w:ascii="Times New Roman" w:hAnsi="Times New Roman" w:eastAsia="宋体" w:cs="Times New Roman"/>
                <w:b/>
                <w:bCs/>
                <w:caps w:val="0"/>
                <w:smallCaps w:val="0"/>
                <w:snapToGrid/>
                <w:color w:val="auto"/>
                <w:spacing w:val="0"/>
                <w:w w:val="100"/>
                <w:kern w:val="2"/>
                <w:position w:val="0"/>
                <w:sz w:val="21"/>
                <w:szCs w:val="16"/>
                <w:highlight w:val="none"/>
                <w:lang w:val="en-US" w:eastAsia="zh-CN" w:bidi="ar-SA"/>
              </w:rPr>
              <w:t>主要生产</w:t>
            </w:r>
            <w:r>
              <w:rPr>
                <w:rFonts w:hint="eastAsia" w:ascii="Times New Roman" w:hAnsi="Times New Roman" w:eastAsia="宋体" w:cs="Times New Roman"/>
                <w:b/>
                <w:bCs/>
                <w:caps w:val="0"/>
                <w:smallCaps w:val="0"/>
                <w:snapToGrid/>
                <w:color w:val="auto"/>
                <w:spacing w:val="0"/>
                <w:w w:val="100"/>
                <w:kern w:val="2"/>
                <w:position w:val="0"/>
                <w:sz w:val="21"/>
                <w:szCs w:val="16"/>
                <w:highlight w:val="none"/>
                <w:lang w:val="en-US" w:eastAsia="zh-CN" w:bidi="ar-SA"/>
              </w:rPr>
              <w:t>设施及机械</w:t>
            </w:r>
            <w:r>
              <w:rPr>
                <w:rFonts w:hint="default" w:ascii="Times New Roman" w:hAnsi="Times New Roman" w:eastAsia="宋体" w:cs="Times New Roman"/>
                <w:b/>
                <w:bCs/>
                <w:caps w:val="0"/>
                <w:smallCaps w:val="0"/>
                <w:snapToGrid/>
                <w:color w:val="auto"/>
                <w:spacing w:val="0"/>
                <w:w w:val="100"/>
                <w:kern w:val="2"/>
                <w:position w:val="0"/>
                <w:sz w:val="21"/>
                <w:szCs w:val="16"/>
                <w:highlight w:val="none"/>
                <w:lang w:val="en-US" w:eastAsia="zh-CN" w:bidi="ar-SA"/>
              </w:rPr>
              <w:t>设备一览表</w:t>
            </w:r>
          </w:p>
          <w:tbl>
            <w:tblPr>
              <w:tblStyle w:val="30"/>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668"/>
              <w:gridCol w:w="4026"/>
              <w:gridCol w:w="718"/>
              <w:gridCol w:w="718"/>
            </w:tblGrid>
            <w:tr w14:paraId="386315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2A080FE1">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序号</w:t>
                  </w:r>
                </w:p>
              </w:tc>
              <w:tc>
                <w:tcPr>
                  <w:tcW w:w="1062" w:type="pct"/>
                  <w:tcBorders>
                    <w:tl2br w:val="nil"/>
                    <w:tr2bl w:val="nil"/>
                  </w:tcBorders>
                  <w:noWrap w:val="0"/>
                  <w:vAlign w:val="center"/>
                </w:tcPr>
                <w:p w14:paraId="08D3FA9C">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设备名称</w:t>
                  </w:r>
                </w:p>
              </w:tc>
              <w:tc>
                <w:tcPr>
                  <w:tcW w:w="2563" w:type="pct"/>
                  <w:tcBorders>
                    <w:tl2br w:val="nil"/>
                    <w:tr2bl w:val="nil"/>
                  </w:tcBorders>
                  <w:noWrap w:val="0"/>
                  <w:vAlign w:val="center"/>
                </w:tcPr>
                <w:p w14:paraId="0211ED79">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型号规格</w:t>
                  </w:r>
                </w:p>
              </w:tc>
              <w:tc>
                <w:tcPr>
                  <w:tcW w:w="457" w:type="pct"/>
                  <w:tcBorders>
                    <w:tl2br w:val="nil"/>
                    <w:tr2bl w:val="nil"/>
                  </w:tcBorders>
                  <w:noWrap w:val="0"/>
                  <w:vAlign w:val="center"/>
                </w:tcPr>
                <w:p w14:paraId="7F15EB06">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单位</w:t>
                  </w:r>
                </w:p>
              </w:tc>
              <w:tc>
                <w:tcPr>
                  <w:tcW w:w="457" w:type="pct"/>
                  <w:tcBorders>
                    <w:tl2br w:val="nil"/>
                    <w:tr2bl w:val="nil"/>
                  </w:tcBorders>
                  <w:noWrap w:val="0"/>
                  <w:vAlign w:val="center"/>
                </w:tcPr>
                <w:p w14:paraId="0582768C">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数量</w:t>
                  </w:r>
                </w:p>
              </w:tc>
            </w:tr>
            <w:tr w14:paraId="6A6F41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1CE20CF0">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1</w:t>
                  </w:r>
                </w:p>
              </w:tc>
              <w:tc>
                <w:tcPr>
                  <w:tcW w:w="1062" w:type="pct"/>
                  <w:tcBorders>
                    <w:tl2br w:val="nil"/>
                    <w:tr2bl w:val="nil"/>
                  </w:tcBorders>
                  <w:noWrap w:val="0"/>
                  <w:vAlign w:val="center"/>
                </w:tcPr>
                <w:p w14:paraId="557A6312">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发电机</w:t>
                  </w:r>
                </w:p>
              </w:tc>
              <w:tc>
                <w:tcPr>
                  <w:tcW w:w="2563" w:type="pct"/>
                  <w:tcBorders>
                    <w:tl2br w:val="nil"/>
                    <w:tr2bl w:val="nil"/>
                  </w:tcBorders>
                  <w:noWrap w:val="0"/>
                  <w:vAlign w:val="center"/>
                </w:tcPr>
                <w:p w14:paraId="262EECEE">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额定容量：</w:t>
                  </w:r>
                  <w:r>
                    <w:rPr>
                      <w:rFonts w:hint="default" w:ascii="Times New Roman" w:hAnsi="Times New Roman" w:eastAsia="宋体" w:cs="Times New Roman"/>
                      <w:b w:val="0"/>
                      <w:bCs w:val="0"/>
                      <w:color w:val="auto"/>
                      <w:sz w:val="21"/>
                      <w:szCs w:val="21"/>
                      <w:highlight w:val="none"/>
                      <w:vertAlign w:val="baseline"/>
                      <w:lang w:val="en-US" w:eastAsia="zh-CN"/>
                    </w:rPr>
                    <w:t>80kW</w:t>
                  </w:r>
                  <w:r>
                    <w:rPr>
                      <w:rFonts w:hint="eastAsia" w:ascii="Times New Roman" w:hAnsi="Times New Roman" w:eastAsia="宋体" w:cs="Times New Roman"/>
                      <w:b w:val="0"/>
                      <w:bCs w:val="0"/>
                      <w:color w:val="auto"/>
                      <w:sz w:val="21"/>
                      <w:szCs w:val="21"/>
                      <w:highlight w:val="none"/>
                      <w:vertAlign w:val="baseline"/>
                      <w:lang w:val="en-US" w:eastAsia="zh-CN"/>
                    </w:rPr>
                    <w:t>，额定电压：</w:t>
                  </w:r>
                  <w:r>
                    <w:rPr>
                      <w:rFonts w:hint="default" w:ascii="Times New Roman" w:hAnsi="Times New Roman" w:eastAsia="宋体" w:cs="Times New Roman"/>
                      <w:b w:val="0"/>
                      <w:bCs w:val="0"/>
                      <w:color w:val="auto"/>
                      <w:sz w:val="21"/>
                      <w:szCs w:val="21"/>
                      <w:highlight w:val="none"/>
                      <w:vertAlign w:val="baseline"/>
                      <w:lang w:val="en-US" w:eastAsia="zh-CN"/>
                    </w:rPr>
                    <w:t>0.4kV</w:t>
                  </w:r>
                </w:p>
              </w:tc>
              <w:tc>
                <w:tcPr>
                  <w:tcW w:w="457" w:type="pct"/>
                  <w:tcBorders>
                    <w:tl2br w:val="nil"/>
                    <w:tr2bl w:val="nil"/>
                  </w:tcBorders>
                  <w:noWrap w:val="0"/>
                  <w:vAlign w:val="center"/>
                </w:tcPr>
                <w:p w14:paraId="19BFDD74">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台</w:t>
                  </w:r>
                </w:p>
              </w:tc>
              <w:tc>
                <w:tcPr>
                  <w:tcW w:w="457" w:type="pct"/>
                  <w:tcBorders>
                    <w:tl2br w:val="nil"/>
                    <w:tr2bl w:val="nil"/>
                  </w:tcBorders>
                  <w:noWrap w:val="0"/>
                  <w:vAlign w:val="center"/>
                </w:tcPr>
                <w:p w14:paraId="259E69A5">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r w14:paraId="36B6F0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4C9B5C1D">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c>
                <w:tcPr>
                  <w:tcW w:w="1062" w:type="pct"/>
                  <w:tcBorders>
                    <w:tl2br w:val="nil"/>
                    <w:tr2bl w:val="nil"/>
                  </w:tcBorders>
                  <w:noWrap w:val="0"/>
                  <w:vAlign w:val="center"/>
                </w:tcPr>
                <w:p w14:paraId="3A5A17F1">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挖掘机</w:t>
                  </w:r>
                </w:p>
              </w:tc>
              <w:tc>
                <w:tcPr>
                  <w:tcW w:w="2563" w:type="pct"/>
                  <w:tcBorders>
                    <w:tl2br w:val="nil"/>
                    <w:tr2bl w:val="nil"/>
                  </w:tcBorders>
                  <w:noWrap w:val="0"/>
                  <w:vAlign w:val="center"/>
                </w:tcPr>
                <w:p w14:paraId="682C729C">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014DE8A6">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7C0A7761">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2</w:t>
                  </w:r>
                </w:p>
              </w:tc>
            </w:tr>
            <w:tr w14:paraId="0FF9EA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374CB29F">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w:t>
                  </w:r>
                </w:p>
              </w:tc>
              <w:tc>
                <w:tcPr>
                  <w:tcW w:w="1062" w:type="pct"/>
                  <w:tcBorders>
                    <w:tl2br w:val="nil"/>
                    <w:tr2bl w:val="nil"/>
                  </w:tcBorders>
                  <w:noWrap w:val="0"/>
                  <w:vAlign w:val="center"/>
                </w:tcPr>
                <w:p w14:paraId="77F1AB68">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推土机</w:t>
                  </w:r>
                </w:p>
              </w:tc>
              <w:tc>
                <w:tcPr>
                  <w:tcW w:w="2563" w:type="pct"/>
                  <w:tcBorders>
                    <w:tl2br w:val="nil"/>
                    <w:tr2bl w:val="nil"/>
                  </w:tcBorders>
                  <w:noWrap w:val="0"/>
                  <w:vAlign w:val="center"/>
                </w:tcPr>
                <w:p w14:paraId="13F04BD4">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4824AA32">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349DC231">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r w14:paraId="00ACBA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6A3B3460">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w:t>
                  </w:r>
                </w:p>
              </w:tc>
              <w:tc>
                <w:tcPr>
                  <w:tcW w:w="1062" w:type="pct"/>
                  <w:tcBorders>
                    <w:tl2br w:val="nil"/>
                    <w:tr2bl w:val="nil"/>
                  </w:tcBorders>
                  <w:noWrap w:val="0"/>
                  <w:vAlign w:val="center"/>
                </w:tcPr>
                <w:p w14:paraId="23699506">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装载机</w:t>
                  </w:r>
                </w:p>
              </w:tc>
              <w:tc>
                <w:tcPr>
                  <w:tcW w:w="2563" w:type="pct"/>
                  <w:tcBorders>
                    <w:tl2br w:val="nil"/>
                    <w:tr2bl w:val="nil"/>
                  </w:tcBorders>
                  <w:noWrap w:val="0"/>
                  <w:vAlign w:val="center"/>
                </w:tcPr>
                <w:p w14:paraId="656BC984">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13167FF2">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62FAD974">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r w14:paraId="5E3C59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37137B79">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w:t>
                  </w:r>
                </w:p>
              </w:tc>
              <w:tc>
                <w:tcPr>
                  <w:tcW w:w="1062" w:type="pct"/>
                  <w:tcBorders>
                    <w:tl2br w:val="nil"/>
                    <w:tr2bl w:val="nil"/>
                  </w:tcBorders>
                  <w:noWrap w:val="0"/>
                  <w:vAlign w:val="center"/>
                </w:tcPr>
                <w:p w14:paraId="44812189">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振动压路机</w:t>
                  </w:r>
                </w:p>
              </w:tc>
              <w:tc>
                <w:tcPr>
                  <w:tcW w:w="2563" w:type="pct"/>
                  <w:tcBorders>
                    <w:tl2br w:val="nil"/>
                    <w:tr2bl w:val="nil"/>
                  </w:tcBorders>
                  <w:noWrap w:val="0"/>
                  <w:vAlign w:val="center"/>
                </w:tcPr>
                <w:p w14:paraId="030315EF">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27FF2764">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109F48CD">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r w14:paraId="2FEECD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4DA7AA24">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6</w:t>
                  </w:r>
                </w:p>
              </w:tc>
              <w:tc>
                <w:tcPr>
                  <w:tcW w:w="1062" w:type="pct"/>
                  <w:tcBorders>
                    <w:tl2br w:val="nil"/>
                    <w:tr2bl w:val="nil"/>
                  </w:tcBorders>
                  <w:noWrap w:val="0"/>
                  <w:vAlign w:val="center"/>
                </w:tcPr>
                <w:p w14:paraId="681F344D">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平地机</w:t>
                  </w:r>
                </w:p>
              </w:tc>
              <w:tc>
                <w:tcPr>
                  <w:tcW w:w="2563" w:type="pct"/>
                  <w:tcBorders>
                    <w:tl2br w:val="nil"/>
                    <w:tr2bl w:val="nil"/>
                  </w:tcBorders>
                  <w:noWrap w:val="0"/>
                  <w:vAlign w:val="center"/>
                </w:tcPr>
                <w:p w14:paraId="16FE12CD">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0BF150BA">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077C56A1">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r w14:paraId="3A3502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2F5640B2">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w:t>
                  </w:r>
                </w:p>
              </w:tc>
              <w:tc>
                <w:tcPr>
                  <w:tcW w:w="1062" w:type="pct"/>
                  <w:tcBorders>
                    <w:tl2br w:val="nil"/>
                    <w:tr2bl w:val="nil"/>
                  </w:tcBorders>
                  <w:noWrap w:val="0"/>
                  <w:vAlign w:val="center"/>
                </w:tcPr>
                <w:p w14:paraId="526067C3">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沥青摊铺机</w:t>
                  </w:r>
                </w:p>
              </w:tc>
              <w:tc>
                <w:tcPr>
                  <w:tcW w:w="2563" w:type="pct"/>
                  <w:tcBorders>
                    <w:tl2br w:val="nil"/>
                    <w:tr2bl w:val="nil"/>
                  </w:tcBorders>
                  <w:noWrap w:val="0"/>
                  <w:vAlign w:val="center"/>
                </w:tcPr>
                <w:p w14:paraId="6C17A9F7">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323D9B4C">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3FC00B59">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r w14:paraId="5BB291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37A2C9CE">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w:t>
                  </w:r>
                </w:p>
              </w:tc>
              <w:tc>
                <w:tcPr>
                  <w:tcW w:w="1062" w:type="pct"/>
                  <w:tcBorders>
                    <w:tl2br w:val="nil"/>
                    <w:tr2bl w:val="nil"/>
                  </w:tcBorders>
                  <w:noWrap w:val="0"/>
                  <w:vAlign w:val="center"/>
                </w:tcPr>
                <w:p w14:paraId="4FCDDA1D">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双钢轮压路机</w:t>
                  </w:r>
                </w:p>
              </w:tc>
              <w:tc>
                <w:tcPr>
                  <w:tcW w:w="2563" w:type="pct"/>
                  <w:tcBorders>
                    <w:tl2br w:val="nil"/>
                    <w:tr2bl w:val="nil"/>
                  </w:tcBorders>
                  <w:noWrap w:val="0"/>
                  <w:vAlign w:val="center"/>
                </w:tcPr>
                <w:p w14:paraId="231DAF74">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790AC758">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0D0F16CF">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r w14:paraId="18ED88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52702E62">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9</w:t>
                  </w:r>
                </w:p>
              </w:tc>
              <w:tc>
                <w:tcPr>
                  <w:tcW w:w="1062" w:type="pct"/>
                  <w:tcBorders>
                    <w:tl2br w:val="nil"/>
                    <w:tr2bl w:val="nil"/>
                  </w:tcBorders>
                  <w:noWrap w:val="0"/>
                  <w:vAlign w:val="center"/>
                </w:tcPr>
                <w:p w14:paraId="0E03E775">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胶轮压路机</w:t>
                  </w:r>
                </w:p>
              </w:tc>
              <w:tc>
                <w:tcPr>
                  <w:tcW w:w="2563" w:type="pct"/>
                  <w:tcBorders>
                    <w:tl2br w:val="nil"/>
                    <w:tr2bl w:val="nil"/>
                  </w:tcBorders>
                  <w:noWrap w:val="0"/>
                  <w:vAlign w:val="center"/>
                </w:tcPr>
                <w:p w14:paraId="1A203B68">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5434201C">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41E74B8D">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r w14:paraId="512403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3A62A09A">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w:t>
                  </w:r>
                </w:p>
              </w:tc>
              <w:tc>
                <w:tcPr>
                  <w:tcW w:w="1062" w:type="pct"/>
                  <w:tcBorders>
                    <w:tl2br w:val="nil"/>
                    <w:tr2bl w:val="nil"/>
                  </w:tcBorders>
                  <w:noWrap w:val="0"/>
                  <w:vAlign w:val="center"/>
                </w:tcPr>
                <w:p w14:paraId="398906CE">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自卸汽车</w:t>
                  </w:r>
                </w:p>
              </w:tc>
              <w:tc>
                <w:tcPr>
                  <w:tcW w:w="2563" w:type="pct"/>
                  <w:tcBorders>
                    <w:tl2br w:val="nil"/>
                    <w:tr2bl w:val="nil"/>
                  </w:tcBorders>
                  <w:noWrap w:val="0"/>
                  <w:vAlign w:val="center"/>
                </w:tcPr>
                <w:p w14:paraId="71D8C44F">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6F4238D2">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0BFB78B0">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r w14:paraId="274C0B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Borders>
                    <w:tl2br w:val="nil"/>
                    <w:tr2bl w:val="nil"/>
                  </w:tcBorders>
                  <w:noWrap w:val="0"/>
                  <w:vAlign w:val="center"/>
                </w:tcPr>
                <w:p w14:paraId="5110B6AF">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11</w:t>
                  </w:r>
                </w:p>
              </w:tc>
              <w:tc>
                <w:tcPr>
                  <w:tcW w:w="1062" w:type="pct"/>
                  <w:tcBorders>
                    <w:tl2br w:val="nil"/>
                    <w:tr2bl w:val="nil"/>
                  </w:tcBorders>
                  <w:noWrap w:val="0"/>
                  <w:vAlign w:val="center"/>
                </w:tcPr>
                <w:p w14:paraId="176CD252">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洒水车</w:t>
                  </w:r>
                </w:p>
              </w:tc>
              <w:tc>
                <w:tcPr>
                  <w:tcW w:w="2563" w:type="pct"/>
                  <w:tcBorders>
                    <w:tl2br w:val="nil"/>
                    <w:tr2bl w:val="nil"/>
                  </w:tcBorders>
                  <w:noWrap w:val="0"/>
                  <w:vAlign w:val="center"/>
                </w:tcPr>
                <w:p w14:paraId="6F585B37">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457" w:type="pct"/>
                  <w:tcBorders>
                    <w:tl2br w:val="nil"/>
                    <w:tr2bl w:val="nil"/>
                  </w:tcBorders>
                  <w:noWrap w:val="0"/>
                  <w:vAlign w:val="center"/>
                </w:tcPr>
                <w:p w14:paraId="5CE2832A">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辆</w:t>
                  </w:r>
                </w:p>
              </w:tc>
              <w:tc>
                <w:tcPr>
                  <w:tcW w:w="457" w:type="pct"/>
                  <w:tcBorders>
                    <w:tl2br w:val="nil"/>
                    <w:tr2bl w:val="nil"/>
                  </w:tcBorders>
                  <w:noWrap w:val="0"/>
                  <w:vAlign w:val="center"/>
                </w:tcPr>
                <w:p w14:paraId="79E1B764">
                  <w:pPr>
                    <w:keepNext w:val="0"/>
                    <w:keepLines w:val="0"/>
                    <w:pageBreakBefore w:val="0"/>
                    <w:widowControl/>
                    <w:numPr>
                      <w:ilvl w:val="0"/>
                      <w:numId w:val="0"/>
                    </w:numPr>
                    <w:kinsoku/>
                    <w:wordWrap w:val="0"/>
                    <w:overflowPunct/>
                    <w:topLinePunct/>
                    <w:autoSpaceDE/>
                    <w:autoSpaceDN/>
                    <w:bidi w:val="0"/>
                    <w:adjustRightInd w:val="0"/>
                    <w:snapToGrid w:val="0"/>
                    <w:spacing w:line="240" w:lineRule="auto"/>
                    <w:ind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r>
          </w:tbl>
          <w:p w14:paraId="453D5E2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jc w:val="left"/>
              <w:textAlignment w:val="auto"/>
              <w:rPr>
                <w:rFonts w:hint="default" w:ascii="Times New Roman" w:hAnsi="Times New Roman" w:cs="Times New Roman"/>
                <w:caps w:val="0"/>
                <w:smallCaps w:val="0"/>
                <w:color w:val="auto"/>
                <w:spacing w:val="0"/>
                <w:w w:val="100"/>
                <w:kern w:val="2"/>
                <w:position w:val="0"/>
                <w:highlight w:val="none"/>
              </w:rPr>
            </w:pPr>
            <w:r>
              <w:rPr>
                <w:rFonts w:hint="eastAsia" w:ascii="Times New Roman" w:hAnsi="Times New Roman" w:cs="Times New Roman"/>
                <w:b/>
                <w:bCs/>
                <w:caps w:val="0"/>
                <w:smallCaps w:val="0"/>
                <w:color w:val="auto"/>
                <w:spacing w:val="0"/>
                <w:w w:val="100"/>
                <w:kern w:val="2"/>
                <w:position w:val="0"/>
                <w:sz w:val="24"/>
                <w:szCs w:val="24"/>
                <w:highlight w:val="none"/>
                <w:lang w:val="en-US" w:eastAsia="zh-CN" w:bidi="ar"/>
              </w:rPr>
              <w:t>7</w:t>
            </w: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t>工程交通量预测</w:t>
            </w:r>
          </w:p>
          <w:p w14:paraId="601BE2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根据交通运输部2010年4月颁布的《公路建设项目可行性研究编制办法》规定，预测年限为通车年到项目建成后20年。预测基年为</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2027</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年，预测特征年定为</w:t>
            </w:r>
            <w:r>
              <w:rPr>
                <w:rFonts w:hint="eastAsia" w:ascii="Times New Roman" w:hAnsi="Times New Roman" w:cs="Times New Roman"/>
                <w:caps w:val="0"/>
                <w:smallCaps w:val="0"/>
                <w:color w:val="auto"/>
                <w:spacing w:val="0"/>
                <w:w w:val="100"/>
                <w:kern w:val="2"/>
                <w:position w:val="0"/>
                <w:sz w:val="24"/>
                <w:szCs w:val="24"/>
                <w:highlight w:val="none"/>
                <w:lang w:val="en-US" w:eastAsia="zh-CN"/>
              </w:rPr>
              <w:t>2027</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年、</w:t>
            </w:r>
            <w:r>
              <w:rPr>
                <w:rFonts w:hint="eastAsia" w:ascii="Times New Roman" w:hAnsi="Times New Roman" w:cs="Times New Roman"/>
                <w:caps w:val="0"/>
                <w:smallCaps w:val="0"/>
                <w:color w:val="auto"/>
                <w:spacing w:val="0"/>
                <w:w w:val="100"/>
                <w:kern w:val="2"/>
                <w:position w:val="0"/>
                <w:sz w:val="24"/>
                <w:szCs w:val="24"/>
                <w:highlight w:val="none"/>
                <w:lang w:val="en-US" w:eastAsia="zh-CN"/>
              </w:rPr>
              <w:t>2033</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年和</w:t>
            </w:r>
            <w:r>
              <w:rPr>
                <w:rFonts w:hint="eastAsia" w:ascii="Times New Roman" w:hAnsi="Times New Roman" w:cs="Times New Roman"/>
                <w:caps w:val="0"/>
                <w:smallCaps w:val="0"/>
                <w:color w:val="auto"/>
                <w:spacing w:val="0"/>
                <w:w w:val="100"/>
                <w:kern w:val="2"/>
                <w:position w:val="0"/>
                <w:sz w:val="24"/>
                <w:szCs w:val="24"/>
                <w:highlight w:val="none"/>
                <w:lang w:val="en-US" w:eastAsia="zh-CN"/>
              </w:rPr>
              <w:t>2041</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年。</w:t>
            </w:r>
          </w:p>
          <w:p w14:paraId="0CD852CB">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color w:val="auto"/>
                <w:sz w:val="24"/>
                <w:highlight w:val="none"/>
                <w:lang w:val="en-US" w:eastAsia="zh-CN"/>
              </w:rPr>
              <w:t>根据预测项目设计资料交通量及车型比例预测结果见下表。</w:t>
            </w:r>
          </w:p>
          <w:p w14:paraId="71D18DE0">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2" w:firstLineChars="200"/>
              <w:jc w:val="both"/>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lang w:val="en-US" w:eastAsia="zh-CN"/>
              </w:rPr>
              <w:t xml:space="preserve">                   未来特征年交通量预测结果（pcu/d）</w:t>
            </w:r>
          </w:p>
          <w:tbl>
            <w:tblPr>
              <w:tblStyle w:val="30"/>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29"/>
              <w:gridCol w:w="2697"/>
              <w:gridCol w:w="2522"/>
            </w:tblGrid>
            <w:tr w14:paraId="6949C3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6" w:type="dxa"/>
                  <w:tcBorders>
                    <w:tl2br w:val="nil"/>
                    <w:tr2bl w:val="nil"/>
                  </w:tcBorders>
                  <w:noWrap w:val="0"/>
                  <w:vAlign w:val="center"/>
                </w:tcPr>
                <w:p w14:paraId="215070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年</w:t>
                  </w:r>
                </w:p>
              </w:tc>
              <w:tc>
                <w:tcPr>
                  <w:tcW w:w="2693" w:type="dxa"/>
                  <w:tcBorders>
                    <w:tl2br w:val="nil"/>
                    <w:tr2bl w:val="nil"/>
                  </w:tcBorders>
                  <w:noWrap w:val="0"/>
                  <w:vAlign w:val="center"/>
                </w:tcPr>
                <w:p w14:paraId="555E8F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2033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年</w:t>
                  </w:r>
                </w:p>
              </w:tc>
              <w:tc>
                <w:tcPr>
                  <w:tcW w:w="2518" w:type="dxa"/>
                  <w:tcBorders>
                    <w:tl2br w:val="nil"/>
                    <w:tr2bl w:val="nil"/>
                  </w:tcBorders>
                  <w:noWrap w:val="0"/>
                  <w:vAlign w:val="center"/>
                </w:tcPr>
                <w:p w14:paraId="1D37FA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2041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年</w:t>
                  </w:r>
                </w:p>
              </w:tc>
            </w:tr>
            <w:tr w14:paraId="7C8EBE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6" w:type="dxa"/>
                  <w:tcBorders>
                    <w:tl2br w:val="nil"/>
                    <w:tr2bl w:val="nil"/>
                  </w:tcBorders>
                  <w:noWrap w:val="0"/>
                  <w:vAlign w:val="center"/>
                </w:tcPr>
                <w:p w14:paraId="2DA25E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w:t>
                  </w: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36</w:t>
                  </w:r>
                </w:p>
              </w:tc>
              <w:tc>
                <w:tcPr>
                  <w:tcW w:w="2693" w:type="dxa"/>
                  <w:tcBorders>
                    <w:tl2br w:val="nil"/>
                    <w:tr2bl w:val="nil"/>
                  </w:tcBorders>
                  <w:noWrap w:val="0"/>
                  <w:vAlign w:val="center"/>
                </w:tcPr>
                <w:p w14:paraId="5CBA10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2516</w:t>
                  </w:r>
                </w:p>
              </w:tc>
              <w:tc>
                <w:tcPr>
                  <w:tcW w:w="2518" w:type="dxa"/>
                  <w:tcBorders>
                    <w:tl2br w:val="nil"/>
                    <w:tr2bl w:val="nil"/>
                  </w:tcBorders>
                  <w:noWrap w:val="0"/>
                  <w:vAlign w:val="center"/>
                </w:tcPr>
                <w:p w14:paraId="03EDCB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3168</w:t>
                  </w:r>
                </w:p>
              </w:tc>
            </w:tr>
          </w:tbl>
          <w:p w14:paraId="70366AB9">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根据设计单位提供资料，结合项目区域交通特点、道路昼夜车流量比例及本项目实际情况，各车型比见下表。</w:t>
            </w:r>
          </w:p>
          <w:p w14:paraId="27C58012">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2" w:firstLineChars="200"/>
              <w:jc w:val="both"/>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 xml:space="preserve">4   </w:t>
            </w:r>
            <w:r>
              <w:rPr>
                <w:rFonts w:hint="eastAsia" w:ascii="Times New Roman" w:hAnsi="Times New Roman" w:eastAsia="宋体" w:cs="Times New Roman"/>
                <w:b/>
                <w:bCs/>
                <w:color w:val="auto"/>
                <w:sz w:val="21"/>
                <w:szCs w:val="21"/>
                <w:highlight w:val="none"/>
                <w:lang w:val="en-US" w:eastAsia="zh-CN"/>
              </w:rPr>
              <w:t xml:space="preserve">          </w:t>
            </w:r>
            <w:r>
              <w:rPr>
                <w:rFonts w:hint="eastAsia"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 xml:space="preserve">     道路车型比</w:t>
            </w:r>
            <w:r>
              <w:rPr>
                <w:rFonts w:hint="eastAsia" w:ascii="Times New Roman" w:hAnsi="Times New Roman" w:cs="Times New Roman"/>
                <w:highlight w:val="none"/>
                <w:lang w:val="en-US" w:eastAsia="zh-CN"/>
              </w:rPr>
              <w:t xml:space="preserve">          </w:t>
            </w:r>
            <w:r>
              <w:rPr>
                <w:rFonts w:hint="eastAsia" w:cs="Times New Roman"/>
                <w:highlight w:val="none"/>
                <w:lang w:val="en-US" w:eastAsia="zh-CN"/>
              </w:rPr>
              <w:t xml:space="preserve"> </w:t>
            </w:r>
            <w:r>
              <w:rPr>
                <w:rFonts w:hint="eastAsia" w:ascii="Times New Roman" w:hAnsi="Times New Roman" w:cs="Times New Roman"/>
                <w:highlight w:val="none"/>
                <w:lang w:val="en-US" w:eastAsia="zh-CN"/>
              </w:rPr>
              <w:t xml:space="preserve">                 </w:t>
            </w:r>
            <w:r>
              <w:rPr>
                <w:rFonts w:hint="eastAsia" w:ascii="Times New Roman" w:hAnsi="Times New Roman" w:cs="Times New Roman"/>
                <w:b/>
                <w:bCs/>
                <w:highlight w:val="none"/>
                <w:lang w:eastAsia="zh-CN"/>
              </w:rPr>
              <w:t>（</w:t>
            </w:r>
            <w:r>
              <w:rPr>
                <w:rFonts w:hint="eastAsia" w:ascii="Times New Roman" w:hAnsi="Times New Roman" w:cs="Times New Roman"/>
                <w:b/>
                <w:bCs/>
                <w:highlight w:val="none"/>
                <w:lang w:val="en-US" w:eastAsia="zh-CN"/>
              </w:rPr>
              <w:t>%</w:t>
            </w:r>
            <w:r>
              <w:rPr>
                <w:rFonts w:hint="eastAsia" w:ascii="Times New Roman" w:hAnsi="Times New Roman" w:cs="Times New Roman"/>
                <w:b/>
                <w:bCs/>
                <w:highlight w:val="none"/>
                <w:lang w:eastAsia="zh-CN"/>
              </w:rPr>
              <w:t>）</w:t>
            </w:r>
          </w:p>
          <w:tbl>
            <w:tblPr>
              <w:tblStyle w:val="30"/>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1963"/>
              <w:gridCol w:w="1963"/>
              <w:gridCol w:w="1963"/>
            </w:tblGrid>
            <w:tr w14:paraId="3DF190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47" w:hRule="atLeast"/>
              </w:trPr>
              <w:tc>
                <w:tcPr>
                  <w:tcW w:w="1250" w:type="pct"/>
                  <w:tcBorders>
                    <w:tl2br w:val="nil"/>
                    <w:tr2bl w:val="nil"/>
                  </w:tcBorders>
                  <w:noWrap w:val="0"/>
                  <w:vAlign w:val="top"/>
                </w:tcPr>
                <w:p w14:paraId="5217680A">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车型</w:t>
                  </w:r>
                </w:p>
              </w:tc>
              <w:tc>
                <w:tcPr>
                  <w:tcW w:w="1250" w:type="pct"/>
                  <w:tcBorders>
                    <w:tl2br w:val="nil"/>
                    <w:tr2bl w:val="nil"/>
                  </w:tcBorders>
                  <w:noWrap w:val="0"/>
                  <w:vAlign w:val="top"/>
                </w:tcPr>
                <w:p w14:paraId="258984CD">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小型车</w:t>
                  </w:r>
                </w:p>
              </w:tc>
              <w:tc>
                <w:tcPr>
                  <w:tcW w:w="1250" w:type="pct"/>
                  <w:tcBorders>
                    <w:tl2br w:val="nil"/>
                    <w:tr2bl w:val="nil"/>
                  </w:tcBorders>
                  <w:noWrap w:val="0"/>
                  <w:vAlign w:val="top"/>
                </w:tcPr>
                <w:p w14:paraId="0D8D8FB1">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中型车</w:t>
                  </w:r>
                </w:p>
              </w:tc>
              <w:tc>
                <w:tcPr>
                  <w:tcW w:w="1250" w:type="pct"/>
                  <w:tcBorders>
                    <w:tl2br w:val="nil"/>
                    <w:tr2bl w:val="nil"/>
                  </w:tcBorders>
                  <w:noWrap w:val="0"/>
                  <w:vAlign w:val="top"/>
                </w:tcPr>
                <w:p w14:paraId="06EB1F55">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大型车</w:t>
                  </w:r>
                </w:p>
              </w:tc>
            </w:tr>
            <w:tr w14:paraId="36F6C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noWrap w:val="0"/>
                  <w:vAlign w:val="top"/>
                </w:tcPr>
                <w:p w14:paraId="420717B8">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车型比</w:t>
                  </w:r>
                </w:p>
              </w:tc>
              <w:tc>
                <w:tcPr>
                  <w:tcW w:w="1250" w:type="pct"/>
                  <w:tcBorders>
                    <w:tl2br w:val="nil"/>
                    <w:tr2bl w:val="nil"/>
                  </w:tcBorders>
                  <w:noWrap w:val="0"/>
                  <w:vAlign w:val="top"/>
                </w:tcPr>
                <w:p w14:paraId="5FBA5965">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82</w:t>
                  </w:r>
                </w:p>
              </w:tc>
              <w:tc>
                <w:tcPr>
                  <w:tcW w:w="1250" w:type="pct"/>
                  <w:tcBorders>
                    <w:tl2br w:val="nil"/>
                    <w:tr2bl w:val="nil"/>
                  </w:tcBorders>
                  <w:noWrap w:val="0"/>
                  <w:vAlign w:val="top"/>
                </w:tcPr>
                <w:p w14:paraId="42171316">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14</w:t>
                  </w:r>
                </w:p>
              </w:tc>
              <w:tc>
                <w:tcPr>
                  <w:tcW w:w="1250" w:type="pct"/>
                  <w:tcBorders>
                    <w:tl2br w:val="nil"/>
                    <w:tr2bl w:val="nil"/>
                  </w:tcBorders>
                  <w:noWrap w:val="0"/>
                  <w:vAlign w:val="top"/>
                </w:tcPr>
                <w:p w14:paraId="346FD88F">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w:t>
                  </w:r>
                </w:p>
              </w:tc>
            </w:tr>
            <w:tr w14:paraId="5B201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noWrap w:val="0"/>
                  <w:vAlign w:val="top"/>
                </w:tcPr>
                <w:p w14:paraId="58FA94D0">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昼夜比</w:t>
                  </w:r>
                </w:p>
              </w:tc>
              <w:tc>
                <w:tcPr>
                  <w:tcW w:w="3750" w:type="pct"/>
                  <w:gridSpan w:val="3"/>
                  <w:tcBorders>
                    <w:tl2br w:val="nil"/>
                    <w:tr2bl w:val="nil"/>
                  </w:tcBorders>
                  <w:noWrap w:val="0"/>
                  <w:vAlign w:val="top"/>
                </w:tcPr>
                <w:p w14:paraId="4F13EBAE">
                  <w:pPr>
                    <w:shd w:val="clear" w:color="auto" w:fill="auto"/>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9:1</w:t>
                  </w:r>
                </w:p>
              </w:tc>
            </w:tr>
          </w:tbl>
          <w:p w14:paraId="6AAE72D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jc w:val="left"/>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
              </w:rPr>
              <w:t>8</w:t>
            </w: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t>工程占地</w:t>
            </w: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
              </w:rPr>
              <w:t>情况</w:t>
            </w:r>
          </w:p>
          <w:p w14:paraId="1E4348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en-US" w:eastAsia="zh-CN"/>
              </w:rPr>
              <w:t>（1）永久占地</w:t>
            </w:r>
          </w:p>
          <w:p w14:paraId="1AEFA0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本项目拆除原有老桥后在原址新建，无新增用地，用地性质为公路用地。</w:t>
            </w:r>
          </w:p>
          <w:p w14:paraId="34F37F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（2）临时用地</w:t>
            </w:r>
          </w:p>
          <w:p w14:paraId="1BB4E7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aps w:val="0"/>
                <w:smallCaps w:val="0"/>
                <w:color w:val="auto"/>
                <w:spacing w:val="0"/>
                <w:w w:val="100"/>
                <w:kern w:val="2"/>
                <w:position w:val="0"/>
                <w:highlight w:val="none"/>
                <w:lang w:val="en-US" w:eastAsia="zh-CN"/>
              </w:rPr>
            </w:pPr>
            <w:r>
              <w:rPr>
                <w:rFonts w:hint="eastAsia" w:ascii="Times New Roman" w:hAnsi="Times New Roman" w:eastAsia="宋体" w:cs="Times New Roman"/>
                <w:color w:val="auto"/>
                <w:sz w:val="24"/>
                <w:highlight w:val="none"/>
                <w:lang w:val="en-US" w:eastAsia="zh-CN"/>
              </w:rPr>
              <w:t>本项目临时用地主要为施工便道，占地面积为1507.8m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，主要占用河流水面、林地、草地、村庄用地。</w:t>
            </w:r>
          </w:p>
        </w:tc>
      </w:tr>
      <w:tr w14:paraId="511D1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5" w:type="pct"/>
            <w:tcBorders>
              <w:tl2br w:val="nil"/>
              <w:tr2bl w:val="nil"/>
            </w:tcBorders>
            <w:noWrap w:val="0"/>
            <w:vAlign w:val="center"/>
          </w:tcPr>
          <w:p w14:paraId="51CC7D6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jc w:val="center"/>
              <w:textAlignment w:val="auto"/>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caps w:val="0"/>
                <w:smallCaps w:val="0"/>
                <w:color w:val="auto"/>
                <w:spacing w:val="0"/>
                <w:w w:val="100"/>
                <w:kern w:val="2"/>
                <w:position w:val="0"/>
                <w:sz w:val="24"/>
                <w:szCs w:val="24"/>
                <w:highlight w:val="none"/>
              </w:rPr>
              <w:t>总平面及现场布置</w:t>
            </w:r>
          </w:p>
        </w:tc>
        <w:tc>
          <w:tcPr>
            <w:tcW w:w="4734" w:type="pct"/>
            <w:tcBorders>
              <w:tl2br w:val="nil"/>
              <w:tr2bl w:val="nil"/>
            </w:tcBorders>
            <w:noWrap w:val="0"/>
            <w:vAlign w:val="center"/>
          </w:tcPr>
          <w:p w14:paraId="7F60D00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jc w:val="left"/>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t>1</w:t>
            </w: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
              </w:rPr>
              <w:t>平面</w:t>
            </w: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t>布置</w:t>
            </w:r>
          </w:p>
          <w:p w14:paraId="4790539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cs="Times New Roman"/>
                <w:b w:val="0"/>
                <w:bCs w:val="0"/>
                <w:caps w:val="0"/>
                <w:smallCaps w:val="0"/>
                <w:color w:val="auto"/>
                <w:spacing w:val="0"/>
                <w:w w:val="100"/>
                <w:kern w:val="2"/>
                <w:position w:val="0"/>
                <w:highlight w:val="none"/>
                <w:lang w:val="en-US"/>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SA"/>
              </w:rPr>
              <w:t>本项目位于新疆巴州G216线K1336+358处，本次项目对G216线K1337+892.0处阳霞大桥进行老桥拆除后重建。</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项目</w:t>
            </w: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平面</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布置图详见</w:t>
            </w: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附图</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w:t>
            </w:r>
          </w:p>
          <w:p w14:paraId="3349EC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t>2</w:t>
            </w:r>
            <w:r>
              <w:rPr>
                <w:rFonts w:hint="default" w:ascii="Times New Roman" w:hAnsi="Times New Roman" w:cs="Times New Roman"/>
                <w:b/>
                <w:bCs/>
                <w:caps w:val="0"/>
                <w:smallCaps w:val="0"/>
                <w:color w:val="auto"/>
                <w:spacing w:val="0"/>
                <w:w w:val="100"/>
                <w:kern w:val="2"/>
                <w:position w:val="0"/>
                <w:sz w:val="24"/>
                <w:szCs w:val="24"/>
                <w:highlight w:val="none"/>
              </w:rPr>
              <w:t>施工布置</w:t>
            </w:r>
          </w:p>
          <w:p w14:paraId="5D7257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rPr>
              <w:t>本项目不设置施工临时生产区、生活区，临时租用附近村庄房屋作为施工人员生活场所，施工作业带占地为路面工程中永久占地范围内，项目主要原料外购，利用周边既有社会料场提供原料，不另设预制场、水泥搅拌站及沥青搅拌站</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w:t>
            </w:r>
          </w:p>
          <w:p w14:paraId="06CC90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t>3施工便道</w:t>
            </w:r>
          </w:p>
          <w:p w14:paraId="583CF051">
            <w:pPr>
              <w:pStyle w:val="23"/>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highlight w:val="none"/>
                <w:lang w:val="en-US" w:eastAsia="zh-CN"/>
              </w:rPr>
            </w:pPr>
            <w:r>
              <w:rPr>
                <w:rFonts w:hint="default"/>
                <w:highlight w:val="none"/>
                <w:lang w:val="en-US" w:eastAsia="zh-CN"/>
              </w:rPr>
              <w:t>本项目为危旧桥梁改造项目，考虑便道为临时性工程，便道路基高度满足施工便涵及桥下灌溉渠过水需求，尽量减少路基高度以节约投资、减少征拆。本桥施工便道全线共设置变坡点3处，最大纵坡5%，最小纵坡0.23%，满足四级公路相关规范要求。</w:t>
            </w:r>
          </w:p>
        </w:tc>
      </w:tr>
      <w:tr w14:paraId="67F85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5" w:type="pct"/>
            <w:tcBorders>
              <w:tl2br w:val="nil"/>
              <w:tr2bl w:val="nil"/>
            </w:tcBorders>
            <w:noWrap w:val="0"/>
            <w:vAlign w:val="center"/>
          </w:tcPr>
          <w:p w14:paraId="71DE5C5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jc w:val="center"/>
              <w:textAlignment w:val="auto"/>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caps w:val="0"/>
                <w:smallCaps w:val="0"/>
                <w:color w:val="auto"/>
                <w:spacing w:val="0"/>
                <w:w w:val="100"/>
                <w:kern w:val="2"/>
                <w:position w:val="0"/>
                <w:sz w:val="24"/>
                <w:szCs w:val="24"/>
                <w:highlight w:val="none"/>
              </w:rPr>
              <w:t>施工方案</w:t>
            </w:r>
          </w:p>
        </w:tc>
        <w:tc>
          <w:tcPr>
            <w:tcW w:w="4734" w:type="pct"/>
            <w:tcBorders>
              <w:tl2br w:val="nil"/>
              <w:tr2bl w:val="nil"/>
            </w:tcBorders>
            <w:noWrap w:val="0"/>
            <w:vAlign w:val="center"/>
          </w:tcPr>
          <w:p w14:paraId="383C6F1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bCs/>
                <w:color w:val="auto"/>
                <w:sz w:val="24"/>
                <w:highlight w:val="none"/>
                <w:lang w:val="en-US" w:eastAsia="zh-CN"/>
              </w:rPr>
            </w:pPr>
            <w:r>
              <w:rPr>
                <w:rFonts w:hint="eastAsia"/>
                <w:b/>
                <w:bCs/>
                <w:color w:val="auto"/>
                <w:sz w:val="24"/>
                <w:highlight w:val="none"/>
                <w:lang w:val="en-US" w:eastAsia="zh-CN"/>
              </w:rPr>
              <w:t>1、桥梁拆除方案</w:t>
            </w:r>
          </w:p>
          <w:p w14:paraId="0AE6A5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1.1拆除前准备工作</w:t>
            </w:r>
          </w:p>
          <w:p w14:paraId="54453E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（1）现场准备</w:t>
            </w:r>
          </w:p>
          <w:p w14:paraId="54998A5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①施工区域全封闭并设置安全警示标志，禁止非施工人员靠近。</w:t>
            </w:r>
          </w:p>
          <w:p w14:paraId="501E82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②封闭完成后设备进场调试，包括桥面切割平台车、汽车吊等。</w:t>
            </w:r>
          </w:p>
          <w:p w14:paraId="4A1B3C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③桥底设置防护网或防护土工布收集施工过程中产生的坠落物、混凝土碎渣等，严格防止建筑垃圾侵入河道范围。</w:t>
            </w:r>
          </w:p>
          <w:p w14:paraId="25CF6F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（2）人员组织</w:t>
            </w:r>
          </w:p>
          <w:p w14:paraId="45A5365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①所有参与拆除人员需经过安全教育培训，包括项目经理、技术负责人、施工员、安全员等。</w:t>
            </w:r>
          </w:p>
          <w:p w14:paraId="1E271B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②明确各岗位职责，建立环境保护责任体系。</w:t>
            </w:r>
          </w:p>
          <w:p w14:paraId="02CA1B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1.2拆除施工方案</w:t>
            </w:r>
          </w:p>
          <w:p w14:paraId="7C5323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（1）总体拆除原则</w:t>
            </w:r>
          </w:p>
          <w:p w14:paraId="4E131B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采用“竖向分层、横向分条、纵向分段、对称拆除、平衡受力”的原则：竖向从上至下逐层拆除；横向从桥两侧向中间拆除；纵向从桥中向桥头对称拆除。</w:t>
            </w:r>
          </w:p>
          <w:p w14:paraId="0DD499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（2）拆除顺序</w:t>
            </w:r>
          </w:p>
          <w:p w14:paraId="2A4DC4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①附属设施拆除</w:t>
            </w:r>
          </w:p>
          <w:p w14:paraId="59FEB2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优先拆除桥面防撞护栏及桥面现有的管件装置。</w:t>
            </w:r>
          </w:p>
          <w:p w14:paraId="1017C8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②桥面系统拆除</w:t>
            </w:r>
          </w:p>
          <w:p w14:paraId="5F0DA7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桥面板按跨中线划分3×6米区块，横向切割采用高硅链锯(切割转速270r/min)破碎至40cm大小，然后按对称卸载的方式逐步清除。</w:t>
            </w:r>
          </w:p>
          <w:p w14:paraId="7B6A0C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③拱上建筑拆除</w:t>
            </w:r>
          </w:p>
          <w:p w14:paraId="235C88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先拆除腹拱及立柱及拱顶侧墙，按照全桥对称及单孔对称的方式卸载拱顶侧墙及拱顶填料。</w:t>
            </w:r>
          </w:p>
          <w:p w14:paraId="2BC865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④主拱圈拆除</w:t>
            </w:r>
          </w:p>
          <w:p w14:paraId="401C21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a.拱波：采用机械配合人工方式分段拆除，注意病害部位的纵向裂缝风险。</w:t>
            </w:r>
          </w:p>
          <w:p w14:paraId="62C227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b.拱肋：按“先边肋后中肋”的顺序拆除，拆除过程中特别注意对拱肋接头部位变形。</w:t>
            </w:r>
          </w:p>
          <w:p w14:paraId="10136D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c.横向联系：最后拆除，保持结构稳定性至最后阶段。</w:t>
            </w:r>
          </w:p>
          <w:p w14:paraId="02DB25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⑤下部结构拆除</w:t>
            </w:r>
          </w:p>
          <w:p w14:paraId="5022ED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a.桥墩、桥台采用分段切割方式或机械破碎方式拆除。</w:t>
            </w:r>
          </w:p>
          <w:p w14:paraId="41913F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b.承台可采用机械破碎方式拆除。</w:t>
            </w:r>
          </w:p>
          <w:p w14:paraId="4DF7D5C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c.桩基础应拆除至现状河道地面线一下0.5m位置。</w:t>
            </w:r>
          </w:p>
          <w:p w14:paraId="170392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（3）关键部位拆除技术</w:t>
            </w:r>
          </w:p>
          <w:p w14:paraId="7CAC38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①拱肋拆除</w:t>
            </w:r>
          </w:p>
          <w:p w14:paraId="3C9A5D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采用分段切割法，每段长度控制在1.5-4m。</w:t>
            </w:r>
          </w:p>
          <w:p w14:paraId="105924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切割位置避开拱顶区域，选择在跨径的0.29～0.32倍附近。</w:t>
            </w:r>
          </w:p>
          <w:p w14:paraId="319237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使用大吨位吊车进行吊装转运。</w:t>
            </w:r>
          </w:p>
          <w:p w14:paraId="09B35A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②拱波拆除</w:t>
            </w:r>
          </w:p>
          <w:p w14:paraId="6B4330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拱波不考虑利用，尽量采用机械拆除方式。</w:t>
            </w:r>
          </w:p>
          <w:p w14:paraId="796AD1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沿拱肋纵向将拱波分割成长短不一的大块，单块长度不大于3m左右。</w:t>
            </w:r>
          </w:p>
          <w:p w14:paraId="116A42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拆除过程中应注意防止拱波整体坍塌，注意提前预判坍塌位置，防止发生安全事故。</w:t>
            </w:r>
          </w:p>
          <w:p w14:paraId="553178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③横向联系拆除</w:t>
            </w:r>
          </w:p>
          <w:p w14:paraId="210D45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最后阶段拆除横向联系，采用对称、平衡的方式逐步拆除，并监控结构变形，控制拆除节奏。</w:t>
            </w:r>
          </w:p>
          <w:p w14:paraId="45F44AE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2、箱梁安装</w:t>
            </w:r>
          </w:p>
          <w:p w14:paraId="111703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（1）箱梁施工工艺流程</w:t>
            </w:r>
          </w:p>
          <w:p w14:paraId="208176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①箱梁施工工艺流程：</w:t>
            </w:r>
          </w:p>
          <w:p w14:paraId="6BE304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1）设置好永久支座，逐孔安装箱梁。预制梁运输、起吊过程中应注意采取有效措施确保箱梁的横向稳定，架梁后及时连接桥面板钢筋及端横梁钢筋。</w:t>
            </w:r>
          </w:p>
          <w:p w14:paraId="2399CE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2）浇筑桥面板湿接缝混凝土及端横梁混凝土。混凝土浇筑顺序应从跨中向两端一次浇筑完成，不得先浇筑端横梁。</w:t>
            </w:r>
          </w:p>
          <w:p w14:paraId="6113AF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3）施工护栏。</w:t>
            </w:r>
          </w:p>
          <w:p w14:paraId="5F9755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4）设置好调平层钢筋和桥面连续钢筋，浇筑调平层混凝土形成桥面连续。</w:t>
            </w:r>
          </w:p>
          <w:p w14:paraId="0E0626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5）喷洒防水层、进行桥面铺装施工及安装伸缩缝。</w:t>
            </w:r>
          </w:p>
          <w:p w14:paraId="397541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②预制箱梁采用设吊孔穿束兜托梁底的吊装方法，吊点位置到梁端的垂直距离采用1100mm，横桥向距离悬臂根部100mm，吊装预留孔可采用PVC管，孔径根据吊索尺寸确定。捆绑钢丝绳与梁片底面、侧面等拐角接触处，必须安放护梁铁瓦或胶皮垫。</w:t>
            </w:r>
          </w:p>
          <w:p w14:paraId="3F17F4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③裸梁堆放不应超过两层，应适当遮盖，不宜曝晒曝寒。</w:t>
            </w:r>
          </w:p>
          <w:p w14:paraId="02A428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④施工单位应根据架梁方案对箱梁进行施工荷载验算，验算通过后方可施工。在采取可靠的横向临时支撑措施以确保梁体的稳定性和整体性后，裸梁跨中截面允许承受的最大施工荷载弯矩为4890kN.m；在采取有效的压力扩散措施后，每米桥面板允许最大施工荷载弯矩为支点：42kN.m，跨中：28kN.m。</w:t>
            </w:r>
          </w:p>
          <w:p w14:paraId="759072B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3、湿接缝施工</w:t>
            </w:r>
          </w:p>
          <w:p w14:paraId="122F7A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①预制梁混凝土凿毛。梁顶板要浇筑混凝土的范围内的梁板表层混凝土凿去5～10mm，在浇筑混凝土时湿润表面并座浆，以保证新老混凝土的良好结合。</w:t>
            </w:r>
          </w:p>
          <w:p w14:paraId="4DA29B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②模板安装。按施工规范要求安装底模，为严防漏浆，模板周围采用高强止浆橡胶条止浆。</w:t>
            </w:r>
          </w:p>
          <w:p w14:paraId="1F7A17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③钢筋绑扎。钢筋绑扎、安装时应准确定位，翼缘环形钢筋、端部横向连接筋必须使用钢筋定位辅助措施进行定位。</w:t>
            </w:r>
          </w:p>
          <w:p w14:paraId="6443E3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④混凝土浇筑。湿接缝混凝土应用平板振动器振捣。混凝土振捣浇筑完成后，梁顶用木抹子抹光，初凝之前再进行二次收浆并拉毛处理。</w:t>
            </w:r>
          </w:p>
          <w:p w14:paraId="2FB1B2E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4、小箱梁其他</w:t>
            </w:r>
          </w:p>
          <w:p w14:paraId="6EFE89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①所有混凝土浇筑后均需进行保湿养护。预制梁拆模时梁体混凝土芯部与表层、箱内与箱外、表层与环境温度差均不宜大于15℃，气温急剧变化时不宜拆模。预制梁拆模后应安装自动喷淋养护措施进行养护，并用土工布覆盖至梁底保持足够的湿度和温度，不能只覆盖梁顶部分，封锚混凝土浇筑后，静置1～2h，带模浇水养护，常温下一般养护时间不少于14d。现场浇筑的湿接缝、端横梁在收浆后均需覆盖和洒水养护，覆盖时不得损伤或污染混凝土表面，混凝土面有模板覆盖时,应在养护期间使模板保持湿润，常温下需保湿养护14d以上。冬季气温低于5℃时不得浇水，养护时间适当增长，并采取保温措施。</w:t>
            </w:r>
          </w:p>
          <w:p w14:paraId="7A6C42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②箱梁施工中钢筋的连接方式：如设计图纸中未说明，钢筋直径≥12mm时，钢筋连接应采用焊接，钢筋直径＜12mm时，钢筋连接可采用绑扎。绑扎及焊接长度应按照《公路桥涵施工技术规范》JTG/T 3650-2020的有关规定严格执行。</w:t>
            </w:r>
          </w:p>
          <w:p w14:paraId="2FA537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③由于梁底横向设置单支座，梁就位后需采取临时措施确保箱梁的横向稳定。</w:t>
            </w:r>
          </w:p>
          <w:p w14:paraId="64DCE8B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④所有新、老混凝土结合面均应严格凿毛处理。</w:t>
            </w:r>
          </w:p>
          <w:p w14:paraId="1B6F83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⑤浇筑调平层混凝土前应将梁顶浮浆、油污清除干净，以保证新、老混凝土良好结合。采用沥青混凝土桥面铺装时，调平层的施工技术要求应参照水泥混凝土桥面铺装相关施工技术要求执行。</w:t>
            </w:r>
          </w:p>
          <w:p w14:paraId="1264610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5、下部结构施工</w:t>
            </w:r>
          </w:p>
          <w:p w14:paraId="09D354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①施工单位进行施工放样之前，必须对各桥梁墩台控制里程桩号、桩位坐标、设计标高等数据进行复核计算，如发现计算结果与设计图中提供数据不符，应及时通知设计单位复查。</w:t>
            </w:r>
          </w:p>
          <w:p w14:paraId="49692A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②基桩应严格按基桩坐标表中的坐标精确放样。必要时搭建工作平台以保证有足够的操作空间。</w:t>
            </w:r>
          </w:p>
          <w:p w14:paraId="653BF42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③孔径与垂直度检查合格后，进行清孔作业，清孔必须满足规范要求，防止坍孔等现象的发生。</w:t>
            </w:r>
          </w:p>
          <w:p w14:paraId="08BCB4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④施工时，如发现地质情况与图纸不符时，经监理工程师和设计代表确认后，可按实际地质情况调整。</w:t>
            </w:r>
          </w:p>
          <w:p w14:paraId="1230E2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⑤一根桩的所有混凝土灌注时间要求控制在首批混凝土初凝以内。</w:t>
            </w:r>
          </w:p>
          <w:p w14:paraId="64366F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⑥无破损检验的检测管，应沿圆周三分点布置绑扎在钢筋笼上，其接头必须密封且应保证其位置垂直，以确保水泥浆不会渗入管内而影响检测质量。</w:t>
            </w:r>
          </w:p>
          <w:p w14:paraId="04F2BA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⑦在浇筑墩身时应注意固定件、支座检修平台及人梯的型钢、钢板的预埋。</w:t>
            </w:r>
          </w:p>
          <w:p w14:paraId="7F86E8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⑧盖梁同墩柱交界处应注意新老混凝土的结合，在浇筑盖梁混凝土前，应仔细清除柱头浮浆、凿毛接触面、冲刷干净。</w:t>
            </w:r>
          </w:p>
          <w:p w14:paraId="3060A1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⑨施工时应严格控制孔底沉渣厚度，桩孔底沉渣厚度按≤20cm控制。桩基的质量检测必须严格按规范要求执行。</w:t>
            </w:r>
          </w:p>
          <w:p w14:paraId="500C5D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⑩桥台台后填土不得用大型机械推土筑高和填压，应采用小型压实机械严格按照分层压实的原则进行压实。桥台台背填料宜采用碎石土（碎石含量不小于50%），并须分层夯实，夯实度达96％以上，施工时要严加控制，以免通车后出现沉陷。</w:t>
            </w:r>
          </w:p>
          <w:p w14:paraId="214788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lang w:val="en-US" w:eastAsia="zh-CN"/>
              </w:rPr>
              <w:t>⑪</w:t>
            </w:r>
            <w:r>
              <w:rPr>
                <w:rFonts w:hint="eastAsia"/>
                <w:color w:val="auto"/>
                <w:sz w:val="24"/>
                <w:highlight w:val="none"/>
                <w:lang w:val="en-US" w:eastAsia="zh-CN"/>
              </w:rPr>
              <w:t>墩帽混凝土浇筑应采取先悬臂后跨中，然后逐次向支点合拢的顺序。</w:t>
            </w:r>
          </w:p>
          <w:p w14:paraId="06B844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default"/>
                <w:color w:val="auto"/>
                <w:sz w:val="24"/>
                <w:highlight w:val="none"/>
                <w:lang w:val="en-US" w:eastAsia="zh-CN"/>
              </w:rPr>
              <w:t>⑫</w:t>
            </w:r>
            <w:r>
              <w:rPr>
                <w:rFonts w:hint="eastAsia"/>
                <w:color w:val="auto"/>
                <w:sz w:val="24"/>
                <w:highlight w:val="none"/>
                <w:lang w:val="en-US" w:eastAsia="zh-CN"/>
              </w:rPr>
              <w:t>浇筑桥台背墙时，应根据实际纵坡，适当调整台背的倾角。</w:t>
            </w:r>
          </w:p>
          <w:p w14:paraId="5385E4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default"/>
                <w:color w:val="auto"/>
                <w:sz w:val="24"/>
                <w:highlight w:val="none"/>
                <w:lang w:val="en-US" w:eastAsia="zh-CN"/>
              </w:rPr>
              <w:t>⑬</w:t>
            </w:r>
            <w:r>
              <w:rPr>
                <w:rFonts w:hint="eastAsia"/>
                <w:color w:val="auto"/>
                <w:sz w:val="24"/>
                <w:highlight w:val="none"/>
                <w:lang w:val="en-US" w:eastAsia="zh-CN"/>
              </w:rPr>
              <w:t>浇筑桥台耳墙、侧墙、背墙时注意相关预埋钢筋的预埋。</w:t>
            </w:r>
          </w:p>
          <w:p w14:paraId="4968AE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default"/>
                <w:color w:val="auto"/>
                <w:sz w:val="24"/>
                <w:highlight w:val="none"/>
                <w:lang w:val="en-US" w:eastAsia="zh-CN"/>
              </w:rPr>
              <w:t>⑭</w:t>
            </w:r>
            <w:r>
              <w:rPr>
                <w:rFonts w:hint="eastAsia"/>
                <w:color w:val="auto"/>
                <w:sz w:val="24"/>
                <w:highlight w:val="none"/>
                <w:lang w:val="en-US" w:eastAsia="zh-CN"/>
              </w:rPr>
              <w:t>桥址区禁止乱挖乱弃，严禁堆载。</w:t>
            </w:r>
          </w:p>
          <w:p w14:paraId="7FFA65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default"/>
                <w:color w:val="auto"/>
                <w:sz w:val="24"/>
                <w:highlight w:val="none"/>
                <w:lang w:val="en-US" w:eastAsia="zh-CN"/>
              </w:rPr>
              <w:t>⑮</w:t>
            </w:r>
            <w:r>
              <w:rPr>
                <w:rFonts w:hint="eastAsia"/>
                <w:color w:val="auto"/>
                <w:sz w:val="24"/>
                <w:highlight w:val="none"/>
                <w:lang w:val="en-US" w:eastAsia="zh-CN"/>
              </w:rPr>
              <w:t>施工前需进一步核查桥址内现有各种管线，探明其位置后再进行下部结构施工，必须采取可靠措施确保管线安全。</w:t>
            </w:r>
          </w:p>
          <w:p w14:paraId="2E1F7E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default"/>
                <w:color w:val="auto"/>
                <w:sz w:val="24"/>
                <w:highlight w:val="none"/>
                <w:lang w:val="en-US" w:eastAsia="zh-CN"/>
              </w:rPr>
              <w:t>⑯</w:t>
            </w:r>
            <w:r>
              <w:rPr>
                <w:rFonts w:hint="eastAsia"/>
                <w:color w:val="auto"/>
                <w:sz w:val="24"/>
                <w:highlight w:val="none"/>
                <w:lang w:val="en-US" w:eastAsia="zh-CN"/>
              </w:rPr>
              <w:t>桥梁下部与土体相接触表面需涂刷聚氨酯漆或环氧煤沥青材料两层,厚度不小于1.5mm。</w:t>
            </w:r>
          </w:p>
          <w:p w14:paraId="36760E1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6、路基施工</w:t>
            </w:r>
          </w:p>
          <w:p w14:paraId="3168BB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highlight w:val="none"/>
              </w:rPr>
            </w:pPr>
            <w:r>
              <w:rPr>
                <w:rFonts w:hint="eastAsia"/>
                <w:color w:val="auto"/>
                <w:sz w:val="24"/>
                <w:szCs w:val="24"/>
                <w:highlight w:val="none"/>
                <w:lang w:val="en-US" w:eastAsia="zh-CN"/>
              </w:rPr>
              <w:t>①原地表基层压实度不小于90%，路基范围内的草皮及植物根系应清除。当路堤基底有垃圾及其他非适用性材料时，应将其完全清除后，回填砾类土，并作压实处理，压实度不小于90%。</w:t>
            </w:r>
          </w:p>
          <w:p w14:paraId="0FBDEA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highlight w:val="none"/>
              </w:rPr>
            </w:pPr>
            <w:r>
              <w:rPr>
                <w:rFonts w:hint="eastAsia"/>
                <w:color w:val="auto"/>
                <w:sz w:val="24"/>
                <w:szCs w:val="24"/>
                <w:highlight w:val="none"/>
                <w:lang w:val="en-US" w:eastAsia="zh-CN"/>
              </w:rPr>
              <w:t>②路基坡脚范围以内的废方、原有路基均应按设计要求清除，并用砾类土填筑路基，监理工程师应严格要求，做好现场监督工作。</w:t>
            </w:r>
          </w:p>
          <w:p w14:paraId="6F2E59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highlight w:val="none"/>
              </w:rPr>
            </w:pPr>
            <w:r>
              <w:rPr>
                <w:rFonts w:hint="eastAsia"/>
                <w:color w:val="auto"/>
                <w:sz w:val="24"/>
                <w:szCs w:val="24"/>
                <w:highlight w:val="none"/>
                <w:lang w:val="en-US" w:eastAsia="zh-CN"/>
              </w:rPr>
              <w:t>③路基填筑前，应对填料密度、含水量、最大干密度进行检测，压实过程中应对填料的含水量严格控制，压实后应检查填料的密实度是否符合设计要求。</w:t>
            </w:r>
          </w:p>
          <w:p w14:paraId="7393EF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highlight w:val="none"/>
              </w:rPr>
            </w:pPr>
            <w:r>
              <w:rPr>
                <w:rFonts w:hint="eastAsia"/>
                <w:color w:val="auto"/>
                <w:sz w:val="24"/>
                <w:szCs w:val="24"/>
                <w:highlight w:val="none"/>
                <w:lang w:val="en-US" w:eastAsia="zh-CN"/>
              </w:rPr>
              <w:t>④为保证路基全断面压实质量，路基每侧需施工加宽30cm，边坡加宽部分应与填方主体同时施工，均匀压实。</w:t>
            </w:r>
          </w:p>
          <w:p w14:paraId="6AFD8A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highlight w:val="none"/>
              </w:rPr>
            </w:pPr>
            <w:r>
              <w:rPr>
                <w:rFonts w:hint="eastAsia"/>
                <w:color w:val="auto"/>
                <w:sz w:val="24"/>
                <w:szCs w:val="24"/>
                <w:highlight w:val="none"/>
                <w:lang w:val="en-US" w:eastAsia="zh-CN"/>
              </w:rPr>
              <w:t>⑤路基排水设施应顺直圆滑，力求做到排水顺畅，方向明确。施工时应首先做好临时排水设施，防止降水浸泡路基或施工工作面。</w:t>
            </w:r>
          </w:p>
          <w:p w14:paraId="3FE0CF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highlight w:val="none"/>
              </w:rPr>
            </w:pPr>
            <w:r>
              <w:rPr>
                <w:rFonts w:hint="eastAsia"/>
                <w:color w:val="auto"/>
                <w:sz w:val="24"/>
                <w:szCs w:val="24"/>
                <w:highlight w:val="none"/>
                <w:lang w:val="en-US" w:eastAsia="zh-CN"/>
              </w:rPr>
              <w:t>⑥路基弃方应按设计弃至指定位置，不得随意倾倒，挖除的旧路面必须按指定的掩埋方式进行处理掩埋。</w:t>
            </w:r>
          </w:p>
          <w:p w14:paraId="4595D5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highlight w:val="none"/>
              </w:rPr>
            </w:pPr>
            <w:r>
              <w:rPr>
                <w:rFonts w:hint="eastAsia"/>
                <w:color w:val="auto"/>
                <w:sz w:val="24"/>
                <w:szCs w:val="24"/>
                <w:highlight w:val="none"/>
                <w:lang w:val="en-US" w:eastAsia="zh-CN"/>
              </w:rPr>
              <w:t>⑦施工期间应做好各种临时施工的施工便道及时养护，及时洒水，避免扬尘，保护环境，减少环境污染。</w:t>
            </w:r>
          </w:p>
          <w:p w14:paraId="4AF91E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highlight w:val="none"/>
              </w:rPr>
            </w:pPr>
            <w:r>
              <w:rPr>
                <w:rFonts w:hint="eastAsia"/>
                <w:color w:val="auto"/>
                <w:sz w:val="24"/>
                <w:szCs w:val="24"/>
                <w:highlight w:val="none"/>
                <w:lang w:val="en-US" w:eastAsia="zh-CN"/>
              </w:rPr>
              <w:t>⑧施工时，应注意对地埋管线及周围环境的保护，避免在管线保护范围内及植被生长处取土。</w:t>
            </w:r>
          </w:p>
          <w:p w14:paraId="6941A39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highlight w:val="none"/>
              </w:rPr>
            </w:pPr>
            <w:r>
              <w:rPr>
                <w:rFonts w:hint="eastAsia"/>
                <w:color w:val="auto"/>
                <w:sz w:val="24"/>
                <w:szCs w:val="24"/>
                <w:highlight w:val="none"/>
                <w:lang w:val="en-US" w:eastAsia="zh-CN"/>
              </w:rPr>
              <w:t>当路基等工程与管线等交叉时，应先与相关部门取得联系，在采取相应保护措施后方可施工。</w:t>
            </w:r>
          </w:p>
          <w:p w14:paraId="3DD01E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highlight w:val="none"/>
              </w:rPr>
            </w:pPr>
            <w:r>
              <w:rPr>
                <w:rFonts w:hint="eastAsia"/>
                <w:color w:val="auto"/>
                <w:sz w:val="24"/>
                <w:szCs w:val="24"/>
                <w:highlight w:val="none"/>
                <w:lang w:val="en-US" w:eastAsia="zh-CN"/>
              </w:rPr>
              <w:t>⑨填筑路堤分段作业时，两个相邻段交接处不在同一时间填筑，则先填段应按1:1坡度分层留台阶；如两段同时施工，则应分层相互交叠衔接，其搭接长度不小于2m。</w:t>
            </w:r>
          </w:p>
          <w:p w14:paraId="425173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szCs w:val="24"/>
                <w:highlight w:val="none"/>
              </w:rPr>
            </w:pPr>
            <w:r>
              <w:rPr>
                <w:rFonts w:hint="eastAsia"/>
                <w:color w:val="auto"/>
                <w:sz w:val="24"/>
                <w:szCs w:val="24"/>
                <w:highlight w:val="none"/>
                <w:lang w:val="en-US" w:eastAsia="zh-CN"/>
              </w:rPr>
              <w:t>⑩施工时，应采取必要的措施防止施工中的染料、油、沥青、污水、废料和垃圾等有害物质对河流、水渠等水资源及植被的污染，防止扬尘、汽油等物质对环境空气的污染，把施工对环境、空气和居民生活的影响减少到法规允许的范围之内。</w:t>
            </w:r>
          </w:p>
          <w:p w14:paraId="1006F34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7、路面施工</w:t>
            </w:r>
          </w:p>
          <w:p w14:paraId="1C1793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①沥青混合料、水泥稳定砂砾混合料施工前必须进行各种混合料配合比设计及相关试验，以进一步确定混合料的配合比、含油量以及含水量，并在施工中严格控制。各种路用材料在检验合格后方可使用。</w:t>
            </w:r>
          </w:p>
          <w:p w14:paraId="4D2CB2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③路面面层均采用集中拌和、机械化运输、机械化摊铺和碾压的方法施工，施工中应严格按国家及部颁有关标准和规范办理，确保工程质量。</w:t>
            </w:r>
          </w:p>
          <w:p w14:paraId="0A0623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④水泥稳定砂砾基层施工采用集中厂拌和分层碾压的施工方法进行施工，碾压时应严格按《公路路面基层施工技术细则》规定的碾压方法进行。水泥稳定砂砾基层铺筑完成后，必须进行养生和交通管理。水泥稳定砂砾基层施工必须符合《公路路面基层施工技术细则》（JTG/T F20-2015）的规定。</w:t>
            </w:r>
          </w:p>
          <w:p w14:paraId="64B1FC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⑤天然砂砾底基层施工天然砂砾底基层按《公路路面基层施工技术细则》（JTG/T F20-2015）的规定实施。</w:t>
            </w:r>
          </w:p>
          <w:p w14:paraId="3B8EBC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eastAsia" w:cs="Times New Roman"/>
                <w:b/>
                <w:bCs/>
                <w:caps w:val="0"/>
                <w:smallCaps w:val="0"/>
                <w:color w:val="auto"/>
                <w:spacing w:val="0"/>
                <w:w w:val="100"/>
                <w:kern w:val="2"/>
                <w:position w:val="0"/>
                <w:sz w:val="24"/>
                <w:szCs w:val="24"/>
                <w:highlight w:val="none"/>
                <w:lang w:val="en-US" w:eastAsia="zh-CN"/>
              </w:rPr>
              <w:t>8</w:t>
            </w: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t>、施工便道</w:t>
            </w:r>
          </w:p>
          <w:p w14:paraId="5C64904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本项目施工便道与社会便道合并设置，采用双车道四级公路技术标准建设，便道设置与前进方向右侧，全长215.4m，采用沥青混凝土路面，路基宽7.0m，路面宽6.0m。</w:t>
            </w:r>
          </w:p>
          <w:p w14:paraId="61821A1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rPr>
              <w:t>（1）</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路线</w:t>
            </w:r>
          </w:p>
          <w:p w14:paraId="18C310A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便道平面基本平行原有老桥布设，尽量避免新增用地及拆迁。全线设置交点2处，最小转弯半径为80m，平面线形满足四级公路相关规范要求。</w:t>
            </w:r>
          </w:p>
          <w:p w14:paraId="7D3CA28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本项目为危旧桥梁改造项目，考虑便道为临时性工程，便道路基高度满足施工便涵及桥下灌溉渠过水需求，尽量减少路基高度以节约投资、减少征拆。本桥施工便道全线共设置变坡点3处，最大纵坡5%，最小纵坡0.23%，满足四级公路相关规范要求。</w:t>
            </w:r>
          </w:p>
          <w:p w14:paraId="0113AE8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rPr>
              <w:t>（2）</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路基工程</w:t>
            </w:r>
          </w:p>
          <w:p w14:paraId="5581F52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路基设计按照《公路工程技术标准》（JTG B01-2014）、《公路路基设计规范》（JTG D30-2015）有关具体规定进行设计。</w:t>
            </w:r>
          </w:p>
          <w:p w14:paraId="262D161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路基标准横断面按四级公路技术标准布设，路基宽度为7.0m，路面宽度为6.0m。</w:t>
            </w:r>
          </w:p>
          <w:p w14:paraId="628CFE3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路拱横坡采用双向坡为1.5％，土路肩横向坡度为3.0%。</w:t>
            </w:r>
          </w:p>
          <w:p w14:paraId="0AC6BE9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填方路基边坡坡率采用1:1.5，挖方路基边坡坡率1:1。</w:t>
            </w:r>
          </w:p>
          <w:p w14:paraId="14839B5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路基填料采用透水性较好的砾类土，且满足部颁规范要求；对于挖除原有老路材料（沥青面层除外）可用与便道路基填筑。压实度控制标准参考本篇桥头引道相关说明。</w:t>
            </w:r>
          </w:p>
          <w:p w14:paraId="7F6D448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本项目路基其他工程主要包括：清除表土、填前压实、挖除老路等内容。</w:t>
            </w:r>
          </w:p>
          <w:p w14:paraId="181CE8A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基施工之前，须先清除地表草皮、腐殖土、建筑垃圾、生活垃圾等非适用性材料，清表后将地基表层碾压密实，在一般土质地段压实度(重型)不应小于路表所处层位压实度标准（原有老路不进行清表处理），并将弃方弃至指定弃土场中。地基表层处理段落及清除厚度具体详见本篇《清除表土工程数量表》。</w:t>
            </w:r>
          </w:p>
          <w:p w14:paraId="002A934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清除表土厚度按20cm，填前压实沉降量按5cm计算；挖除老路面层与基层应分别挖除，水泥面层厚度按20cm，砂砾基层按照18cm，具体厚度可根据实际情况适当调整</w:t>
            </w:r>
          </w:p>
          <w:p w14:paraId="7B05749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rPr>
              <w:t>（3）</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路面工程</w:t>
            </w:r>
          </w:p>
          <w:p w14:paraId="36B82EE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考虑便道为临时性工程，同时结合环保及周边居民出行需求，便道路面结构采用以下方案：</w:t>
            </w:r>
          </w:p>
          <w:p w14:paraId="2BF05FB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上面层：4cm AC-16C中粒式沥青混凝土</w:t>
            </w:r>
          </w:p>
          <w:p w14:paraId="785AC9B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封层：热沥青同步碎石封层</w:t>
            </w:r>
          </w:p>
          <w:p w14:paraId="29A2CE6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基层：20cm级配砂砾</w:t>
            </w:r>
          </w:p>
          <w:p w14:paraId="71796E3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路面结构总厚度24cm。</w:t>
            </w:r>
          </w:p>
          <w:p w14:paraId="2ECA11F1">
            <w:pPr>
              <w:pageBreakBefore w:val="0"/>
              <w:widowControl w:val="0"/>
              <w:kinsoku/>
              <w:wordWrap/>
              <w:overflowPunct/>
              <w:topLinePunct w:val="0"/>
              <w:bidi w:val="0"/>
              <w:snapToGrid/>
              <w:spacing w:beforeAutospacing="0" w:afterAutospacing="0" w:line="36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eastAsia" w:cs="Times New Roman"/>
                <w:b/>
                <w:bCs/>
                <w:caps w:val="0"/>
                <w:smallCaps w:val="0"/>
                <w:color w:val="auto"/>
                <w:spacing w:val="0"/>
                <w:w w:val="100"/>
                <w:kern w:val="2"/>
                <w:position w:val="0"/>
                <w:sz w:val="24"/>
                <w:szCs w:val="24"/>
                <w:highlight w:val="none"/>
                <w:lang w:val="en-US" w:eastAsia="zh-CN"/>
              </w:rPr>
              <w:t>9</w:t>
            </w: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t>、</w:t>
            </w: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t>施工时序及建设周期</w:t>
            </w:r>
          </w:p>
          <w:p w14:paraId="7D928C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结合项目所在区域及周边路网规划建设现况、资金来源，计划本项目202</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年</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月开工，202</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年</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8</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月建成通车，工期为</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个月。</w:t>
            </w:r>
          </w:p>
          <w:p w14:paraId="5E886C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eastAsia="宋体"/>
                <w:highlight w:val="none"/>
                <w:lang w:val="en-US" w:eastAsia="zh-CN"/>
              </w:rPr>
            </w:pPr>
            <w:r>
              <w:rPr>
                <w:rFonts w:hint="eastAsia"/>
                <w:sz w:val="24"/>
                <w:szCs w:val="24"/>
                <w:highlight w:val="none"/>
                <w:lang w:val="en-US" w:eastAsia="zh-CN"/>
              </w:rPr>
              <w:t>阳霞艾肯河的丰水期为每年6月-8月，本项目在6月前完成下部结构施工。</w:t>
            </w:r>
          </w:p>
        </w:tc>
      </w:tr>
      <w:tr w14:paraId="229B3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5" w:type="pct"/>
            <w:tcBorders>
              <w:tl2br w:val="nil"/>
              <w:tr2bl w:val="nil"/>
            </w:tcBorders>
            <w:noWrap w:val="0"/>
            <w:vAlign w:val="center"/>
          </w:tcPr>
          <w:p w14:paraId="5262164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jc w:val="center"/>
              <w:textAlignment w:val="auto"/>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caps w:val="0"/>
                <w:smallCaps w:val="0"/>
                <w:color w:val="auto"/>
                <w:spacing w:val="0"/>
                <w:w w:val="100"/>
                <w:kern w:val="2"/>
                <w:position w:val="0"/>
                <w:sz w:val="24"/>
                <w:szCs w:val="24"/>
                <w:highlight w:val="none"/>
              </w:rPr>
              <w:t>其他</w:t>
            </w:r>
          </w:p>
        </w:tc>
        <w:tc>
          <w:tcPr>
            <w:tcW w:w="4734" w:type="pct"/>
            <w:tcBorders>
              <w:tl2br w:val="nil"/>
              <w:tr2bl w:val="nil"/>
            </w:tcBorders>
            <w:noWrap w:val="0"/>
            <w:vAlign w:val="center"/>
          </w:tcPr>
          <w:p w14:paraId="656BFD1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both"/>
              <w:textAlignment w:val="auto"/>
              <w:rPr>
                <w:rFonts w:hint="eastAsia" w:ascii="Times New Roman" w:hAnsi="Times New Roman" w:cs="Times New Roman"/>
                <w:caps w:val="0"/>
                <w:smallCaps w:val="0"/>
                <w:color w:val="auto"/>
                <w:spacing w:val="0"/>
                <w:w w:val="100"/>
                <w:kern w:val="2"/>
                <w:position w:val="0"/>
                <w:sz w:val="24"/>
                <w:szCs w:val="24"/>
                <w:highlight w:val="none"/>
                <w:lang w:val="en-US" w:eastAsia="zh-CN"/>
              </w:rPr>
            </w:pPr>
            <w:r>
              <w:rPr>
                <w:rFonts w:hint="eastAsia" w:ascii="Times New Roman" w:hAnsi="Times New Roman" w:cs="Times New Roman"/>
                <w:caps w:val="0"/>
                <w:smallCaps w:val="0"/>
                <w:color w:val="auto"/>
                <w:spacing w:val="0"/>
                <w:w w:val="100"/>
                <w:kern w:val="2"/>
                <w:position w:val="0"/>
                <w:sz w:val="24"/>
                <w:szCs w:val="24"/>
                <w:highlight w:val="none"/>
                <w:lang w:val="en-US" w:eastAsia="zh-CN"/>
              </w:rPr>
              <w:t>无</w:t>
            </w:r>
          </w:p>
          <w:p w14:paraId="42D8E2C7">
            <w:pPr>
              <w:pStyle w:val="2"/>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6A09D644">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5E739853">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789ADE5A">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23F830E8">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21BB4E01">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5317728E">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6C1C813B">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1AA4654C">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15C4DADF">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75E75AC8">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697C08E5">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34497843">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3D3A366F">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2E308414">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0176EF02">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7A33DA57">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5E0BB277">
            <w:pPr>
              <w:rPr>
                <w:rFonts w:hint="eastAsia" w:ascii="Times New Roman" w:hAnsi="Times New Roman" w:cs="Times New Roman"/>
                <w:caps w:val="0"/>
                <w:smallCaps w:val="0"/>
                <w:color w:val="auto"/>
                <w:spacing w:val="0"/>
                <w:w w:val="100"/>
                <w:kern w:val="2"/>
                <w:position w:val="0"/>
                <w:sz w:val="24"/>
                <w:szCs w:val="24"/>
                <w:highlight w:val="none"/>
                <w:lang w:val="en-US" w:eastAsia="zh-CN"/>
              </w:rPr>
            </w:pPr>
          </w:p>
          <w:p w14:paraId="59D9268E">
            <w:pPr>
              <w:pStyle w:val="2"/>
              <w:ind w:left="0" w:leftChars="0" w:firstLine="0" w:firstLineChars="0"/>
              <w:rPr>
                <w:rFonts w:hint="default" w:ascii="Times New Roman" w:hAnsi="Times New Roman" w:cs="Times New Roman"/>
                <w:caps w:val="0"/>
                <w:smallCaps w:val="0"/>
                <w:color w:val="auto"/>
                <w:spacing w:val="0"/>
                <w:w w:val="100"/>
                <w:kern w:val="2"/>
                <w:position w:val="0"/>
                <w:sz w:val="24"/>
                <w:szCs w:val="24"/>
                <w:highlight w:val="none"/>
                <w:lang w:val="en-US" w:eastAsia="zh-CN"/>
              </w:rPr>
            </w:pPr>
          </w:p>
        </w:tc>
      </w:tr>
    </w:tbl>
    <w:p w14:paraId="13F0AFE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outlineLvl w:val="0"/>
        <w:rPr>
          <w:rFonts w:hint="default" w:ascii="Times New Roman" w:hAnsi="Times New Roman" w:eastAsia="黑体" w:cs="Times New Roman"/>
          <w:caps w:val="0"/>
          <w:smallCaps w:val="0"/>
          <w:snapToGrid w:val="0"/>
          <w:color w:val="auto"/>
          <w:spacing w:val="0"/>
          <w:w w:val="100"/>
          <w:kern w:val="2"/>
          <w:position w:val="0"/>
          <w:sz w:val="30"/>
          <w:szCs w:val="30"/>
          <w:highlight w:val="none"/>
        </w:rPr>
      </w:pPr>
      <w:r>
        <w:rPr>
          <w:rFonts w:hint="default" w:ascii="Times New Roman" w:hAnsi="Times New Roman" w:eastAsia="仿宋_GB2312" w:cs="Times New Roman"/>
          <w:b/>
          <w:bCs/>
          <w:caps w:val="0"/>
          <w:smallCaps w:val="0"/>
          <w:color w:val="auto"/>
          <w:spacing w:val="0"/>
          <w:w w:val="100"/>
          <w:kern w:val="2"/>
          <w:position w:val="0"/>
          <w:highlight w:val="none"/>
        </w:rPr>
        <w:br w:type="page"/>
      </w:r>
      <w:bookmarkStart w:id="5" w:name="_Toc4319"/>
      <w:r>
        <w:rPr>
          <w:rFonts w:hint="default" w:ascii="Times New Roman" w:hAnsi="Times New Roman" w:eastAsia="黑体" w:cs="Times New Roman"/>
          <w:caps w:val="0"/>
          <w:smallCaps w:val="0"/>
          <w:snapToGrid w:val="0"/>
          <w:color w:val="auto"/>
          <w:spacing w:val="0"/>
          <w:w w:val="100"/>
          <w:kern w:val="2"/>
          <w:position w:val="0"/>
          <w:sz w:val="30"/>
          <w:szCs w:val="30"/>
          <w:highlight w:val="none"/>
        </w:rPr>
        <w:t>三、生态环境现状、保护目标及评价标准</w:t>
      </w:r>
      <w:bookmarkEnd w:id="5"/>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7959"/>
      </w:tblGrid>
      <w:tr w14:paraId="1CF33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tcBorders>
              <w:tl2br w:val="nil"/>
              <w:tr2bl w:val="nil"/>
            </w:tcBorders>
            <w:noWrap w:val="0"/>
            <w:vAlign w:val="center"/>
          </w:tcPr>
          <w:p w14:paraId="22867A9A">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caps w:val="0"/>
                <w:smallCaps w:val="0"/>
                <w:color w:val="auto"/>
                <w:spacing w:val="0"/>
                <w:w w:val="100"/>
                <w:kern w:val="2"/>
                <w:position w:val="0"/>
                <w:szCs w:val="21"/>
                <w:highlight w:val="none"/>
              </w:rPr>
            </w:pPr>
            <w:r>
              <w:rPr>
                <w:rFonts w:hint="default" w:ascii="Times New Roman" w:hAnsi="Times New Roman" w:cs="Times New Roman"/>
                <w:b/>
                <w:bCs/>
                <w:caps w:val="0"/>
                <w:smallCaps w:val="0"/>
                <w:color w:val="auto"/>
                <w:spacing w:val="0"/>
                <w:w w:val="100"/>
                <w:kern w:val="2"/>
                <w:position w:val="0"/>
                <w:sz w:val="24"/>
                <w:szCs w:val="24"/>
                <w:highlight w:val="none"/>
              </w:rPr>
              <w:t>生态环境现状</w:t>
            </w:r>
          </w:p>
        </w:tc>
        <w:tc>
          <w:tcPr>
            <w:tcW w:w="4670" w:type="pct"/>
            <w:tcBorders>
              <w:tl2br w:val="nil"/>
              <w:tr2bl w:val="nil"/>
            </w:tcBorders>
            <w:noWrap w:val="0"/>
            <w:vAlign w:val="center"/>
          </w:tcPr>
          <w:p w14:paraId="58B309F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highlight w:val="none"/>
                <w:lang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1</w:t>
            </w:r>
            <w:r>
              <w:rPr>
                <w:rFonts w:hint="default" w:ascii="Times New Roman" w:hAnsi="Times New Roman" w:eastAsia="宋体" w:cs="Times New Roman"/>
                <w:b/>
                <w:bCs/>
                <w:caps w:val="0"/>
                <w:smallCaps w:val="0"/>
                <w:color w:val="auto"/>
                <w:spacing w:val="0"/>
                <w:w w:val="100"/>
                <w:kern w:val="2"/>
                <w:position w:val="0"/>
                <w:sz w:val="24"/>
                <w:highlight w:val="none"/>
              </w:rPr>
              <w:t>生态环境</w:t>
            </w:r>
            <w:r>
              <w:rPr>
                <w:rFonts w:hint="default" w:ascii="Times New Roman" w:hAnsi="Times New Roman" w:eastAsia="宋体" w:cs="Times New Roman"/>
                <w:b/>
                <w:bCs/>
                <w:caps w:val="0"/>
                <w:smallCaps w:val="0"/>
                <w:color w:val="auto"/>
                <w:spacing w:val="0"/>
                <w:w w:val="100"/>
                <w:kern w:val="2"/>
                <w:position w:val="0"/>
                <w:sz w:val="24"/>
                <w:highlight w:val="none"/>
                <w:lang w:eastAsia="zh-CN"/>
              </w:rPr>
              <w:t>现状评价</w:t>
            </w:r>
          </w:p>
          <w:p w14:paraId="383A5C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1.1生态环境影响评价等级及范围</w:t>
            </w:r>
          </w:p>
          <w:p w14:paraId="32330E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highlight w:val="none"/>
                <w:lang w:val="en-US" w:eastAsia="zh-CN"/>
              </w:rPr>
              <w:t>根据《环境影响评价技术导则生态影响》（HJ19-2022），生态影响评价工作等级划分表如下：</w:t>
            </w:r>
          </w:p>
          <w:p w14:paraId="4695DB1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422" w:firstLineChars="200"/>
              <w:jc w:val="both"/>
              <w:textAlignment w:val="auto"/>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t>表3-1</w:t>
            </w:r>
            <w:r>
              <w:rPr>
                <w:rFonts w:hint="eastAsia" w:cs="Times New Roman"/>
                <w:b/>
                <w:bCs/>
                <w:caps w:val="0"/>
                <w:smallCaps w:val="0"/>
                <w:color w:val="auto"/>
                <w:spacing w:val="0"/>
                <w:w w:val="100"/>
                <w:kern w:val="2"/>
                <w:position w:val="0"/>
                <w:sz w:val="21"/>
                <w:szCs w:val="21"/>
                <w:highlight w:val="none"/>
                <w:lang w:val="en-US" w:eastAsia="zh-CN"/>
              </w:rPr>
              <w:t xml:space="preserve">             </w:t>
            </w:r>
            <w:r>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t>生态影响评价工作等级划分表</w:t>
            </w:r>
          </w:p>
          <w:tbl>
            <w:tblPr>
              <w:tblStyle w:val="30"/>
              <w:tblW w:w="7603" w:type="dxa"/>
              <w:tblInd w:w="-5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2846"/>
            </w:tblGrid>
            <w:tr w14:paraId="14462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28" w:type="pct"/>
                  <w:tcBorders>
                    <w:bottom w:val="single" w:color="auto" w:sz="12" w:space="0"/>
                  </w:tcBorders>
                  <w:noWrap w:val="0"/>
                  <w:vAlign w:val="center"/>
                </w:tcPr>
                <w:p w14:paraId="3CFCF5B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bCs/>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bCs/>
                      <w:caps w:val="0"/>
                      <w:smallCaps w:val="0"/>
                      <w:color w:val="auto"/>
                      <w:spacing w:val="0"/>
                      <w:w w:val="100"/>
                      <w:kern w:val="2"/>
                      <w:position w:val="0"/>
                      <w:sz w:val="21"/>
                      <w:szCs w:val="21"/>
                      <w:highlight w:val="none"/>
                      <w:vertAlign w:val="baseline"/>
                      <w:lang w:val="en-US" w:eastAsia="zh-CN"/>
                    </w:rPr>
                    <w:t>评价等级判定原则</w:t>
                  </w:r>
                </w:p>
              </w:tc>
              <w:tc>
                <w:tcPr>
                  <w:tcW w:w="1871" w:type="pct"/>
                  <w:tcBorders>
                    <w:bottom w:val="single" w:color="auto" w:sz="12" w:space="0"/>
                  </w:tcBorders>
                  <w:noWrap w:val="0"/>
                  <w:vAlign w:val="center"/>
                </w:tcPr>
                <w:p w14:paraId="432061A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bCs/>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bCs/>
                      <w:caps w:val="0"/>
                      <w:smallCaps w:val="0"/>
                      <w:color w:val="auto"/>
                      <w:spacing w:val="0"/>
                      <w:w w:val="100"/>
                      <w:kern w:val="2"/>
                      <w:position w:val="0"/>
                      <w:sz w:val="21"/>
                      <w:szCs w:val="21"/>
                      <w:highlight w:val="none"/>
                      <w:vertAlign w:val="baseline"/>
                      <w:lang w:val="en-US" w:eastAsia="zh-CN"/>
                    </w:rPr>
                    <w:t>项目情况</w:t>
                  </w:r>
                </w:p>
              </w:tc>
            </w:tr>
            <w:tr w14:paraId="4A112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128" w:type="pct"/>
                  <w:tcBorders>
                    <w:top w:val="single" w:color="auto" w:sz="12" w:space="0"/>
                    <w:tl2br w:val="nil"/>
                    <w:tr2bl w:val="nil"/>
                  </w:tcBorders>
                  <w:noWrap w:val="0"/>
                  <w:vAlign w:val="center"/>
                </w:tcPr>
                <w:p w14:paraId="7F244DF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a）涉及国家公园、自然保护区、世界自然遗产、重要生境时，评价等级为一级</w:t>
                  </w:r>
                </w:p>
              </w:tc>
              <w:tc>
                <w:tcPr>
                  <w:tcW w:w="1871" w:type="pct"/>
                  <w:tcBorders>
                    <w:top w:val="single" w:color="auto" w:sz="12" w:space="0"/>
                    <w:tl2br w:val="nil"/>
                    <w:tr2bl w:val="nil"/>
                  </w:tcBorders>
                  <w:noWrap w:val="0"/>
                  <w:vAlign w:val="center"/>
                </w:tcPr>
                <w:p w14:paraId="3C91F41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不涉及国家公园、自然保护区、世界自然遗产、重要生境</w:t>
                  </w:r>
                </w:p>
              </w:tc>
            </w:tr>
            <w:tr w14:paraId="0A0CE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3128" w:type="pct"/>
                  <w:tcBorders>
                    <w:tl2br w:val="nil"/>
                    <w:tr2bl w:val="nil"/>
                  </w:tcBorders>
                  <w:noWrap w:val="0"/>
                  <w:vAlign w:val="center"/>
                </w:tcPr>
                <w:p w14:paraId="3365D02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b）涉及自然公园时，评价等级为二级</w:t>
                  </w:r>
                </w:p>
              </w:tc>
              <w:tc>
                <w:tcPr>
                  <w:tcW w:w="1871" w:type="pct"/>
                  <w:tcBorders>
                    <w:tl2br w:val="nil"/>
                    <w:tr2bl w:val="nil"/>
                  </w:tcBorders>
                  <w:noWrap w:val="0"/>
                  <w:vAlign w:val="center"/>
                </w:tcPr>
                <w:p w14:paraId="2ED0891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不涉及自然公园</w:t>
                  </w:r>
                </w:p>
              </w:tc>
            </w:tr>
            <w:tr w14:paraId="1B5A0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28" w:type="pct"/>
                  <w:tcBorders>
                    <w:tl2br w:val="nil"/>
                    <w:tr2bl w:val="nil"/>
                  </w:tcBorders>
                  <w:noWrap w:val="0"/>
                  <w:vAlign w:val="center"/>
                </w:tcPr>
                <w:p w14:paraId="28B8B38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c）涉及生态保护红线时，评价等级不低于二级</w:t>
                  </w:r>
                </w:p>
              </w:tc>
              <w:tc>
                <w:tcPr>
                  <w:tcW w:w="1871" w:type="pct"/>
                  <w:tcBorders>
                    <w:tl2br w:val="nil"/>
                    <w:tr2bl w:val="nil"/>
                  </w:tcBorders>
                  <w:noWrap w:val="0"/>
                  <w:vAlign w:val="center"/>
                </w:tcPr>
                <w:p w14:paraId="671AC4A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不涉及生态保护红线</w:t>
                  </w:r>
                </w:p>
              </w:tc>
            </w:tr>
            <w:tr w14:paraId="0623F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28" w:type="pct"/>
                  <w:tcBorders>
                    <w:tl2br w:val="nil"/>
                    <w:tr2bl w:val="nil"/>
                  </w:tcBorders>
                  <w:noWrap w:val="0"/>
                  <w:vAlign w:val="center"/>
                </w:tcPr>
                <w:p w14:paraId="5D272C5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d）根据HJ2.3判断属于水文要素影响型且地表水评价等级不低于二级的建设项目，生态影响评价等级不低于二级</w:t>
                  </w:r>
                </w:p>
              </w:tc>
              <w:tc>
                <w:tcPr>
                  <w:tcW w:w="1871" w:type="pct"/>
                  <w:tcBorders>
                    <w:tl2br w:val="nil"/>
                    <w:tr2bl w:val="nil"/>
                  </w:tcBorders>
                  <w:noWrap w:val="0"/>
                  <w:vAlign w:val="center"/>
                </w:tcPr>
                <w:p w14:paraId="5FC5CA5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本项目不属于水文要素影响型且地表水评价等级为三级</w:t>
                  </w:r>
                </w:p>
              </w:tc>
            </w:tr>
            <w:tr w14:paraId="2CDDC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28" w:type="pct"/>
                  <w:tcBorders>
                    <w:tl2br w:val="nil"/>
                    <w:tr2bl w:val="nil"/>
                  </w:tcBorders>
                  <w:noWrap w:val="0"/>
                  <w:vAlign w:val="center"/>
                </w:tcPr>
                <w:p w14:paraId="6B4E362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e）根据HJ610、HJ964判断地下水水位或土壤影响范围内分布有天然林、公益林、湿地等生态保护目标的建设项目，生态影响评价等级不低于二级</w:t>
                  </w:r>
                </w:p>
              </w:tc>
              <w:tc>
                <w:tcPr>
                  <w:tcW w:w="1871" w:type="pct"/>
                  <w:tcBorders>
                    <w:tl2br w:val="nil"/>
                    <w:tr2bl w:val="nil"/>
                  </w:tcBorders>
                  <w:noWrap w:val="0"/>
                  <w:vAlign w:val="center"/>
                </w:tcPr>
                <w:p w14:paraId="00CB60C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不涉及天然林、公益林、湿地等生态保护目标</w:t>
                  </w:r>
                </w:p>
              </w:tc>
            </w:tr>
            <w:tr w14:paraId="6EBAE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28" w:type="pct"/>
                  <w:tcBorders>
                    <w:tl2br w:val="nil"/>
                    <w:tr2bl w:val="nil"/>
                  </w:tcBorders>
                  <w:noWrap w:val="0"/>
                  <w:vAlign w:val="center"/>
                </w:tcPr>
                <w:p w14:paraId="52A9893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f）当工程占地规模大于20km</w:t>
                  </w: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superscript"/>
                      <w:lang w:val="en-US" w:eastAsia="zh-CN"/>
                    </w:rPr>
                    <w:t>2</w:t>
                  </w: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时（包括永久和临时占用陆域和水域），评价等级不低于二级；改扩建项目的占地范围以新增占地（包括陆域和水域）确定</w:t>
                  </w:r>
                </w:p>
              </w:tc>
              <w:tc>
                <w:tcPr>
                  <w:tcW w:w="1871" w:type="pct"/>
                  <w:tcBorders>
                    <w:tl2br w:val="nil"/>
                    <w:tr2bl w:val="nil"/>
                  </w:tcBorders>
                  <w:noWrap w:val="0"/>
                  <w:vAlign w:val="center"/>
                </w:tcPr>
                <w:p w14:paraId="345D399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拟建项目占地面积为</w:t>
                  </w: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0.176</w:t>
                  </w: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hm</w:t>
                  </w: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superscript"/>
                      <w:lang w:val="en-US" w:eastAsia="zh-CN"/>
                    </w:rPr>
                    <w:t>2</w:t>
                  </w: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，小于20km</w:t>
                  </w: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superscript"/>
                      <w:lang w:val="en-US" w:eastAsia="zh-CN"/>
                    </w:rPr>
                    <w:t>2</w:t>
                  </w:r>
                </w:p>
              </w:tc>
            </w:tr>
            <w:tr w14:paraId="2C711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28" w:type="pct"/>
                  <w:tcBorders>
                    <w:tl2br w:val="nil"/>
                    <w:tr2bl w:val="nil"/>
                  </w:tcBorders>
                  <w:noWrap w:val="0"/>
                  <w:vAlign w:val="center"/>
                </w:tcPr>
                <w:p w14:paraId="670AD2F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rPr>
                    <w:t>g）除本条a）、b）、c）、d）、e）、f）以外的情况，评价等级为三级</w:t>
                  </w:r>
                </w:p>
              </w:tc>
              <w:tc>
                <w:tcPr>
                  <w:tcW w:w="1871" w:type="pct"/>
                  <w:tcBorders>
                    <w:tl2br w:val="nil"/>
                    <w:tr2bl w:val="nil"/>
                  </w:tcBorders>
                  <w:noWrap w:val="0"/>
                  <w:vAlign w:val="center"/>
                </w:tcPr>
                <w:p w14:paraId="660C0A7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rPr>
                    <w:t>评价等级确定为三级</w:t>
                  </w:r>
                </w:p>
              </w:tc>
            </w:tr>
          </w:tbl>
          <w:p w14:paraId="40688C9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根据上表对生态影响评价工作等级划分规定，本项目生态影响评价等级为三级。根据《环境影响评价技术导则生态影响》（HJ19-2022），穿越非生态敏感区时，以线路/施工便道中心线向两侧外延200m为参考评价范围，因此确定本项目评价范围为以线路/施工便道中心线向两侧外延200m的区域。</w:t>
            </w:r>
          </w:p>
          <w:p w14:paraId="58068F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1.2新疆维吾尔自治区主体功能区规划</w:t>
            </w:r>
          </w:p>
          <w:p w14:paraId="1D9C4D5E">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rPr>
              <w:t>根据《新疆维吾尔自治区主体功能区规划》，将新疆分为以下主体功能区：按开发方式，分为优化开发区域、重点开发区域、限制开发区域和禁止开发区域四类；按开发内容，分为城市化地区、农产品主产区和重点生态功能区三类；按层级，分为国家和省级两个层面。项目</w:t>
            </w:r>
            <w:r>
              <w:rPr>
                <w:rFonts w:hint="eastAsia" w:ascii="Times New Roman" w:hAnsi="Times New Roman" w:eastAsia="宋体" w:cs="Times New Roman"/>
                <w:color w:val="auto"/>
                <w:sz w:val="24"/>
                <w:highlight w:val="none"/>
                <w:lang w:val="en-US" w:eastAsia="zh-CN"/>
              </w:rPr>
              <w:t>所在区域隶属于巴州轮台县</w:t>
            </w:r>
            <w:r>
              <w:rPr>
                <w:rFonts w:hint="eastAsia" w:ascii="Times New Roman" w:hAnsi="Times New Roman" w:eastAsia="宋体" w:cs="Times New Roman"/>
                <w:color w:val="auto"/>
                <w:sz w:val="24"/>
                <w:highlight w:val="none"/>
              </w:rPr>
              <w:t>，属于新疆农产品主产区中的天山南坡主产区</w:t>
            </w:r>
            <w:r>
              <w:rPr>
                <w:rFonts w:hint="eastAsia" w:ascii="Times New Roman" w:hAnsi="Times New Roman" w:eastAsia="宋体" w:cs="Times New Roman"/>
                <w:color w:val="auto"/>
                <w:sz w:val="24"/>
                <w:highlight w:val="none"/>
                <w:lang w:eastAsia="zh-CN"/>
              </w:rPr>
              <w:t>。</w:t>
            </w:r>
          </w:p>
          <w:p w14:paraId="0035EFB3">
            <w:pPr>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项目属于</w:t>
            </w:r>
            <w:r>
              <w:rPr>
                <w:rFonts w:hint="eastAsia" w:ascii="Times New Roman" w:hAnsi="Times New Roman" w:eastAsia="宋体" w:cs="Times New Roman"/>
                <w:color w:val="auto"/>
                <w:sz w:val="24"/>
                <w:highlight w:val="none"/>
                <w:lang w:val="en-US" w:eastAsia="zh-CN"/>
              </w:rPr>
              <w:t>等级公路建设项目</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所在位置属于“国家级农产品主产区”，</w:t>
            </w:r>
            <w:r>
              <w:rPr>
                <w:rFonts w:hint="eastAsia" w:ascii="Times New Roman" w:hAnsi="Times New Roman" w:eastAsia="宋体" w:cs="Times New Roman"/>
                <w:color w:val="auto"/>
                <w:sz w:val="24"/>
                <w:highlight w:val="none"/>
              </w:rPr>
              <w:t>永久</w:t>
            </w:r>
            <w:r>
              <w:rPr>
                <w:rFonts w:ascii="Times New Roman" w:hAnsi="Times New Roman" w:eastAsia="宋体" w:cs="Times New Roman"/>
                <w:color w:val="auto"/>
                <w:sz w:val="24"/>
                <w:highlight w:val="none"/>
              </w:rPr>
              <w:t>占地面积</w:t>
            </w:r>
            <w:r>
              <w:rPr>
                <w:rFonts w:hint="eastAsia" w:ascii="Times New Roman" w:hAnsi="Times New Roman" w:eastAsia="宋体" w:cs="Times New Roman"/>
                <w:color w:val="auto"/>
                <w:sz w:val="24"/>
                <w:highlight w:val="none"/>
                <w:lang w:val="en-US" w:eastAsia="zh-CN"/>
              </w:rPr>
              <w:t>大部分均为现有交通用地</w:t>
            </w:r>
            <w:r>
              <w:rPr>
                <w:rFonts w:ascii="Times New Roman" w:hAnsi="Times New Roman" w:eastAsia="宋体" w:cs="Times New Roman"/>
                <w:color w:val="auto"/>
                <w:sz w:val="24"/>
                <w:highlight w:val="none"/>
              </w:rPr>
              <w:t>，不占用</w:t>
            </w:r>
            <w:r>
              <w:rPr>
                <w:rFonts w:hint="eastAsia" w:ascii="Times New Roman" w:hAnsi="Times New Roman" w:eastAsia="宋体" w:cs="Times New Roman"/>
                <w:color w:val="auto"/>
                <w:sz w:val="24"/>
                <w:highlight w:val="none"/>
              </w:rPr>
              <w:t>农业生产空间，工程对生态环境的影响主要体现在施工期，施工期具有临时性、短暂性特点，施工结束后，</w:t>
            </w:r>
            <w:r>
              <w:rPr>
                <w:rFonts w:hint="eastAsia" w:ascii="Times New Roman" w:hAnsi="Times New Roman" w:eastAsia="宋体" w:cs="Times New Roman"/>
                <w:color w:val="auto"/>
                <w:sz w:val="24"/>
                <w:highlight w:val="none"/>
                <w:lang w:val="en-US" w:eastAsia="zh-CN"/>
              </w:rPr>
              <w:t>道路沿线</w:t>
            </w:r>
            <w:r>
              <w:rPr>
                <w:rFonts w:hint="eastAsia" w:ascii="Times New Roman" w:hAnsi="Times New Roman" w:eastAsia="宋体" w:cs="Times New Roman"/>
                <w:color w:val="auto"/>
                <w:sz w:val="24"/>
                <w:highlight w:val="none"/>
              </w:rPr>
              <w:t>采取</w:t>
            </w:r>
            <w:r>
              <w:rPr>
                <w:rFonts w:hint="eastAsia" w:ascii="Times New Roman" w:hAnsi="Times New Roman" w:eastAsia="宋体" w:cs="Times New Roman"/>
                <w:color w:val="auto"/>
                <w:sz w:val="24"/>
                <w:highlight w:val="none"/>
                <w:lang w:val="en-US" w:eastAsia="zh-CN"/>
              </w:rPr>
              <w:t>人工种植、</w:t>
            </w:r>
            <w:r>
              <w:rPr>
                <w:rFonts w:hint="eastAsia" w:ascii="Times New Roman" w:hAnsi="Times New Roman" w:eastAsia="宋体" w:cs="Times New Roman"/>
                <w:color w:val="auto"/>
                <w:sz w:val="24"/>
                <w:highlight w:val="none"/>
              </w:rPr>
              <w:t>自然恢复</w:t>
            </w:r>
            <w:r>
              <w:rPr>
                <w:rFonts w:hint="eastAsia" w:ascii="Times New Roman" w:hAnsi="Times New Roman" w:eastAsia="宋体" w:cs="Times New Roman"/>
                <w:color w:val="auto"/>
                <w:sz w:val="24"/>
                <w:highlight w:val="none"/>
                <w:lang w:val="en-US" w:eastAsia="zh-CN"/>
              </w:rPr>
              <w:t>等</w:t>
            </w:r>
            <w:r>
              <w:rPr>
                <w:rFonts w:hint="eastAsia" w:ascii="Times New Roman" w:hAnsi="Times New Roman" w:eastAsia="宋体" w:cs="Times New Roman"/>
                <w:color w:val="auto"/>
                <w:sz w:val="24"/>
                <w:highlight w:val="none"/>
              </w:rPr>
              <w:t>措施</w:t>
            </w:r>
            <w:r>
              <w:rPr>
                <w:rFonts w:hint="eastAsia" w:ascii="Times New Roman" w:hAnsi="Times New Roman" w:eastAsia="宋体" w:cs="Times New Roman"/>
                <w:color w:val="auto"/>
                <w:sz w:val="24"/>
                <w:highlight w:val="none"/>
                <w:lang w:val="en-US" w:eastAsia="zh-CN"/>
              </w:rPr>
              <w:t>恢复道路沿线生态环境</w:t>
            </w:r>
            <w:r>
              <w:rPr>
                <w:rFonts w:hint="eastAsia" w:ascii="Times New Roman" w:hAnsi="Times New Roman" w:eastAsia="宋体" w:cs="Times New Roman"/>
                <w:color w:val="auto"/>
                <w:sz w:val="24"/>
                <w:highlight w:val="none"/>
              </w:rPr>
              <w:t>、完善的防沙治沙及水土保持措施</w:t>
            </w:r>
            <w:r>
              <w:rPr>
                <w:rFonts w:ascii="Times New Roman" w:hAnsi="Times New Roman" w:eastAsia="宋体" w:cs="Times New Roman"/>
                <w:color w:val="auto"/>
                <w:sz w:val="24"/>
                <w:highlight w:val="none"/>
              </w:rPr>
              <w:t>，不会对</w:t>
            </w:r>
            <w:r>
              <w:rPr>
                <w:rFonts w:hint="eastAsia" w:ascii="Times New Roman" w:hAnsi="Times New Roman" w:eastAsia="宋体" w:cs="Times New Roman"/>
                <w:color w:val="auto"/>
                <w:sz w:val="24"/>
                <w:highlight w:val="none"/>
              </w:rPr>
              <w:t>该区域的主体功能</w:t>
            </w:r>
            <w:r>
              <w:rPr>
                <w:rFonts w:ascii="Times New Roman" w:hAnsi="Times New Roman" w:eastAsia="宋体" w:cs="Times New Roman"/>
                <w:color w:val="auto"/>
                <w:sz w:val="24"/>
                <w:highlight w:val="none"/>
              </w:rPr>
              <w:t>造成影响，能够符合自治区对该区域的功能定位要求。项目在主体功能区划图中的位置详见</w:t>
            </w:r>
            <w:r>
              <w:rPr>
                <w:rFonts w:hint="eastAsia" w:ascii="Times New Roman" w:hAnsi="Times New Roman" w:eastAsia="宋体" w:cs="Times New Roman"/>
                <w:color w:val="auto"/>
                <w:sz w:val="24"/>
                <w:highlight w:val="none"/>
                <w:lang w:val="en-US" w:eastAsia="zh-CN"/>
              </w:rPr>
              <w:t>附图</w:t>
            </w:r>
            <w:r>
              <w:rPr>
                <w:rFonts w:ascii="Times New Roman" w:hAnsi="Times New Roman" w:eastAsia="宋体" w:cs="Times New Roman"/>
                <w:color w:val="auto"/>
                <w:sz w:val="24"/>
                <w:highlight w:val="none"/>
              </w:rPr>
              <w:t>。</w:t>
            </w:r>
          </w:p>
          <w:p w14:paraId="603B21FF">
            <w:pPr>
              <w:keepNext w:val="0"/>
              <w:keepLines w:val="0"/>
              <w:pageBreakBefore w:val="0"/>
              <w:shd w:val="clear" w:color="auto" w:fill="auto"/>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1.</w:t>
            </w: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3</w:t>
            </w: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生态功能区划</w:t>
            </w:r>
          </w:p>
          <w:p w14:paraId="0050E6CB">
            <w:pPr>
              <w:keepNext w:val="0"/>
              <w:keepLines w:val="0"/>
              <w:pageBreakBefore w:val="0"/>
              <w:widowControl w:val="0"/>
              <w:kinsoku/>
              <w:wordWrap/>
              <w:overflowPunct/>
              <w:topLinePunct w:val="0"/>
              <w:autoSpaceDE/>
              <w:autoSpaceDN/>
              <w:bidi w:val="0"/>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根据《新疆生态功</w:t>
            </w:r>
            <w:r>
              <w:rPr>
                <w:rFonts w:hint="default" w:ascii="Times New Roman" w:hAnsi="Times New Roman" w:eastAsia="宋体" w:cs="Times New Roman"/>
                <w:caps w:val="0"/>
                <w:smallCaps w:val="0"/>
                <w:color w:val="auto"/>
                <w:spacing w:val="0"/>
                <w:w w:val="100"/>
                <w:kern w:val="2"/>
                <w:position w:val="0"/>
                <w:sz w:val="24"/>
                <w:szCs w:val="24"/>
                <w:highlight w:val="none"/>
              </w:rPr>
              <w:t>能区划》，</w:t>
            </w:r>
            <w:r>
              <w:rPr>
                <w:rFonts w:hint="default" w:ascii="Times New Roman" w:hAnsi="Times New Roman" w:eastAsia="宋体" w:cs="Times New Roman"/>
                <w:color w:val="auto"/>
                <w:spacing w:val="0"/>
                <w:w w:val="100"/>
                <w:position w:val="0"/>
                <w:sz w:val="24"/>
                <w:szCs w:val="24"/>
                <w:highlight w:val="none"/>
                <w:lang w:val="en-US" w:eastAsia="zh-CN"/>
              </w:rPr>
              <w:t>项目所在区域属于天山山地温性草原、森林生态区—天山南坡草原牧业、绿洲农业生态亚区—42.托木尔峰和天山南坡中段冰雪水源及生物多样性保护生态功能区。项目占地范围内无林地和永久基本农田</w:t>
            </w:r>
            <w:r>
              <w:rPr>
                <w:rFonts w:hint="default" w:ascii="Times New Roman" w:hAnsi="Times New Roman" w:eastAsia="宋体" w:cs="Times New Roman"/>
                <w:caps w:val="0"/>
                <w:smallCaps w:val="0"/>
                <w:color w:val="auto"/>
                <w:spacing w:val="0"/>
                <w:w w:val="100"/>
                <w:kern w:val="2"/>
                <w:position w:val="0"/>
                <w:sz w:val="24"/>
                <w:szCs w:val="24"/>
                <w:highlight w:val="none"/>
              </w:rPr>
              <w:t>。详见表</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3-2</w:t>
            </w:r>
            <w:r>
              <w:rPr>
                <w:rFonts w:hint="default" w:ascii="Times New Roman" w:hAnsi="Times New Roman" w:eastAsia="宋体" w:cs="Times New Roman"/>
                <w:caps w:val="0"/>
                <w:smallCaps w:val="0"/>
                <w:color w:val="auto"/>
                <w:spacing w:val="0"/>
                <w:w w:val="100"/>
                <w:kern w:val="2"/>
                <w:position w:val="0"/>
                <w:sz w:val="24"/>
                <w:szCs w:val="24"/>
                <w:highlight w:val="none"/>
              </w:rPr>
              <w:t>生态功能区划及主要环境问题和保护目标。</w:t>
            </w:r>
          </w:p>
          <w:p w14:paraId="6015737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422" w:firstLineChars="200"/>
              <w:jc w:val="both"/>
              <w:textAlignment w:val="auto"/>
              <w:rPr>
                <w:rFonts w:hint="default" w:cs="Times New Roman"/>
                <w:b/>
                <w:bCs/>
                <w:caps w:val="0"/>
                <w:smallCaps w:val="0"/>
                <w:color w:val="auto"/>
                <w:spacing w:val="0"/>
                <w:w w:val="100"/>
                <w:kern w:val="2"/>
                <w:position w:val="0"/>
                <w:sz w:val="21"/>
                <w:szCs w:val="21"/>
                <w:highlight w:val="none"/>
                <w:lang w:val="en-US" w:eastAsia="zh-CN"/>
              </w:rPr>
            </w:pPr>
            <w:r>
              <w:rPr>
                <w:rFonts w:hint="default" w:cs="Times New Roman"/>
                <w:b/>
                <w:bCs/>
                <w:caps w:val="0"/>
                <w:smallCaps w:val="0"/>
                <w:color w:val="auto"/>
                <w:spacing w:val="0"/>
                <w:w w:val="100"/>
                <w:kern w:val="2"/>
                <w:position w:val="0"/>
                <w:sz w:val="21"/>
                <w:szCs w:val="21"/>
                <w:highlight w:val="none"/>
                <w:lang w:val="en-US" w:eastAsia="zh-CN"/>
              </w:rPr>
              <w:t>表3-2</w:t>
            </w:r>
            <w:r>
              <w:rPr>
                <w:rFonts w:hint="eastAsia" w:cs="Times New Roman"/>
                <w:b/>
                <w:bCs/>
                <w:caps w:val="0"/>
                <w:smallCaps w:val="0"/>
                <w:color w:val="auto"/>
                <w:spacing w:val="0"/>
                <w:w w:val="100"/>
                <w:kern w:val="2"/>
                <w:position w:val="0"/>
                <w:sz w:val="21"/>
                <w:szCs w:val="21"/>
                <w:highlight w:val="none"/>
                <w:lang w:val="en-US" w:eastAsia="zh-CN"/>
              </w:rPr>
              <w:t xml:space="preserve">          </w:t>
            </w:r>
            <w:r>
              <w:rPr>
                <w:rFonts w:hint="default" w:cs="Times New Roman"/>
                <w:b/>
                <w:bCs/>
                <w:caps w:val="0"/>
                <w:smallCaps w:val="0"/>
                <w:color w:val="auto"/>
                <w:spacing w:val="0"/>
                <w:w w:val="100"/>
                <w:kern w:val="2"/>
                <w:position w:val="0"/>
                <w:sz w:val="21"/>
                <w:szCs w:val="21"/>
                <w:highlight w:val="none"/>
                <w:lang w:val="en-US" w:eastAsia="zh-CN"/>
              </w:rPr>
              <w:t>生态功能区划及主要环境问题和保护目标</w:t>
            </w:r>
          </w:p>
          <w:tbl>
            <w:tblPr>
              <w:tblStyle w:val="3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77"/>
              <w:gridCol w:w="5364"/>
            </w:tblGrid>
            <w:tr w14:paraId="3C1B1C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7AD960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项目</w:t>
                  </w:r>
                </w:p>
              </w:tc>
              <w:tc>
                <w:tcPr>
                  <w:tcW w:w="3464" w:type="pct"/>
                  <w:tcBorders>
                    <w:tl2br w:val="nil"/>
                    <w:tr2bl w:val="nil"/>
                  </w:tcBorders>
                  <w:noWrap w:val="0"/>
                  <w:vAlign w:val="center"/>
                </w:tcPr>
                <w:p w14:paraId="37A65E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区划</w:t>
                  </w:r>
                </w:p>
              </w:tc>
            </w:tr>
            <w:tr w14:paraId="5FB3BC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6817AF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生态区</w:t>
                  </w:r>
                </w:p>
              </w:tc>
              <w:tc>
                <w:tcPr>
                  <w:tcW w:w="3464" w:type="pct"/>
                  <w:tcBorders>
                    <w:tl2br w:val="nil"/>
                    <w:tr2bl w:val="nil"/>
                  </w:tcBorders>
                  <w:noWrap w:val="0"/>
                  <w:vAlign w:val="center"/>
                </w:tcPr>
                <w:p w14:paraId="63314C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III</w:t>
                  </w:r>
                  <w:r>
                    <w:rPr>
                      <w:rFonts w:hint="eastAsia" w:cs="Times New Roman"/>
                      <w:color w:val="000000"/>
                      <w:sz w:val="21"/>
                      <w:szCs w:val="21"/>
                      <w:highlight w:val="none"/>
                      <w:lang w:val="en-US" w:eastAsia="zh-CN"/>
                    </w:rPr>
                    <w:t>天山山地温性草原、森林生态区</w:t>
                  </w:r>
                </w:p>
              </w:tc>
            </w:tr>
            <w:tr w14:paraId="644BB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445663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生态亚区</w:t>
                  </w:r>
                </w:p>
              </w:tc>
              <w:tc>
                <w:tcPr>
                  <w:tcW w:w="3464" w:type="pct"/>
                  <w:tcBorders>
                    <w:tl2br w:val="nil"/>
                    <w:tr2bl w:val="nil"/>
                  </w:tcBorders>
                  <w:noWrap w:val="0"/>
                  <w:vAlign w:val="center"/>
                </w:tcPr>
                <w:p w14:paraId="4E19EB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III</w:t>
                  </w:r>
                  <w:r>
                    <w:rPr>
                      <w:rFonts w:hint="eastAsia" w:cs="Times New Roman"/>
                      <w:color w:val="000000"/>
                      <w:sz w:val="21"/>
                      <w:szCs w:val="21"/>
                      <w:highlight w:val="none"/>
                      <w:vertAlign w:val="subscript"/>
                      <w:lang w:val="en-US" w:eastAsia="zh-CN"/>
                    </w:rPr>
                    <w:t>3</w:t>
                  </w:r>
                  <w:r>
                    <w:rPr>
                      <w:rFonts w:hint="eastAsia" w:cs="Times New Roman"/>
                      <w:color w:val="000000"/>
                      <w:sz w:val="21"/>
                      <w:szCs w:val="21"/>
                      <w:highlight w:val="none"/>
                      <w:lang w:val="en-US" w:eastAsia="zh-CN"/>
                    </w:rPr>
                    <w:t>天山南坡草原牧业、绿洲农业生态亚区</w:t>
                  </w:r>
                </w:p>
              </w:tc>
            </w:tr>
            <w:tr w14:paraId="584533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1E5929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生态功能区</w:t>
                  </w:r>
                </w:p>
              </w:tc>
              <w:tc>
                <w:tcPr>
                  <w:tcW w:w="3464" w:type="pct"/>
                  <w:tcBorders>
                    <w:tl2br w:val="nil"/>
                    <w:tr2bl w:val="nil"/>
                  </w:tcBorders>
                  <w:noWrap w:val="0"/>
                  <w:vAlign w:val="center"/>
                </w:tcPr>
                <w:p w14:paraId="08C829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42.托木尔峰和天山南坡中段冰雪水源及生物多样性保护生态功能区</w:t>
                  </w:r>
                </w:p>
              </w:tc>
            </w:tr>
            <w:tr w14:paraId="3EECB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3FBFDF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隶属行政区</w:t>
                  </w:r>
                </w:p>
              </w:tc>
              <w:tc>
                <w:tcPr>
                  <w:tcW w:w="3464" w:type="pct"/>
                  <w:tcBorders>
                    <w:tl2br w:val="nil"/>
                    <w:tr2bl w:val="nil"/>
                  </w:tcBorders>
                  <w:noWrap w:val="0"/>
                  <w:vAlign w:val="center"/>
                </w:tcPr>
                <w:p w14:paraId="70ED7B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温宿县、</w:t>
                  </w:r>
                  <w:r>
                    <w:rPr>
                      <w:rFonts w:hint="eastAsia" w:eastAsia="宋体" w:cs="Times New Roman"/>
                      <w:color w:val="000000"/>
                      <w:sz w:val="21"/>
                      <w:szCs w:val="21"/>
                      <w:highlight w:val="none"/>
                      <w:vertAlign w:val="baseline"/>
                      <w:lang w:val="en-US" w:eastAsia="zh-CN"/>
                    </w:rPr>
                    <w:t>轮台县</w:t>
                  </w:r>
                  <w:r>
                    <w:rPr>
                      <w:rFonts w:hint="default" w:eastAsia="宋体" w:cs="Times New Roman"/>
                      <w:color w:val="000000"/>
                      <w:sz w:val="21"/>
                      <w:szCs w:val="21"/>
                      <w:highlight w:val="none"/>
                      <w:vertAlign w:val="baseline"/>
                      <w:lang w:val="en-US" w:eastAsia="zh-CN"/>
                    </w:rPr>
                    <w:t>、库车县、轮台县、新和县、库尔勒市、焉耆县、和硕县</w:t>
                  </w:r>
                </w:p>
              </w:tc>
            </w:tr>
            <w:tr w14:paraId="7B6057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1DCD15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主要生态服务功能</w:t>
                  </w:r>
                </w:p>
              </w:tc>
              <w:tc>
                <w:tcPr>
                  <w:tcW w:w="3464" w:type="pct"/>
                  <w:tcBorders>
                    <w:tl2br w:val="nil"/>
                    <w:tr2bl w:val="nil"/>
                  </w:tcBorders>
                  <w:noWrap w:val="0"/>
                  <w:vAlign w:val="center"/>
                </w:tcPr>
                <w:p w14:paraId="34F05F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水源补给、生物多样性维护、土壤保持</w:t>
                  </w:r>
                </w:p>
              </w:tc>
            </w:tr>
            <w:tr w14:paraId="3B142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6CB0FB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主要生态环境问题</w:t>
                  </w:r>
                </w:p>
              </w:tc>
              <w:tc>
                <w:tcPr>
                  <w:tcW w:w="3464" w:type="pct"/>
                  <w:tcBorders>
                    <w:tl2br w:val="nil"/>
                    <w:tr2bl w:val="nil"/>
                  </w:tcBorders>
                  <w:noWrap w:val="0"/>
                  <w:vAlign w:val="center"/>
                </w:tcPr>
                <w:p w14:paraId="046A09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水土流失、野生动物减少、土壤侵蚀、森林破坏</w:t>
                  </w:r>
                </w:p>
              </w:tc>
            </w:tr>
            <w:tr w14:paraId="4076F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3D821E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主要生态敏感因子、敏感程度</w:t>
                  </w:r>
                </w:p>
              </w:tc>
              <w:tc>
                <w:tcPr>
                  <w:tcW w:w="3464" w:type="pct"/>
                  <w:tcBorders>
                    <w:tl2br w:val="nil"/>
                    <w:tr2bl w:val="nil"/>
                  </w:tcBorders>
                  <w:noWrap w:val="0"/>
                  <w:vAlign w:val="center"/>
                </w:tcPr>
                <w:p w14:paraId="01E15A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生物多样性及其生境极度敏感，土壤侵蚀轻度敏感</w:t>
                  </w:r>
                </w:p>
              </w:tc>
            </w:tr>
            <w:tr w14:paraId="57CF4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57B0EA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主保护目标</w:t>
                  </w:r>
                </w:p>
              </w:tc>
              <w:tc>
                <w:tcPr>
                  <w:tcW w:w="3464" w:type="pct"/>
                  <w:tcBorders>
                    <w:tl2br w:val="nil"/>
                    <w:tr2bl w:val="nil"/>
                  </w:tcBorders>
                  <w:noWrap w:val="0"/>
                  <w:vAlign w:val="center"/>
                </w:tcPr>
                <w:p w14:paraId="10415B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保护托木尔峰自然景观、保护高山冰川、保护野生动物、保护森林和草原</w:t>
                  </w:r>
                </w:p>
              </w:tc>
            </w:tr>
            <w:tr w14:paraId="3E974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60FD9C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主要保护措施</w:t>
                  </w:r>
                </w:p>
              </w:tc>
              <w:tc>
                <w:tcPr>
                  <w:tcW w:w="3464" w:type="pct"/>
                  <w:tcBorders>
                    <w:tl2br w:val="nil"/>
                    <w:tr2bl w:val="nil"/>
                  </w:tcBorders>
                  <w:noWrap w:val="0"/>
                  <w:vAlign w:val="center"/>
                </w:tcPr>
                <w:p w14:paraId="422B0B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草地减牧、森林禁伐、禁猎、加强保护区管理</w:t>
                  </w:r>
                </w:p>
              </w:tc>
            </w:tr>
            <w:tr w14:paraId="48655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35" w:type="pct"/>
                  <w:tcBorders>
                    <w:tl2br w:val="nil"/>
                    <w:tr2bl w:val="nil"/>
                  </w:tcBorders>
                  <w:noWrap w:val="0"/>
                  <w:vAlign w:val="center"/>
                </w:tcPr>
                <w:p w14:paraId="4219E7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适宜发展方向</w:t>
                  </w:r>
                </w:p>
              </w:tc>
              <w:tc>
                <w:tcPr>
                  <w:tcW w:w="3464" w:type="pct"/>
                  <w:tcBorders>
                    <w:tl2br w:val="nil"/>
                    <w:tr2bl w:val="nil"/>
                  </w:tcBorders>
                  <w:noWrap w:val="0"/>
                  <w:vAlign w:val="center"/>
                </w:tcPr>
                <w:p w14:paraId="66F653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合理利用天然草地，维护自然景观和生物多样性</w:t>
                  </w:r>
                </w:p>
              </w:tc>
            </w:tr>
          </w:tbl>
          <w:p w14:paraId="068EC5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1.</w:t>
            </w: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4</w:t>
            </w: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土地利用类型</w:t>
            </w:r>
          </w:p>
          <w:p w14:paraId="777B40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（1）永久占地</w:t>
            </w:r>
          </w:p>
          <w:p w14:paraId="607582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本项目拆除原有老桥后在原址新建，无新增用地，用地性质为公路用地。</w:t>
            </w:r>
          </w:p>
          <w:p w14:paraId="675754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（2）临时用地</w:t>
            </w:r>
          </w:p>
          <w:p w14:paraId="185E17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本项目临时用地主要为施工便道，占地面积为1507.8m</w:t>
            </w:r>
            <w:r>
              <w:rPr>
                <w:rFonts w:hint="default" w:ascii="Times New Roman" w:hAnsi="Times New Roman" w:eastAsia="宋体" w:cs="Times New Roman"/>
                <w:caps w:val="0"/>
                <w:smallCaps w:val="0"/>
                <w:color w:val="auto"/>
                <w:spacing w:val="0"/>
                <w:w w:val="100"/>
                <w:kern w:val="2"/>
                <w:position w:val="0"/>
                <w:sz w:val="24"/>
                <w:szCs w:val="24"/>
                <w:highlight w:val="none"/>
                <w:vertAlign w:val="superscript"/>
                <w:lang w:val="en-US" w:eastAsia="zh-CN"/>
              </w:rPr>
              <w:t>2</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，主要占用河流水面、林地、草地、村庄用地。</w:t>
            </w:r>
          </w:p>
          <w:p w14:paraId="3FE341A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drawing>
                <wp:inline distT="0" distB="0" distL="114300" distR="114300">
                  <wp:extent cx="4823460" cy="3410585"/>
                  <wp:effectExtent l="0" t="0" r="15240" b="18415"/>
                  <wp:docPr id="12" name="图片 292" descr="22b4e7640c80f97d9ab280db5fb75d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92" descr="22b4e7640c80f97d9ab280db5fb75d9c"/>
                          <pic:cNvPicPr>
                            <a:picLocks noChangeAspect="1"/>
                          </pic:cNvPicPr>
                        </pic:nvPicPr>
                        <pic:blipFill>
                          <a:blip r:embed="rId19"/>
                          <a:stretch>
                            <a:fillRect/>
                          </a:stretch>
                        </pic:blipFill>
                        <pic:spPr>
                          <a:xfrm>
                            <a:off x="0" y="0"/>
                            <a:ext cx="4823460" cy="3410585"/>
                          </a:xfrm>
                          <a:prstGeom prst="rect">
                            <a:avLst/>
                          </a:prstGeom>
                          <a:noFill/>
                          <a:ln>
                            <a:noFill/>
                          </a:ln>
                        </pic:spPr>
                      </pic:pic>
                    </a:graphicData>
                  </a:graphic>
                </wp:inline>
              </w:drawing>
            </w:r>
          </w:p>
          <w:p w14:paraId="68BD4F3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图3-1    项目区土地利用类型图</w:t>
            </w:r>
          </w:p>
          <w:p w14:paraId="7803FE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1.</w:t>
            </w: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5</w:t>
            </w: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项目区植被</w:t>
            </w:r>
          </w:p>
          <w:p w14:paraId="115829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本项目工程</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路段沿线植物类型以</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人工植被为主</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，种</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类</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相对较少，植被盖度</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适中</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。评价范围内没有濒危、珍稀植物种类。</w:t>
            </w:r>
          </w:p>
          <w:p w14:paraId="572E54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主要</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植被类型</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为：</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杨树、柳树</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等。</w:t>
            </w:r>
          </w:p>
          <w:p w14:paraId="0ED51B6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drawing>
                <wp:inline distT="0" distB="0" distL="114300" distR="114300">
                  <wp:extent cx="4819650" cy="3410585"/>
                  <wp:effectExtent l="0" t="0" r="0" b="18415"/>
                  <wp:docPr id="13" name="图片 289" descr="38ab94fb6225ccfcd7305df467b38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89" descr="38ab94fb6225ccfcd7305df467b38c40"/>
                          <pic:cNvPicPr>
                            <a:picLocks noChangeAspect="1"/>
                          </pic:cNvPicPr>
                        </pic:nvPicPr>
                        <pic:blipFill>
                          <a:blip r:embed="rId20"/>
                          <a:stretch>
                            <a:fillRect/>
                          </a:stretch>
                        </pic:blipFill>
                        <pic:spPr>
                          <a:xfrm>
                            <a:off x="0" y="0"/>
                            <a:ext cx="4819650" cy="3410585"/>
                          </a:xfrm>
                          <a:prstGeom prst="rect">
                            <a:avLst/>
                          </a:prstGeom>
                          <a:noFill/>
                          <a:ln>
                            <a:noFill/>
                          </a:ln>
                        </pic:spPr>
                      </pic:pic>
                    </a:graphicData>
                  </a:graphic>
                </wp:inline>
              </w:drawing>
            </w:r>
          </w:p>
          <w:p w14:paraId="5F22F3C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422" w:firstLineChars="200"/>
              <w:jc w:val="center"/>
              <w:textAlignment w:val="auto"/>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1"/>
                <w:szCs w:val="21"/>
                <w:highlight w:val="none"/>
                <w:lang w:val="en-US" w:eastAsia="zh-CN"/>
              </w:rPr>
              <w:t>图3-2   植被类型图</w:t>
            </w:r>
          </w:p>
          <w:p w14:paraId="3519DB0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jc w:val="left"/>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t>1.</w:t>
            </w: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rPr>
              <w:t>6</w:t>
            </w: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t>土壤</w:t>
            </w:r>
          </w:p>
          <w:p w14:paraId="1BB15CD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color w:val="auto"/>
                <w:sz w:val="24"/>
                <w:highlight w:val="none"/>
              </w:rPr>
              <w:t>本项目气候类型属极端干旱的暖湿带气候，干旱少雨，不利于土壤中矿物质分解，土壤发育交叉，类型较为简单，成土母质由风积物和洪冲积物组成</w:t>
            </w:r>
            <w:r>
              <w:rPr>
                <w:rFonts w:hint="eastAsia"/>
                <w:color w:val="auto"/>
                <w:sz w:val="24"/>
                <w:highlight w:val="none"/>
                <w:lang w:eastAsia="zh-CN"/>
              </w:rPr>
              <w:t>，</w:t>
            </w:r>
            <w:r>
              <w:rPr>
                <w:rFonts w:hint="eastAsia"/>
                <w:color w:val="auto"/>
                <w:sz w:val="24"/>
                <w:highlight w:val="none"/>
                <w:lang w:val="en-US" w:eastAsia="zh-CN"/>
              </w:rPr>
              <w:t>项目工程</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经过区域的土壤类型以</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棕漠</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土为主</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w:t>
            </w:r>
          </w:p>
          <w:p w14:paraId="1715D7E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left"/>
              <w:textAlignment w:val="auto"/>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drawing>
                <wp:inline distT="0" distB="0" distL="114300" distR="114300">
                  <wp:extent cx="4819650" cy="3410585"/>
                  <wp:effectExtent l="0" t="0" r="0" b="18415"/>
                  <wp:docPr id="14" name="图片 290" descr="7b83ad5bf06555e20a51b0c8b910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90" descr="7b83ad5bf06555e20a51b0c8b9105787"/>
                          <pic:cNvPicPr>
                            <a:picLocks noChangeAspect="1"/>
                          </pic:cNvPicPr>
                        </pic:nvPicPr>
                        <pic:blipFill>
                          <a:blip r:embed="rId21"/>
                          <a:stretch>
                            <a:fillRect/>
                          </a:stretch>
                        </pic:blipFill>
                        <pic:spPr>
                          <a:xfrm>
                            <a:off x="0" y="0"/>
                            <a:ext cx="4819650" cy="3410585"/>
                          </a:xfrm>
                          <a:prstGeom prst="rect">
                            <a:avLst/>
                          </a:prstGeom>
                          <a:noFill/>
                          <a:ln>
                            <a:noFill/>
                          </a:ln>
                        </pic:spPr>
                      </pic:pic>
                    </a:graphicData>
                  </a:graphic>
                </wp:inline>
              </w:drawing>
            </w:r>
          </w:p>
          <w:p w14:paraId="463BAB7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422" w:firstLineChars="200"/>
              <w:jc w:val="center"/>
              <w:textAlignment w:val="auto"/>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1"/>
                <w:szCs w:val="21"/>
                <w:highlight w:val="none"/>
                <w:lang w:val="en-US" w:eastAsia="zh-CN"/>
              </w:rPr>
              <w:t>图3-3   土壤类型图</w:t>
            </w:r>
          </w:p>
          <w:p w14:paraId="37931E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1.</w:t>
            </w: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7</w:t>
            </w: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项目区动物</w:t>
            </w:r>
          </w:p>
          <w:p w14:paraId="4BFA1F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0"/>
                <w:highlight w:val="none"/>
                <w:lang w:val="en-US" w:eastAsia="zh-CN" w:bidi="ar-SA"/>
              </w:rPr>
              <w:t>项目区受人类活动的影响，未见大型兽类活动痕迹，</w:t>
            </w:r>
            <w:r>
              <w:rPr>
                <w:rFonts w:hint="default" w:ascii="Times New Roman" w:hAnsi="Times New Roman" w:eastAsia="宋体" w:cs="Times New Roman"/>
                <w:caps w:val="0"/>
                <w:smallCaps w:val="0"/>
                <w:color w:val="auto"/>
                <w:spacing w:val="0"/>
                <w:w w:val="100"/>
                <w:kern w:val="2"/>
                <w:position w:val="0"/>
                <w:sz w:val="24"/>
                <w:szCs w:val="24"/>
                <w:highlight w:val="none"/>
              </w:rPr>
              <w:t>以鸟类和小型兽类为主，主要有</w:t>
            </w:r>
            <w:r>
              <w:rPr>
                <w:rFonts w:hint="eastAsia" w:ascii="Times New Roman" w:hAnsi="Times New Roman" w:eastAsia="宋体" w:cs="Times New Roman"/>
                <w:caps w:val="0"/>
                <w:smallCaps w:val="0"/>
                <w:color w:val="auto"/>
                <w:spacing w:val="0"/>
                <w:w w:val="100"/>
                <w:kern w:val="2"/>
                <w:position w:val="0"/>
                <w:sz w:val="24"/>
                <w:szCs w:val="24"/>
                <w:highlight w:val="none"/>
                <w:lang w:eastAsia="zh-CN"/>
              </w:rPr>
              <w:t>小型</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乌鸦、麻雀</w:t>
            </w:r>
            <w:r>
              <w:rPr>
                <w:rFonts w:hint="default" w:ascii="Times New Roman" w:hAnsi="Times New Roman" w:eastAsia="宋体" w:cs="Times New Roman"/>
                <w:caps w:val="0"/>
                <w:smallCaps w:val="0"/>
                <w:color w:val="auto"/>
                <w:spacing w:val="0"/>
                <w:w w:val="100"/>
                <w:kern w:val="2"/>
                <w:position w:val="0"/>
                <w:sz w:val="24"/>
                <w:szCs w:val="24"/>
                <w:highlight w:val="none"/>
              </w:rPr>
              <w:t>等常见鸟类，兽类中以田鼠、灰仓鼠、小家鼠较为常见。</w:t>
            </w:r>
          </w:p>
          <w:p w14:paraId="33E3A6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本评价水域土著鱼类叶尔羌高原鳅、长身高原鳅2种鱼类均为定居性种类，无洄游习性。叶尔羌高原鳅、长身高原鳅在静水或缓流即可完成其生活史的全部阶段。繁殖时，亲鱼多游至近岸处，主要在沿岸带适宜的小环境中产卵，它们产粘性卵，早期发育阶段对低溶氧的耐受能力较强。相关鱼类名录、在国内河流的分布情况如下表所示。</w:t>
            </w:r>
          </w:p>
          <w:p w14:paraId="17AA09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both"/>
              <w:textAlignment w:val="auto"/>
              <w:rPr>
                <w:rFonts w:hint="default" w:ascii="Times New Roman" w:hAnsi="Times New Roman" w:eastAsia="宋体" w:cs="Times New Roman"/>
                <w:b/>
                <w:color w:val="000000"/>
                <w:kern w:val="2"/>
                <w:sz w:val="21"/>
                <w:szCs w:val="21"/>
                <w:highlight w:val="none"/>
                <w:lang w:val="en-US" w:eastAsia="zh-CN" w:bidi="ar-SA"/>
              </w:rPr>
            </w:pPr>
            <w:r>
              <w:rPr>
                <w:rFonts w:hint="default" w:ascii="Times New Roman" w:hAnsi="Times New Roman" w:eastAsia="宋体" w:cs="Times New Roman"/>
                <w:b/>
                <w:color w:val="000000"/>
                <w:kern w:val="2"/>
                <w:sz w:val="21"/>
                <w:szCs w:val="21"/>
                <w:highlight w:val="none"/>
                <w:lang w:val="en-US" w:eastAsia="zh-CN" w:bidi="ar-SA"/>
              </w:rPr>
              <w:t>表</w:t>
            </w:r>
            <w:r>
              <w:rPr>
                <w:rFonts w:hint="eastAsia" w:ascii="Times New Roman" w:hAnsi="Times New Roman" w:eastAsia="宋体" w:cs="Times New Roman"/>
                <w:b/>
                <w:color w:val="000000"/>
                <w:kern w:val="2"/>
                <w:sz w:val="21"/>
                <w:szCs w:val="21"/>
                <w:highlight w:val="none"/>
                <w:lang w:val="en-US" w:eastAsia="zh-CN" w:bidi="ar-SA"/>
              </w:rPr>
              <w:t>3-3</w:t>
            </w:r>
            <w:r>
              <w:rPr>
                <w:rFonts w:hint="default" w:ascii="Times New Roman" w:hAnsi="Times New Roman" w:eastAsia="宋体" w:cs="Times New Roman"/>
                <w:b/>
                <w:color w:val="000000"/>
                <w:kern w:val="2"/>
                <w:sz w:val="21"/>
                <w:szCs w:val="21"/>
                <w:highlight w:val="none"/>
                <w:lang w:val="en-US" w:eastAsia="zh-CN" w:bidi="ar-SA"/>
              </w:rPr>
              <w:t xml:space="preserve">  </w:t>
            </w:r>
            <w:r>
              <w:rPr>
                <w:rFonts w:hint="eastAsia" w:ascii="Times New Roman" w:hAnsi="Times New Roman" w:eastAsia="宋体" w:cs="Times New Roman"/>
                <w:b/>
                <w:color w:val="000000"/>
                <w:kern w:val="2"/>
                <w:sz w:val="21"/>
                <w:szCs w:val="21"/>
                <w:highlight w:val="none"/>
                <w:lang w:val="en-US" w:eastAsia="zh-CN" w:bidi="ar-SA"/>
              </w:rPr>
              <w:t xml:space="preserve">    </w:t>
            </w:r>
            <w:r>
              <w:rPr>
                <w:rFonts w:hint="default" w:ascii="Times New Roman" w:hAnsi="Times New Roman" w:eastAsia="宋体" w:cs="Times New Roman"/>
                <w:b/>
                <w:color w:val="000000"/>
                <w:kern w:val="2"/>
                <w:sz w:val="21"/>
                <w:szCs w:val="21"/>
                <w:highlight w:val="none"/>
                <w:lang w:val="en-US" w:eastAsia="zh-CN" w:bidi="ar-SA"/>
              </w:rPr>
              <w:t>评价水域珍稀保护鱼类名录</w:t>
            </w:r>
          </w:p>
          <w:tbl>
            <w:tblPr>
              <w:tblStyle w:val="71"/>
              <w:tblW w:w="4999"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16"/>
              <w:gridCol w:w="3444"/>
              <w:gridCol w:w="2981"/>
            </w:tblGrid>
            <w:tr w14:paraId="185671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074" w:type="pct"/>
                  <w:gridSpan w:val="2"/>
                  <w:tcBorders>
                    <w:tl2br w:val="nil"/>
                    <w:tr2bl w:val="nil"/>
                  </w:tcBorders>
                  <w:noWrap w:val="0"/>
                  <w:vAlign w:val="center"/>
                </w:tcPr>
                <w:p w14:paraId="6CAD03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种类</w:t>
                  </w:r>
                </w:p>
              </w:tc>
              <w:tc>
                <w:tcPr>
                  <w:tcW w:w="1925" w:type="pct"/>
                  <w:tcBorders>
                    <w:tl2br w:val="nil"/>
                    <w:tr2bl w:val="nil"/>
                  </w:tcBorders>
                  <w:noWrap w:val="0"/>
                  <w:vAlign w:val="center"/>
                </w:tcPr>
                <w:p w14:paraId="317CEA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备注</w:t>
                  </w:r>
                </w:p>
              </w:tc>
            </w:tr>
            <w:tr w14:paraId="2D33A5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50" w:type="pct"/>
                  <w:vMerge w:val="restart"/>
                  <w:tcBorders>
                    <w:tl2br w:val="nil"/>
                    <w:tr2bl w:val="nil"/>
                  </w:tcBorders>
                  <w:noWrap w:val="0"/>
                  <w:vAlign w:val="center"/>
                </w:tcPr>
                <w:p w14:paraId="4AB0BA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鳅科 Cobitidae</w:t>
                  </w:r>
                </w:p>
              </w:tc>
              <w:tc>
                <w:tcPr>
                  <w:tcW w:w="2224" w:type="pct"/>
                  <w:tcBorders>
                    <w:tl2br w:val="nil"/>
                    <w:tr2bl w:val="nil"/>
                  </w:tcBorders>
                  <w:noWrap w:val="0"/>
                  <w:vAlign w:val="center"/>
                </w:tcPr>
                <w:p w14:paraId="5A8E44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叶尔羌高原鳅 Triplophysa yarkandensis</w:t>
                  </w:r>
                </w:p>
              </w:tc>
              <w:tc>
                <w:tcPr>
                  <w:tcW w:w="1925" w:type="pct"/>
                  <w:tcBorders>
                    <w:tl2br w:val="nil"/>
                    <w:tr2bl w:val="nil"/>
                  </w:tcBorders>
                  <w:noWrap w:val="0"/>
                  <w:vAlign w:val="center"/>
                </w:tcPr>
                <w:p w14:paraId="6FC4D6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土著鱼类、 自治区二级保护动物</w:t>
                  </w:r>
                </w:p>
              </w:tc>
            </w:tr>
            <w:tr w14:paraId="65AC98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50" w:type="pct"/>
                  <w:vMerge w:val="continue"/>
                  <w:tcBorders>
                    <w:tl2br w:val="nil"/>
                    <w:tr2bl w:val="nil"/>
                  </w:tcBorders>
                  <w:noWrap w:val="0"/>
                  <w:vAlign w:val="center"/>
                </w:tcPr>
                <w:p w14:paraId="0DB0E8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kern w:val="2"/>
                      <w:sz w:val="21"/>
                      <w:szCs w:val="21"/>
                      <w:highlight w:val="none"/>
                      <w:lang w:val="en-US" w:eastAsia="zh-CN" w:bidi="ar-SA"/>
                    </w:rPr>
                  </w:pPr>
                </w:p>
              </w:tc>
              <w:tc>
                <w:tcPr>
                  <w:tcW w:w="2224" w:type="pct"/>
                  <w:tcBorders>
                    <w:tl2br w:val="nil"/>
                    <w:tr2bl w:val="nil"/>
                  </w:tcBorders>
                  <w:noWrap w:val="0"/>
                  <w:vAlign w:val="center"/>
                </w:tcPr>
                <w:p w14:paraId="689567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长身高原鳅 Triplophysa tenuis</w:t>
                  </w:r>
                </w:p>
              </w:tc>
              <w:tc>
                <w:tcPr>
                  <w:tcW w:w="1925" w:type="pct"/>
                  <w:tcBorders>
                    <w:tl2br w:val="nil"/>
                    <w:tr2bl w:val="nil"/>
                  </w:tcBorders>
                  <w:noWrap w:val="0"/>
                  <w:vAlign w:val="center"/>
                </w:tcPr>
                <w:p w14:paraId="2BEE8F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bidi="ar-SA"/>
                    </w:rPr>
                    <w:t>土著鱼类</w:t>
                  </w:r>
                </w:p>
              </w:tc>
            </w:tr>
          </w:tbl>
          <w:p w14:paraId="3BD5A4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default" w:ascii="Times New Roman" w:hAnsi="Times New Roman" w:eastAsia="宋体" w:cs="Times New Roman"/>
                <w:caps w:val="0"/>
                <w:smallCaps w:val="0"/>
                <w:color w:val="auto"/>
                <w:spacing w:val="0"/>
                <w:w w:val="100"/>
                <w:kern w:val="2"/>
                <w:position w:val="0"/>
                <w:sz w:val="24"/>
                <w:szCs w:val="24"/>
                <w:highlight w:val="none"/>
              </w:rPr>
              <w:t>项目区域无国家、地方及濒危野生动植物种、国际贸易公约所列的濒危物种。</w:t>
            </w:r>
          </w:p>
          <w:p w14:paraId="15A420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1.</w:t>
            </w: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8</w:t>
            </w: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水土流失现状</w:t>
            </w:r>
          </w:p>
          <w:p w14:paraId="77F83EF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参考《新疆维吾尔自治区2023年度水土流失动态监测年报》，</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2023年轮台县水土流失面积4254.57km</w:t>
            </w:r>
            <w:r>
              <w:rPr>
                <w:rFonts w:hint="eastAsia" w:ascii="Times New Roman" w:hAnsi="Times New Roman" w:eastAsia="宋体" w:cs="Times New Roman"/>
                <w:caps w:val="0"/>
                <w:smallCaps w:val="0"/>
                <w:color w:val="auto"/>
                <w:spacing w:val="0"/>
                <w:w w:val="100"/>
                <w:kern w:val="2"/>
                <w:position w:val="0"/>
                <w:sz w:val="24"/>
                <w:szCs w:val="24"/>
                <w:highlight w:val="none"/>
                <w:vertAlign w:val="superscript"/>
                <w:lang w:val="en-US" w:eastAsia="zh-CN" w:bidi="ar"/>
              </w:rPr>
              <w:t>2</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占水土流失面积29.99%。其中水力侵蚀面积为644.91km</w:t>
            </w:r>
            <w:r>
              <w:rPr>
                <w:rFonts w:hint="default" w:ascii="Times New Roman" w:hAnsi="Times New Roman" w:eastAsia="宋体" w:cs="Times New Roman"/>
                <w:caps w:val="0"/>
                <w:smallCaps w:val="0"/>
                <w:color w:val="auto"/>
                <w:spacing w:val="0"/>
                <w:w w:val="100"/>
                <w:kern w:val="2"/>
                <w:position w:val="0"/>
                <w:sz w:val="24"/>
                <w:szCs w:val="24"/>
                <w:highlight w:val="none"/>
                <w:vertAlign w:val="superscript"/>
                <w:lang w:val="en-US" w:eastAsia="zh-CN" w:bidi="ar"/>
              </w:rPr>
              <w:t>2</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，占水土流失面积的15.16%</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风力侵蚀面积为3609.66km</w:t>
            </w:r>
            <w:r>
              <w:rPr>
                <w:rFonts w:hint="eastAsia" w:ascii="Times New Roman" w:hAnsi="Times New Roman" w:eastAsia="宋体" w:cs="Times New Roman"/>
                <w:caps w:val="0"/>
                <w:smallCaps w:val="0"/>
                <w:color w:val="auto"/>
                <w:spacing w:val="0"/>
                <w:w w:val="100"/>
                <w:kern w:val="2"/>
                <w:position w:val="0"/>
                <w:sz w:val="24"/>
                <w:szCs w:val="24"/>
                <w:highlight w:val="none"/>
                <w:vertAlign w:val="superscript"/>
                <w:lang w:val="en-US" w:eastAsia="zh-CN" w:bidi="ar"/>
              </w:rPr>
              <w:t>2</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占水土流失面积的84.84%。</w:t>
            </w:r>
          </w:p>
          <w:p w14:paraId="79FD846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轮台县2023年水土流失面积比2022年减少了5.17km</w:t>
            </w:r>
            <w:r>
              <w:rPr>
                <w:rFonts w:hint="eastAsia" w:ascii="Times New Roman" w:hAnsi="Times New Roman" w:eastAsia="宋体" w:cs="Times New Roman"/>
                <w:caps w:val="0"/>
                <w:smallCaps w:val="0"/>
                <w:color w:val="auto"/>
                <w:spacing w:val="0"/>
                <w:w w:val="100"/>
                <w:kern w:val="2"/>
                <w:position w:val="0"/>
                <w:sz w:val="24"/>
                <w:szCs w:val="24"/>
                <w:highlight w:val="none"/>
                <w:vertAlign w:val="superscript"/>
                <w:lang w:val="en-US" w:eastAsia="zh-CN" w:bidi="ar"/>
              </w:rPr>
              <w:t>2</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w:t>
            </w:r>
          </w:p>
          <w:p w14:paraId="168689C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本项目主要以轻度风力侵蚀为主。</w:t>
            </w:r>
          </w:p>
          <w:p w14:paraId="684820D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center"/>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pPr>
            <w:r>
              <w:rPr>
                <w:sz w:val="21"/>
                <w:highlight w:val="none"/>
              </w:rPr>
              <mc:AlternateContent>
                <mc:Choice Requires="wps">
                  <w:drawing>
                    <wp:anchor distT="0" distB="0" distL="114300" distR="114300" simplePos="0" relativeHeight="251661312" behindDoc="0" locked="0" layoutInCell="1" allowOverlap="1">
                      <wp:simplePos x="0" y="0"/>
                      <wp:positionH relativeFrom="column">
                        <wp:posOffset>2352040</wp:posOffset>
                      </wp:positionH>
                      <wp:positionV relativeFrom="paragraph">
                        <wp:posOffset>1661160</wp:posOffset>
                      </wp:positionV>
                      <wp:extent cx="657225" cy="302895"/>
                      <wp:effectExtent l="5080" t="356235" r="4445" b="7620"/>
                      <wp:wrapNone/>
                      <wp:docPr id="2" name="自选图形 20"/>
                      <wp:cNvGraphicFramePr/>
                      <a:graphic xmlns:a="http://schemas.openxmlformats.org/drawingml/2006/main">
                        <a:graphicData uri="http://schemas.microsoft.com/office/word/2010/wordprocessingShape">
                          <wps:wsp>
                            <wps:cNvSpPr/>
                            <wps:spPr>
                              <a:xfrm>
                                <a:off x="0" y="0"/>
                                <a:ext cx="657225" cy="302895"/>
                              </a:xfrm>
                              <a:prstGeom prst="wedgeRectCallout">
                                <a:avLst>
                                  <a:gd name="adj1" fmla="val -37921"/>
                                  <a:gd name="adj2" fmla="val -160602"/>
                                </a:avLst>
                              </a:prstGeom>
                              <a:noFill/>
                              <a:ln w="9525" cap="flat" cmpd="sng">
                                <a:solidFill>
                                  <a:srgbClr val="FF0000"/>
                                </a:solidFill>
                                <a:prstDash val="solid"/>
                                <a:miter/>
                                <a:headEnd type="none" w="med" len="med"/>
                                <a:tailEnd type="none" w="med" len="med"/>
                              </a:ln>
                            </wps:spPr>
                            <wps:txbx>
                              <w:txbxContent>
                                <w:p w14:paraId="50CBD36B">
                                  <w:pPr>
                                    <w:jc w:val="center"/>
                                    <w:rPr>
                                      <w:rFonts w:hint="eastAsia" w:eastAsia="宋体"/>
                                      <w:color w:val="FF0000"/>
                                      <w:lang w:val="en-US" w:eastAsia="zh-CN"/>
                                    </w:rPr>
                                  </w:pPr>
                                  <w:r>
                                    <w:rPr>
                                      <w:rFonts w:hint="eastAsia"/>
                                      <w:color w:val="FF0000"/>
                                      <w:lang w:val="en-US" w:eastAsia="zh-CN"/>
                                    </w:rPr>
                                    <w:t>项目区</w:t>
                                  </w:r>
                                </w:p>
                              </w:txbxContent>
                            </wps:txbx>
                            <wps:bodyPr vert="horz" wrap="square" anchor="t" anchorCtr="0" upright="1"/>
                          </wps:wsp>
                        </a:graphicData>
                      </a:graphic>
                    </wp:anchor>
                  </w:drawing>
                </mc:Choice>
                <mc:Fallback>
                  <w:pict>
                    <v:shape id="自选图形 20" o:spid="_x0000_s1026" o:spt="61" type="#_x0000_t61" style="position:absolute;left:0pt;margin-left:185.2pt;margin-top:130.8pt;height:23.85pt;width:51.75pt;z-index:251661312;mso-width-relative:page;mso-height-relative:page;" filled="f" stroked="t" coordsize="21600,21600" o:gfxdata="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j131e1wAAAAsB&#10;AAAPAAAAAAAAAAEAIAAAACIAAABkcnMvZG93bnJldi54bWxQSwECFAAUAAAACACHTuJAeE3IelUC&#10;AACZBAAADgAAAAAAAAABACAAAAAmAQAAZHJzL2Uyb0RvYy54bWxQSwUGAAAAAAYABgBZAQAA7QUA&#10;AAAA&#10;" adj="2609,-23890">
                      <v:fill on="f" focussize="0,0"/>
                      <v:stroke color="#FF0000" joinstyle="miter"/>
                      <v:imagedata o:title=""/>
                      <o:lock v:ext="edit" aspectratio="f"/>
                      <v:textbox>
                        <w:txbxContent>
                          <w:p w14:paraId="50CBD36B">
                            <w:pPr>
                              <w:jc w:val="center"/>
                              <w:rPr>
                                <w:rFonts w:hint="eastAsia" w:eastAsia="宋体"/>
                                <w:color w:val="FF0000"/>
                                <w:lang w:val="en-US" w:eastAsia="zh-CN"/>
                              </w:rPr>
                            </w:pPr>
                            <w:r>
                              <w:rPr>
                                <w:rFonts w:hint="eastAsia"/>
                                <w:color w:val="FF0000"/>
                                <w:lang w:val="en-US" w:eastAsia="zh-CN"/>
                              </w:rPr>
                              <w:t>项目区</w:t>
                            </w:r>
                          </w:p>
                        </w:txbxContent>
                      </v:textbox>
                    </v:shape>
                  </w:pict>
                </mc:Fallback>
              </mc:AlternateContent>
            </w:r>
            <w:r>
              <w:rPr>
                <w:rFonts w:hint="eastAsia"/>
                <w:sz w:val="21"/>
                <w:highlight w:val="none"/>
                <w:lang w:val="en-US" w:eastAsia="zh-CN"/>
              </w:rPr>
              <w:drawing>
                <wp:inline distT="0" distB="0" distL="114300" distR="114300">
                  <wp:extent cx="3308350" cy="4736465"/>
                  <wp:effectExtent l="0" t="0" r="6985" b="6350"/>
                  <wp:docPr id="15" name="图片 285" descr="d0644184-a082-472e-9b65-0fab319ca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85" descr="d0644184-a082-472e-9b65-0fab319ca551"/>
                          <pic:cNvPicPr>
                            <a:picLocks noChangeAspect="1"/>
                          </pic:cNvPicPr>
                        </pic:nvPicPr>
                        <pic:blipFill>
                          <a:blip r:embed="rId22"/>
                          <a:stretch>
                            <a:fillRect/>
                          </a:stretch>
                        </pic:blipFill>
                        <pic:spPr>
                          <a:xfrm rot="5400000">
                            <a:off x="0" y="0"/>
                            <a:ext cx="3308350" cy="4736465"/>
                          </a:xfrm>
                          <a:prstGeom prst="rect">
                            <a:avLst/>
                          </a:prstGeom>
                          <a:noFill/>
                          <a:ln>
                            <a:noFill/>
                          </a:ln>
                        </pic:spPr>
                      </pic:pic>
                    </a:graphicData>
                  </a:graphic>
                </wp:inline>
              </w:drawing>
            </w:r>
          </w:p>
          <w:p w14:paraId="747CE9A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422" w:firstLineChars="200"/>
              <w:jc w:val="center"/>
              <w:textAlignment w:val="auto"/>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1"/>
                <w:szCs w:val="21"/>
                <w:highlight w:val="none"/>
                <w:lang w:val="en-US" w:eastAsia="zh-CN"/>
              </w:rPr>
              <w:t>图3-4   水土流失现状图</w:t>
            </w:r>
          </w:p>
          <w:p w14:paraId="21CA92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textAlignment w:val="auto"/>
              <w:rPr>
                <w:rFonts w:hint="default" w:ascii="Times New Roman" w:hAnsi="Times New Roman" w:eastAsia="宋体" w:cs="Times New Roman"/>
                <w:b/>
                <w:bCs/>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2</w:t>
            </w: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w:t>
            </w: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环境空气</w:t>
            </w:r>
            <w:r>
              <w:rPr>
                <w:rFonts w:hint="default" w:ascii="Times New Roman" w:hAnsi="Times New Roman" w:eastAsia="宋体" w:cs="Times New Roman"/>
                <w:b/>
                <w:bCs/>
                <w:caps w:val="0"/>
                <w:smallCaps w:val="0"/>
                <w:color w:val="auto"/>
                <w:spacing w:val="0"/>
                <w:w w:val="100"/>
                <w:kern w:val="2"/>
                <w:position w:val="0"/>
                <w:sz w:val="24"/>
                <w:highlight w:val="none"/>
                <w:lang w:eastAsia="zh-CN"/>
              </w:rPr>
              <w:t>现状评价</w:t>
            </w:r>
          </w:p>
          <w:p w14:paraId="1C9080E0">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 w:val="24"/>
                <w:szCs w:val="20"/>
                <w:highlight w:val="none"/>
              </w:rPr>
            </w:pPr>
            <w:r>
              <w:rPr>
                <w:rFonts w:hint="default" w:ascii="Times New Roman" w:hAnsi="Times New Roman" w:eastAsia="宋体" w:cs="Times New Roman"/>
                <w:color w:val="000000"/>
                <w:sz w:val="24"/>
                <w:highlight w:val="none"/>
                <w:lang w:val="en-US" w:eastAsia="zh-CN"/>
              </w:rPr>
              <w:t>本次环境空气质量现状采用202</w:t>
            </w:r>
            <w:r>
              <w:rPr>
                <w:rFonts w:hint="eastAsia" w:ascii="Times New Roman" w:hAnsi="Times New Roman" w:eastAsia="宋体" w:cs="Times New Roman"/>
                <w:color w:val="000000"/>
                <w:sz w:val="24"/>
                <w:highlight w:val="none"/>
                <w:lang w:val="en-US" w:eastAsia="zh-CN"/>
              </w:rPr>
              <w:t>4</w:t>
            </w:r>
            <w:r>
              <w:rPr>
                <w:rFonts w:hint="default" w:ascii="Times New Roman" w:hAnsi="Times New Roman" w:eastAsia="宋体" w:cs="Times New Roman"/>
                <w:color w:val="000000"/>
                <w:sz w:val="24"/>
                <w:highlight w:val="none"/>
                <w:lang w:val="en-US" w:eastAsia="zh-CN"/>
              </w:rPr>
              <w:t>年巴音郭楞蒙古自治州</w:t>
            </w:r>
            <w:r>
              <w:rPr>
                <w:rFonts w:hint="eastAsia" w:ascii="Times New Roman" w:hAnsi="Times New Roman" w:eastAsia="宋体" w:cs="Times New Roman"/>
                <w:color w:val="000000"/>
                <w:sz w:val="24"/>
                <w:highlight w:val="none"/>
                <w:lang w:val="en-US" w:eastAsia="zh-CN"/>
              </w:rPr>
              <w:t>轮台县环境空气质量监测站</w:t>
            </w:r>
            <w:r>
              <w:rPr>
                <w:rFonts w:hint="default" w:ascii="Times New Roman" w:hAnsi="Times New Roman" w:eastAsia="宋体" w:cs="Times New Roman"/>
                <w:color w:val="000000"/>
                <w:sz w:val="24"/>
                <w:highlight w:val="none"/>
                <w:lang w:val="en-US" w:eastAsia="zh-CN"/>
              </w:rPr>
              <w:t>中公布的</w:t>
            </w:r>
            <w:r>
              <w:rPr>
                <w:rFonts w:hint="eastAsia" w:ascii="Times New Roman" w:hAnsi="Times New Roman" w:eastAsia="宋体" w:cs="Times New Roman"/>
                <w:color w:val="000000"/>
                <w:sz w:val="24"/>
                <w:highlight w:val="none"/>
                <w:lang w:val="en-US" w:eastAsia="zh-CN"/>
              </w:rPr>
              <w:t>轮台县</w:t>
            </w:r>
            <w:r>
              <w:rPr>
                <w:rFonts w:hint="default" w:ascii="Times New Roman" w:hAnsi="Times New Roman" w:eastAsia="宋体" w:cs="Times New Roman"/>
                <w:color w:val="000000"/>
                <w:sz w:val="24"/>
                <w:highlight w:val="none"/>
                <w:lang w:val="en-US" w:eastAsia="zh-CN"/>
              </w:rPr>
              <w:t>202</w:t>
            </w:r>
            <w:r>
              <w:rPr>
                <w:rFonts w:hint="eastAsia" w:ascii="Times New Roman" w:hAnsi="Times New Roman" w:eastAsia="宋体" w:cs="Times New Roman"/>
                <w:color w:val="000000"/>
                <w:sz w:val="24"/>
                <w:highlight w:val="none"/>
                <w:lang w:val="en-US" w:eastAsia="zh-CN"/>
              </w:rPr>
              <w:t>4</w:t>
            </w:r>
            <w:r>
              <w:rPr>
                <w:rFonts w:hint="default" w:ascii="Times New Roman" w:hAnsi="Times New Roman" w:eastAsia="宋体" w:cs="Times New Roman"/>
                <w:color w:val="000000"/>
                <w:sz w:val="24"/>
                <w:highlight w:val="none"/>
                <w:lang w:val="en-US" w:eastAsia="zh-CN"/>
              </w:rPr>
              <w:t>年SO</w:t>
            </w:r>
            <w:r>
              <w:rPr>
                <w:rFonts w:hint="default" w:ascii="Times New Roman" w:hAnsi="Times New Roman" w:eastAsia="宋体" w:cs="Times New Roman"/>
                <w:color w:val="000000"/>
                <w:sz w:val="24"/>
                <w:highlight w:val="none"/>
                <w:vertAlign w:val="subscript"/>
                <w:lang w:val="en-US" w:eastAsia="zh-CN"/>
              </w:rPr>
              <w:t>2</w:t>
            </w:r>
            <w:r>
              <w:rPr>
                <w:rFonts w:hint="default" w:ascii="Times New Roman" w:hAnsi="Times New Roman" w:eastAsia="宋体" w:cs="Times New Roman"/>
                <w:color w:val="000000"/>
                <w:sz w:val="24"/>
                <w:highlight w:val="none"/>
                <w:lang w:val="en-US" w:eastAsia="zh-CN"/>
              </w:rPr>
              <w:t>、NO</w:t>
            </w:r>
            <w:r>
              <w:rPr>
                <w:rFonts w:hint="default" w:ascii="Times New Roman" w:hAnsi="Times New Roman" w:eastAsia="宋体" w:cs="Times New Roman"/>
                <w:color w:val="000000"/>
                <w:sz w:val="24"/>
                <w:highlight w:val="none"/>
                <w:vertAlign w:val="subscript"/>
                <w:lang w:val="en-US" w:eastAsia="zh-CN"/>
              </w:rPr>
              <w:t>2</w:t>
            </w:r>
            <w:r>
              <w:rPr>
                <w:rFonts w:hint="default" w:ascii="Times New Roman" w:hAnsi="Times New Roman" w:eastAsia="宋体" w:cs="Times New Roman"/>
                <w:color w:val="000000"/>
                <w:sz w:val="24"/>
                <w:highlight w:val="none"/>
                <w:lang w:val="en-US" w:eastAsia="zh-CN"/>
              </w:rPr>
              <w:t>、CO、O</w:t>
            </w:r>
            <w:r>
              <w:rPr>
                <w:rFonts w:hint="default" w:ascii="Times New Roman" w:hAnsi="Times New Roman" w:eastAsia="宋体" w:cs="Times New Roman"/>
                <w:color w:val="000000"/>
                <w:sz w:val="24"/>
                <w:highlight w:val="none"/>
                <w:vertAlign w:val="subscript"/>
                <w:lang w:val="en-US" w:eastAsia="zh-CN"/>
              </w:rPr>
              <w:t>3</w:t>
            </w:r>
            <w:r>
              <w:rPr>
                <w:rFonts w:hint="default" w:ascii="Times New Roman" w:hAnsi="Times New Roman" w:eastAsia="宋体" w:cs="Times New Roman"/>
                <w:color w:val="000000"/>
                <w:sz w:val="24"/>
                <w:highlight w:val="none"/>
                <w:lang w:val="en-US" w:eastAsia="zh-CN"/>
              </w:rPr>
              <w:t>、PM</w:t>
            </w:r>
            <w:r>
              <w:rPr>
                <w:rFonts w:hint="default" w:ascii="Times New Roman" w:hAnsi="Times New Roman" w:eastAsia="宋体" w:cs="Times New Roman"/>
                <w:color w:val="000000"/>
                <w:sz w:val="24"/>
                <w:highlight w:val="none"/>
                <w:vertAlign w:val="subscript"/>
                <w:lang w:val="en-US" w:eastAsia="zh-CN"/>
              </w:rPr>
              <w:t>10</w:t>
            </w:r>
            <w:r>
              <w:rPr>
                <w:rFonts w:hint="default" w:ascii="Times New Roman" w:hAnsi="Times New Roman" w:eastAsia="宋体" w:cs="Times New Roman"/>
                <w:color w:val="000000"/>
                <w:sz w:val="24"/>
                <w:highlight w:val="none"/>
                <w:lang w:val="en-US" w:eastAsia="zh-CN"/>
              </w:rPr>
              <w:t>、PM</w:t>
            </w:r>
            <w:r>
              <w:rPr>
                <w:rFonts w:hint="eastAsia" w:ascii="Times New Roman" w:hAnsi="Times New Roman" w:eastAsia="宋体" w:cs="Times New Roman"/>
                <w:color w:val="000000"/>
                <w:sz w:val="24"/>
                <w:highlight w:val="none"/>
                <w:vertAlign w:val="subscript"/>
                <w:lang w:val="en-US" w:eastAsia="zh-CN"/>
              </w:rPr>
              <w:t>2.5</w:t>
            </w:r>
            <w:r>
              <w:rPr>
                <w:rFonts w:hint="eastAsia" w:ascii="Times New Roman" w:hAnsi="Times New Roman" w:eastAsia="宋体" w:cs="Times New Roman"/>
                <w:color w:val="000000"/>
                <w:sz w:val="24"/>
                <w:highlight w:val="none"/>
                <w:lang w:val="en-US" w:eastAsia="zh-CN"/>
              </w:rPr>
              <w:t>等</w:t>
            </w:r>
            <w:r>
              <w:rPr>
                <w:rFonts w:hint="default" w:ascii="Times New Roman" w:hAnsi="Times New Roman" w:eastAsia="宋体" w:cs="Times New Roman"/>
                <w:color w:val="000000"/>
                <w:sz w:val="24"/>
                <w:highlight w:val="none"/>
                <w:lang w:val="en-US" w:eastAsia="zh-CN"/>
              </w:rPr>
              <w:t>六项基本污染物环境空气质量现状数据</w:t>
            </w:r>
            <w:r>
              <w:rPr>
                <w:rFonts w:hint="eastAsia" w:ascii="Times New Roman" w:hAnsi="Times New Roman" w:eastAsia="宋体" w:cs="Times New Roman"/>
                <w:color w:val="000000"/>
                <w:sz w:val="24"/>
                <w:highlight w:val="none"/>
                <w:lang w:val="en-US" w:eastAsia="zh-CN"/>
              </w:rPr>
              <w:t>，详见下表</w:t>
            </w:r>
            <w:r>
              <w:rPr>
                <w:bCs/>
                <w:color w:val="auto"/>
                <w:sz w:val="24"/>
                <w:highlight w:val="none"/>
              </w:rPr>
              <w:t>。</w:t>
            </w:r>
          </w:p>
          <w:p w14:paraId="1C759A0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宋体" w:cs="Times New Roman"/>
                <w:b/>
                <w:bCs/>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bCs/>
                <w:caps w:val="0"/>
                <w:smallCaps w:val="0"/>
                <w:snapToGrid w:val="0"/>
                <w:color w:val="auto"/>
                <w:spacing w:val="0"/>
                <w:w w:val="100"/>
                <w:kern w:val="2"/>
                <w:position w:val="0"/>
                <w:sz w:val="21"/>
                <w:szCs w:val="21"/>
                <w:highlight w:val="none"/>
                <w:lang w:val="en-US" w:eastAsia="zh-CN" w:bidi="ar-SA"/>
              </w:rPr>
              <w:t>表3-</w:t>
            </w:r>
            <w:r>
              <w:rPr>
                <w:rFonts w:hint="eastAsia" w:ascii="Times New Roman" w:hAnsi="Times New Roman" w:eastAsia="宋体" w:cs="Times New Roman"/>
                <w:b/>
                <w:bCs/>
                <w:caps w:val="0"/>
                <w:smallCaps w:val="0"/>
                <w:snapToGrid w:val="0"/>
                <w:color w:val="auto"/>
                <w:spacing w:val="0"/>
                <w:w w:val="100"/>
                <w:kern w:val="2"/>
                <w:position w:val="0"/>
                <w:sz w:val="21"/>
                <w:szCs w:val="21"/>
                <w:highlight w:val="none"/>
                <w:lang w:val="en-US" w:eastAsia="zh-CN" w:bidi="ar-SA"/>
              </w:rPr>
              <w:t>3</w:t>
            </w:r>
            <w:r>
              <w:rPr>
                <w:rFonts w:hint="default" w:ascii="Times New Roman" w:hAnsi="Times New Roman" w:eastAsia="宋体" w:cs="Times New Roman"/>
                <w:b/>
                <w:bCs/>
                <w:caps w:val="0"/>
                <w:smallCaps w:val="0"/>
                <w:snapToGrid w:val="0"/>
                <w:color w:val="auto"/>
                <w:spacing w:val="0"/>
                <w:w w:val="100"/>
                <w:kern w:val="2"/>
                <w:position w:val="0"/>
                <w:sz w:val="21"/>
                <w:szCs w:val="21"/>
                <w:highlight w:val="none"/>
                <w:lang w:val="en-US" w:eastAsia="zh-CN" w:bidi="ar-SA"/>
              </w:rPr>
              <w:t xml:space="preserve">    </w:t>
            </w:r>
            <w:r>
              <w:rPr>
                <w:rFonts w:hint="eastAsia" w:ascii="Times New Roman" w:hAnsi="Times New Roman" w:eastAsia="宋体" w:cs="Times New Roman"/>
                <w:b/>
                <w:bCs/>
                <w:caps w:val="0"/>
                <w:smallCaps w:val="0"/>
                <w:snapToGrid w:val="0"/>
                <w:color w:val="auto"/>
                <w:spacing w:val="0"/>
                <w:w w:val="100"/>
                <w:kern w:val="2"/>
                <w:position w:val="0"/>
                <w:sz w:val="21"/>
                <w:szCs w:val="21"/>
                <w:highlight w:val="none"/>
                <w:lang w:val="en-US" w:eastAsia="zh-CN" w:bidi="ar-SA"/>
              </w:rPr>
              <w:t xml:space="preserve">   </w:t>
            </w:r>
            <w:r>
              <w:rPr>
                <w:rFonts w:hint="default" w:ascii="Times New Roman" w:hAnsi="Times New Roman" w:eastAsia="宋体" w:cs="Times New Roman"/>
                <w:b/>
                <w:bCs/>
                <w:caps w:val="0"/>
                <w:smallCaps w:val="0"/>
                <w:snapToGrid w:val="0"/>
                <w:color w:val="auto"/>
                <w:spacing w:val="0"/>
                <w:w w:val="100"/>
                <w:kern w:val="2"/>
                <w:position w:val="0"/>
                <w:sz w:val="21"/>
                <w:szCs w:val="21"/>
                <w:highlight w:val="none"/>
                <w:lang w:val="en-US" w:eastAsia="zh-CN" w:bidi="ar-SA"/>
              </w:rPr>
              <w:t>轮台县2024年环境空气质量数据</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1856"/>
              <w:gridCol w:w="1367"/>
              <w:gridCol w:w="1695"/>
              <w:gridCol w:w="776"/>
              <w:gridCol w:w="681"/>
            </w:tblGrid>
            <w:tr w14:paraId="1F037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tcBorders>
                    <w:tl2br w:val="nil"/>
                    <w:tr2bl w:val="nil"/>
                  </w:tcBorders>
                  <w:noWrap w:val="0"/>
                  <w:vAlign w:val="center"/>
                </w:tcPr>
                <w:p w14:paraId="16CBBC5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污染物</w:t>
                  </w:r>
                </w:p>
              </w:tc>
              <w:tc>
                <w:tcPr>
                  <w:tcW w:w="1198" w:type="pct"/>
                  <w:tcBorders>
                    <w:tl2br w:val="nil"/>
                    <w:tr2bl w:val="nil"/>
                  </w:tcBorders>
                  <w:noWrap w:val="0"/>
                  <w:vAlign w:val="center"/>
                </w:tcPr>
                <w:p w14:paraId="058A1A5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评价项目</w:t>
                  </w:r>
                </w:p>
              </w:tc>
              <w:tc>
                <w:tcPr>
                  <w:tcW w:w="882" w:type="pct"/>
                  <w:tcBorders>
                    <w:tl2br w:val="nil"/>
                    <w:tr2bl w:val="nil"/>
                  </w:tcBorders>
                  <w:noWrap w:val="0"/>
                  <w:vAlign w:val="center"/>
                </w:tcPr>
                <w:p w14:paraId="2CF4E8D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浓度（μg/m3）</w:t>
                  </w:r>
                </w:p>
              </w:tc>
              <w:tc>
                <w:tcPr>
                  <w:tcW w:w="1094" w:type="pct"/>
                  <w:tcBorders>
                    <w:tl2br w:val="nil"/>
                    <w:tr2bl w:val="nil"/>
                  </w:tcBorders>
                  <w:noWrap w:val="0"/>
                  <w:vAlign w:val="center"/>
                </w:tcPr>
                <w:p w14:paraId="2C7E25A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标准（二级）（μg/m3）</w:t>
                  </w:r>
                </w:p>
              </w:tc>
              <w:tc>
                <w:tcPr>
                  <w:tcW w:w="501" w:type="pct"/>
                  <w:tcBorders>
                    <w:tl2br w:val="nil"/>
                    <w:tr2bl w:val="nil"/>
                  </w:tcBorders>
                  <w:noWrap w:val="0"/>
                  <w:vAlign w:val="center"/>
                </w:tcPr>
                <w:p w14:paraId="5DCB4BB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占标率%</w:t>
                  </w:r>
                </w:p>
              </w:tc>
              <w:tc>
                <w:tcPr>
                  <w:tcW w:w="439" w:type="pct"/>
                  <w:tcBorders>
                    <w:tl2br w:val="nil"/>
                    <w:tr2bl w:val="nil"/>
                  </w:tcBorders>
                  <w:noWrap w:val="0"/>
                  <w:vAlign w:val="center"/>
                </w:tcPr>
                <w:p w14:paraId="521FE1E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达标情况</w:t>
                  </w:r>
                </w:p>
              </w:tc>
            </w:tr>
            <w:tr w14:paraId="48FE0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vMerge w:val="restart"/>
                  <w:tcBorders>
                    <w:tl2br w:val="nil"/>
                    <w:tr2bl w:val="nil"/>
                  </w:tcBorders>
                  <w:noWrap w:val="0"/>
                  <w:vAlign w:val="center"/>
                </w:tcPr>
                <w:p w14:paraId="64C266F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SO</w:t>
                  </w: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vertAlign w:val="subscript"/>
                      <w:lang w:val="en-US" w:eastAsia="zh-CN" w:bidi="ar-SA"/>
                    </w:rPr>
                    <w:t>2</w:t>
                  </w:r>
                </w:p>
              </w:tc>
              <w:tc>
                <w:tcPr>
                  <w:tcW w:w="1198" w:type="pct"/>
                  <w:tcBorders>
                    <w:tl2br w:val="nil"/>
                    <w:tr2bl w:val="nil"/>
                  </w:tcBorders>
                  <w:noWrap w:val="0"/>
                  <w:vAlign w:val="center"/>
                </w:tcPr>
                <w:p w14:paraId="66BE2F5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年平均</w:t>
                  </w:r>
                </w:p>
              </w:tc>
              <w:tc>
                <w:tcPr>
                  <w:tcW w:w="882" w:type="pct"/>
                  <w:tcBorders>
                    <w:tl2br w:val="nil"/>
                    <w:tr2bl w:val="nil"/>
                  </w:tcBorders>
                  <w:noWrap w:val="0"/>
                  <w:vAlign w:val="center"/>
                </w:tcPr>
                <w:p w14:paraId="12CFCAA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5</w:t>
                  </w:r>
                </w:p>
              </w:tc>
              <w:tc>
                <w:tcPr>
                  <w:tcW w:w="1094" w:type="pct"/>
                  <w:tcBorders>
                    <w:tl2br w:val="nil"/>
                    <w:tr2bl w:val="nil"/>
                  </w:tcBorders>
                  <w:noWrap w:val="0"/>
                  <w:vAlign w:val="center"/>
                </w:tcPr>
                <w:p w14:paraId="52A78FB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60</w:t>
                  </w:r>
                </w:p>
              </w:tc>
              <w:tc>
                <w:tcPr>
                  <w:tcW w:w="501" w:type="pct"/>
                  <w:tcBorders>
                    <w:tl2br w:val="nil"/>
                    <w:tr2bl w:val="nil"/>
                  </w:tcBorders>
                  <w:noWrap w:val="0"/>
                  <w:vAlign w:val="center"/>
                </w:tcPr>
                <w:p w14:paraId="728B3C7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8</w:t>
                  </w:r>
                </w:p>
              </w:tc>
              <w:tc>
                <w:tcPr>
                  <w:tcW w:w="439" w:type="pct"/>
                  <w:tcBorders>
                    <w:tl2br w:val="nil"/>
                    <w:tr2bl w:val="nil"/>
                  </w:tcBorders>
                  <w:noWrap w:val="0"/>
                  <w:vAlign w:val="center"/>
                </w:tcPr>
                <w:p w14:paraId="0B3514B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达标</w:t>
                  </w:r>
                </w:p>
              </w:tc>
            </w:tr>
            <w:tr w14:paraId="5552E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vMerge w:val="continue"/>
                  <w:tcBorders>
                    <w:tl2br w:val="nil"/>
                    <w:tr2bl w:val="nil"/>
                  </w:tcBorders>
                  <w:noWrap w:val="0"/>
                  <w:vAlign w:val="center"/>
                </w:tcPr>
                <w:p w14:paraId="263548E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p>
              </w:tc>
              <w:tc>
                <w:tcPr>
                  <w:tcW w:w="1198" w:type="pct"/>
                  <w:tcBorders>
                    <w:tl2br w:val="nil"/>
                    <w:tr2bl w:val="nil"/>
                  </w:tcBorders>
                  <w:noWrap w:val="0"/>
                  <w:vAlign w:val="center"/>
                </w:tcPr>
                <w:p w14:paraId="0B8AF0D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24h平均第98百分位数</w:t>
                  </w:r>
                </w:p>
              </w:tc>
              <w:tc>
                <w:tcPr>
                  <w:tcW w:w="882" w:type="pct"/>
                  <w:tcBorders>
                    <w:tl2br w:val="nil"/>
                    <w:tr2bl w:val="nil"/>
                  </w:tcBorders>
                  <w:noWrap w:val="0"/>
                  <w:vAlign w:val="center"/>
                </w:tcPr>
                <w:p w14:paraId="6126CE1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10</w:t>
                  </w:r>
                </w:p>
              </w:tc>
              <w:tc>
                <w:tcPr>
                  <w:tcW w:w="1094" w:type="pct"/>
                  <w:tcBorders>
                    <w:tl2br w:val="nil"/>
                    <w:tr2bl w:val="nil"/>
                  </w:tcBorders>
                  <w:noWrap w:val="0"/>
                  <w:vAlign w:val="center"/>
                </w:tcPr>
                <w:p w14:paraId="6058605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150</w:t>
                  </w:r>
                </w:p>
              </w:tc>
              <w:tc>
                <w:tcPr>
                  <w:tcW w:w="501" w:type="pct"/>
                  <w:tcBorders>
                    <w:tl2br w:val="nil"/>
                    <w:tr2bl w:val="nil"/>
                  </w:tcBorders>
                  <w:noWrap w:val="0"/>
                  <w:vAlign w:val="center"/>
                </w:tcPr>
                <w:p w14:paraId="2F3D5F0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7</w:t>
                  </w:r>
                </w:p>
              </w:tc>
              <w:tc>
                <w:tcPr>
                  <w:tcW w:w="439" w:type="pct"/>
                  <w:tcBorders>
                    <w:tl2br w:val="nil"/>
                    <w:tr2bl w:val="nil"/>
                  </w:tcBorders>
                  <w:noWrap w:val="0"/>
                  <w:vAlign w:val="center"/>
                </w:tcPr>
                <w:p w14:paraId="10091B6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达标</w:t>
                  </w:r>
                </w:p>
              </w:tc>
            </w:tr>
            <w:tr w14:paraId="68741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vMerge w:val="restart"/>
                  <w:tcBorders>
                    <w:tl2br w:val="nil"/>
                    <w:tr2bl w:val="nil"/>
                  </w:tcBorders>
                  <w:noWrap w:val="0"/>
                  <w:vAlign w:val="center"/>
                </w:tcPr>
                <w:p w14:paraId="6507AAE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NO</w:t>
                  </w: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vertAlign w:val="subscript"/>
                      <w:lang w:val="en-US" w:eastAsia="zh-CN" w:bidi="ar-SA"/>
                    </w:rPr>
                    <w:t>2</w:t>
                  </w:r>
                </w:p>
              </w:tc>
              <w:tc>
                <w:tcPr>
                  <w:tcW w:w="1198" w:type="pct"/>
                  <w:tcBorders>
                    <w:tl2br w:val="nil"/>
                    <w:tr2bl w:val="nil"/>
                  </w:tcBorders>
                  <w:noWrap w:val="0"/>
                  <w:vAlign w:val="center"/>
                </w:tcPr>
                <w:p w14:paraId="405554B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年平均</w:t>
                  </w:r>
                </w:p>
              </w:tc>
              <w:tc>
                <w:tcPr>
                  <w:tcW w:w="882" w:type="pct"/>
                  <w:tcBorders>
                    <w:tl2br w:val="nil"/>
                    <w:tr2bl w:val="nil"/>
                  </w:tcBorders>
                  <w:noWrap w:val="0"/>
                  <w:vAlign w:val="center"/>
                </w:tcPr>
                <w:p w14:paraId="04D42A0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19</w:t>
                  </w:r>
                </w:p>
              </w:tc>
              <w:tc>
                <w:tcPr>
                  <w:tcW w:w="1094" w:type="pct"/>
                  <w:tcBorders>
                    <w:tl2br w:val="nil"/>
                    <w:tr2bl w:val="nil"/>
                  </w:tcBorders>
                  <w:noWrap w:val="0"/>
                  <w:vAlign w:val="center"/>
                </w:tcPr>
                <w:p w14:paraId="3663C63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40</w:t>
                  </w:r>
                </w:p>
              </w:tc>
              <w:tc>
                <w:tcPr>
                  <w:tcW w:w="501" w:type="pct"/>
                  <w:tcBorders>
                    <w:tl2br w:val="nil"/>
                    <w:tr2bl w:val="nil"/>
                  </w:tcBorders>
                  <w:noWrap w:val="0"/>
                  <w:vAlign w:val="center"/>
                </w:tcPr>
                <w:p w14:paraId="07EE197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48</w:t>
                  </w:r>
                </w:p>
              </w:tc>
              <w:tc>
                <w:tcPr>
                  <w:tcW w:w="439" w:type="pct"/>
                  <w:tcBorders>
                    <w:tl2br w:val="nil"/>
                    <w:tr2bl w:val="nil"/>
                  </w:tcBorders>
                  <w:noWrap w:val="0"/>
                  <w:vAlign w:val="center"/>
                </w:tcPr>
                <w:p w14:paraId="076B05A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达标</w:t>
                  </w:r>
                </w:p>
              </w:tc>
            </w:tr>
            <w:tr w14:paraId="245E4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vMerge w:val="continue"/>
                  <w:tcBorders>
                    <w:tl2br w:val="nil"/>
                    <w:tr2bl w:val="nil"/>
                  </w:tcBorders>
                  <w:noWrap w:val="0"/>
                  <w:vAlign w:val="center"/>
                </w:tcPr>
                <w:p w14:paraId="5D6615E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p>
              </w:tc>
              <w:tc>
                <w:tcPr>
                  <w:tcW w:w="1198" w:type="pct"/>
                  <w:tcBorders>
                    <w:tl2br w:val="nil"/>
                    <w:tr2bl w:val="nil"/>
                  </w:tcBorders>
                  <w:noWrap w:val="0"/>
                  <w:vAlign w:val="center"/>
                </w:tcPr>
                <w:p w14:paraId="39DD011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24h平均第98百分位数</w:t>
                  </w:r>
                </w:p>
              </w:tc>
              <w:tc>
                <w:tcPr>
                  <w:tcW w:w="882" w:type="pct"/>
                  <w:tcBorders>
                    <w:tl2br w:val="nil"/>
                    <w:tr2bl w:val="nil"/>
                  </w:tcBorders>
                  <w:noWrap w:val="0"/>
                  <w:vAlign w:val="center"/>
                </w:tcPr>
                <w:p w14:paraId="40CB22E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43</w:t>
                  </w:r>
                </w:p>
              </w:tc>
              <w:tc>
                <w:tcPr>
                  <w:tcW w:w="1094" w:type="pct"/>
                  <w:tcBorders>
                    <w:tl2br w:val="nil"/>
                    <w:tr2bl w:val="nil"/>
                  </w:tcBorders>
                  <w:noWrap w:val="0"/>
                  <w:vAlign w:val="center"/>
                </w:tcPr>
                <w:p w14:paraId="68939BF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80</w:t>
                  </w:r>
                </w:p>
              </w:tc>
              <w:tc>
                <w:tcPr>
                  <w:tcW w:w="501" w:type="pct"/>
                  <w:tcBorders>
                    <w:tl2br w:val="nil"/>
                    <w:tr2bl w:val="nil"/>
                  </w:tcBorders>
                  <w:noWrap w:val="0"/>
                  <w:vAlign w:val="center"/>
                </w:tcPr>
                <w:p w14:paraId="74486F4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54</w:t>
                  </w:r>
                </w:p>
              </w:tc>
              <w:tc>
                <w:tcPr>
                  <w:tcW w:w="439" w:type="pct"/>
                  <w:tcBorders>
                    <w:tl2br w:val="nil"/>
                    <w:tr2bl w:val="nil"/>
                  </w:tcBorders>
                  <w:noWrap w:val="0"/>
                  <w:vAlign w:val="center"/>
                </w:tcPr>
                <w:p w14:paraId="7C51582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达标</w:t>
                  </w:r>
                </w:p>
              </w:tc>
            </w:tr>
            <w:tr w14:paraId="2ACC7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tcBorders>
                    <w:tl2br w:val="nil"/>
                    <w:tr2bl w:val="nil"/>
                  </w:tcBorders>
                  <w:noWrap w:val="0"/>
                  <w:vAlign w:val="center"/>
                </w:tcPr>
                <w:p w14:paraId="2A01187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CO（mg/m</w:t>
                  </w: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vertAlign w:val="superscript"/>
                      <w:lang w:val="en-US" w:eastAsia="zh-CN" w:bidi="ar-SA"/>
                    </w:rPr>
                    <w:t>3</w:t>
                  </w: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w:t>
                  </w:r>
                </w:p>
              </w:tc>
              <w:tc>
                <w:tcPr>
                  <w:tcW w:w="1198" w:type="pct"/>
                  <w:tcBorders>
                    <w:tl2br w:val="nil"/>
                    <w:tr2bl w:val="nil"/>
                  </w:tcBorders>
                  <w:noWrap w:val="0"/>
                  <w:vAlign w:val="center"/>
                </w:tcPr>
                <w:p w14:paraId="72069CC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24h平均第95百分位数</w:t>
                  </w:r>
                </w:p>
              </w:tc>
              <w:tc>
                <w:tcPr>
                  <w:tcW w:w="882" w:type="pct"/>
                  <w:tcBorders>
                    <w:tl2br w:val="nil"/>
                    <w:tr2bl w:val="nil"/>
                  </w:tcBorders>
                  <w:noWrap w:val="0"/>
                  <w:vAlign w:val="center"/>
                </w:tcPr>
                <w:p w14:paraId="0ABE563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1.8</w:t>
                  </w:r>
                </w:p>
              </w:tc>
              <w:tc>
                <w:tcPr>
                  <w:tcW w:w="1094" w:type="pct"/>
                  <w:tcBorders>
                    <w:tl2br w:val="nil"/>
                    <w:tr2bl w:val="nil"/>
                  </w:tcBorders>
                  <w:noWrap w:val="0"/>
                  <w:vAlign w:val="center"/>
                </w:tcPr>
                <w:p w14:paraId="7C58039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4</w:t>
                  </w:r>
                </w:p>
              </w:tc>
              <w:tc>
                <w:tcPr>
                  <w:tcW w:w="501" w:type="pct"/>
                  <w:tcBorders>
                    <w:tl2br w:val="nil"/>
                    <w:tr2bl w:val="nil"/>
                  </w:tcBorders>
                  <w:noWrap w:val="0"/>
                  <w:vAlign w:val="center"/>
                </w:tcPr>
                <w:p w14:paraId="6814304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45</w:t>
                  </w:r>
                </w:p>
              </w:tc>
              <w:tc>
                <w:tcPr>
                  <w:tcW w:w="439" w:type="pct"/>
                  <w:tcBorders>
                    <w:tl2br w:val="nil"/>
                    <w:tr2bl w:val="nil"/>
                  </w:tcBorders>
                  <w:noWrap w:val="0"/>
                  <w:vAlign w:val="center"/>
                </w:tcPr>
                <w:p w14:paraId="522B279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达标</w:t>
                  </w:r>
                </w:p>
              </w:tc>
            </w:tr>
            <w:tr w14:paraId="12A39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tcBorders>
                    <w:tl2br w:val="nil"/>
                    <w:tr2bl w:val="nil"/>
                  </w:tcBorders>
                  <w:noWrap w:val="0"/>
                  <w:vAlign w:val="center"/>
                </w:tcPr>
                <w:p w14:paraId="750954C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O</w:t>
                  </w: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vertAlign w:val="subscript"/>
                      <w:lang w:val="en-US" w:eastAsia="zh-CN" w:bidi="ar-SA"/>
                    </w:rPr>
                    <w:t>3</w:t>
                  </w:r>
                </w:p>
              </w:tc>
              <w:tc>
                <w:tcPr>
                  <w:tcW w:w="1198" w:type="pct"/>
                  <w:tcBorders>
                    <w:tl2br w:val="nil"/>
                    <w:tr2bl w:val="nil"/>
                  </w:tcBorders>
                  <w:noWrap w:val="0"/>
                  <w:vAlign w:val="center"/>
                </w:tcPr>
                <w:p w14:paraId="6FC2684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最大8小时滑动平均值的第90百分位数</w:t>
                  </w:r>
                </w:p>
              </w:tc>
              <w:tc>
                <w:tcPr>
                  <w:tcW w:w="882" w:type="pct"/>
                  <w:tcBorders>
                    <w:tl2br w:val="nil"/>
                    <w:tr2bl w:val="nil"/>
                  </w:tcBorders>
                  <w:noWrap w:val="0"/>
                  <w:vAlign w:val="center"/>
                </w:tcPr>
                <w:p w14:paraId="0ADA280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118</w:t>
                  </w:r>
                </w:p>
              </w:tc>
              <w:tc>
                <w:tcPr>
                  <w:tcW w:w="1094" w:type="pct"/>
                  <w:tcBorders>
                    <w:tl2br w:val="nil"/>
                    <w:tr2bl w:val="nil"/>
                  </w:tcBorders>
                  <w:noWrap w:val="0"/>
                  <w:vAlign w:val="center"/>
                </w:tcPr>
                <w:p w14:paraId="538968C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160</w:t>
                  </w:r>
                </w:p>
              </w:tc>
              <w:tc>
                <w:tcPr>
                  <w:tcW w:w="501" w:type="pct"/>
                  <w:tcBorders>
                    <w:tl2br w:val="nil"/>
                    <w:tr2bl w:val="nil"/>
                  </w:tcBorders>
                  <w:noWrap w:val="0"/>
                  <w:vAlign w:val="center"/>
                </w:tcPr>
                <w:p w14:paraId="2772F71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74</w:t>
                  </w:r>
                </w:p>
              </w:tc>
              <w:tc>
                <w:tcPr>
                  <w:tcW w:w="439" w:type="pct"/>
                  <w:tcBorders>
                    <w:tl2br w:val="nil"/>
                    <w:tr2bl w:val="nil"/>
                  </w:tcBorders>
                  <w:noWrap w:val="0"/>
                  <w:vAlign w:val="center"/>
                </w:tcPr>
                <w:p w14:paraId="2A50504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达标</w:t>
                  </w:r>
                </w:p>
              </w:tc>
            </w:tr>
            <w:tr w14:paraId="75CA3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883" w:type="pct"/>
                  <w:vMerge w:val="restart"/>
                  <w:tcBorders>
                    <w:tl2br w:val="nil"/>
                    <w:tr2bl w:val="nil"/>
                  </w:tcBorders>
                  <w:noWrap w:val="0"/>
                  <w:vAlign w:val="center"/>
                </w:tcPr>
                <w:p w14:paraId="3591A56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PM</w:t>
                  </w: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vertAlign w:val="subscript"/>
                      <w:lang w:val="en-US" w:eastAsia="zh-CN" w:bidi="ar-SA"/>
                    </w:rPr>
                    <w:t>10</w:t>
                  </w:r>
                </w:p>
              </w:tc>
              <w:tc>
                <w:tcPr>
                  <w:tcW w:w="1198" w:type="pct"/>
                  <w:tcBorders>
                    <w:tl2br w:val="nil"/>
                    <w:tr2bl w:val="nil"/>
                  </w:tcBorders>
                  <w:noWrap w:val="0"/>
                  <w:vAlign w:val="center"/>
                </w:tcPr>
                <w:p w14:paraId="7428E92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年平均</w:t>
                  </w:r>
                </w:p>
              </w:tc>
              <w:tc>
                <w:tcPr>
                  <w:tcW w:w="882" w:type="pct"/>
                  <w:tcBorders>
                    <w:tl2br w:val="nil"/>
                    <w:tr2bl w:val="nil"/>
                  </w:tcBorders>
                  <w:noWrap w:val="0"/>
                  <w:vAlign w:val="center"/>
                </w:tcPr>
                <w:p w14:paraId="5F0B1B0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171</w:t>
                  </w:r>
                </w:p>
              </w:tc>
              <w:tc>
                <w:tcPr>
                  <w:tcW w:w="1094" w:type="pct"/>
                  <w:tcBorders>
                    <w:tl2br w:val="nil"/>
                    <w:tr2bl w:val="nil"/>
                  </w:tcBorders>
                  <w:noWrap w:val="0"/>
                  <w:vAlign w:val="center"/>
                </w:tcPr>
                <w:p w14:paraId="650BA31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70</w:t>
                  </w:r>
                </w:p>
              </w:tc>
              <w:tc>
                <w:tcPr>
                  <w:tcW w:w="501" w:type="pct"/>
                  <w:tcBorders>
                    <w:tl2br w:val="nil"/>
                    <w:tr2bl w:val="nil"/>
                  </w:tcBorders>
                  <w:noWrap w:val="0"/>
                  <w:vAlign w:val="center"/>
                </w:tcPr>
                <w:p w14:paraId="09CAD97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244</w:t>
                  </w:r>
                </w:p>
              </w:tc>
              <w:tc>
                <w:tcPr>
                  <w:tcW w:w="439" w:type="pct"/>
                  <w:tcBorders>
                    <w:tl2br w:val="nil"/>
                    <w:tr2bl w:val="nil"/>
                  </w:tcBorders>
                  <w:noWrap w:val="0"/>
                  <w:vAlign w:val="center"/>
                </w:tcPr>
                <w:p w14:paraId="49B6737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超标</w:t>
                  </w:r>
                </w:p>
              </w:tc>
            </w:tr>
            <w:tr w14:paraId="6DCC7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vMerge w:val="continue"/>
                  <w:tcBorders>
                    <w:tl2br w:val="nil"/>
                    <w:tr2bl w:val="nil"/>
                  </w:tcBorders>
                  <w:noWrap w:val="0"/>
                  <w:vAlign w:val="center"/>
                </w:tcPr>
                <w:p w14:paraId="3B0D8EF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p>
              </w:tc>
              <w:tc>
                <w:tcPr>
                  <w:tcW w:w="1198" w:type="pct"/>
                  <w:tcBorders>
                    <w:tl2br w:val="nil"/>
                    <w:tr2bl w:val="nil"/>
                  </w:tcBorders>
                  <w:noWrap w:val="0"/>
                  <w:vAlign w:val="center"/>
                </w:tcPr>
                <w:p w14:paraId="48836AD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24h平均第95百分位数</w:t>
                  </w:r>
                </w:p>
              </w:tc>
              <w:tc>
                <w:tcPr>
                  <w:tcW w:w="882" w:type="pct"/>
                  <w:tcBorders>
                    <w:tl2br w:val="nil"/>
                    <w:tr2bl w:val="nil"/>
                  </w:tcBorders>
                  <w:noWrap w:val="0"/>
                  <w:vAlign w:val="center"/>
                </w:tcPr>
                <w:p w14:paraId="66464D7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481</w:t>
                  </w:r>
                </w:p>
              </w:tc>
              <w:tc>
                <w:tcPr>
                  <w:tcW w:w="1094" w:type="pct"/>
                  <w:tcBorders>
                    <w:tl2br w:val="nil"/>
                    <w:tr2bl w:val="nil"/>
                  </w:tcBorders>
                  <w:noWrap w:val="0"/>
                  <w:vAlign w:val="center"/>
                </w:tcPr>
                <w:p w14:paraId="3DD6C10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150</w:t>
                  </w:r>
                </w:p>
              </w:tc>
              <w:tc>
                <w:tcPr>
                  <w:tcW w:w="501" w:type="pct"/>
                  <w:tcBorders>
                    <w:tl2br w:val="nil"/>
                    <w:tr2bl w:val="nil"/>
                  </w:tcBorders>
                  <w:noWrap w:val="0"/>
                  <w:vAlign w:val="center"/>
                </w:tcPr>
                <w:p w14:paraId="0385E0E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321</w:t>
                  </w:r>
                </w:p>
              </w:tc>
              <w:tc>
                <w:tcPr>
                  <w:tcW w:w="439" w:type="pct"/>
                  <w:tcBorders>
                    <w:tl2br w:val="nil"/>
                    <w:tr2bl w:val="nil"/>
                  </w:tcBorders>
                  <w:noWrap w:val="0"/>
                  <w:vAlign w:val="center"/>
                </w:tcPr>
                <w:p w14:paraId="0ADFBB7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超标</w:t>
                  </w:r>
                </w:p>
              </w:tc>
            </w:tr>
            <w:tr w14:paraId="72A5C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vMerge w:val="restart"/>
                  <w:tcBorders>
                    <w:tl2br w:val="nil"/>
                    <w:tr2bl w:val="nil"/>
                  </w:tcBorders>
                  <w:noWrap w:val="0"/>
                  <w:vAlign w:val="center"/>
                </w:tcPr>
                <w:p w14:paraId="6D597A5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PM</w:t>
                  </w: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vertAlign w:val="subscript"/>
                      <w:lang w:val="en-US" w:eastAsia="zh-CN" w:bidi="ar-SA"/>
                    </w:rPr>
                    <w:t>2.5</w:t>
                  </w:r>
                </w:p>
              </w:tc>
              <w:tc>
                <w:tcPr>
                  <w:tcW w:w="1198" w:type="pct"/>
                  <w:tcBorders>
                    <w:tl2br w:val="nil"/>
                    <w:tr2bl w:val="nil"/>
                  </w:tcBorders>
                  <w:noWrap w:val="0"/>
                  <w:vAlign w:val="center"/>
                </w:tcPr>
                <w:p w14:paraId="46D32D3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年平均</w:t>
                  </w:r>
                </w:p>
              </w:tc>
              <w:tc>
                <w:tcPr>
                  <w:tcW w:w="882" w:type="pct"/>
                  <w:tcBorders>
                    <w:tl2br w:val="nil"/>
                    <w:tr2bl w:val="nil"/>
                  </w:tcBorders>
                  <w:noWrap w:val="0"/>
                  <w:vAlign w:val="center"/>
                </w:tcPr>
                <w:p w14:paraId="01D1C32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52</w:t>
                  </w:r>
                </w:p>
              </w:tc>
              <w:tc>
                <w:tcPr>
                  <w:tcW w:w="1094" w:type="pct"/>
                  <w:tcBorders>
                    <w:tl2br w:val="nil"/>
                    <w:tr2bl w:val="nil"/>
                  </w:tcBorders>
                  <w:noWrap w:val="0"/>
                  <w:vAlign w:val="center"/>
                </w:tcPr>
                <w:p w14:paraId="0F70B8D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35</w:t>
                  </w:r>
                </w:p>
              </w:tc>
              <w:tc>
                <w:tcPr>
                  <w:tcW w:w="501" w:type="pct"/>
                  <w:tcBorders>
                    <w:tl2br w:val="nil"/>
                    <w:tr2bl w:val="nil"/>
                  </w:tcBorders>
                  <w:noWrap w:val="0"/>
                  <w:vAlign w:val="center"/>
                </w:tcPr>
                <w:p w14:paraId="4C6A7FC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149</w:t>
                  </w:r>
                </w:p>
              </w:tc>
              <w:tc>
                <w:tcPr>
                  <w:tcW w:w="439" w:type="pct"/>
                  <w:tcBorders>
                    <w:tl2br w:val="nil"/>
                    <w:tr2bl w:val="nil"/>
                  </w:tcBorders>
                  <w:noWrap w:val="0"/>
                  <w:vAlign w:val="center"/>
                </w:tcPr>
                <w:p w14:paraId="7B3AA02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超标</w:t>
                  </w:r>
                </w:p>
              </w:tc>
            </w:tr>
            <w:tr w14:paraId="5247E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pct"/>
                  <w:vMerge w:val="continue"/>
                  <w:tcBorders>
                    <w:tl2br w:val="nil"/>
                    <w:tr2bl w:val="nil"/>
                  </w:tcBorders>
                  <w:noWrap w:val="0"/>
                  <w:vAlign w:val="center"/>
                </w:tcPr>
                <w:p w14:paraId="35AA72B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p>
              </w:tc>
              <w:tc>
                <w:tcPr>
                  <w:tcW w:w="1198" w:type="pct"/>
                  <w:tcBorders>
                    <w:tl2br w:val="nil"/>
                    <w:tr2bl w:val="nil"/>
                  </w:tcBorders>
                  <w:noWrap w:val="0"/>
                  <w:vAlign w:val="center"/>
                </w:tcPr>
                <w:p w14:paraId="2B5456D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24h平均第95百分位数</w:t>
                  </w:r>
                </w:p>
              </w:tc>
              <w:tc>
                <w:tcPr>
                  <w:tcW w:w="882" w:type="pct"/>
                  <w:tcBorders>
                    <w:tl2br w:val="nil"/>
                    <w:tr2bl w:val="nil"/>
                  </w:tcBorders>
                  <w:noWrap w:val="0"/>
                  <w:vAlign w:val="center"/>
                </w:tcPr>
                <w:p w14:paraId="762EAC1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123</w:t>
                  </w:r>
                </w:p>
              </w:tc>
              <w:tc>
                <w:tcPr>
                  <w:tcW w:w="1094" w:type="pct"/>
                  <w:tcBorders>
                    <w:tl2br w:val="nil"/>
                    <w:tr2bl w:val="nil"/>
                  </w:tcBorders>
                  <w:noWrap w:val="0"/>
                  <w:vAlign w:val="center"/>
                </w:tcPr>
                <w:p w14:paraId="4B7BB45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75</w:t>
                  </w:r>
                </w:p>
              </w:tc>
              <w:tc>
                <w:tcPr>
                  <w:tcW w:w="501" w:type="pct"/>
                  <w:tcBorders>
                    <w:tl2br w:val="nil"/>
                    <w:tr2bl w:val="nil"/>
                  </w:tcBorders>
                  <w:noWrap w:val="0"/>
                  <w:vAlign w:val="center"/>
                </w:tcPr>
                <w:p w14:paraId="35B06BA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164</w:t>
                  </w:r>
                </w:p>
              </w:tc>
              <w:tc>
                <w:tcPr>
                  <w:tcW w:w="439" w:type="pct"/>
                  <w:tcBorders>
                    <w:tl2br w:val="nil"/>
                    <w:tr2bl w:val="nil"/>
                  </w:tcBorders>
                  <w:noWrap w:val="0"/>
                  <w:vAlign w:val="center"/>
                </w:tcPr>
                <w:p w14:paraId="34D424C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snapToGrid w:val="0"/>
                      <w:color w:val="auto"/>
                      <w:spacing w:val="0"/>
                      <w:w w:val="100"/>
                      <w:kern w:val="2"/>
                      <w:position w:val="0"/>
                      <w:sz w:val="21"/>
                      <w:szCs w:val="21"/>
                      <w:highlight w:val="none"/>
                      <w:lang w:val="en-US" w:eastAsia="zh-CN" w:bidi="ar-SA"/>
                    </w:rPr>
                    <w:t>超标</w:t>
                  </w:r>
                </w:p>
              </w:tc>
            </w:tr>
          </w:tbl>
          <w:p w14:paraId="56EA36B3">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根据上表结果，项目区域为环境空气质量不达标区，不达标因子为PM</w:t>
            </w:r>
            <w:r>
              <w:rPr>
                <w:color w:val="auto"/>
                <w:sz w:val="24"/>
                <w:highlight w:val="none"/>
                <w:vertAlign w:val="subscript"/>
              </w:rPr>
              <w:t>10、</w:t>
            </w:r>
            <w:r>
              <w:rPr>
                <w:color w:val="auto"/>
                <w:highlight w:val="none"/>
              </w:rPr>
              <w:t>PM</w:t>
            </w:r>
            <w:r>
              <w:rPr>
                <w:color w:val="auto"/>
                <w:highlight w:val="none"/>
                <w:vertAlign w:val="subscript"/>
              </w:rPr>
              <w:t>2.5</w:t>
            </w:r>
            <w:r>
              <w:rPr>
                <w:color w:val="auto"/>
                <w:sz w:val="24"/>
                <w:highlight w:val="none"/>
              </w:rPr>
              <w:t>，超标主要是由于当地气候条件干燥、自然扬尘较多。</w:t>
            </w:r>
          </w:p>
          <w:p w14:paraId="4856A19C">
            <w:pPr>
              <w:pStyle w:val="5"/>
              <w:pageBreakBefore w:val="0"/>
              <w:widowControl w:val="0"/>
              <w:kinsoku/>
              <w:wordWrap/>
              <w:overflowPunct/>
              <w:topLinePunct w:val="0"/>
              <w:autoSpaceDE/>
              <w:autoSpaceDN/>
              <w:bidi w:val="0"/>
              <w:adjustRightInd/>
              <w:snapToGrid/>
              <w:spacing w:before="0" w:beforeAutospacing="0" w:after="0" w:afterAutospacing="0" w:line="360" w:lineRule="auto"/>
              <w:ind w:right="0" w:rightChars="0"/>
              <w:textAlignment w:val="auto"/>
              <w:outlineLvl w:val="9"/>
              <w:rPr>
                <w:rFonts w:hint="default" w:ascii="Times New Roman" w:hAnsi="Times New Roman" w:eastAsia="宋体" w:cs="Times New Roman"/>
                <w:caps w:val="0"/>
                <w:smallCaps w:val="0"/>
                <w:color w:val="auto"/>
                <w:spacing w:val="0"/>
                <w:w w:val="100"/>
                <w:kern w:val="2"/>
                <w:position w:val="0"/>
                <w:sz w:val="24"/>
                <w:szCs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rPr>
              <w:t>3</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lang w:eastAsia="zh-CN"/>
              </w:rPr>
              <w:t>地表</w:t>
            </w:r>
            <w:r>
              <w:rPr>
                <w:rFonts w:hint="default" w:ascii="Times New Roman" w:hAnsi="Times New Roman" w:eastAsia="宋体" w:cs="Times New Roman"/>
                <w:caps w:val="0"/>
                <w:smallCaps w:val="0"/>
                <w:color w:val="auto"/>
                <w:spacing w:val="0"/>
                <w:w w:val="100"/>
                <w:kern w:val="2"/>
                <w:position w:val="0"/>
                <w:sz w:val="24"/>
                <w:szCs w:val="24"/>
                <w:highlight w:val="none"/>
              </w:rPr>
              <w:t>水环境</w:t>
            </w:r>
            <w:r>
              <w:rPr>
                <w:rFonts w:hint="default" w:ascii="Times New Roman" w:hAnsi="Times New Roman" w:eastAsia="宋体" w:cs="Times New Roman"/>
                <w:b/>
                <w:bCs/>
                <w:caps w:val="0"/>
                <w:smallCaps w:val="0"/>
                <w:color w:val="auto"/>
                <w:spacing w:val="0"/>
                <w:w w:val="100"/>
                <w:kern w:val="2"/>
                <w:position w:val="0"/>
                <w:sz w:val="24"/>
                <w:highlight w:val="none"/>
                <w:lang w:eastAsia="zh-CN"/>
              </w:rPr>
              <w:t>现状评价</w:t>
            </w:r>
          </w:p>
          <w:p w14:paraId="49DC18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eastAsia="宋体" w:cs="Times New Roman"/>
                <w:caps w:val="0"/>
                <w:smallCaps w:val="0"/>
                <w:color w:val="auto"/>
                <w:spacing w:val="0"/>
                <w:w w:val="100"/>
                <w:kern w:val="2"/>
                <w:position w:val="0"/>
                <w:sz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highlight w:val="none"/>
                <w:lang w:val="en-US" w:eastAsia="zh-CN"/>
              </w:rPr>
              <w:t>根据《2024年巴音郭楞蒙古自治州生态环境状况公报》可知：2024年，全州地表水监测的31个考核断面（点位）中 ，Ⅰ~Ⅲ类优良水质断面（点位）占比90.3%，无Ⅳ类水质。6条主要河流19个监测断面中Ⅰ~Ⅲ类优良水质断面占100%，3个重要湖泊（水库）12个监测点位中Ⅰ~Ⅲ类优良水质断面占75%，无劣Ⅴ类水体，湖泊水质影响因子为化学需氧量。</w:t>
            </w:r>
          </w:p>
          <w:p w14:paraId="2CF4BA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2"/>
                <w:position w:val="0"/>
                <w:sz w:val="24"/>
                <w:highlight w:val="none"/>
                <w:lang w:val="en-US" w:eastAsia="zh-CN"/>
              </w:rPr>
              <w:t>本项目位于阳霞艾肯河</w:t>
            </w:r>
            <w:r>
              <w:rPr>
                <w:rFonts w:hint="default" w:ascii="Times New Roman" w:hAnsi="Times New Roman" w:cs="Times New Roman"/>
                <w:b w:val="0"/>
                <w:bCs w:val="0"/>
                <w:caps w:val="0"/>
                <w:smallCaps w:val="0"/>
                <w:color w:val="auto"/>
                <w:spacing w:val="0"/>
                <w:w w:val="100"/>
                <w:kern w:val="2"/>
                <w:position w:val="0"/>
                <w:sz w:val="24"/>
                <w:szCs w:val="24"/>
                <w:highlight w:val="none"/>
                <w:lang w:eastAsia="zh-CN"/>
              </w:rPr>
              <w:t>，</w:t>
            </w:r>
            <w:r>
              <w:rPr>
                <w:rFonts w:hint="default" w:ascii="Times New Roman" w:hAnsi="Times New Roman" w:cs="Times New Roman"/>
                <w:b w:val="0"/>
                <w:bCs w:val="0"/>
                <w:caps w:val="0"/>
                <w:smallCaps w:val="0"/>
                <w:color w:val="auto"/>
                <w:spacing w:val="0"/>
                <w:w w:val="100"/>
                <w:kern w:val="2"/>
                <w:position w:val="0"/>
                <w:sz w:val="24"/>
                <w:szCs w:val="24"/>
                <w:highlight w:val="none"/>
                <w:lang w:val="en-US" w:eastAsia="zh-CN"/>
              </w:rPr>
              <w:t>根据《巴音郭楞蒙古自治州环境功能区划》阳霞艾肯河为</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Ⅰ</w:t>
            </w:r>
            <w:r>
              <w:rPr>
                <w:rFonts w:hint="default" w:ascii="Times New Roman" w:hAnsi="Times New Roman" w:cs="Times New Roman"/>
                <w:b w:val="0"/>
                <w:bCs w:val="0"/>
                <w:caps w:val="0"/>
                <w:smallCaps w:val="0"/>
                <w:color w:val="auto"/>
                <w:spacing w:val="0"/>
                <w:w w:val="100"/>
                <w:kern w:val="2"/>
                <w:position w:val="0"/>
                <w:sz w:val="24"/>
                <w:szCs w:val="24"/>
                <w:highlight w:val="none"/>
                <w:lang w:val="en-US" w:eastAsia="zh-CN"/>
              </w:rPr>
              <w:t>类水体，水质可达到《地表水环境质量标准》（GB3838-2002）Ⅰ类标准。</w:t>
            </w:r>
          </w:p>
          <w:p w14:paraId="0DC773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textAlignment w:val="auto"/>
              <w:rPr>
                <w:rFonts w:hint="default" w:ascii="Times New Roman" w:hAnsi="Times New Roman" w:eastAsia="宋体" w:cs="Times New Roman"/>
                <w:b/>
                <w:bCs/>
                <w:caps w:val="0"/>
                <w:smallCaps w:val="0"/>
                <w:snapToGrid w:val="0"/>
                <w:color w:val="auto"/>
                <w:spacing w:val="0"/>
                <w:w w:val="100"/>
                <w:kern w:val="2"/>
                <w:position w:val="0"/>
                <w:sz w:val="24"/>
                <w:highlight w:val="none"/>
                <w:lang w:val="en-US" w:eastAsia="zh-CN"/>
              </w:rPr>
            </w:pPr>
            <w:r>
              <w:rPr>
                <w:rFonts w:hint="default" w:ascii="Times New Roman" w:hAnsi="Times New Roman" w:eastAsia="宋体" w:cs="Times New Roman"/>
                <w:b/>
                <w:bCs/>
                <w:caps w:val="0"/>
                <w:smallCaps w:val="0"/>
                <w:snapToGrid w:val="0"/>
                <w:color w:val="auto"/>
                <w:spacing w:val="0"/>
                <w:w w:val="100"/>
                <w:kern w:val="2"/>
                <w:position w:val="0"/>
                <w:sz w:val="24"/>
                <w:highlight w:val="none"/>
                <w:lang w:val="en-US" w:eastAsia="zh-CN"/>
              </w:rPr>
              <w:t>4地下水环境现状调查</w:t>
            </w:r>
          </w:p>
          <w:p w14:paraId="1810D75D">
            <w:pPr>
              <w:keepNext/>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0"/>
                <w:highlight w:val="none"/>
                <w:lang w:val="en-US" w:eastAsia="zh-CN"/>
              </w:rPr>
            </w:pPr>
            <w:r>
              <w:rPr>
                <w:rFonts w:hint="eastAsia" w:ascii="Times New Roman" w:hAnsi="Times New Roman" w:eastAsia="宋体" w:cs="Times New Roman"/>
                <w:color w:val="auto"/>
                <w:kern w:val="0"/>
                <w:sz w:val="24"/>
                <w:szCs w:val="20"/>
                <w:highlight w:val="none"/>
                <w:lang w:val="en-US" w:eastAsia="zh-CN"/>
              </w:rPr>
              <w:t>根据《环境影响评价技术导则 地下水环境》（HJ610-2016）</w:t>
            </w:r>
            <w:r>
              <w:rPr>
                <w:rFonts w:hint="default" w:ascii="Times New Roman" w:hAnsi="Times New Roman" w:eastAsia="宋体" w:cs="Times New Roman"/>
                <w:color w:val="auto"/>
                <w:kern w:val="0"/>
                <w:sz w:val="24"/>
                <w:szCs w:val="20"/>
                <w:highlight w:val="none"/>
                <w:lang w:val="en-US" w:eastAsia="zh-CN"/>
              </w:rPr>
              <w:t>附录A《地下水环境影响评价行业分类表》</w:t>
            </w:r>
            <w:r>
              <w:rPr>
                <w:rFonts w:hint="eastAsia" w:ascii="Times New Roman" w:hAnsi="Times New Roman" w:eastAsia="宋体" w:cs="Times New Roman"/>
                <w:color w:val="auto"/>
                <w:kern w:val="0"/>
                <w:sz w:val="24"/>
                <w:szCs w:val="20"/>
                <w:highlight w:val="none"/>
                <w:lang w:val="en-US" w:eastAsia="zh-CN"/>
              </w:rPr>
              <w:t>本工程</w:t>
            </w:r>
            <w:r>
              <w:rPr>
                <w:rFonts w:hint="default" w:ascii="Times New Roman" w:hAnsi="Times New Roman" w:eastAsia="宋体" w:cs="Times New Roman"/>
                <w:color w:val="auto"/>
                <w:kern w:val="0"/>
                <w:sz w:val="24"/>
                <w:szCs w:val="20"/>
                <w:highlight w:val="none"/>
                <w:lang w:val="en-US" w:eastAsia="zh-CN"/>
              </w:rPr>
              <w:t>行业类别为：</w:t>
            </w:r>
            <w:r>
              <w:rPr>
                <w:rFonts w:hint="eastAsia" w:ascii="Times New Roman" w:hAnsi="Times New Roman" w:eastAsia="宋体" w:cs="Times New Roman"/>
                <w:color w:val="auto"/>
                <w:kern w:val="0"/>
                <w:sz w:val="24"/>
                <w:szCs w:val="20"/>
                <w:highlight w:val="none"/>
                <w:lang w:val="en-US" w:eastAsia="zh-CN"/>
              </w:rPr>
              <w:t>P公路，123公路中其他，</w:t>
            </w:r>
            <w:r>
              <w:rPr>
                <w:rFonts w:hint="default" w:ascii="Times New Roman" w:hAnsi="Times New Roman" w:eastAsia="宋体" w:cs="Times New Roman"/>
                <w:color w:val="auto"/>
                <w:kern w:val="0"/>
                <w:sz w:val="24"/>
                <w:szCs w:val="20"/>
                <w:highlight w:val="none"/>
                <w:lang w:val="en-US" w:eastAsia="zh-CN"/>
              </w:rPr>
              <w:t>地下水环境影响评价项目类别为Ⅳ类。</w:t>
            </w:r>
          </w:p>
          <w:p w14:paraId="5FFB24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caps w:val="0"/>
                <w:smallCaps w:val="0"/>
                <w:color w:val="auto"/>
                <w:spacing w:val="0"/>
                <w:w w:val="100"/>
                <w:kern w:val="2"/>
                <w:position w:val="0"/>
                <w:sz w:val="24"/>
                <w:highlight w:val="none"/>
                <w:lang w:val="en-US" w:eastAsia="zh-CN"/>
              </w:rPr>
            </w:pPr>
            <w:r>
              <w:rPr>
                <w:rFonts w:hint="default" w:ascii="Times New Roman" w:hAnsi="Times New Roman" w:eastAsia="宋体" w:cs="Times New Roman"/>
                <w:color w:val="auto"/>
                <w:kern w:val="0"/>
                <w:sz w:val="24"/>
                <w:szCs w:val="20"/>
                <w:highlight w:val="none"/>
                <w:lang w:val="en-US" w:eastAsia="zh-CN"/>
              </w:rPr>
              <w:t>根据《环境影响评价技术导则</w:t>
            </w:r>
            <w:r>
              <w:rPr>
                <w:rFonts w:hint="eastAsia" w:ascii="Times New Roman" w:hAnsi="Times New Roman" w:eastAsia="宋体" w:cs="Times New Roman"/>
                <w:color w:val="auto"/>
                <w:kern w:val="0"/>
                <w:sz w:val="24"/>
                <w:szCs w:val="20"/>
                <w:highlight w:val="none"/>
                <w:lang w:val="en-US" w:eastAsia="zh-CN"/>
              </w:rPr>
              <w:t xml:space="preserve"> </w:t>
            </w:r>
            <w:r>
              <w:rPr>
                <w:rFonts w:hint="default" w:ascii="Times New Roman" w:hAnsi="Times New Roman" w:eastAsia="宋体" w:cs="Times New Roman"/>
                <w:color w:val="auto"/>
                <w:kern w:val="0"/>
                <w:sz w:val="24"/>
                <w:szCs w:val="20"/>
                <w:highlight w:val="none"/>
                <w:lang w:val="en-US" w:eastAsia="zh-CN"/>
              </w:rPr>
              <w:t>地下水环境》</w:t>
            </w:r>
            <w:r>
              <w:rPr>
                <w:rFonts w:hint="eastAsia" w:ascii="Times New Roman" w:hAnsi="Times New Roman" w:eastAsia="宋体" w:cs="Times New Roman"/>
                <w:color w:val="auto"/>
                <w:kern w:val="0"/>
                <w:sz w:val="24"/>
                <w:szCs w:val="20"/>
                <w:highlight w:val="none"/>
                <w:lang w:val="en-US" w:eastAsia="zh-CN"/>
              </w:rPr>
              <w:t>（</w:t>
            </w:r>
            <w:r>
              <w:rPr>
                <w:rFonts w:hint="default" w:ascii="Times New Roman" w:hAnsi="Times New Roman" w:eastAsia="宋体" w:cs="Times New Roman"/>
                <w:color w:val="auto"/>
                <w:kern w:val="0"/>
                <w:sz w:val="24"/>
                <w:szCs w:val="20"/>
                <w:highlight w:val="none"/>
                <w:lang w:val="en-US" w:eastAsia="zh-CN"/>
              </w:rPr>
              <w:t>HJ610-2016</w:t>
            </w:r>
            <w:r>
              <w:rPr>
                <w:rFonts w:hint="eastAsia" w:ascii="Times New Roman" w:hAnsi="Times New Roman" w:eastAsia="宋体" w:cs="Times New Roman"/>
                <w:color w:val="auto"/>
                <w:kern w:val="0"/>
                <w:sz w:val="24"/>
                <w:szCs w:val="20"/>
                <w:highlight w:val="none"/>
                <w:lang w:val="en-US" w:eastAsia="zh-CN"/>
              </w:rPr>
              <w:t>）中</w:t>
            </w:r>
            <w:r>
              <w:rPr>
                <w:rFonts w:hint="default" w:ascii="Times New Roman" w:hAnsi="Times New Roman" w:eastAsia="宋体" w:cs="Times New Roman"/>
                <w:color w:val="auto"/>
                <w:kern w:val="0"/>
                <w:sz w:val="24"/>
                <w:szCs w:val="20"/>
                <w:highlight w:val="none"/>
                <w:lang w:val="en-US" w:eastAsia="zh-CN"/>
              </w:rPr>
              <w:t>4.1一般性原则，Ⅳ类建设项目不开展地下水环境影响评价，故</w:t>
            </w:r>
            <w:r>
              <w:rPr>
                <w:rFonts w:hint="eastAsia" w:ascii="Times New Roman" w:hAnsi="Times New Roman" w:eastAsia="宋体" w:cs="Times New Roman"/>
                <w:color w:val="auto"/>
                <w:kern w:val="0"/>
                <w:sz w:val="24"/>
                <w:szCs w:val="20"/>
                <w:highlight w:val="none"/>
                <w:lang w:val="en-US" w:eastAsia="zh-CN"/>
              </w:rPr>
              <w:t>本工程无需</w:t>
            </w:r>
            <w:r>
              <w:rPr>
                <w:rFonts w:hint="default" w:ascii="Times New Roman" w:hAnsi="Times New Roman" w:eastAsia="宋体" w:cs="Times New Roman"/>
                <w:color w:val="auto"/>
                <w:kern w:val="0"/>
                <w:sz w:val="24"/>
                <w:szCs w:val="20"/>
                <w:highlight w:val="none"/>
                <w:lang w:val="en-US" w:eastAsia="zh-CN"/>
              </w:rPr>
              <w:t>对地下水</w:t>
            </w:r>
            <w:r>
              <w:rPr>
                <w:rFonts w:hint="eastAsia" w:ascii="Times New Roman" w:hAnsi="Times New Roman" w:eastAsia="宋体" w:cs="Times New Roman"/>
                <w:color w:val="auto"/>
                <w:kern w:val="0"/>
                <w:sz w:val="24"/>
                <w:szCs w:val="20"/>
                <w:highlight w:val="none"/>
                <w:lang w:val="en-US" w:eastAsia="zh-CN"/>
              </w:rPr>
              <w:t>质量现状进行监测</w:t>
            </w:r>
            <w:r>
              <w:rPr>
                <w:rFonts w:hint="default" w:ascii="Times New Roman" w:hAnsi="Times New Roman" w:eastAsia="宋体" w:cs="Times New Roman"/>
                <w:caps w:val="0"/>
                <w:smallCaps w:val="0"/>
                <w:snapToGrid w:val="0"/>
                <w:color w:val="auto"/>
                <w:spacing w:val="0"/>
                <w:w w:val="100"/>
                <w:kern w:val="2"/>
                <w:position w:val="0"/>
                <w:sz w:val="24"/>
                <w:highlight w:val="none"/>
              </w:rPr>
              <w:t>。</w:t>
            </w:r>
          </w:p>
          <w:p w14:paraId="41912C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textAlignment w:val="auto"/>
              <w:rPr>
                <w:rFonts w:hint="default" w:ascii="Times New Roman" w:hAnsi="Times New Roman" w:eastAsia="宋体" w:cs="Times New Roman"/>
                <w:b/>
                <w:caps w:val="0"/>
                <w:smallCaps w:val="0"/>
                <w:color w:val="auto"/>
                <w:spacing w:val="0"/>
                <w:w w:val="100"/>
                <w:kern w:val="2"/>
                <w:position w:val="0"/>
                <w:sz w:val="24"/>
                <w:highlight w:val="none"/>
                <w:lang w:val="en-US" w:eastAsia="zh-CN"/>
              </w:rPr>
            </w:pPr>
            <w:r>
              <w:rPr>
                <w:rFonts w:hint="default" w:ascii="Times New Roman" w:hAnsi="Times New Roman" w:eastAsia="宋体" w:cs="Times New Roman"/>
                <w:b/>
                <w:caps w:val="0"/>
                <w:smallCaps w:val="0"/>
                <w:color w:val="auto"/>
                <w:spacing w:val="0"/>
                <w:w w:val="100"/>
                <w:kern w:val="2"/>
                <w:position w:val="0"/>
                <w:sz w:val="24"/>
                <w:highlight w:val="none"/>
                <w:lang w:val="en-US" w:eastAsia="zh-CN"/>
              </w:rPr>
              <w:t>5</w:t>
            </w:r>
            <w:r>
              <w:rPr>
                <w:rFonts w:hint="default" w:ascii="Times New Roman" w:hAnsi="Times New Roman" w:eastAsia="宋体" w:cs="Times New Roman"/>
                <w:b/>
                <w:caps w:val="0"/>
                <w:smallCaps w:val="0"/>
                <w:color w:val="auto"/>
                <w:spacing w:val="0"/>
                <w:w w:val="100"/>
                <w:kern w:val="2"/>
                <w:position w:val="0"/>
                <w:sz w:val="24"/>
                <w:highlight w:val="none"/>
              </w:rPr>
              <w:t>声环境</w:t>
            </w:r>
            <w:r>
              <w:rPr>
                <w:rFonts w:hint="eastAsia" w:ascii="Times New Roman" w:hAnsi="Times New Roman" w:eastAsia="宋体" w:cs="Times New Roman"/>
                <w:b/>
                <w:caps w:val="0"/>
                <w:smallCaps w:val="0"/>
                <w:color w:val="auto"/>
                <w:spacing w:val="0"/>
                <w:w w:val="100"/>
                <w:kern w:val="2"/>
                <w:position w:val="0"/>
                <w:sz w:val="24"/>
                <w:highlight w:val="none"/>
                <w:lang w:val="en-US" w:eastAsia="zh-CN"/>
              </w:rPr>
              <w:t>现状调查</w:t>
            </w:r>
          </w:p>
          <w:p w14:paraId="2ACBCA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rPr>
              <w:t>本项目为公路改扩建工程，主要涉及2类、4a类声环境功能区，根据《环境影响评价技术导则 声环境》（HJ 2.4-2021），评价范围内具有代表性的敏感目标的声环境质量现状需要实测。</w:t>
            </w:r>
          </w:p>
          <w:p w14:paraId="11F2BA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sz w:val="24"/>
                <w:highlight w:val="none"/>
              </w:rPr>
            </w:pPr>
            <w:r>
              <w:rPr>
                <w:rFonts w:hint="eastAsia"/>
                <w:color w:val="000000"/>
                <w:sz w:val="24"/>
                <w:highlight w:val="none"/>
                <w:lang w:val="en-US" w:eastAsia="zh-CN"/>
              </w:rPr>
              <w:t>本项目在最近的声环境保护目标各设1个监测点位</w:t>
            </w:r>
            <w:r>
              <w:rPr>
                <w:rFonts w:hint="eastAsia"/>
                <w:color w:val="000000"/>
                <w:sz w:val="24"/>
                <w:highlight w:val="none"/>
              </w:rPr>
              <w:t>，监测方案见表3-</w:t>
            </w:r>
            <w:r>
              <w:rPr>
                <w:rFonts w:hint="eastAsia"/>
                <w:color w:val="000000"/>
                <w:sz w:val="24"/>
                <w:highlight w:val="none"/>
                <w:lang w:val="en-US" w:eastAsia="zh-CN"/>
              </w:rPr>
              <w:t>4，监测点位示意图见附图</w:t>
            </w:r>
            <w:r>
              <w:rPr>
                <w:rFonts w:hint="eastAsia"/>
                <w:color w:val="000000"/>
                <w:sz w:val="24"/>
                <w:highlight w:val="none"/>
              </w:rPr>
              <w:t>。</w:t>
            </w:r>
          </w:p>
          <w:p w14:paraId="099B9B8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宋体" w:cs="Times New Roman"/>
                <w:b/>
                <w:bCs/>
                <w:caps w:val="0"/>
                <w:smallCaps w:val="0"/>
                <w:snapToGrid w:val="0"/>
                <w:color w:val="auto"/>
                <w:spacing w:val="0"/>
                <w:w w:val="100"/>
                <w:kern w:val="2"/>
                <w:position w:val="0"/>
                <w:sz w:val="21"/>
                <w:szCs w:val="21"/>
                <w:highlight w:val="none"/>
                <w:lang w:val="en-US" w:eastAsia="zh-CN" w:bidi="ar-SA"/>
              </w:rPr>
            </w:pPr>
            <w:r>
              <w:rPr>
                <w:rFonts w:hint="eastAsia" w:ascii="Times New Roman" w:hAnsi="Times New Roman" w:eastAsia="宋体" w:cs="Times New Roman"/>
                <w:b/>
                <w:bCs/>
                <w:caps w:val="0"/>
                <w:smallCaps w:val="0"/>
                <w:snapToGrid w:val="0"/>
                <w:color w:val="auto"/>
                <w:spacing w:val="0"/>
                <w:w w:val="100"/>
                <w:kern w:val="2"/>
                <w:position w:val="0"/>
                <w:sz w:val="21"/>
                <w:szCs w:val="21"/>
                <w:highlight w:val="none"/>
                <w:lang w:val="en-US" w:eastAsia="zh-CN" w:bidi="ar-SA"/>
              </w:rPr>
              <w:t xml:space="preserve">表3-4   </w:t>
            </w:r>
            <w:r>
              <w:rPr>
                <w:rFonts w:hint="eastAsia" w:cs="Times New Roman"/>
                <w:b/>
                <w:bCs/>
                <w:caps w:val="0"/>
                <w:smallCaps w:val="0"/>
                <w:snapToGrid w:val="0"/>
                <w:color w:val="auto"/>
                <w:spacing w:val="0"/>
                <w:w w:val="100"/>
                <w:kern w:val="2"/>
                <w:position w:val="0"/>
                <w:sz w:val="21"/>
                <w:szCs w:val="21"/>
                <w:highlight w:val="none"/>
                <w:lang w:val="en-US" w:eastAsia="zh-CN" w:bidi="ar-SA"/>
              </w:rPr>
              <w:t xml:space="preserve">          </w:t>
            </w:r>
            <w:r>
              <w:rPr>
                <w:rFonts w:hint="eastAsia" w:ascii="Times New Roman" w:hAnsi="Times New Roman" w:eastAsia="宋体" w:cs="Times New Roman"/>
                <w:b/>
                <w:bCs/>
                <w:caps w:val="0"/>
                <w:smallCaps w:val="0"/>
                <w:snapToGrid w:val="0"/>
                <w:color w:val="auto"/>
                <w:spacing w:val="0"/>
                <w:w w:val="100"/>
                <w:kern w:val="2"/>
                <w:position w:val="0"/>
                <w:sz w:val="21"/>
                <w:szCs w:val="21"/>
                <w:highlight w:val="none"/>
                <w:lang w:val="en-US" w:eastAsia="zh-CN" w:bidi="ar-SA"/>
              </w:rPr>
              <w:t xml:space="preserve"> 项目声环境监测方案</w:t>
            </w:r>
          </w:p>
          <w:tbl>
            <w:tblPr>
              <w:tblStyle w:val="2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59"/>
              <w:gridCol w:w="3382"/>
            </w:tblGrid>
            <w:tr w14:paraId="2556F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15" w:type="pct"/>
                  <w:tcBorders>
                    <w:tl2br w:val="nil"/>
                    <w:tr2bl w:val="nil"/>
                  </w:tcBorders>
                  <w:noWrap w:val="0"/>
                  <w:vAlign w:val="center"/>
                </w:tcPr>
                <w:p w14:paraId="316394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sz w:val="21"/>
                      <w:szCs w:val="21"/>
                      <w:highlight w:val="none"/>
                    </w:rPr>
                  </w:pPr>
                  <w:r>
                    <w:rPr>
                      <w:rFonts w:hint="default" w:ascii="Times New Roman" w:hAnsi="Times New Roman" w:cs="Times New Roman"/>
                      <w:b w:val="0"/>
                      <w:bCs w:val="0"/>
                      <w:color w:val="000000"/>
                      <w:sz w:val="21"/>
                      <w:szCs w:val="21"/>
                      <w:highlight w:val="none"/>
                    </w:rPr>
                    <w:t>监测点名称</w:t>
                  </w:r>
                </w:p>
              </w:tc>
              <w:tc>
                <w:tcPr>
                  <w:tcW w:w="2184" w:type="pct"/>
                  <w:tcBorders>
                    <w:tl2br w:val="nil"/>
                    <w:tr2bl w:val="nil"/>
                  </w:tcBorders>
                  <w:noWrap w:val="0"/>
                  <w:vAlign w:val="center"/>
                </w:tcPr>
                <w:p w14:paraId="2D6E4C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sz w:val="21"/>
                      <w:szCs w:val="21"/>
                      <w:highlight w:val="none"/>
                    </w:rPr>
                  </w:pPr>
                  <w:r>
                    <w:rPr>
                      <w:rFonts w:hint="default" w:ascii="Times New Roman" w:hAnsi="Times New Roman" w:cs="Times New Roman"/>
                      <w:b w:val="0"/>
                      <w:bCs w:val="0"/>
                      <w:color w:val="000000"/>
                      <w:sz w:val="21"/>
                      <w:szCs w:val="21"/>
                      <w:highlight w:val="none"/>
                    </w:rPr>
                    <w:t>监测点坐标</w:t>
                  </w:r>
                </w:p>
              </w:tc>
            </w:tr>
            <w:tr w14:paraId="7CF8DD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15" w:type="pct"/>
                  <w:tcBorders>
                    <w:tl2br w:val="nil"/>
                    <w:tr2bl w:val="nil"/>
                  </w:tcBorders>
                  <w:noWrap w:val="0"/>
                  <w:vAlign w:val="center"/>
                </w:tcPr>
                <w:p w14:paraId="7C437991">
                  <w:pPr>
                    <w:jc w:val="center"/>
                    <w:rPr>
                      <w:rFonts w:hint="default" w:ascii="Times New Roman" w:hAnsi="Times New Roman" w:cs="Times New Roman"/>
                      <w:b w:val="0"/>
                      <w:bCs w:val="0"/>
                      <w:color w:val="000000"/>
                      <w:sz w:val="21"/>
                      <w:szCs w:val="21"/>
                      <w:highlight w:val="none"/>
                    </w:rPr>
                  </w:pPr>
                  <w:r>
                    <w:rPr>
                      <w:rFonts w:hint="default" w:ascii="Times New Roman" w:hAnsi="Times New Roman" w:cs="Times New Roman"/>
                      <w:b w:val="0"/>
                      <w:bCs w:val="0"/>
                      <w:color w:val="000000"/>
                      <w:sz w:val="21"/>
                      <w:szCs w:val="21"/>
                      <w:highlight w:val="none"/>
                      <w:lang w:val="en-US" w:eastAsia="zh-CN"/>
                    </w:rPr>
                    <w:t>敏感点1#</w:t>
                  </w:r>
                  <w:r>
                    <w:rPr>
                      <w:rFonts w:hint="eastAsia" w:ascii="Times New Roman" w:hAnsi="Times New Roman" w:cs="Times New Roman"/>
                      <w:b w:val="0"/>
                      <w:bCs w:val="0"/>
                      <w:color w:val="000000"/>
                      <w:sz w:val="21"/>
                      <w:szCs w:val="21"/>
                      <w:highlight w:val="none"/>
                      <w:lang w:val="en-US" w:eastAsia="zh-CN"/>
                    </w:rPr>
                    <w:t>（</w:t>
                  </w:r>
                  <w:r>
                    <w:rPr>
                      <w:rFonts w:hint="default" w:ascii="Times New Roman" w:hAnsi="Times New Roman" w:cs="Times New Roman"/>
                      <w:b w:val="0"/>
                      <w:bCs w:val="0"/>
                      <w:color w:val="000000"/>
                      <w:sz w:val="21"/>
                      <w:szCs w:val="21"/>
                      <w:highlight w:val="none"/>
                      <w:lang w:val="en-US" w:eastAsia="zh-CN"/>
                    </w:rPr>
                    <w:t>项目区西南居民区</w:t>
                  </w:r>
                  <w:r>
                    <w:rPr>
                      <w:rFonts w:hint="eastAsia" w:ascii="Times New Roman" w:hAnsi="Times New Roman" w:cs="Times New Roman"/>
                      <w:b w:val="0"/>
                      <w:bCs w:val="0"/>
                      <w:color w:val="000000"/>
                      <w:sz w:val="21"/>
                      <w:szCs w:val="21"/>
                      <w:highlight w:val="none"/>
                      <w:lang w:val="en-US" w:eastAsia="zh-CN"/>
                    </w:rPr>
                    <w:t>）</w:t>
                  </w:r>
                </w:p>
              </w:tc>
              <w:tc>
                <w:tcPr>
                  <w:tcW w:w="2184" w:type="pct"/>
                  <w:tcBorders>
                    <w:tl2br w:val="nil"/>
                    <w:tr2bl w:val="nil"/>
                  </w:tcBorders>
                  <w:noWrap w:val="0"/>
                  <w:vAlign w:val="center"/>
                </w:tcPr>
                <w:p w14:paraId="7D5406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sz w:val="21"/>
                      <w:szCs w:val="21"/>
                      <w:highlight w:val="none"/>
                    </w:rPr>
                  </w:pPr>
                  <w:r>
                    <w:rPr>
                      <w:rFonts w:hint="default" w:ascii="Times New Roman" w:hAnsi="Times New Roman" w:cs="Times New Roman"/>
                      <w:b w:val="0"/>
                      <w:bCs w:val="0"/>
                      <w:color w:val="000000"/>
                      <w:sz w:val="21"/>
                      <w:szCs w:val="21"/>
                      <w:highlight w:val="none"/>
                      <w:lang w:val="en-US" w:eastAsia="zh-CN"/>
                    </w:rPr>
                    <w:t>E84.603028</w:t>
                  </w:r>
                  <w:r>
                    <w:rPr>
                      <w:rFonts w:hint="eastAsia" w:ascii="Times New Roman" w:hAnsi="Times New Roman" w:cs="Times New Roman"/>
                      <w:b w:val="0"/>
                      <w:bCs w:val="0"/>
                      <w:color w:val="000000"/>
                      <w:sz w:val="21"/>
                      <w:szCs w:val="21"/>
                      <w:highlight w:val="none"/>
                      <w:lang w:val="en-US" w:eastAsia="zh-CN"/>
                    </w:rPr>
                    <w:t>，</w:t>
                  </w:r>
                  <w:r>
                    <w:rPr>
                      <w:rFonts w:hint="default" w:ascii="Times New Roman" w:hAnsi="Times New Roman" w:cs="Times New Roman"/>
                      <w:b w:val="0"/>
                      <w:bCs w:val="0"/>
                      <w:color w:val="000000"/>
                      <w:sz w:val="21"/>
                      <w:szCs w:val="21"/>
                      <w:highlight w:val="none"/>
                      <w:lang w:val="en-US" w:eastAsia="zh-CN"/>
                    </w:rPr>
                    <w:t>N41.951935</w:t>
                  </w:r>
                </w:p>
              </w:tc>
            </w:tr>
          </w:tbl>
          <w:p w14:paraId="631961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000000"/>
                <w:sz w:val="24"/>
                <w:highlight w:val="none"/>
                <w:lang w:val="en-US" w:eastAsia="zh-CN"/>
              </w:rPr>
            </w:pPr>
            <w:r>
              <w:rPr>
                <w:color w:val="000000"/>
                <w:sz w:val="24"/>
                <w:highlight w:val="none"/>
              </w:rPr>
              <w:t>本项目声环境质量现状监测</w:t>
            </w:r>
            <w:r>
              <w:rPr>
                <w:rFonts w:hint="eastAsia"/>
                <w:color w:val="000000"/>
                <w:sz w:val="24"/>
                <w:highlight w:val="none"/>
              </w:rPr>
              <w:t>委托新疆</w:t>
            </w:r>
            <w:r>
              <w:rPr>
                <w:rFonts w:hint="eastAsia"/>
                <w:color w:val="000000"/>
                <w:sz w:val="24"/>
                <w:highlight w:val="none"/>
                <w:lang w:val="en-US" w:eastAsia="zh-CN"/>
              </w:rPr>
              <w:t>中测测试有限责任</w:t>
            </w:r>
            <w:r>
              <w:rPr>
                <w:rFonts w:hint="eastAsia"/>
                <w:color w:val="000000"/>
                <w:sz w:val="24"/>
                <w:highlight w:val="none"/>
              </w:rPr>
              <w:t>公司于202</w:t>
            </w:r>
            <w:r>
              <w:rPr>
                <w:rFonts w:hint="eastAsia"/>
                <w:color w:val="000000"/>
                <w:sz w:val="24"/>
                <w:highlight w:val="none"/>
                <w:lang w:val="en-US" w:eastAsia="zh-CN"/>
              </w:rPr>
              <w:t>6</w:t>
            </w:r>
            <w:r>
              <w:rPr>
                <w:rFonts w:hint="eastAsia"/>
                <w:color w:val="000000"/>
                <w:sz w:val="24"/>
                <w:highlight w:val="none"/>
              </w:rPr>
              <w:t>年</w:t>
            </w:r>
            <w:r>
              <w:rPr>
                <w:rFonts w:hint="eastAsia"/>
                <w:color w:val="000000"/>
                <w:sz w:val="24"/>
                <w:highlight w:val="none"/>
                <w:lang w:val="en-US" w:eastAsia="zh-CN"/>
              </w:rPr>
              <w:t>03</w:t>
            </w:r>
            <w:r>
              <w:rPr>
                <w:rFonts w:hint="eastAsia"/>
                <w:color w:val="000000"/>
                <w:sz w:val="24"/>
                <w:highlight w:val="none"/>
              </w:rPr>
              <w:t>月</w:t>
            </w:r>
            <w:r>
              <w:rPr>
                <w:rFonts w:hint="eastAsia"/>
                <w:color w:val="000000"/>
                <w:sz w:val="24"/>
                <w:highlight w:val="none"/>
                <w:lang w:val="en-US" w:eastAsia="zh-CN"/>
              </w:rPr>
              <w:t>26</w:t>
            </w:r>
            <w:r>
              <w:rPr>
                <w:rFonts w:hint="eastAsia"/>
                <w:color w:val="000000"/>
                <w:sz w:val="24"/>
                <w:highlight w:val="none"/>
              </w:rPr>
              <w:t>日进行实测，监测</w:t>
            </w:r>
            <w:r>
              <w:rPr>
                <w:color w:val="000000"/>
                <w:sz w:val="24"/>
                <w:highlight w:val="none"/>
              </w:rPr>
              <w:t>结果见</w:t>
            </w:r>
            <w:r>
              <w:rPr>
                <w:rFonts w:hint="eastAsia"/>
                <w:color w:val="000000"/>
                <w:sz w:val="24"/>
                <w:highlight w:val="none"/>
              </w:rPr>
              <w:t>下表</w:t>
            </w:r>
            <w:r>
              <w:rPr>
                <w:rFonts w:hint="eastAsia"/>
                <w:color w:val="000000"/>
                <w:sz w:val="24"/>
                <w:highlight w:val="none"/>
                <w:lang w:eastAsia="zh-CN"/>
              </w:rPr>
              <w:t>。</w:t>
            </w:r>
          </w:p>
          <w:p w14:paraId="0D5520B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422" w:firstLineChars="200"/>
              <w:textAlignment w:val="auto"/>
              <w:rPr>
                <w:rFonts w:hint="eastAsia" w:cs="Times New Roman"/>
                <w:b/>
                <w:bCs/>
                <w:caps w:val="0"/>
                <w:smallCaps w:val="0"/>
                <w:snapToGrid w:val="0"/>
                <w:color w:val="auto"/>
                <w:spacing w:val="0"/>
                <w:w w:val="100"/>
                <w:kern w:val="2"/>
                <w:position w:val="0"/>
                <w:sz w:val="21"/>
                <w:szCs w:val="21"/>
                <w:highlight w:val="none"/>
                <w:lang w:val="en-US" w:eastAsia="zh-CN" w:bidi="ar-SA"/>
              </w:rPr>
            </w:pPr>
            <w:r>
              <w:rPr>
                <w:rFonts w:hint="eastAsia" w:cs="Times New Roman"/>
                <w:b/>
                <w:bCs/>
                <w:caps w:val="0"/>
                <w:smallCaps w:val="0"/>
                <w:snapToGrid w:val="0"/>
                <w:color w:val="auto"/>
                <w:spacing w:val="0"/>
                <w:w w:val="100"/>
                <w:kern w:val="2"/>
                <w:position w:val="0"/>
                <w:sz w:val="21"/>
                <w:szCs w:val="21"/>
                <w:highlight w:val="none"/>
                <w:lang w:val="en-US" w:eastAsia="zh-CN" w:bidi="ar-SA"/>
              </w:rPr>
              <w:t>表3-5                项目声环境现状检测结果一览表         单位：dB(A)</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799"/>
              <w:gridCol w:w="2045"/>
              <w:gridCol w:w="1009"/>
              <w:gridCol w:w="755"/>
              <w:gridCol w:w="2448"/>
            </w:tblGrid>
            <w:tr w14:paraId="089BE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gridSpan w:val="2"/>
                  <w:vMerge w:val="restart"/>
                  <w:tcBorders>
                    <w:tl2br w:val="nil"/>
                    <w:tr2bl w:val="nil"/>
                  </w:tcBorders>
                  <w:noWrap w:val="0"/>
                  <w:vAlign w:val="center"/>
                </w:tcPr>
                <w:p w14:paraId="722CF2CC">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检测时间</w:t>
                  </w:r>
                </w:p>
              </w:tc>
              <w:tc>
                <w:tcPr>
                  <w:tcW w:w="1321" w:type="pct"/>
                  <w:vMerge w:val="restart"/>
                  <w:tcBorders>
                    <w:tl2br w:val="nil"/>
                    <w:tr2bl w:val="nil"/>
                  </w:tcBorders>
                  <w:noWrap w:val="0"/>
                  <w:vAlign w:val="center"/>
                </w:tcPr>
                <w:p w14:paraId="70AD906A">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检测点位</w:t>
                  </w:r>
                </w:p>
              </w:tc>
              <w:tc>
                <w:tcPr>
                  <w:tcW w:w="1140" w:type="pct"/>
                  <w:gridSpan w:val="2"/>
                  <w:tcBorders>
                    <w:tl2br w:val="nil"/>
                    <w:tr2bl w:val="nil"/>
                  </w:tcBorders>
                  <w:noWrap w:val="0"/>
                  <w:vAlign w:val="center"/>
                </w:tcPr>
                <w:p w14:paraId="483C7D4B">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检测结果dB(A)</w:t>
                  </w:r>
                </w:p>
              </w:tc>
              <w:tc>
                <w:tcPr>
                  <w:tcW w:w="1579" w:type="pct"/>
                  <w:vMerge w:val="restart"/>
                  <w:tcBorders>
                    <w:tl2br w:val="nil"/>
                    <w:tr2bl w:val="nil"/>
                  </w:tcBorders>
                  <w:noWrap w:val="0"/>
                  <w:vAlign w:val="center"/>
                </w:tcPr>
                <w:p w14:paraId="0417A1BB">
                  <w:pPr>
                    <w:spacing w:line="500" w:lineRule="exact"/>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备注</w:t>
                  </w:r>
                </w:p>
              </w:tc>
            </w:tr>
            <w:tr w14:paraId="050E0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gridSpan w:val="2"/>
                  <w:vMerge w:val="continue"/>
                  <w:tcBorders>
                    <w:tl2br w:val="nil"/>
                    <w:tr2bl w:val="nil"/>
                  </w:tcBorders>
                  <w:noWrap w:val="0"/>
                  <w:vAlign w:val="center"/>
                </w:tcPr>
                <w:p w14:paraId="43F92CA7">
                  <w:pPr>
                    <w:spacing w:line="500" w:lineRule="exact"/>
                    <w:jc w:val="center"/>
                    <w:rPr>
                      <w:rFonts w:hint="default" w:ascii="Times New Roman" w:hAnsi="Times New Roman" w:cs="Times New Roman"/>
                      <w:color w:val="000000"/>
                      <w:sz w:val="21"/>
                      <w:szCs w:val="21"/>
                      <w:highlight w:val="none"/>
                    </w:rPr>
                  </w:pPr>
                </w:p>
              </w:tc>
              <w:tc>
                <w:tcPr>
                  <w:tcW w:w="1321" w:type="pct"/>
                  <w:vMerge w:val="continue"/>
                  <w:tcBorders>
                    <w:tl2br w:val="nil"/>
                    <w:tr2bl w:val="nil"/>
                  </w:tcBorders>
                  <w:noWrap w:val="0"/>
                  <w:vAlign w:val="center"/>
                </w:tcPr>
                <w:p w14:paraId="745E1EA3">
                  <w:pPr>
                    <w:spacing w:line="500" w:lineRule="exact"/>
                    <w:jc w:val="center"/>
                    <w:rPr>
                      <w:rFonts w:hint="default" w:ascii="Times New Roman" w:hAnsi="Times New Roman" w:cs="Times New Roman"/>
                      <w:color w:val="000000"/>
                      <w:sz w:val="21"/>
                      <w:szCs w:val="21"/>
                      <w:highlight w:val="none"/>
                    </w:rPr>
                  </w:pPr>
                </w:p>
              </w:tc>
              <w:tc>
                <w:tcPr>
                  <w:tcW w:w="652" w:type="pct"/>
                  <w:tcBorders>
                    <w:tl2br w:val="nil"/>
                    <w:tr2bl w:val="nil"/>
                  </w:tcBorders>
                  <w:noWrap w:val="0"/>
                  <w:vAlign w:val="center"/>
                </w:tcPr>
                <w:p w14:paraId="3115391A">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测量值</w:t>
                  </w:r>
                </w:p>
              </w:tc>
              <w:tc>
                <w:tcPr>
                  <w:tcW w:w="488" w:type="pct"/>
                  <w:tcBorders>
                    <w:tl2br w:val="nil"/>
                    <w:tr2bl w:val="nil"/>
                  </w:tcBorders>
                  <w:noWrap w:val="0"/>
                  <w:vAlign w:val="center"/>
                </w:tcPr>
                <w:p w14:paraId="0578E719">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限值</w:t>
                  </w:r>
                </w:p>
              </w:tc>
              <w:tc>
                <w:tcPr>
                  <w:tcW w:w="1579" w:type="pct"/>
                  <w:vMerge w:val="continue"/>
                  <w:tcBorders>
                    <w:tl2br w:val="nil"/>
                    <w:tr2bl w:val="nil"/>
                  </w:tcBorders>
                  <w:noWrap w:val="0"/>
                  <w:vAlign w:val="center"/>
                </w:tcPr>
                <w:p w14:paraId="3E726CEF">
                  <w:pPr>
                    <w:spacing w:line="500" w:lineRule="exact"/>
                    <w:jc w:val="center"/>
                    <w:rPr>
                      <w:rFonts w:hint="default" w:ascii="Times New Roman" w:hAnsi="Times New Roman" w:cs="Times New Roman"/>
                      <w:color w:val="000000"/>
                      <w:sz w:val="21"/>
                      <w:szCs w:val="21"/>
                      <w:highlight w:val="none"/>
                    </w:rPr>
                  </w:pPr>
                </w:p>
              </w:tc>
            </w:tr>
            <w:tr w14:paraId="4B085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tcBorders>
                    <w:tl2br w:val="nil"/>
                    <w:tr2bl w:val="nil"/>
                  </w:tcBorders>
                  <w:noWrap w:val="0"/>
                  <w:vAlign w:val="center"/>
                </w:tcPr>
                <w:p w14:paraId="59DEB782">
                  <w:pPr>
                    <w:jc w:val="center"/>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03月26日～03月27日</w:t>
                  </w:r>
                </w:p>
              </w:tc>
            </w:tr>
            <w:tr w14:paraId="5C262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tcBorders>
                    <w:tl2br w:val="nil"/>
                    <w:tr2bl w:val="nil"/>
                  </w:tcBorders>
                  <w:noWrap w:val="0"/>
                  <w:vAlign w:val="center"/>
                </w:tcPr>
                <w:p w14:paraId="2FAC3E73">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昼间</w:t>
                  </w:r>
                </w:p>
              </w:tc>
              <w:tc>
                <w:tcPr>
                  <w:tcW w:w="516" w:type="pct"/>
                  <w:tcBorders>
                    <w:tl2br w:val="nil"/>
                    <w:tr2bl w:val="nil"/>
                  </w:tcBorders>
                  <w:noWrap w:val="0"/>
                  <w:vAlign w:val="center"/>
                </w:tcPr>
                <w:p w14:paraId="039E00B2">
                  <w:pPr>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11:35</w:t>
                  </w:r>
                </w:p>
              </w:tc>
              <w:tc>
                <w:tcPr>
                  <w:tcW w:w="1321" w:type="pct"/>
                  <w:tcBorders>
                    <w:tl2br w:val="nil"/>
                    <w:tr2bl w:val="nil"/>
                  </w:tcBorders>
                  <w:noWrap w:val="0"/>
                  <w:vAlign w:val="center"/>
                </w:tcPr>
                <w:p w14:paraId="0625B078">
                  <w:pPr>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项目区西南居民区</w:t>
                  </w:r>
                </w:p>
              </w:tc>
              <w:tc>
                <w:tcPr>
                  <w:tcW w:w="652" w:type="pct"/>
                  <w:tcBorders>
                    <w:tl2br w:val="nil"/>
                    <w:tr2bl w:val="nil"/>
                  </w:tcBorders>
                  <w:noWrap w:val="0"/>
                  <w:vAlign w:val="center"/>
                </w:tcPr>
                <w:p w14:paraId="1CFE6F6E">
                  <w:pPr>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57</w:t>
                  </w:r>
                </w:p>
              </w:tc>
              <w:tc>
                <w:tcPr>
                  <w:tcW w:w="488" w:type="pct"/>
                  <w:tcBorders>
                    <w:tl2br w:val="nil"/>
                    <w:tr2bl w:val="nil"/>
                  </w:tcBorders>
                  <w:noWrap w:val="0"/>
                  <w:vAlign w:val="center"/>
                </w:tcPr>
                <w:p w14:paraId="05CD1FD0">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60</w:t>
                  </w:r>
                </w:p>
              </w:tc>
              <w:tc>
                <w:tcPr>
                  <w:tcW w:w="1579" w:type="pct"/>
                  <w:vMerge w:val="restart"/>
                  <w:tcBorders>
                    <w:tl2br w:val="nil"/>
                    <w:tr2bl w:val="nil"/>
                  </w:tcBorders>
                  <w:noWrap w:val="0"/>
                  <w:vAlign w:val="center"/>
                </w:tcPr>
                <w:p w14:paraId="1801E6C4">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测量值取等效声级Leq</w:t>
                  </w:r>
                </w:p>
              </w:tc>
            </w:tr>
            <w:tr w14:paraId="2EC56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2" w:type="pct"/>
                  <w:tcBorders>
                    <w:tl2br w:val="nil"/>
                    <w:tr2bl w:val="nil"/>
                  </w:tcBorders>
                  <w:noWrap w:val="0"/>
                  <w:vAlign w:val="center"/>
                </w:tcPr>
                <w:p w14:paraId="1D18D4E8">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夜间</w:t>
                  </w:r>
                </w:p>
              </w:tc>
              <w:tc>
                <w:tcPr>
                  <w:tcW w:w="516" w:type="pct"/>
                  <w:tcBorders>
                    <w:tl2br w:val="nil"/>
                    <w:tr2bl w:val="nil"/>
                  </w:tcBorders>
                  <w:noWrap w:val="0"/>
                  <w:vAlign w:val="center"/>
                </w:tcPr>
                <w:p w14:paraId="2F383736">
                  <w:pPr>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00:22</w:t>
                  </w:r>
                </w:p>
              </w:tc>
              <w:tc>
                <w:tcPr>
                  <w:tcW w:w="1321" w:type="pct"/>
                  <w:tcBorders>
                    <w:tl2br w:val="nil"/>
                    <w:tr2bl w:val="nil"/>
                  </w:tcBorders>
                  <w:noWrap w:val="0"/>
                  <w:vAlign w:val="center"/>
                </w:tcPr>
                <w:p w14:paraId="3F3E452A">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项目区西南居民区</w:t>
                  </w:r>
                </w:p>
              </w:tc>
              <w:tc>
                <w:tcPr>
                  <w:tcW w:w="652" w:type="pct"/>
                  <w:tcBorders>
                    <w:tl2br w:val="nil"/>
                    <w:tr2bl w:val="nil"/>
                  </w:tcBorders>
                  <w:noWrap w:val="0"/>
                  <w:vAlign w:val="center"/>
                </w:tcPr>
                <w:p w14:paraId="26ED7CF1">
                  <w:pPr>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49</w:t>
                  </w:r>
                </w:p>
              </w:tc>
              <w:tc>
                <w:tcPr>
                  <w:tcW w:w="488" w:type="pct"/>
                  <w:tcBorders>
                    <w:tl2br w:val="nil"/>
                    <w:tr2bl w:val="nil"/>
                  </w:tcBorders>
                  <w:noWrap w:val="0"/>
                  <w:vAlign w:val="center"/>
                </w:tcPr>
                <w:p w14:paraId="7B1FC87C">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50</w:t>
                  </w:r>
                </w:p>
              </w:tc>
              <w:tc>
                <w:tcPr>
                  <w:tcW w:w="1579" w:type="pct"/>
                  <w:vMerge w:val="continue"/>
                  <w:tcBorders>
                    <w:tl2br w:val="nil"/>
                    <w:tr2bl w:val="nil"/>
                  </w:tcBorders>
                  <w:noWrap w:val="0"/>
                  <w:vAlign w:val="center"/>
                </w:tcPr>
                <w:p w14:paraId="33532DF0">
                  <w:pPr>
                    <w:spacing w:line="500" w:lineRule="exact"/>
                    <w:jc w:val="center"/>
                    <w:rPr>
                      <w:rFonts w:hint="default" w:ascii="Times New Roman" w:hAnsi="Times New Roman" w:cs="Times New Roman"/>
                      <w:color w:val="000000"/>
                      <w:sz w:val="21"/>
                      <w:szCs w:val="21"/>
                      <w:highlight w:val="none"/>
                    </w:rPr>
                  </w:pPr>
                </w:p>
              </w:tc>
            </w:tr>
          </w:tbl>
          <w:p w14:paraId="0B5205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000000"/>
                <w:spacing w:val="0"/>
                <w:w w:val="100"/>
                <w:kern w:val="2"/>
                <w:position w:val="0"/>
                <w:sz w:val="24"/>
                <w:szCs w:val="22"/>
                <w:highlight w:val="none"/>
                <w:lang w:eastAsia="zh-CN"/>
              </w:rPr>
            </w:pPr>
            <w:r>
              <w:rPr>
                <w:rFonts w:hint="eastAsia"/>
                <w:color w:val="000000"/>
                <w:kern w:val="0"/>
                <w:sz w:val="24"/>
                <w:highlight w:val="none"/>
              </w:rPr>
              <w:t>从声环境质量现状</w:t>
            </w:r>
            <w:r>
              <w:rPr>
                <w:rFonts w:hint="eastAsia"/>
                <w:color w:val="000000"/>
                <w:kern w:val="0"/>
                <w:sz w:val="24"/>
                <w:highlight w:val="none"/>
                <w:lang w:eastAsia="zh-CN"/>
              </w:rPr>
              <w:t>监测</w:t>
            </w:r>
            <w:r>
              <w:rPr>
                <w:rFonts w:hint="eastAsia"/>
                <w:color w:val="000000"/>
                <w:kern w:val="0"/>
                <w:sz w:val="24"/>
                <w:highlight w:val="none"/>
              </w:rPr>
              <w:t>结果可以看出，本项目所关注的噪声敏感点目标昼间和夜间声环境现状监测值均满足《声环境质量标准》（GB3096-2008）中相应标准限值，区域声环境质量现状</w:t>
            </w:r>
            <w:r>
              <w:rPr>
                <w:rFonts w:hint="eastAsia"/>
                <w:color w:val="000000"/>
                <w:kern w:val="0"/>
                <w:sz w:val="24"/>
                <w:highlight w:val="none"/>
                <w:lang w:val="en-US" w:eastAsia="zh-CN"/>
              </w:rPr>
              <w:t>较好</w:t>
            </w:r>
            <w:r>
              <w:rPr>
                <w:rFonts w:hint="default" w:ascii="Times New Roman" w:hAnsi="Times New Roman" w:eastAsia="宋体" w:cs="Times New Roman"/>
                <w:caps w:val="0"/>
                <w:smallCaps w:val="0"/>
                <w:color w:val="000000"/>
                <w:spacing w:val="0"/>
                <w:w w:val="100"/>
                <w:kern w:val="2"/>
                <w:position w:val="0"/>
                <w:sz w:val="24"/>
                <w:szCs w:val="22"/>
                <w:highlight w:val="none"/>
                <w:lang w:eastAsia="zh-CN"/>
              </w:rPr>
              <w:t>。</w:t>
            </w:r>
          </w:p>
          <w:p w14:paraId="1262946D">
            <w:pPr>
              <w:keepNext w:val="0"/>
              <w:keepLines w:val="0"/>
              <w:pageBreakBefore w:val="0"/>
              <w:widowControl w:val="0"/>
              <w:kinsoku/>
              <w:wordWrap/>
              <w:overflowPunct/>
              <w:topLinePunct w:val="0"/>
              <w:autoSpaceDE w:val="0"/>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b/>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caps w:val="0"/>
                <w:smallCaps w:val="0"/>
                <w:color w:val="auto"/>
                <w:spacing w:val="0"/>
                <w:w w:val="100"/>
                <w:kern w:val="2"/>
                <w:position w:val="0"/>
                <w:sz w:val="24"/>
                <w:highlight w:val="none"/>
                <w:lang w:val="en-US" w:eastAsia="zh-CN"/>
              </w:rPr>
              <w:t>6</w:t>
            </w:r>
            <w:r>
              <w:rPr>
                <w:rFonts w:hint="default" w:ascii="Times New Roman" w:hAnsi="Times New Roman" w:eastAsia="宋体" w:cs="Times New Roman"/>
                <w:b/>
                <w:caps w:val="0"/>
                <w:smallCaps w:val="0"/>
                <w:color w:val="auto"/>
                <w:spacing w:val="0"/>
                <w:w w:val="100"/>
                <w:kern w:val="2"/>
                <w:position w:val="0"/>
                <w:sz w:val="24"/>
                <w:szCs w:val="24"/>
                <w:highlight w:val="none"/>
              </w:rPr>
              <w:t>土壤</w:t>
            </w:r>
            <w:r>
              <w:rPr>
                <w:rFonts w:hint="eastAsia" w:ascii="Times New Roman" w:hAnsi="Times New Roman" w:eastAsia="宋体" w:cs="Times New Roman"/>
                <w:b/>
                <w:caps w:val="0"/>
                <w:smallCaps w:val="0"/>
                <w:color w:val="auto"/>
                <w:spacing w:val="0"/>
                <w:w w:val="100"/>
                <w:kern w:val="2"/>
                <w:position w:val="0"/>
                <w:sz w:val="24"/>
                <w:szCs w:val="24"/>
                <w:highlight w:val="none"/>
                <w:lang w:eastAsia="zh-CN"/>
              </w:rPr>
              <w:t>环境</w:t>
            </w:r>
            <w:r>
              <w:rPr>
                <w:rFonts w:hint="eastAsia" w:ascii="Times New Roman" w:hAnsi="Times New Roman" w:eastAsia="宋体" w:cs="Times New Roman"/>
                <w:b/>
                <w:caps w:val="0"/>
                <w:smallCaps w:val="0"/>
                <w:color w:val="auto"/>
                <w:spacing w:val="0"/>
                <w:w w:val="100"/>
                <w:kern w:val="2"/>
                <w:position w:val="0"/>
                <w:sz w:val="24"/>
                <w:szCs w:val="24"/>
                <w:highlight w:val="none"/>
                <w:lang w:val="en-US" w:eastAsia="zh-CN"/>
              </w:rPr>
              <w:t>现状调查</w:t>
            </w:r>
          </w:p>
          <w:p w14:paraId="04E4155D">
            <w:pPr>
              <w:keepNext/>
              <w:keepLines w:val="0"/>
              <w:pageBreakBefore w:val="0"/>
              <w:widowControl w:val="0"/>
              <w:kinsoku/>
              <w:wordWrap/>
              <w:overflowPunct/>
              <w:topLinePunct w:val="0"/>
              <w:autoSpaceDN/>
              <w:bidi w:val="0"/>
              <w:adjustRightInd/>
              <w:snapToGrid/>
              <w:spacing w:beforeAutospacing="0" w:afterAutospacing="0" w:line="360" w:lineRule="auto"/>
              <w:ind w:left="0" w:leftChars="0" w:right="0" w:rightChars="0" w:firstLine="480" w:firstLineChars="200"/>
              <w:jc w:val="left"/>
              <w:textAlignment w:val="auto"/>
              <w:outlineLvl w:val="9"/>
              <w:rPr>
                <w:rFonts w:hint="default" w:ascii="Times New Roman" w:hAnsi="Times New Roman"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olor w:val="auto"/>
                <w:kern w:val="0"/>
                <w:sz w:val="24"/>
                <w:szCs w:val="20"/>
                <w:highlight w:val="none"/>
                <w:lang w:val="en-US" w:eastAsia="zh-CN"/>
              </w:rPr>
              <w:t>本项目为等级公路建设项目，根据中华人民共和国环境保护标准《环境影响评价技术导则 土壤环境（试行）》（HJ964-2018）中附录A：土壤环境影响评价项目类别可知，本工程属于：交通运输仓储邮政业中其他，项目类别为</w:t>
            </w:r>
            <w:r>
              <w:rPr>
                <w:rFonts w:hint="default" w:ascii="Times New Roman" w:hAnsi="Times New Roman" w:eastAsia="宋体" w:cs="Times New Roman"/>
                <w:color w:val="auto"/>
                <w:kern w:val="0"/>
                <w:sz w:val="24"/>
                <w:szCs w:val="20"/>
                <w:highlight w:val="none"/>
                <w:lang w:val="en-US" w:eastAsia="zh-CN"/>
              </w:rPr>
              <w:t>Ⅳ</w:t>
            </w:r>
            <w:r>
              <w:rPr>
                <w:rFonts w:hint="eastAsia" w:ascii="Times New Roman" w:hAnsi="Times New Roman" w:eastAsia="宋体" w:cs="Times New Roman"/>
                <w:color w:val="auto"/>
                <w:kern w:val="0"/>
                <w:sz w:val="24"/>
                <w:szCs w:val="20"/>
                <w:highlight w:val="none"/>
                <w:lang w:val="en-US" w:eastAsia="zh-CN"/>
              </w:rPr>
              <w:t>类，</w:t>
            </w:r>
            <w:r>
              <w:rPr>
                <w:rFonts w:hint="default" w:ascii="Times New Roman" w:hAnsi="Times New Roman" w:eastAsia="宋体" w:cs="Times New Roman"/>
                <w:b w:val="0"/>
                <w:bCs/>
                <w:color w:val="000000"/>
                <w:kern w:val="2"/>
                <w:sz w:val="24"/>
                <w:szCs w:val="24"/>
                <w:highlight w:val="none"/>
                <w:lang w:val="en-US" w:eastAsia="zh-CN" w:bidi="ar-SA"/>
              </w:rPr>
              <w:t>Ⅳ类建设项目不开展</w:t>
            </w:r>
            <w:r>
              <w:rPr>
                <w:rFonts w:hint="eastAsia" w:ascii="Times New Roman" w:hAnsi="Times New Roman" w:eastAsia="宋体" w:cs="Times New Roman"/>
                <w:b w:val="0"/>
                <w:bCs/>
                <w:color w:val="000000"/>
                <w:kern w:val="2"/>
                <w:sz w:val="24"/>
                <w:szCs w:val="24"/>
                <w:highlight w:val="none"/>
                <w:lang w:val="en-US" w:eastAsia="zh-CN" w:bidi="ar-SA"/>
              </w:rPr>
              <w:t>土壤</w:t>
            </w:r>
            <w:r>
              <w:rPr>
                <w:rFonts w:hint="default" w:ascii="Times New Roman" w:hAnsi="Times New Roman" w:eastAsia="宋体" w:cs="Times New Roman"/>
                <w:b w:val="0"/>
                <w:bCs/>
                <w:color w:val="000000"/>
                <w:kern w:val="2"/>
                <w:sz w:val="24"/>
                <w:szCs w:val="24"/>
                <w:highlight w:val="none"/>
                <w:lang w:val="en-US" w:eastAsia="zh-CN" w:bidi="ar-SA"/>
              </w:rPr>
              <w:t>环境影响评价，故</w:t>
            </w:r>
            <w:r>
              <w:rPr>
                <w:rFonts w:hint="eastAsia" w:ascii="Times New Roman" w:hAnsi="Times New Roman" w:eastAsia="宋体" w:cs="Times New Roman"/>
                <w:b w:val="0"/>
                <w:bCs/>
                <w:color w:val="000000"/>
                <w:kern w:val="2"/>
                <w:sz w:val="24"/>
                <w:szCs w:val="24"/>
                <w:highlight w:val="none"/>
                <w:lang w:val="en-US" w:eastAsia="zh-CN" w:bidi="ar-SA"/>
              </w:rPr>
              <w:t>本工程无需</w:t>
            </w:r>
            <w:r>
              <w:rPr>
                <w:rFonts w:hint="default" w:ascii="Times New Roman" w:hAnsi="Times New Roman" w:eastAsia="宋体" w:cs="Times New Roman"/>
                <w:b w:val="0"/>
                <w:bCs/>
                <w:color w:val="000000"/>
                <w:kern w:val="2"/>
                <w:sz w:val="24"/>
                <w:szCs w:val="24"/>
                <w:highlight w:val="none"/>
                <w:lang w:val="en-US" w:eastAsia="zh-CN" w:bidi="ar-SA"/>
              </w:rPr>
              <w:t>对</w:t>
            </w:r>
            <w:r>
              <w:rPr>
                <w:rFonts w:hint="eastAsia" w:ascii="Times New Roman" w:hAnsi="Times New Roman" w:eastAsia="宋体" w:cs="Times New Roman"/>
                <w:b w:val="0"/>
                <w:bCs/>
                <w:color w:val="000000"/>
                <w:kern w:val="2"/>
                <w:sz w:val="24"/>
                <w:szCs w:val="24"/>
                <w:highlight w:val="none"/>
                <w:lang w:val="en-US" w:eastAsia="zh-CN" w:bidi="ar-SA"/>
              </w:rPr>
              <w:t>土壤质量现状进行监测</w:t>
            </w:r>
            <w:r>
              <w:rPr>
                <w:rFonts w:hint="default" w:ascii="Times New Roman" w:hAnsi="Times New Roman" w:cs="Times New Roman"/>
                <w:caps w:val="0"/>
                <w:smallCaps w:val="0"/>
                <w:color w:val="auto"/>
                <w:spacing w:val="0"/>
                <w:w w:val="100"/>
                <w:kern w:val="2"/>
                <w:position w:val="0"/>
                <w:sz w:val="24"/>
                <w:szCs w:val="24"/>
                <w:highlight w:val="none"/>
                <w:lang w:val="en-US" w:eastAsia="zh-CN"/>
              </w:rPr>
              <w:t>。</w:t>
            </w:r>
          </w:p>
          <w:p w14:paraId="107B79FF">
            <w:pPr>
              <w:keepNext/>
              <w:keepLines w:val="0"/>
              <w:pageBreakBefore w:val="0"/>
              <w:widowControl w:val="0"/>
              <w:kinsoku/>
              <w:wordWrap/>
              <w:overflowPunct/>
              <w:topLinePunct w:val="0"/>
              <w:autoSpaceDE/>
              <w:autoSpaceDN/>
              <w:bidi w:val="0"/>
              <w:adjustRightInd/>
              <w:snapToGrid/>
              <w:spacing w:beforeAutospacing="0" w:afterAutospacing="0" w:line="360" w:lineRule="auto"/>
              <w:ind w:right="0" w:rightChars="0" w:firstLine="0" w:firstLineChars="0"/>
              <w:jc w:val="left"/>
              <w:textAlignment w:val="auto"/>
              <w:outlineLvl w:val="9"/>
              <w:rPr>
                <w:rFonts w:hint="default" w:ascii="Times New Roman" w:hAnsi="Times New Roman" w:cs="Times New Roman"/>
                <w:b/>
                <w:bCs/>
                <w:caps w:val="0"/>
                <w:smallCaps w:val="0"/>
                <w:color w:val="auto"/>
                <w:spacing w:val="0"/>
                <w:w w:val="100"/>
                <w:kern w:val="2"/>
                <w:position w:val="0"/>
                <w:sz w:val="24"/>
                <w:szCs w:val="24"/>
                <w:highlight w:val="none"/>
                <w:lang w:val="en-US" w:eastAsia="zh-CN"/>
              </w:rPr>
            </w:pPr>
            <w:r>
              <w:rPr>
                <w:rFonts w:hint="eastAsia" w:ascii="Times New Roman" w:hAnsi="Times New Roman" w:cs="Times New Roman"/>
                <w:b/>
                <w:bCs/>
                <w:caps w:val="0"/>
                <w:smallCaps w:val="0"/>
                <w:color w:val="auto"/>
                <w:spacing w:val="0"/>
                <w:w w:val="100"/>
                <w:kern w:val="2"/>
                <w:position w:val="0"/>
                <w:sz w:val="24"/>
                <w:szCs w:val="24"/>
                <w:highlight w:val="none"/>
                <w:lang w:val="en-US" w:eastAsia="zh-CN"/>
              </w:rPr>
              <w:t>7土地沙化现状调查</w:t>
            </w:r>
          </w:p>
          <w:p w14:paraId="006C8FF6">
            <w:pPr>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新疆沙化土地类型多样，分布地域特征明显。从广阔无垠的沙漠到瀚海戈壁乃至风蚀残丘、风蚀劣地，沙化土地种类齐全，类型各异。沙漠集中分布在高山相夹的两大盆地中，戈壁主要分布在山间盆地的山前洪积倾斜平原；盆地的边缘多为绿洲，众多的小绿洲被沙漠和戈壁包围，面临风沙的直接危害。</w:t>
            </w:r>
          </w:p>
          <w:p w14:paraId="6219FEB5">
            <w:pPr>
              <w:keepNext/>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位于新疆巴州G216线K1336+358处周边，根据《新疆第六次沙化监测报告》（新疆维吾尔自治区林业规划院）可知，本项目所在区域不属于沙化土地范围，项目所在位置属于塔里木盆地边缘戈壁，属于南疆分布较广的戈壁区域，新疆的戈壁主要分布在阿尔泰山南坡、天山南北坡、昆仑山北坡的山前冲洪积倾斜平原和阿尔金山、帕米尔高原等的一些山间盆地，在干旱低山丘陵发育有风化岩戈壁，其中南疆戈壁总面积2469.01万公顷，占新疆戈壁总面积的80.59</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。沉积物以卵砾石和砂砾石为主。南疆分布较广的戈壁有塔里木盆地边缘戈壁。</w:t>
            </w:r>
          </w:p>
          <w:p w14:paraId="7BB534B7">
            <w:pPr>
              <w:keepNext/>
              <w:keepLines w:val="0"/>
              <w:pageBreakBefore w:val="0"/>
              <w:widowControl w:val="0"/>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Times New Roman" w:hAnsi="Times New Roman" w:cs="Times New Roman"/>
                <w:caps w:val="0"/>
                <w:smallCaps w:val="0"/>
                <w:color w:val="auto"/>
                <w:spacing w:val="0"/>
                <w:w w:val="100"/>
                <w:kern w:val="2"/>
                <w:position w:val="0"/>
                <w:sz w:val="24"/>
                <w:szCs w:val="24"/>
                <w:highlight w:val="none"/>
                <w:lang w:val="en-US" w:eastAsia="zh-CN"/>
              </w:rPr>
            </w:pPr>
            <w:r>
              <w:rPr>
                <w:sz w:val="21"/>
                <w:highlight w:val="none"/>
              </w:rPr>
              <mc:AlternateContent>
                <mc:Choice Requires="wps">
                  <w:drawing>
                    <wp:anchor distT="0" distB="0" distL="114300" distR="114300" simplePos="0" relativeHeight="251662336" behindDoc="0" locked="0" layoutInCell="1" allowOverlap="1">
                      <wp:simplePos x="0" y="0"/>
                      <wp:positionH relativeFrom="column">
                        <wp:posOffset>2783840</wp:posOffset>
                      </wp:positionH>
                      <wp:positionV relativeFrom="paragraph">
                        <wp:posOffset>1007745</wp:posOffset>
                      </wp:positionV>
                      <wp:extent cx="657225" cy="302895"/>
                      <wp:effectExtent l="5080" t="356235" r="4445" b="7620"/>
                      <wp:wrapNone/>
                      <wp:docPr id="3" name="自选图形 21"/>
                      <wp:cNvGraphicFramePr/>
                      <a:graphic xmlns:a="http://schemas.openxmlformats.org/drawingml/2006/main">
                        <a:graphicData uri="http://schemas.microsoft.com/office/word/2010/wordprocessingShape">
                          <wps:wsp>
                            <wps:cNvSpPr/>
                            <wps:spPr>
                              <a:xfrm>
                                <a:off x="0" y="0"/>
                                <a:ext cx="657225" cy="302895"/>
                              </a:xfrm>
                              <a:prstGeom prst="wedgeRectCallout">
                                <a:avLst>
                                  <a:gd name="adj1" fmla="val -37921"/>
                                  <a:gd name="adj2" fmla="val -160602"/>
                                </a:avLst>
                              </a:prstGeom>
                              <a:noFill/>
                              <a:ln w="9525" cap="flat" cmpd="sng">
                                <a:solidFill>
                                  <a:srgbClr val="FF0000"/>
                                </a:solidFill>
                                <a:prstDash val="solid"/>
                                <a:miter/>
                                <a:headEnd type="none" w="med" len="med"/>
                                <a:tailEnd type="none" w="med" len="med"/>
                              </a:ln>
                            </wps:spPr>
                            <wps:txbx>
                              <w:txbxContent>
                                <w:p w14:paraId="054AD5C7">
                                  <w:pPr>
                                    <w:jc w:val="center"/>
                                    <w:rPr>
                                      <w:rFonts w:hint="eastAsia" w:eastAsia="宋体"/>
                                      <w:color w:val="FF0000"/>
                                      <w:lang w:val="en-US" w:eastAsia="zh-CN"/>
                                    </w:rPr>
                                  </w:pPr>
                                  <w:r>
                                    <w:rPr>
                                      <w:rFonts w:hint="eastAsia"/>
                                      <w:color w:val="FF0000"/>
                                      <w:lang w:val="en-US" w:eastAsia="zh-CN"/>
                                    </w:rPr>
                                    <w:t>项目区</w:t>
                                  </w:r>
                                </w:p>
                              </w:txbxContent>
                            </wps:txbx>
                            <wps:bodyPr wrap="square" upright="1"/>
                          </wps:wsp>
                        </a:graphicData>
                      </a:graphic>
                    </wp:anchor>
                  </w:drawing>
                </mc:Choice>
                <mc:Fallback>
                  <w:pict>
                    <v:shape id="自选图形 21" o:spid="_x0000_s1026" o:spt="61" type="#_x0000_t61" style="position:absolute;left:0pt;margin-left:219.2pt;margin-top:79.35pt;height:23.85pt;width:51.75pt;z-index:251662336;mso-width-relative:page;mso-height-relative:page;" filled="f" stroked="t" coordsize="21600,21600" o:gfxdata="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a4EodcAAAALAQAADwAAAAAAAAABACAAAAAiAAAA&#10;ZHJzL2Rvd25yZXYueG1sUEsBAhQAFAAAAAgAh07iQBK8EbhBAgAAdAQAAA4AAAAAAAAAAQAgAAAA&#10;JgEAAGRycy9lMm9Eb2MueG1sUEsFBgAAAAAGAAYAWQEAANkFAAAAAA==&#10;" adj="2609,-23890">
                      <v:fill on="f" focussize="0,0"/>
                      <v:stroke color="#FF0000" joinstyle="miter"/>
                      <v:imagedata o:title=""/>
                      <o:lock v:ext="edit" aspectratio="f"/>
                      <v:textbox>
                        <w:txbxContent>
                          <w:p w14:paraId="054AD5C7">
                            <w:pPr>
                              <w:jc w:val="center"/>
                              <w:rPr>
                                <w:rFonts w:hint="eastAsia" w:eastAsia="宋体"/>
                                <w:color w:val="FF0000"/>
                                <w:lang w:val="en-US" w:eastAsia="zh-CN"/>
                              </w:rPr>
                            </w:pPr>
                            <w:r>
                              <w:rPr>
                                <w:rFonts w:hint="eastAsia"/>
                                <w:color w:val="FF0000"/>
                                <w:lang w:val="en-US" w:eastAsia="zh-CN"/>
                              </w:rPr>
                              <w:t>项目区</w:t>
                            </w:r>
                          </w:p>
                        </w:txbxContent>
                      </v:textbox>
                    </v:shape>
                  </w:pict>
                </mc:Fallback>
              </mc:AlternateContent>
            </w:r>
            <w:r>
              <w:rPr>
                <w:highlight w:val="none"/>
              </w:rPr>
              <w:drawing>
                <wp:inline distT="0" distB="0" distL="114300" distR="114300">
                  <wp:extent cx="4815205" cy="3296285"/>
                  <wp:effectExtent l="0" t="0" r="4445" b="18415"/>
                  <wp:docPr id="16"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8"/>
                          <pic:cNvPicPr>
                            <a:picLocks noChangeAspect="1"/>
                          </pic:cNvPicPr>
                        </pic:nvPicPr>
                        <pic:blipFill>
                          <a:blip r:embed="rId23"/>
                          <a:stretch>
                            <a:fillRect/>
                          </a:stretch>
                        </pic:blipFill>
                        <pic:spPr>
                          <a:xfrm>
                            <a:off x="0" y="0"/>
                            <a:ext cx="4815205" cy="3296285"/>
                          </a:xfrm>
                          <a:prstGeom prst="rect">
                            <a:avLst/>
                          </a:prstGeom>
                          <a:noFill/>
                          <a:ln>
                            <a:noFill/>
                          </a:ln>
                        </pic:spPr>
                      </pic:pic>
                    </a:graphicData>
                  </a:graphic>
                </wp:inline>
              </w:drawing>
            </w:r>
          </w:p>
          <w:p w14:paraId="59758781">
            <w:pPr>
              <w:keepNext/>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2" w:firstLineChars="200"/>
              <w:jc w:val="center"/>
              <w:textAlignment w:val="auto"/>
              <w:outlineLvl w:val="9"/>
              <w:rPr>
                <w:rFonts w:hint="default" w:ascii="Times New Roman" w:hAnsi="Times New Roman"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1"/>
                <w:szCs w:val="21"/>
                <w:highlight w:val="none"/>
                <w:lang w:val="en-US" w:eastAsia="zh-CN"/>
              </w:rPr>
              <w:t>图3-5   土地沙漠化现状图</w:t>
            </w:r>
          </w:p>
        </w:tc>
      </w:tr>
      <w:tr w14:paraId="12358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tcBorders>
              <w:tl2br w:val="nil"/>
              <w:tr2bl w:val="nil"/>
            </w:tcBorders>
            <w:noWrap w:val="0"/>
            <w:vAlign w:val="center"/>
          </w:tcPr>
          <w:p w14:paraId="192D82A6">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bCs/>
                <w:caps w:val="0"/>
                <w:smallCaps w:val="0"/>
                <w:color w:val="auto"/>
                <w:spacing w:val="0"/>
                <w:w w:val="100"/>
                <w:kern w:val="2"/>
                <w:position w:val="0"/>
                <w:sz w:val="24"/>
                <w:szCs w:val="24"/>
                <w:highlight w:val="none"/>
              </w:rPr>
              <w:t>与项目有关的原有环境污染和生态破坏问题</w:t>
            </w:r>
          </w:p>
        </w:tc>
        <w:tc>
          <w:tcPr>
            <w:tcW w:w="4670" w:type="pct"/>
            <w:tcBorders>
              <w:tl2br w:val="nil"/>
              <w:tr2bl w:val="nil"/>
            </w:tcBorders>
            <w:noWrap w:val="0"/>
            <w:vAlign w:val="center"/>
          </w:tcPr>
          <w:p w14:paraId="2CA7795D">
            <w:pPr>
              <w:keepNext w:val="0"/>
              <w:keepLines w:val="0"/>
              <w:pageBreakBefore w:val="0"/>
              <w:widowControl/>
              <w:suppressLineNumbers w:val="0"/>
              <w:kinsoku/>
              <w:wordWrap/>
              <w:overflowPunct/>
              <w:topLinePunct w:val="0"/>
              <w:bidi w:val="0"/>
              <w:snapToGrid/>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p>
          <w:p w14:paraId="6E60629B">
            <w:pPr>
              <w:keepNext w:val="0"/>
              <w:keepLines w:val="0"/>
              <w:pageBreakBefore w:val="0"/>
              <w:widowControl/>
              <w:suppressLineNumbers w:val="0"/>
              <w:kinsoku/>
              <w:wordWrap/>
              <w:overflowPunct/>
              <w:topLinePunct w:val="0"/>
              <w:bidi w:val="0"/>
              <w:snapToGrid/>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现有工程概况</w:t>
            </w:r>
          </w:p>
          <w:p w14:paraId="647AE6D2">
            <w:pPr>
              <w:keepNext w:val="0"/>
              <w:keepLines w:val="0"/>
              <w:pageBreakBefore w:val="0"/>
              <w:widowControl/>
              <w:suppressLineNumbers w:val="0"/>
              <w:kinsoku/>
              <w:wordWrap/>
              <w:overflowPunct/>
              <w:topLinePunct w:val="0"/>
              <w:bidi w:val="0"/>
              <w:snapToGrid/>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根据设计方提供资料，项目对原有阳霞大桥进行改建，原有阳霞大桥属于二级公路，建设期较早，期间未办理相关环评手续。</w:t>
            </w:r>
          </w:p>
          <w:p w14:paraId="68488073">
            <w:pPr>
              <w:keepNext w:val="0"/>
              <w:keepLines w:val="0"/>
              <w:pageBreakBefore w:val="0"/>
              <w:widowControl/>
              <w:suppressLineNumbers w:val="0"/>
              <w:kinsoku/>
              <w:wordWrap/>
              <w:overflowPunct/>
              <w:topLinePunct w:val="0"/>
              <w:bidi w:val="0"/>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本项目为主体工程对原有阳霞大桥进行改建</w:t>
            </w:r>
            <w:r>
              <w:rPr>
                <w:rFonts w:hint="default" w:ascii="Times New Roman" w:hAnsi="Times New Roman" w:eastAsia="宋体" w:cs="Times New Roman"/>
                <w:caps w:val="0"/>
                <w:smallCaps w:val="0"/>
                <w:color w:val="auto"/>
                <w:spacing w:val="0"/>
                <w:w w:val="100"/>
                <w:kern w:val="2"/>
                <w:position w:val="0"/>
                <w:sz w:val="24"/>
                <w:szCs w:val="28"/>
                <w:highlight w:val="none"/>
                <w:lang w:val="en-US" w:eastAsia="zh-CN"/>
              </w:rPr>
              <w:t>，不存在</w:t>
            </w:r>
            <w:r>
              <w:rPr>
                <w:rFonts w:hint="default" w:ascii="Times New Roman" w:hAnsi="Times New Roman" w:cs="Times New Roman"/>
                <w:bCs/>
                <w:caps w:val="0"/>
                <w:smallCaps w:val="0"/>
                <w:color w:val="auto"/>
                <w:spacing w:val="0"/>
                <w:w w:val="100"/>
                <w:kern w:val="2"/>
                <w:position w:val="0"/>
                <w:sz w:val="24"/>
                <w:szCs w:val="24"/>
                <w:highlight w:val="none"/>
              </w:rPr>
              <w:t>原有环境污染和生态破坏问题</w:t>
            </w:r>
            <w:r>
              <w:rPr>
                <w:rFonts w:hint="default" w:ascii="Times New Roman" w:hAnsi="Times New Roman" w:eastAsia="宋体" w:cs="Times New Roman"/>
                <w:caps w:val="0"/>
                <w:smallCaps w:val="0"/>
                <w:color w:val="auto"/>
                <w:spacing w:val="0"/>
                <w:w w:val="100"/>
                <w:kern w:val="2"/>
                <w:position w:val="0"/>
                <w:highlight w:val="none"/>
                <w:lang w:val="en-US" w:eastAsia="zh-CN"/>
              </w:rPr>
              <w:t>。</w:t>
            </w:r>
          </w:p>
        </w:tc>
      </w:tr>
      <w:tr w14:paraId="68722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tcBorders>
              <w:tl2br w:val="nil"/>
              <w:tr2bl w:val="nil"/>
            </w:tcBorders>
            <w:noWrap w:val="0"/>
            <w:vAlign w:val="center"/>
          </w:tcPr>
          <w:p w14:paraId="44B83D17">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caps w:val="0"/>
                <w:smallCaps w:val="0"/>
                <w:color w:val="auto"/>
                <w:spacing w:val="0"/>
                <w:w w:val="100"/>
                <w:kern w:val="2"/>
                <w:position w:val="0"/>
                <w:sz w:val="24"/>
                <w:szCs w:val="24"/>
                <w:highlight w:val="none"/>
              </w:rPr>
              <w:t>生态环境保护目标</w:t>
            </w:r>
          </w:p>
        </w:tc>
        <w:tc>
          <w:tcPr>
            <w:tcW w:w="4670" w:type="pct"/>
            <w:tcBorders>
              <w:tl2br w:val="nil"/>
              <w:tr2bl w:val="nil"/>
            </w:tcBorders>
            <w:noWrap w:val="0"/>
            <w:vAlign w:val="center"/>
          </w:tcPr>
          <w:p w14:paraId="4B2240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本项目</w:t>
            </w:r>
            <w:r>
              <w:rPr>
                <w:rFonts w:hint="default" w:ascii="Times New Roman" w:hAnsi="Times New Roman" w:eastAsia="宋体" w:cs="Times New Roman"/>
                <w:caps w:val="0"/>
                <w:smallCaps w:val="0"/>
                <w:color w:val="auto"/>
                <w:spacing w:val="0"/>
                <w:w w:val="100"/>
                <w:kern w:val="2"/>
                <w:position w:val="0"/>
                <w:sz w:val="24"/>
                <w:highlight w:val="none"/>
                <w:lang w:val="en-US" w:eastAsia="zh-CN"/>
              </w:rPr>
              <w:t>占地范围</w:t>
            </w:r>
            <w:r>
              <w:rPr>
                <w:rFonts w:hint="default" w:ascii="Times New Roman" w:hAnsi="Times New Roman" w:eastAsia="宋体" w:cs="Times New Roman"/>
                <w:caps w:val="0"/>
                <w:smallCaps w:val="0"/>
                <w:color w:val="auto"/>
                <w:spacing w:val="0"/>
                <w:w w:val="100"/>
                <w:kern w:val="2"/>
                <w:position w:val="0"/>
                <w:sz w:val="24"/>
                <w:highlight w:val="none"/>
              </w:rPr>
              <w:t>内无基本农田、自然保护区、风景名胜区等特殊保护对象</w:t>
            </w:r>
            <w:r>
              <w:rPr>
                <w:rFonts w:hint="default"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根据本项目所在区</w:t>
            </w:r>
            <w:r>
              <w:rPr>
                <w:rFonts w:hint="eastAsia" w:ascii="Times New Roman" w:hAnsi="Times New Roman" w:eastAsia="宋体" w:cs="Times New Roman"/>
                <w:caps w:val="0"/>
                <w:smallCaps w:val="0"/>
                <w:color w:val="auto"/>
                <w:spacing w:val="0"/>
                <w:w w:val="100"/>
                <w:kern w:val="2"/>
                <w:position w:val="0"/>
                <w:sz w:val="24"/>
                <w:highlight w:val="none"/>
                <w:lang w:eastAsia="zh-CN"/>
              </w:rPr>
              <w:t>域的</w:t>
            </w:r>
            <w:r>
              <w:rPr>
                <w:rFonts w:hint="default" w:ascii="Times New Roman" w:hAnsi="Times New Roman" w:eastAsia="宋体" w:cs="Times New Roman"/>
                <w:caps w:val="0"/>
                <w:smallCaps w:val="0"/>
                <w:color w:val="auto"/>
                <w:spacing w:val="0"/>
                <w:w w:val="100"/>
                <w:kern w:val="2"/>
                <w:position w:val="0"/>
                <w:sz w:val="24"/>
                <w:highlight w:val="none"/>
              </w:rPr>
              <w:t>环境状况和项目本身特点，确定环境保护目标如下：</w:t>
            </w:r>
          </w:p>
          <w:p w14:paraId="728D54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highlight w:val="none"/>
                <w:lang w:eastAsia="zh-CN"/>
              </w:rPr>
            </w:pPr>
            <w:r>
              <w:rPr>
                <w:rFonts w:hint="default" w:ascii="Times New Roman" w:hAnsi="Times New Roman" w:eastAsia="宋体" w:cs="Times New Roman"/>
                <w:caps w:val="0"/>
                <w:smallCaps w:val="0"/>
                <w:color w:val="auto"/>
                <w:spacing w:val="0"/>
                <w:w w:val="100"/>
                <w:kern w:val="2"/>
                <w:position w:val="0"/>
                <w:sz w:val="24"/>
                <w:highlight w:val="none"/>
              </w:rPr>
              <w:t>（1）空气环境：所在区域环境空气质量满足《环境空气质量标准》（GB3095</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w:t>
            </w:r>
            <w:r>
              <w:rPr>
                <w:rFonts w:hint="default" w:ascii="Times New Roman" w:hAnsi="Times New Roman" w:eastAsia="宋体" w:cs="Times New Roman"/>
                <w:caps w:val="0"/>
                <w:smallCaps w:val="0"/>
                <w:color w:val="auto"/>
                <w:spacing w:val="0"/>
                <w:w w:val="100"/>
                <w:kern w:val="2"/>
                <w:position w:val="0"/>
                <w:sz w:val="24"/>
                <w:highlight w:val="none"/>
              </w:rPr>
              <w:t>20</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26</w:t>
            </w:r>
            <w:r>
              <w:rPr>
                <w:rFonts w:hint="default" w:ascii="Times New Roman" w:hAnsi="Times New Roman" w:eastAsia="宋体" w:cs="Times New Roman"/>
                <w:caps w:val="0"/>
                <w:smallCaps w:val="0"/>
                <w:color w:val="auto"/>
                <w:spacing w:val="0"/>
                <w:w w:val="100"/>
                <w:kern w:val="2"/>
                <w:position w:val="0"/>
                <w:sz w:val="24"/>
                <w:highlight w:val="none"/>
              </w:rPr>
              <w:t>）二级标准要求</w:t>
            </w:r>
            <w:r>
              <w:rPr>
                <w:rFonts w:hint="default" w:ascii="Times New Roman" w:hAnsi="Times New Roman" w:eastAsia="宋体" w:cs="Times New Roman"/>
                <w:caps w:val="0"/>
                <w:smallCaps w:val="0"/>
                <w:color w:val="auto"/>
                <w:spacing w:val="0"/>
                <w:w w:val="100"/>
                <w:kern w:val="2"/>
                <w:position w:val="0"/>
                <w:sz w:val="24"/>
                <w:highlight w:val="none"/>
                <w:lang w:eastAsia="zh-CN"/>
              </w:rPr>
              <w:t>；</w:t>
            </w:r>
          </w:p>
          <w:p w14:paraId="0D3D57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（2）水环境：保证不因本项目的建设而影响该项目所在区域地表水质，使地表水满足《地表水环境质量标准》（GB3838</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w:t>
            </w:r>
            <w:r>
              <w:rPr>
                <w:rFonts w:hint="default" w:ascii="Times New Roman" w:hAnsi="Times New Roman" w:eastAsia="宋体" w:cs="Times New Roman"/>
                <w:caps w:val="0"/>
                <w:smallCaps w:val="0"/>
                <w:color w:val="auto"/>
                <w:spacing w:val="0"/>
                <w:w w:val="100"/>
                <w:kern w:val="2"/>
                <w:position w:val="0"/>
                <w:sz w:val="24"/>
                <w:highlight w:val="none"/>
              </w:rPr>
              <w:t>2002）</w:t>
            </w:r>
            <w:r>
              <w:rPr>
                <w:rFonts w:hint="eastAsia" w:ascii="宋体" w:hAnsi="宋体" w:eastAsia="宋体" w:cs="宋体"/>
                <w:caps w:val="0"/>
                <w:smallCaps w:val="0"/>
                <w:color w:val="auto"/>
                <w:spacing w:val="0"/>
                <w:w w:val="100"/>
                <w:kern w:val="2"/>
                <w:position w:val="0"/>
                <w:sz w:val="24"/>
                <w:highlight w:val="none"/>
                <w:lang w:eastAsia="zh-CN"/>
              </w:rPr>
              <w:t>Ⅰ</w:t>
            </w:r>
            <w:r>
              <w:rPr>
                <w:rFonts w:hint="eastAsia" w:ascii="Times New Roman" w:hAnsi="Times New Roman" w:eastAsia="宋体" w:cs="Times New Roman"/>
                <w:caps w:val="0"/>
                <w:smallCaps w:val="0"/>
                <w:color w:val="auto"/>
                <w:spacing w:val="0"/>
                <w:w w:val="100"/>
                <w:kern w:val="2"/>
                <w:position w:val="0"/>
                <w:sz w:val="24"/>
                <w:highlight w:val="none"/>
                <w:lang w:eastAsia="zh-CN"/>
              </w:rPr>
              <w:t>类</w:t>
            </w:r>
            <w:r>
              <w:rPr>
                <w:rFonts w:hint="default" w:ascii="Times New Roman" w:hAnsi="Times New Roman" w:eastAsia="宋体" w:cs="Times New Roman"/>
                <w:caps w:val="0"/>
                <w:smallCaps w:val="0"/>
                <w:color w:val="auto"/>
                <w:spacing w:val="0"/>
                <w:w w:val="100"/>
                <w:kern w:val="2"/>
                <w:position w:val="0"/>
                <w:sz w:val="24"/>
                <w:highlight w:val="none"/>
              </w:rPr>
              <w:t>标准；地下水满足《地下水质量标准》（GB/T14848</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w:t>
            </w:r>
            <w:r>
              <w:rPr>
                <w:rFonts w:hint="default" w:ascii="Times New Roman" w:hAnsi="Times New Roman" w:eastAsia="宋体" w:cs="Times New Roman"/>
                <w:caps w:val="0"/>
                <w:smallCaps w:val="0"/>
                <w:color w:val="auto"/>
                <w:spacing w:val="0"/>
                <w:w w:val="100"/>
                <w:kern w:val="2"/>
                <w:position w:val="0"/>
                <w:sz w:val="24"/>
                <w:highlight w:val="none"/>
              </w:rPr>
              <w:t>2017）中的Ⅲ类标准。</w:t>
            </w:r>
          </w:p>
          <w:p w14:paraId="7421D0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（3）声环境：保护项目所在区域声环境质量满足《声环境质量标准》（GB3096</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w:t>
            </w:r>
            <w:r>
              <w:rPr>
                <w:rFonts w:hint="default" w:ascii="Times New Roman" w:hAnsi="Times New Roman" w:eastAsia="宋体" w:cs="Times New Roman"/>
                <w:caps w:val="0"/>
                <w:smallCaps w:val="0"/>
                <w:color w:val="auto"/>
                <w:spacing w:val="0"/>
                <w:w w:val="100"/>
                <w:kern w:val="2"/>
                <w:position w:val="0"/>
                <w:sz w:val="24"/>
                <w:highlight w:val="none"/>
              </w:rPr>
              <w:t>2008）中的</w:t>
            </w:r>
            <w:r>
              <w:rPr>
                <w:rFonts w:hint="default" w:ascii="Times New Roman" w:hAnsi="Times New Roman" w:eastAsia="宋体" w:cs="Times New Roman"/>
                <w:caps w:val="0"/>
                <w:smallCaps w:val="0"/>
                <w:color w:val="auto"/>
                <w:spacing w:val="0"/>
                <w:w w:val="100"/>
                <w:kern w:val="2"/>
                <w:position w:val="0"/>
                <w:sz w:val="24"/>
                <w:highlight w:val="none"/>
                <w:lang w:val="en-US" w:eastAsia="zh-CN"/>
              </w:rPr>
              <w:t>2</w:t>
            </w:r>
            <w:r>
              <w:rPr>
                <w:rFonts w:hint="default" w:ascii="Times New Roman" w:hAnsi="Times New Roman" w:eastAsia="宋体" w:cs="Times New Roman"/>
                <w:caps w:val="0"/>
                <w:smallCaps w:val="0"/>
                <w:color w:val="auto"/>
                <w:spacing w:val="0"/>
                <w:w w:val="100"/>
                <w:kern w:val="2"/>
                <w:position w:val="0"/>
                <w:sz w:val="24"/>
                <w:highlight w:val="none"/>
              </w:rPr>
              <w:t>类标准。</w:t>
            </w:r>
          </w:p>
          <w:p w14:paraId="1BC4FC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（4）生态环境：</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施工期</w:t>
            </w:r>
            <w:r>
              <w:rPr>
                <w:rFonts w:hint="default" w:ascii="Times New Roman" w:hAnsi="Times New Roman" w:eastAsia="宋体" w:cs="Times New Roman"/>
                <w:caps w:val="0"/>
                <w:smallCaps w:val="0"/>
                <w:color w:val="auto"/>
                <w:spacing w:val="0"/>
                <w:w w:val="100"/>
                <w:kern w:val="2"/>
                <w:position w:val="0"/>
                <w:sz w:val="24"/>
                <w:highlight w:val="none"/>
              </w:rPr>
              <w:t>做好因工程建设所造成的生态破坏的恢复，最大限度地保护当地的生态环境。</w:t>
            </w:r>
          </w:p>
          <w:p w14:paraId="35BFA04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422" w:firstLineChars="200"/>
              <w:textAlignment w:val="auto"/>
              <w:rPr>
                <w:rFonts w:hint="default" w:cs="Times New Roman"/>
                <w:b/>
                <w:bCs/>
                <w:caps w:val="0"/>
                <w:smallCaps w:val="0"/>
                <w:snapToGrid w:val="0"/>
                <w:color w:val="auto"/>
                <w:spacing w:val="0"/>
                <w:w w:val="100"/>
                <w:kern w:val="2"/>
                <w:position w:val="0"/>
                <w:sz w:val="21"/>
                <w:szCs w:val="21"/>
                <w:highlight w:val="none"/>
                <w:lang w:val="en-US" w:eastAsia="zh-CN" w:bidi="ar-SA"/>
              </w:rPr>
            </w:pPr>
            <w:r>
              <w:rPr>
                <w:rFonts w:hint="default" w:cs="Times New Roman"/>
                <w:b/>
                <w:bCs/>
                <w:caps w:val="0"/>
                <w:smallCaps w:val="0"/>
                <w:snapToGrid w:val="0"/>
                <w:color w:val="auto"/>
                <w:spacing w:val="0"/>
                <w:w w:val="100"/>
                <w:kern w:val="2"/>
                <w:position w:val="0"/>
                <w:sz w:val="21"/>
                <w:szCs w:val="21"/>
                <w:highlight w:val="none"/>
                <w:lang w:val="en-US" w:eastAsia="zh-CN" w:bidi="ar-SA"/>
              </w:rPr>
              <w:t>表3-</w:t>
            </w:r>
            <w:r>
              <w:rPr>
                <w:rFonts w:hint="eastAsia" w:cs="Times New Roman"/>
                <w:b/>
                <w:bCs/>
                <w:caps w:val="0"/>
                <w:smallCaps w:val="0"/>
                <w:snapToGrid w:val="0"/>
                <w:color w:val="auto"/>
                <w:spacing w:val="0"/>
                <w:w w:val="100"/>
                <w:kern w:val="2"/>
                <w:position w:val="0"/>
                <w:sz w:val="21"/>
                <w:szCs w:val="21"/>
                <w:highlight w:val="none"/>
                <w:lang w:val="en-US" w:eastAsia="zh-CN" w:bidi="ar-SA"/>
              </w:rPr>
              <w:t xml:space="preserve">6             </w:t>
            </w:r>
            <w:r>
              <w:rPr>
                <w:rFonts w:hint="default" w:cs="Times New Roman"/>
                <w:b/>
                <w:bCs/>
                <w:caps w:val="0"/>
                <w:smallCaps w:val="0"/>
                <w:snapToGrid w:val="0"/>
                <w:color w:val="auto"/>
                <w:spacing w:val="0"/>
                <w:w w:val="100"/>
                <w:kern w:val="2"/>
                <w:position w:val="0"/>
                <w:sz w:val="21"/>
                <w:szCs w:val="21"/>
                <w:highlight w:val="none"/>
                <w:lang w:val="en-US" w:eastAsia="zh-CN" w:bidi="ar-SA"/>
              </w:rPr>
              <w:t>环境保护目标一览表</w:t>
            </w:r>
          </w:p>
          <w:tbl>
            <w:tblPr>
              <w:tblStyle w:val="29"/>
              <w:tblW w:w="490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47"/>
              <w:gridCol w:w="489"/>
              <w:gridCol w:w="782"/>
              <w:gridCol w:w="598"/>
              <w:gridCol w:w="516"/>
              <w:gridCol w:w="4669"/>
            </w:tblGrid>
            <w:tr w14:paraId="52248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0" w:type="pct"/>
                  <w:tcBorders>
                    <w:tl2br w:val="nil"/>
                    <w:tr2bl w:val="nil"/>
                  </w:tcBorders>
                  <w:noWrap w:val="0"/>
                  <w:vAlign w:val="center"/>
                </w:tcPr>
                <w:p w14:paraId="293ED00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环境要素</w:t>
                  </w:r>
                </w:p>
              </w:tc>
              <w:tc>
                <w:tcPr>
                  <w:tcW w:w="322" w:type="pct"/>
                  <w:tcBorders>
                    <w:tl2br w:val="nil"/>
                    <w:tr2bl w:val="nil"/>
                  </w:tcBorders>
                  <w:noWrap w:val="0"/>
                  <w:vAlign w:val="center"/>
                </w:tcPr>
                <w:p w14:paraId="1A40CEF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评价等级</w:t>
                  </w:r>
                </w:p>
              </w:tc>
              <w:tc>
                <w:tcPr>
                  <w:tcW w:w="514" w:type="pct"/>
                  <w:tcBorders>
                    <w:tl2br w:val="nil"/>
                    <w:tr2bl w:val="nil"/>
                  </w:tcBorders>
                  <w:noWrap w:val="0"/>
                  <w:vAlign w:val="center"/>
                </w:tcPr>
                <w:p w14:paraId="0EDA1EF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评价范围</w:t>
                  </w:r>
                </w:p>
              </w:tc>
              <w:tc>
                <w:tcPr>
                  <w:tcW w:w="393" w:type="pct"/>
                  <w:tcBorders>
                    <w:tl2br w:val="nil"/>
                    <w:tr2bl w:val="nil"/>
                  </w:tcBorders>
                  <w:noWrap w:val="0"/>
                  <w:vAlign w:val="center"/>
                </w:tcPr>
                <w:p w14:paraId="10064C4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highlight w:val="none"/>
                    </w:rPr>
                  </w:pPr>
                  <w:r>
                    <w:rPr>
                      <w:color w:val="auto"/>
                      <w:szCs w:val="21"/>
                      <w:highlight w:val="none"/>
                    </w:rPr>
                    <w:t>项目</w:t>
                  </w:r>
                </w:p>
              </w:tc>
              <w:tc>
                <w:tcPr>
                  <w:tcW w:w="339" w:type="pct"/>
                  <w:tcBorders>
                    <w:tl2br w:val="nil"/>
                    <w:tr2bl w:val="nil"/>
                  </w:tcBorders>
                  <w:noWrap w:val="0"/>
                  <w:vAlign w:val="center"/>
                </w:tcPr>
                <w:p w14:paraId="2CD3DFD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highlight w:val="none"/>
                    </w:rPr>
                  </w:pPr>
                  <w:r>
                    <w:rPr>
                      <w:color w:val="auto"/>
                      <w:szCs w:val="21"/>
                      <w:highlight w:val="none"/>
                    </w:rPr>
                    <w:t>保护内容</w:t>
                  </w:r>
                </w:p>
              </w:tc>
              <w:tc>
                <w:tcPr>
                  <w:tcW w:w="3069" w:type="pct"/>
                  <w:tcBorders>
                    <w:tl2br w:val="nil"/>
                    <w:tr2bl w:val="nil"/>
                  </w:tcBorders>
                  <w:noWrap w:val="0"/>
                  <w:vAlign w:val="center"/>
                </w:tcPr>
                <w:p w14:paraId="44A31A2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highlight w:val="none"/>
                    </w:rPr>
                  </w:pPr>
                  <w:r>
                    <w:rPr>
                      <w:color w:val="auto"/>
                      <w:szCs w:val="21"/>
                      <w:highlight w:val="none"/>
                    </w:rPr>
                    <w:t>备注</w:t>
                  </w:r>
                </w:p>
              </w:tc>
            </w:tr>
            <w:tr w14:paraId="4CB5C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0" w:type="pct"/>
                  <w:tcBorders>
                    <w:tl2br w:val="nil"/>
                    <w:tr2bl w:val="nil"/>
                  </w:tcBorders>
                  <w:noWrap w:val="0"/>
                  <w:vAlign w:val="center"/>
                </w:tcPr>
                <w:p w14:paraId="01EA561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大气</w:t>
                  </w:r>
                </w:p>
              </w:tc>
              <w:tc>
                <w:tcPr>
                  <w:tcW w:w="322" w:type="pct"/>
                  <w:tcBorders>
                    <w:tl2br w:val="nil"/>
                    <w:tr2bl w:val="nil"/>
                  </w:tcBorders>
                  <w:noWrap w:val="0"/>
                  <w:vAlign w:val="center"/>
                </w:tcPr>
                <w:p w14:paraId="65EEC9E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w:t>
                  </w:r>
                </w:p>
              </w:tc>
              <w:tc>
                <w:tcPr>
                  <w:tcW w:w="514" w:type="pct"/>
                  <w:tcBorders>
                    <w:tl2br w:val="nil"/>
                    <w:tr2bl w:val="nil"/>
                  </w:tcBorders>
                  <w:noWrap w:val="0"/>
                  <w:vAlign w:val="center"/>
                </w:tcPr>
                <w:p w14:paraId="1159FC2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w:t>
                  </w:r>
                </w:p>
              </w:tc>
              <w:tc>
                <w:tcPr>
                  <w:tcW w:w="393" w:type="pct"/>
                  <w:tcBorders>
                    <w:tl2br w:val="nil"/>
                    <w:tr2bl w:val="nil"/>
                  </w:tcBorders>
                  <w:noWrap w:val="0"/>
                  <w:vAlign w:val="center"/>
                </w:tcPr>
                <w:p w14:paraId="53D845B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居住区</w:t>
                  </w:r>
                </w:p>
              </w:tc>
              <w:tc>
                <w:tcPr>
                  <w:tcW w:w="339" w:type="pct"/>
                  <w:tcBorders>
                    <w:tl2br w:val="nil"/>
                    <w:tr2bl w:val="nil"/>
                  </w:tcBorders>
                  <w:noWrap w:val="0"/>
                  <w:vAlign w:val="center"/>
                </w:tcPr>
                <w:p w14:paraId="37B6098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人群</w:t>
                  </w:r>
                </w:p>
              </w:tc>
              <w:tc>
                <w:tcPr>
                  <w:tcW w:w="3069" w:type="pct"/>
                  <w:tcBorders>
                    <w:tl2br w:val="nil"/>
                    <w:tr2bl w:val="nil"/>
                  </w:tcBorders>
                  <w:noWrap w:val="0"/>
                  <w:vAlign w:val="center"/>
                </w:tcPr>
                <w:p w14:paraId="78ADAB9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铁热克巴扎乡等大气环境保护目标</w:t>
                  </w:r>
                </w:p>
              </w:tc>
            </w:tr>
            <w:tr w14:paraId="5E84F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0" w:type="pct"/>
                  <w:tcBorders>
                    <w:tl2br w:val="nil"/>
                    <w:tr2bl w:val="nil"/>
                  </w:tcBorders>
                  <w:noWrap w:val="0"/>
                  <w:vAlign w:val="center"/>
                </w:tcPr>
                <w:p w14:paraId="6A4A3EC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噪声</w:t>
                  </w:r>
                </w:p>
              </w:tc>
              <w:tc>
                <w:tcPr>
                  <w:tcW w:w="322" w:type="pct"/>
                  <w:tcBorders>
                    <w:tl2br w:val="nil"/>
                    <w:tr2bl w:val="nil"/>
                  </w:tcBorders>
                  <w:noWrap w:val="0"/>
                  <w:vAlign w:val="center"/>
                </w:tcPr>
                <w:p w14:paraId="252AB0C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二级</w:t>
                  </w:r>
                </w:p>
              </w:tc>
              <w:tc>
                <w:tcPr>
                  <w:tcW w:w="514" w:type="pct"/>
                  <w:tcBorders>
                    <w:tl2br w:val="nil"/>
                    <w:tr2bl w:val="nil"/>
                  </w:tcBorders>
                  <w:noWrap w:val="0"/>
                  <w:vAlign w:val="center"/>
                </w:tcPr>
                <w:p w14:paraId="1A9DC76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200m</w:t>
                  </w:r>
                </w:p>
              </w:tc>
              <w:tc>
                <w:tcPr>
                  <w:tcW w:w="393" w:type="pct"/>
                  <w:tcBorders>
                    <w:tl2br w:val="nil"/>
                    <w:tr2bl w:val="nil"/>
                  </w:tcBorders>
                  <w:noWrap w:val="0"/>
                  <w:vAlign w:val="center"/>
                </w:tcPr>
                <w:p w14:paraId="56FDAE9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kern w:val="2"/>
                      <w:sz w:val="21"/>
                      <w:szCs w:val="21"/>
                      <w:highlight w:val="none"/>
                      <w:lang w:val="en-US" w:eastAsia="zh-CN" w:bidi="ar-SA"/>
                    </w:rPr>
                  </w:pPr>
                  <w:r>
                    <w:rPr>
                      <w:rFonts w:hint="eastAsia" w:eastAsia="宋体"/>
                      <w:color w:val="auto"/>
                      <w:szCs w:val="21"/>
                      <w:highlight w:val="none"/>
                      <w:lang w:val="en-US" w:eastAsia="zh-CN"/>
                    </w:rPr>
                    <w:t>居住区</w:t>
                  </w:r>
                </w:p>
              </w:tc>
              <w:tc>
                <w:tcPr>
                  <w:tcW w:w="339" w:type="pct"/>
                  <w:tcBorders>
                    <w:tl2br w:val="nil"/>
                    <w:tr2bl w:val="nil"/>
                  </w:tcBorders>
                  <w:noWrap w:val="0"/>
                  <w:vAlign w:val="center"/>
                </w:tcPr>
                <w:p w14:paraId="77757C8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kern w:val="2"/>
                      <w:sz w:val="21"/>
                      <w:szCs w:val="21"/>
                      <w:highlight w:val="none"/>
                      <w:lang w:val="en-US" w:eastAsia="zh-CN" w:bidi="ar-SA"/>
                    </w:rPr>
                  </w:pPr>
                  <w:r>
                    <w:rPr>
                      <w:rFonts w:hint="eastAsia" w:eastAsia="宋体"/>
                      <w:color w:val="auto"/>
                      <w:szCs w:val="21"/>
                      <w:highlight w:val="none"/>
                      <w:lang w:val="en-US" w:eastAsia="zh-CN"/>
                    </w:rPr>
                    <w:t>人群</w:t>
                  </w:r>
                </w:p>
              </w:tc>
              <w:tc>
                <w:tcPr>
                  <w:tcW w:w="3069" w:type="pct"/>
                  <w:tcBorders>
                    <w:tl2br w:val="nil"/>
                    <w:tr2bl w:val="nil"/>
                  </w:tcBorders>
                  <w:noWrap w:val="0"/>
                  <w:vAlign w:val="center"/>
                </w:tcPr>
                <w:p w14:paraId="3061C10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铁热克巴扎乡等声环境保护目标</w:t>
                  </w:r>
                </w:p>
              </w:tc>
            </w:tr>
            <w:tr w14:paraId="6FDDF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0" w:type="pct"/>
                  <w:tcBorders>
                    <w:tl2br w:val="nil"/>
                    <w:tr2bl w:val="nil"/>
                  </w:tcBorders>
                  <w:noWrap w:val="0"/>
                  <w:vAlign w:val="center"/>
                </w:tcPr>
                <w:p w14:paraId="3B748FC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土壤</w:t>
                  </w:r>
                </w:p>
              </w:tc>
              <w:tc>
                <w:tcPr>
                  <w:tcW w:w="322" w:type="pct"/>
                  <w:tcBorders>
                    <w:tl2br w:val="nil"/>
                    <w:tr2bl w:val="nil"/>
                  </w:tcBorders>
                  <w:noWrap w:val="0"/>
                  <w:vAlign w:val="center"/>
                </w:tcPr>
                <w:p w14:paraId="6FA6921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w:t>
                  </w:r>
                </w:p>
              </w:tc>
              <w:tc>
                <w:tcPr>
                  <w:tcW w:w="514" w:type="pct"/>
                  <w:tcBorders>
                    <w:tl2br w:val="nil"/>
                    <w:tr2bl w:val="nil"/>
                  </w:tcBorders>
                  <w:noWrap w:val="0"/>
                  <w:vAlign w:val="center"/>
                </w:tcPr>
                <w:p w14:paraId="031314C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w:t>
                  </w:r>
                </w:p>
              </w:tc>
              <w:tc>
                <w:tcPr>
                  <w:tcW w:w="393" w:type="pct"/>
                  <w:tcBorders>
                    <w:tl2br w:val="nil"/>
                    <w:tr2bl w:val="nil"/>
                  </w:tcBorders>
                  <w:noWrap w:val="0"/>
                  <w:vAlign w:val="center"/>
                </w:tcPr>
                <w:p w14:paraId="42E36EB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w:t>
                  </w:r>
                </w:p>
              </w:tc>
              <w:tc>
                <w:tcPr>
                  <w:tcW w:w="339" w:type="pct"/>
                  <w:tcBorders>
                    <w:tl2br w:val="nil"/>
                    <w:tr2bl w:val="nil"/>
                  </w:tcBorders>
                  <w:noWrap w:val="0"/>
                  <w:vAlign w:val="center"/>
                </w:tcPr>
                <w:p w14:paraId="7FE5FD4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w:t>
                  </w:r>
                </w:p>
              </w:tc>
              <w:tc>
                <w:tcPr>
                  <w:tcW w:w="3069" w:type="pct"/>
                  <w:tcBorders>
                    <w:tl2br w:val="nil"/>
                    <w:tr2bl w:val="nil"/>
                  </w:tcBorders>
                  <w:noWrap w:val="0"/>
                  <w:vAlign w:val="center"/>
                </w:tcPr>
                <w:p w14:paraId="721514A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本项目无土壤污染途径，根据导则要求无需开展土壤环境影响评价</w:t>
                  </w:r>
                </w:p>
              </w:tc>
            </w:tr>
            <w:tr w14:paraId="0C3DD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0" w:type="pct"/>
                  <w:tcBorders>
                    <w:tl2br w:val="nil"/>
                    <w:tr2bl w:val="nil"/>
                  </w:tcBorders>
                  <w:noWrap w:val="0"/>
                  <w:vAlign w:val="center"/>
                </w:tcPr>
                <w:p w14:paraId="3EA31BA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地表水</w:t>
                  </w:r>
                </w:p>
              </w:tc>
              <w:tc>
                <w:tcPr>
                  <w:tcW w:w="322" w:type="pct"/>
                  <w:tcBorders>
                    <w:tl2br w:val="nil"/>
                    <w:tr2bl w:val="nil"/>
                  </w:tcBorders>
                  <w:noWrap w:val="0"/>
                  <w:vAlign w:val="center"/>
                </w:tcPr>
                <w:p w14:paraId="2945B08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w:t>
                  </w:r>
                </w:p>
              </w:tc>
              <w:tc>
                <w:tcPr>
                  <w:tcW w:w="514" w:type="pct"/>
                  <w:tcBorders>
                    <w:tl2br w:val="nil"/>
                    <w:tr2bl w:val="nil"/>
                  </w:tcBorders>
                  <w:noWrap w:val="0"/>
                  <w:vAlign w:val="center"/>
                </w:tcPr>
                <w:p w14:paraId="4075693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阳霞艾肯河</w:t>
                  </w:r>
                </w:p>
              </w:tc>
              <w:tc>
                <w:tcPr>
                  <w:tcW w:w="393" w:type="pct"/>
                  <w:tcBorders>
                    <w:tl2br w:val="nil"/>
                    <w:tr2bl w:val="nil"/>
                  </w:tcBorders>
                  <w:noWrap w:val="0"/>
                  <w:vAlign w:val="center"/>
                </w:tcPr>
                <w:p w14:paraId="21DFDBA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地表水</w:t>
                  </w:r>
                </w:p>
              </w:tc>
              <w:tc>
                <w:tcPr>
                  <w:tcW w:w="339" w:type="pct"/>
                  <w:tcBorders>
                    <w:tl2br w:val="nil"/>
                    <w:tr2bl w:val="nil"/>
                  </w:tcBorders>
                  <w:noWrap w:val="0"/>
                  <w:vAlign w:val="center"/>
                </w:tcPr>
                <w:p w14:paraId="587265F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eastAsia" w:eastAsia="宋体"/>
                      <w:color w:val="auto"/>
                      <w:szCs w:val="21"/>
                      <w:highlight w:val="none"/>
                      <w:lang w:val="en-US" w:eastAsia="zh-CN"/>
                    </w:rPr>
                  </w:pPr>
                  <w:r>
                    <w:rPr>
                      <w:rFonts w:hint="eastAsia" w:eastAsia="宋体"/>
                      <w:color w:val="auto"/>
                      <w:szCs w:val="21"/>
                      <w:highlight w:val="none"/>
                      <w:lang w:val="en-US" w:eastAsia="zh-CN"/>
                    </w:rPr>
                    <w:t>地表水水质</w:t>
                  </w:r>
                </w:p>
              </w:tc>
              <w:tc>
                <w:tcPr>
                  <w:tcW w:w="3069" w:type="pct"/>
                  <w:tcBorders>
                    <w:tl2br w:val="nil"/>
                    <w:tr2bl w:val="nil"/>
                  </w:tcBorders>
                  <w:noWrap w:val="0"/>
                  <w:vAlign w:val="center"/>
                </w:tcPr>
                <w:p w14:paraId="78D7269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本项目施工期用水从周边村镇拉运，严禁从河流取水，禁止施工机械在河道清洗，施工过程中做好雨季河水引流等措施后，不会对地表水产生严重污染影响。同时根据导则要求本项目无需开展地表水环境影响评价</w:t>
                  </w:r>
                </w:p>
              </w:tc>
            </w:tr>
            <w:tr w14:paraId="64A8E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0" w:type="pct"/>
                  <w:tcBorders>
                    <w:tl2br w:val="nil"/>
                    <w:tr2bl w:val="nil"/>
                  </w:tcBorders>
                  <w:noWrap w:val="0"/>
                  <w:vAlign w:val="center"/>
                </w:tcPr>
                <w:p w14:paraId="3944617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地下水</w:t>
                  </w:r>
                </w:p>
              </w:tc>
              <w:tc>
                <w:tcPr>
                  <w:tcW w:w="322" w:type="pct"/>
                  <w:tcBorders>
                    <w:tl2br w:val="nil"/>
                    <w:tr2bl w:val="nil"/>
                  </w:tcBorders>
                  <w:noWrap w:val="0"/>
                  <w:vAlign w:val="center"/>
                </w:tcPr>
                <w:p w14:paraId="34E195E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w:t>
                  </w:r>
                </w:p>
              </w:tc>
              <w:tc>
                <w:tcPr>
                  <w:tcW w:w="514" w:type="pct"/>
                  <w:tcBorders>
                    <w:tl2br w:val="nil"/>
                    <w:tr2bl w:val="nil"/>
                  </w:tcBorders>
                  <w:noWrap w:val="0"/>
                  <w:vAlign w:val="center"/>
                </w:tcPr>
                <w:p w14:paraId="5C40B35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w:t>
                  </w:r>
                </w:p>
              </w:tc>
              <w:tc>
                <w:tcPr>
                  <w:tcW w:w="393" w:type="pct"/>
                  <w:tcBorders>
                    <w:tl2br w:val="nil"/>
                    <w:tr2bl w:val="nil"/>
                  </w:tcBorders>
                  <w:noWrap w:val="0"/>
                  <w:vAlign w:val="center"/>
                </w:tcPr>
                <w:p w14:paraId="248D579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地下水</w:t>
                  </w:r>
                </w:p>
              </w:tc>
              <w:tc>
                <w:tcPr>
                  <w:tcW w:w="339" w:type="pct"/>
                  <w:tcBorders>
                    <w:tl2br w:val="nil"/>
                    <w:tr2bl w:val="nil"/>
                  </w:tcBorders>
                  <w:noWrap w:val="0"/>
                  <w:vAlign w:val="center"/>
                </w:tcPr>
                <w:p w14:paraId="0748AE5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地下水水质</w:t>
                  </w:r>
                </w:p>
              </w:tc>
              <w:tc>
                <w:tcPr>
                  <w:tcW w:w="3069" w:type="pct"/>
                  <w:tcBorders>
                    <w:tl2br w:val="nil"/>
                    <w:tr2bl w:val="nil"/>
                  </w:tcBorders>
                  <w:noWrap w:val="0"/>
                  <w:vAlign w:val="center"/>
                </w:tcPr>
                <w:p w14:paraId="2246761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color w:val="auto"/>
                      <w:szCs w:val="21"/>
                      <w:highlight w:val="none"/>
                      <w:lang w:val="en-US"/>
                    </w:rPr>
                  </w:pPr>
                  <w:r>
                    <w:rPr>
                      <w:rFonts w:hint="eastAsia"/>
                      <w:color w:val="auto"/>
                      <w:szCs w:val="21"/>
                      <w:highlight w:val="none"/>
                      <w:lang w:val="en-US" w:eastAsia="zh-CN"/>
                    </w:rPr>
                    <w:t>本项目</w:t>
                  </w:r>
                  <w:r>
                    <w:rPr>
                      <w:rFonts w:hint="eastAsia"/>
                      <w:color w:val="auto"/>
                      <w:szCs w:val="21"/>
                      <w:highlight w:val="none"/>
                    </w:rPr>
                    <w:t>不涉及</w:t>
                  </w:r>
                  <w:r>
                    <w:rPr>
                      <w:rFonts w:hint="eastAsia"/>
                      <w:color w:val="auto"/>
                      <w:szCs w:val="21"/>
                      <w:highlight w:val="none"/>
                      <w:lang w:val="en-US" w:eastAsia="zh-CN"/>
                    </w:rPr>
                    <w:t>开采使用地下水，根据导则要求本项目无需开展地表水环境影响评价。</w:t>
                  </w:r>
                </w:p>
              </w:tc>
            </w:tr>
            <w:tr w14:paraId="0642C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60" w:type="pct"/>
                  <w:vMerge w:val="restart"/>
                  <w:tcBorders>
                    <w:tl2br w:val="nil"/>
                    <w:tr2bl w:val="nil"/>
                  </w:tcBorders>
                  <w:noWrap w:val="0"/>
                  <w:vAlign w:val="center"/>
                </w:tcPr>
                <w:p w14:paraId="3B249AE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生态</w:t>
                  </w:r>
                </w:p>
              </w:tc>
              <w:tc>
                <w:tcPr>
                  <w:tcW w:w="322" w:type="pct"/>
                  <w:vMerge w:val="restart"/>
                  <w:tcBorders>
                    <w:tl2br w:val="nil"/>
                    <w:tr2bl w:val="nil"/>
                  </w:tcBorders>
                  <w:noWrap w:val="0"/>
                  <w:vAlign w:val="center"/>
                </w:tcPr>
                <w:p w14:paraId="1471FDE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三级</w:t>
                  </w:r>
                </w:p>
              </w:tc>
              <w:tc>
                <w:tcPr>
                  <w:tcW w:w="514" w:type="pct"/>
                  <w:vMerge w:val="restart"/>
                  <w:tcBorders>
                    <w:tl2br w:val="nil"/>
                    <w:tr2bl w:val="nil"/>
                  </w:tcBorders>
                  <w:noWrap w:val="0"/>
                  <w:vAlign w:val="center"/>
                </w:tcPr>
                <w:p w14:paraId="618839D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kern w:val="2"/>
                      <w:sz w:val="21"/>
                      <w:szCs w:val="21"/>
                      <w:highlight w:val="none"/>
                      <w:lang w:val="en-US" w:eastAsia="zh-CN" w:bidi="ar-SA"/>
                    </w:rPr>
                  </w:pPr>
                  <w:r>
                    <w:rPr>
                      <w:rFonts w:hint="eastAsia"/>
                      <w:color w:val="auto"/>
                      <w:szCs w:val="21"/>
                      <w:highlight w:val="none"/>
                      <w:lang w:val="en-US" w:eastAsia="zh-CN"/>
                    </w:rPr>
                    <w:t>道路中心线向两侧外延200m的区域</w:t>
                  </w:r>
                </w:p>
                <w:p w14:paraId="5CEB2E3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szCs w:val="21"/>
                      <w:highlight w:val="none"/>
                      <w:lang w:val="en-US" w:eastAsia="zh-CN"/>
                    </w:rPr>
                  </w:pPr>
                </w:p>
              </w:tc>
              <w:tc>
                <w:tcPr>
                  <w:tcW w:w="393" w:type="pct"/>
                  <w:vMerge w:val="restart"/>
                  <w:tcBorders>
                    <w:tl2br w:val="nil"/>
                    <w:tr2bl w:val="nil"/>
                  </w:tcBorders>
                  <w:noWrap w:val="0"/>
                  <w:vAlign w:val="center"/>
                </w:tcPr>
                <w:p w14:paraId="4FECA63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highlight w:val="none"/>
                    </w:rPr>
                  </w:pPr>
                  <w:r>
                    <w:rPr>
                      <w:color w:val="auto"/>
                      <w:szCs w:val="21"/>
                      <w:highlight w:val="none"/>
                    </w:rPr>
                    <w:t>道路</w:t>
                  </w:r>
                </w:p>
                <w:p w14:paraId="63D664B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kern w:val="2"/>
                      <w:sz w:val="21"/>
                      <w:szCs w:val="21"/>
                      <w:highlight w:val="none"/>
                      <w:lang w:val="en-US" w:eastAsia="zh-CN" w:bidi="ar-SA"/>
                    </w:rPr>
                  </w:pPr>
                  <w:r>
                    <w:rPr>
                      <w:color w:val="auto"/>
                      <w:szCs w:val="21"/>
                      <w:highlight w:val="none"/>
                    </w:rPr>
                    <w:t>沿线</w:t>
                  </w:r>
                </w:p>
                <w:p w14:paraId="55C9805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339" w:type="pct"/>
                  <w:tcBorders>
                    <w:tl2br w:val="nil"/>
                    <w:tr2bl w:val="nil"/>
                  </w:tcBorders>
                  <w:noWrap w:val="0"/>
                  <w:vAlign w:val="center"/>
                </w:tcPr>
                <w:p w14:paraId="06AA909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kern w:val="2"/>
                      <w:sz w:val="21"/>
                      <w:szCs w:val="21"/>
                      <w:highlight w:val="none"/>
                      <w:lang w:val="en-US" w:eastAsia="zh-CN" w:bidi="ar-SA"/>
                    </w:rPr>
                  </w:pPr>
                  <w:r>
                    <w:rPr>
                      <w:color w:val="auto"/>
                      <w:szCs w:val="21"/>
                      <w:highlight w:val="none"/>
                    </w:rPr>
                    <w:t>野生动物</w:t>
                  </w:r>
                </w:p>
              </w:tc>
              <w:tc>
                <w:tcPr>
                  <w:tcW w:w="3069" w:type="pct"/>
                  <w:tcBorders>
                    <w:tl2br w:val="nil"/>
                    <w:tr2bl w:val="nil"/>
                  </w:tcBorders>
                  <w:noWrap w:val="0"/>
                  <w:vAlign w:val="center"/>
                </w:tcPr>
                <w:p w14:paraId="60B27FA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kern w:val="2"/>
                      <w:sz w:val="21"/>
                      <w:szCs w:val="21"/>
                      <w:highlight w:val="none"/>
                      <w:lang w:val="en-US" w:eastAsia="zh-CN" w:bidi="ar-SA"/>
                    </w:rPr>
                  </w:pPr>
                  <w:r>
                    <w:rPr>
                      <w:color w:val="auto"/>
                      <w:szCs w:val="21"/>
                      <w:highlight w:val="none"/>
                    </w:rPr>
                    <w:t>文明施工，严格控制施工范围，保护野生动物生境。</w:t>
                  </w:r>
                </w:p>
              </w:tc>
            </w:tr>
            <w:tr w14:paraId="586AD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0" w:type="pct"/>
                  <w:vMerge w:val="continue"/>
                  <w:tcBorders>
                    <w:tl2br w:val="nil"/>
                    <w:tr2bl w:val="nil"/>
                  </w:tcBorders>
                  <w:noWrap w:val="0"/>
                  <w:vAlign w:val="center"/>
                </w:tcPr>
                <w:p w14:paraId="49C1A30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322" w:type="pct"/>
                  <w:vMerge w:val="continue"/>
                  <w:tcBorders>
                    <w:tl2br w:val="nil"/>
                    <w:tr2bl w:val="nil"/>
                  </w:tcBorders>
                  <w:noWrap w:val="0"/>
                  <w:vAlign w:val="center"/>
                </w:tcPr>
                <w:p w14:paraId="24810C2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514" w:type="pct"/>
                  <w:vMerge w:val="continue"/>
                  <w:tcBorders>
                    <w:tl2br w:val="nil"/>
                    <w:tr2bl w:val="nil"/>
                  </w:tcBorders>
                  <w:noWrap w:val="0"/>
                  <w:vAlign w:val="center"/>
                </w:tcPr>
                <w:p w14:paraId="34FCF38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393" w:type="pct"/>
                  <w:vMerge w:val="continue"/>
                  <w:tcBorders>
                    <w:tl2br w:val="nil"/>
                    <w:tr2bl w:val="nil"/>
                  </w:tcBorders>
                  <w:noWrap w:val="0"/>
                  <w:vAlign w:val="center"/>
                </w:tcPr>
                <w:p w14:paraId="2B51118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339" w:type="pct"/>
                  <w:tcBorders>
                    <w:tl2br w:val="nil"/>
                    <w:tr2bl w:val="nil"/>
                  </w:tcBorders>
                  <w:noWrap w:val="0"/>
                  <w:vAlign w:val="center"/>
                </w:tcPr>
                <w:p w14:paraId="5BD934C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highlight w:val="none"/>
                      <w:lang w:val="en-US" w:eastAsia="zh-CN" w:bidi="ar-SA"/>
                    </w:rPr>
                  </w:pPr>
                  <w:r>
                    <w:rPr>
                      <w:color w:val="auto"/>
                      <w:szCs w:val="21"/>
                      <w:highlight w:val="none"/>
                    </w:rPr>
                    <w:t>水土保持、植被恢复</w:t>
                  </w:r>
                </w:p>
              </w:tc>
              <w:tc>
                <w:tcPr>
                  <w:tcW w:w="3069" w:type="pct"/>
                  <w:tcBorders>
                    <w:tl2br w:val="nil"/>
                    <w:tr2bl w:val="nil"/>
                  </w:tcBorders>
                  <w:noWrap w:val="0"/>
                  <w:vAlign w:val="center"/>
                </w:tcPr>
                <w:p w14:paraId="69BA03C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highlight w:val="none"/>
                      <w:lang w:val="en-US" w:eastAsia="zh-CN" w:bidi="ar-SA"/>
                    </w:rPr>
                  </w:pPr>
                  <w:r>
                    <w:rPr>
                      <w:color w:val="auto"/>
                      <w:szCs w:val="21"/>
                      <w:highlight w:val="none"/>
                    </w:rPr>
                    <w:t>施工期利用土工布苫盖的方法来减少水土流失，及时对施工临时</w:t>
                  </w:r>
                  <w:r>
                    <w:rPr>
                      <w:rFonts w:hint="eastAsia"/>
                      <w:color w:val="auto"/>
                      <w:szCs w:val="21"/>
                      <w:highlight w:val="none"/>
                      <w:lang w:val="en-US" w:eastAsia="zh-CN"/>
                    </w:rPr>
                    <w:t>占</w:t>
                  </w:r>
                  <w:r>
                    <w:rPr>
                      <w:color w:val="auto"/>
                      <w:szCs w:val="21"/>
                      <w:highlight w:val="none"/>
                    </w:rPr>
                    <w:t>地进行原有地表恢复。</w:t>
                  </w:r>
                </w:p>
              </w:tc>
            </w:tr>
            <w:tr w14:paraId="06EDC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0" w:type="pct"/>
                  <w:vMerge w:val="continue"/>
                  <w:tcBorders>
                    <w:tl2br w:val="nil"/>
                    <w:tr2bl w:val="nil"/>
                  </w:tcBorders>
                  <w:noWrap w:val="0"/>
                  <w:vAlign w:val="center"/>
                </w:tcPr>
                <w:p w14:paraId="79C7BD3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322" w:type="pct"/>
                  <w:vMerge w:val="continue"/>
                  <w:tcBorders>
                    <w:tl2br w:val="nil"/>
                    <w:tr2bl w:val="nil"/>
                  </w:tcBorders>
                  <w:noWrap w:val="0"/>
                  <w:vAlign w:val="center"/>
                </w:tcPr>
                <w:p w14:paraId="53BEFAB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514" w:type="pct"/>
                  <w:vMerge w:val="restart"/>
                  <w:tcBorders>
                    <w:tl2br w:val="nil"/>
                    <w:tr2bl w:val="nil"/>
                  </w:tcBorders>
                  <w:noWrap w:val="0"/>
                  <w:vAlign w:val="center"/>
                </w:tcPr>
                <w:p w14:paraId="3990FE4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color w:val="auto"/>
                      <w:kern w:val="2"/>
                      <w:sz w:val="21"/>
                      <w:szCs w:val="21"/>
                      <w:highlight w:val="none"/>
                      <w:lang w:val="en-US" w:eastAsia="zh-CN" w:bidi="ar-SA"/>
                    </w:rPr>
                  </w:pPr>
                  <w:r>
                    <w:rPr>
                      <w:rFonts w:hint="eastAsia"/>
                      <w:color w:val="auto"/>
                      <w:szCs w:val="21"/>
                      <w:highlight w:val="none"/>
                      <w:lang w:val="en-US" w:eastAsia="zh-CN"/>
                    </w:rPr>
                    <w:t>施工便道中心线向两侧外延200m区域</w:t>
                  </w:r>
                </w:p>
                <w:p w14:paraId="6DCAC30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393" w:type="pct"/>
                  <w:vMerge w:val="restart"/>
                  <w:tcBorders>
                    <w:tl2br w:val="nil"/>
                    <w:tr2bl w:val="nil"/>
                  </w:tcBorders>
                  <w:noWrap w:val="0"/>
                  <w:vAlign w:val="center"/>
                </w:tcPr>
                <w:p w14:paraId="638EB8C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kern w:val="2"/>
                      <w:sz w:val="21"/>
                      <w:szCs w:val="21"/>
                      <w:highlight w:val="none"/>
                      <w:lang w:val="en-US" w:eastAsia="zh-CN" w:bidi="ar-SA"/>
                    </w:rPr>
                  </w:pPr>
                  <w:r>
                    <w:rPr>
                      <w:color w:val="auto"/>
                      <w:szCs w:val="21"/>
                      <w:highlight w:val="none"/>
                    </w:rPr>
                    <w:t>临时占地</w:t>
                  </w:r>
                </w:p>
              </w:tc>
              <w:tc>
                <w:tcPr>
                  <w:tcW w:w="339" w:type="pct"/>
                  <w:tcBorders>
                    <w:tl2br w:val="nil"/>
                    <w:tr2bl w:val="nil"/>
                  </w:tcBorders>
                  <w:noWrap w:val="0"/>
                  <w:vAlign w:val="center"/>
                </w:tcPr>
                <w:p w14:paraId="3C48B33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highlight w:val="none"/>
                      <w:lang w:val="en-US" w:eastAsia="zh-CN" w:bidi="ar-SA"/>
                    </w:rPr>
                  </w:pPr>
                  <w:r>
                    <w:rPr>
                      <w:color w:val="auto"/>
                      <w:szCs w:val="21"/>
                      <w:highlight w:val="none"/>
                    </w:rPr>
                    <w:t>野生动物</w:t>
                  </w:r>
                </w:p>
              </w:tc>
              <w:tc>
                <w:tcPr>
                  <w:tcW w:w="3069" w:type="pct"/>
                  <w:tcBorders>
                    <w:tl2br w:val="nil"/>
                    <w:tr2bl w:val="nil"/>
                  </w:tcBorders>
                  <w:noWrap w:val="0"/>
                  <w:vAlign w:val="center"/>
                </w:tcPr>
                <w:p w14:paraId="3A1D4D9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highlight w:val="none"/>
                      <w:lang w:val="en-US" w:eastAsia="zh-CN" w:bidi="ar-SA"/>
                    </w:rPr>
                  </w:pPr>
                  <w:r>
                    <w:rPr>
                      <w:color w:val="auto"/>
                      <w:szCs w:val="21"/>
                      <w:highlight w:val="none"/>
                    </w:rPr>
                    <w:t>文明施工，严格控制施工范围，保护野生动物生境。</w:t>
                  </w:r>
                </w:p>
              </w:tc>
            </w:tr>
            <w:tr w14:paraId="72A7E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60" w:type="pct"/>
                  <w:vMerge w:val="continue"/>
                  <w:tcBorders>
                    <w:tl2br w:val="nil"/>
                    <w:tr2bl w:val="nil"/>
                  </w:tcBorders>
                  <w:noWrap w:val="0"/>
                  <w:vAlign w:val="center"/>
                </w:tcPr>
                <w:p w14:paraId="46707AF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322" w:type="pct"/>
                  <w:vMerge w:val="continue"/>
                  <w:tcBorders>
                    <w:tl2br w:val="nil"/>
                    <w:tr2bl w:val="nil"/>
                  </w:tcBorders>
                  <w:noWrap w:val="0"/>
                  <w:vAlign w:val="center"/>
                </w:tcPr>
                <w:p w14:paraId="6CE39D4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514" w:type="pct"/>
                  <w:vMerge w:val="continue"/>
                  <w:tcBorders>
                    <w:tl2br w:val="nil"/>
                    <w:tr2bl w:val="nil"/>
                  </w:tcBorders>
                  <w:noWrap w:val="0"/>
                  <w:vAlign w:val="center"/>
                </w:tcPr>
                <w:p w14:paraId="642DA05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393" w:type="pct"/>
                  <w:vMerge w:val="continue"/>
                  <w:tcBorders>
                    <w:tl2br w:val="nil"/>
                    <w:tr2bl w:val="nil"/>
                  </w:tcBorders>
                  <w:noWrap w:val="0"/>
                  <w:vAlign w:val="center"/>
                </w:tcPr>
                <w:p w14:paraId="45B5932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highlight w:val="none"/>
                    </w:rPr>
                  </w:pPr>
                </w:p>
              </w:tc>
              <w:tc>
                <w:tcPr>
                  <w:tcW w:w="339" w:type="pct"/>
                  <w:tcBorders>
                    <w:tl2br w:val="nil"/>
                    <w:tr2bl w:val="nil"/>
                  </w:tcBorders>
                  <w:noWrap w:val="0"/>
                  <w:vAlign w:val="center"/>
                </w:tcPr>
                <w:p w14:paraId="6E9F7B9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highlight w:val="none"/>
                      <w:lang w:val="en-US" w:eastAsia="zh-CN" w:bidi="ar-SA"/>
                    </w:rPr>
                  </w:pPr>
                  <w:r>
                    <w:rPr>
                      <w:color w:val="auto"/>
                      <w:szCs w:val="21"/>
                      <w:highlight w:val="none"/>
                    </w:rPr>
                    <w:t>水土保持、植被恢复</w:t>
                  </w:r>
                </w:p>
              </w:tc>
              <w:tc>
                <w:tcPr>
                  <w:tcW w:w="3069" w:type="pct"/>
                  <w:tcBorders>
                    <w:tl2br w:val="nil"/>
                    <w:tr2bl w:val="nil"/>
                  </w:tcBorders>
                  <w:noWrap w:val="0"/>
                  <w:vAlign w:val="center"/>
                </w:tcPr>
                <w:p w14:paraId="2C11A5E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highlight w:val="none"/>
                      <w:lang w:val="en-US" w:eastAsia="zh-CN" w:bidi="ar-SA"/>
                    </w:rPr>
                  </w:pPr>
                  <w:r>
                    <w:rPr>
                      <w:color w:val="auto"/>
                      <w:szCs w:val="21"/>
                      <w:highlight w:val="none"/>
                    </w:rPr>
                    <w:t>施工期利用土工布苫盖的方法来减少水土流失，及时对施工临时</w:t>
                  </w:r>
                  <w:r>
                    <w:rPr>
                      <w:rFonts w:hint="eastAsia"/>
                      <w:color w:val="auto"/>
                      <w:szCs w:val="21"/>
                      <w:highlight w:val="none"/>
                      <w:lang w:val="en-US" w:eastAsia="zh-CN"/>
                    </w:rPr>
                    <w:t>占</w:t>
                  </w:r>
                  <w:r>
                    <w:rPr>
                      <w:color w:val="auto"/>
                      <w:szCs w:val="21"/>
                      <w:highlight w:val="none"/>
                    </w:rPr>
                    <w:t>地进行原有地表恢复。</w:t>
                  </w:r>
                </w:p>
              </w:tc>
            </w:tr>
          </w:tbl>
          <w:p w14:paraId="1A24D063">
            <w:pPr>
              <w:pStyle w:val="12"/>
              <w:ind w:left="0" w:leftChars="0" w:firstLine="0" w:firstLineChars="0"/>
              <w:rPr>
                <w:rFonts w:hint="default" w:ascii="Times New Roman" w:hAnsi="Times New Roman" w:cs="Times New Roman"/>
                <w:caps w:val="0"/>
                <w:smallCaps w:val="0"/>
                <w:color w:val="auto"/>
                <w:spacing w:val="0"/>
                <w:w w:val="100"/>
                <w:kern w:val="2"/>
                <w:position w:val="0"/>
                <w:highlight w:val="none"/>
              </w:rPr>
            </w:pPr>
          </w:p>
        </w:tc>
      </w:tr>
      <w:tr w14:paraId="3903B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tcBorders>
              <w:tl2br w:val="nil"/>
              <w:tr2bl w:val="nil"/>
            </w:tcBorders>
            <w:noWrap w:val="0"/>
            <w:vAlign w:val="center"/>
          </w:tcPr>
          <w:p w14:paraId="0FF62F28">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caps w:val="0"/>
                <w:smallCaps w:val="0"/>
                <w:color w:val="auto"/>
                <w:spacing w:val="0"/>
                <w:w w:val="100"/>
                <w:kern w:val="2"/>
                <w:position w:val="0"/>
                <w:sz w:val="24"/>
                <w:szCs w:val="24"/>
                <w:highlight w:val="none"/>
              </w:rPr>
              <w:t>评价</w:t>
            </w:r>
          </w:p>
          <w:p w14:paraId="53CE3AD2">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caps w:val="0"/>
                <w:smallCaps w:val="0"/>
                <w:color w:val="auto"/>
                <w:spacing w:val="0"/>
                <w:w w:val="100"/>
                <w:kern w:val="2"/>
                <w:position w:val="0"/>
                <w:sz w:val="24"/>
                <w:szCs w:val="24"/>
                <w:highlight w:val="none"/>
              </w:rPr>
              <w:t>标准</w:t>
            </w:r>
          </w:p>
        </w:tc>
        <w:tc>
          <w:tcPr>
            <w:tcW w:w="4670" w:type="pct"/>
            <w:tcBorders>
              <w:tl2br w:val="nil"/>
              <w:tr2bl w:val="nil"/>
            </w:tcBorders>
            <w:noWrap w:val="0"/>
            <w:vAlign w:val="top"/>
          </w:tcPr>
          <w:p w14:paraId="094098C1">
            <w:pPr>
              <w:keepNext w:val="0"/>
              <w:keepLines w:val="0"/>
              <w:pageBreakBefore w:val="0"/>
              <w:kinsoku/>
              <w:wordWrap/>
              <w:overflowPunct/>
              <w:topLinePunct w:val="0"/>
              <w:autoSpaceDE/>
              <w:autoSpaceDN/>
              <w:bidi w:val="0"/>
              <w:adjustRightInd w:val="0"/>
              <w:snapToGrid w:val="0"/>
              <w:spacing w:beforeAutospacing="0" w:afterAutospacing="0" w:line="360" w:lineRule="auto"/>
              <w:ind w:left="0" w:leftChars="0" w:right="0"/>
              <w:jc w:val="both"/>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t>1环境质量标准</w:t>
            </w:r>
          </w:p>
          <w:p w14:paraId="5717D36B">
            <w:pPr>
              <w:pageBreakBefore w:val="0"/>
              <w:wordWrap/>
              <w:topLinePunct w:val="0"/>
              <w:autoSpaceDE w:val="0"/>
              <w:autoSpaceDN w:val="0"/>
              <w:bidi w:val="0"/>
              <w:spacing w:beforeAutospacing="0" w:afterAutospacing="0" w:line="384" w:lineRule="auto"/>
              <w:ind w:left="0" w:leftChars="0" w:right="0" w:firstLine="480" w:firstLineChars="200"/>
              <w:jc w:val="left"/>
              <w:rPr>
                <w:rFonts w:hint="default" w:ascii="Times New Roman" w:hAnsi="Times New Roman" w:eastAsia="宋体" w:cs="Times New Roman"/>
                <w:caps w:val="0"/>
                <w:smallCaps w:val="0"/>
                <w:color w:val="auto"/>
                <w:spacing w:val="0"/>
                <w:w w:val="100"/>
                <w:kern w:val="2"/>
                <w:position w:val="0"/>
                <w:sz w:val="24"/>
                <w:szCs w:val="22"/>
                <w:highlight w:val="none"/>
                <w:lang w:eastAsia="en-US"/>
              </w:rPr>
            </w:pPr>
            <w:r>
              <w:rPr>
                <w:rFonts w:hint="default" w:ascii="Times New Roman" w:hAnsi="Times New Roman" w:eastAsia="宋体" w:cs="Times New Roman"/>
                <w:caps w:val="0"/>
                <w:smallCaps w:val="0"/>
                <w:color w:val="auto"/>
                <w:spacing w:val="0"/>
                <w:w w:val="100"/>
                <w:kern w:val="2"/>
                <w:position w:val="0"/>
                <w:sz w:val="24"/>
                <w:szCs w:val="22"/>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1</w:t>
            </w:r>
            <w:r>
              <w:rPr>
                <w:rFonts w:hint="default" w:ascii="Times New Roman" w:hAnsi="Times New Roman" w:eastAsia="宋体" w:cs="Times New Roman"/>
                <w:caps w:val="0"/>
                <w:smallCaps w:val="0"/>
                <w:color w:val="auto"/>
                <w:spacing w:val="0"/>
                <w:w w:val="100"/>
                <w:kern w:val="2"/>
                <w:position w:val="0"/>
                <w:sz w:val="24"/>
                <w:szCs w:val="22"/>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空气环境质量标准</w:t>
            </w:r>
          </w:p>
          <w:p w14:paraId="7C5549B7">
            <w:pPr>
              <w:pageBreakBefore w:val="0"/>
              <w:wordWrap/>
              <w:topLinePunct w:val="0"/>
              <w:autoSpaceDE w:val="0"/>
              <w:autoSpaceDN w:val="0"/>
              <w:bidi w:val="0"/>
              <w:spacing w:beforeAutospacing="0" w:afterAutospacing="0" w:line="384" w:lineRule="auto"/>
              <w:ind w:left="0" w:leftChars="0" w:right="0" w:firstLine="480" w:firstLineChars="200"/>
              <w:jc w:val="left"/>
              <w:rPr>
                <w:rFonts w:hint="default" w:ascii="Times New Roman" w:hAnsi="Times New Roman" w:eastAsia="宋体" w:cs="Times New Roman"/>
                <w:caps w:val="0"/>
                <w:smallCaps w:val="0"/>
                <w:color w:val="auto"/>
                <w:spacing w:val="0"/>
                <w:w w:val="100"/>
                <w:kern w:val="2"/>
                <w:position w:val="0"/>
                <w:sz w:val="24"/>
                <w:szCs w:val="22"/>
                <w:highlight w:val="none"/>
                <w:lang w:eastAsia="en-US"/>
              </w:rPr>
            </w:pPr>
            <w:r>
              <w:rPr>
                <w:rFonts w:hint="default" w:ascii="Times New Roman" w:hAnsi="Times New Roman" w:eastAsia="宋体" w:cs="Times New Roman"/>
                <w:caps w:val="0"/>
                <w:smallCaps w:val="0"/>
                <w:color w:val="auto"/>
                <w:spacing w:val="0"/>
                <w:w w:val="100"/>
                <w:kern w:val="2"/>
                <w:position w:val="0"/>
                <w:sz w:val="24"/>
                <w:szCs w:val="22"/>
                <w:highlight w:val="none"/>
                <w:lang w:eastAsia="zh-CN"/>
              </w:rPr>
              <w:t>项目</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区域属二类区，环境空气质量评价</w:t>
            </w:r>
            <w:r>
              <w:rPr>
                <w:rFonts w:hint="default" w:ascii="Times New Roman" w:hAnsi="Times New Roman" w:eastAsia="宋体" w:cs="Times New Roman"/>
                <w:caps w:val="0"/>
                <w:smallCaps w:val="0"/>
                <w:color w:val="auto"/>
                <w:spacing w:val="0"/>
                <w:w w:val="100"/>
                <w:kern w:val="2"/>
                <w:position w:val="0"/>
                <w:sz w:val="24"/>
                <w:szCs w:val="22"/>
                <w:highlight w:val="none"/>
                <w:lang w:eastAsia="zh-CN"/>
              </w:rPr>
              <w:t>基本</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污染物采用</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en-US"/>
              </w:rPr>
              <w:t>《环境空气质量标准》（GB3095-2026）表1中过渡阶段的二级标准</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w:t>
            </w:r>
            <w:r>
              <w:rPr>
                <w:rFonts w:hint="default" w:ascii="Times New Roman" w:hAnsi="Times New Roman" w:eastAsia="宋体" w:cs="Times New Roman"/>
                <w:caps w:val="0"/>
                <w:smallCaps w:val="0"/>
                <w:color w:val="auto"/>
                <w:spacing w:val="0"/>
                <w:w w:val="100"/>
                <w:kern w:val="2"/>
                <w:position w:val="0"/>
                <w:sz w:val="24"/>
                <w:szCs w:val="22"/>
                <w:highlight w:val="none"/>
                <w:lang w:eastAsia="zh-CN"/>
              </w:rPr>
              <w:t>标准值</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见表</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zh-CN"/>
              </w:rPr>
              <w:t>3-</w:t>
            </w:r>
            <w:r>
              <w:rPr>
                <w:rFonts w:hint="eastAsia" w:ascii="Times New Roman" w:hAnsi="Times New Roman" w:eastAsia="宋体" w:cs="Times New Roman"/>
                <w:caps w:val="0"/>
                <w:smallCaps w:val="0"/>
                <w:color w:val="auto"/>
                <w:spacing w:val="0"/>
                <w:w w:val="100"/>
                <w:kern w:val="2"/>
                <w:position w:val="0"/>
                <w:sz w:val="24"/>
                <w:szCs w:val="22"/>
                <w:highlight w:val="none"/>
                <w:lang w:val="en-US" w:eastAsia="zh-CN"/>
              </w:rPr>
              <w:t>7</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w:t>
            </w:r>
          </w:p>
          <w:p w14:paraId="51A4BEF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422" w:firstLineChars="200"/>
              <w:textAlignment w:val="auto"/>
              <w:rPr>
                <w:rFonts w:hint="default" w:cs="Times New Roman"/>
                <w:b/>
                <w:bCs/>
                <w:caps w:val="0"/>
                <w:smallCaps w:val="0"/>
                <w:snapToGrid w:val="0"/>
                <w:color w:val="auto"/>
                <w:spacing w:val="0"/>
                <w:w w:val="100"/>
                <w:kern w:val="2"/>
                <w:position w:val="0"/>
                <w:sz w:val="21"/>
                <w:szCs w:val="21"/>
                <w:highlight w:val="none"/>
                <w:lang w:val="en-US" w:eastAsia="en-US" w:bidi="ar-SA"/>
              </w:rPr>
            </w:pPr>
            <w:r>
              <w:rPr>
                <w:rFonts w:hint="default" w:cs="Times New Roman"/>
                <w:b/>
                <w:bCs/>
                <w:caps w:val="0"/>
                <w:smallCaps w:val="0"/>
                <w:snapToGrid w:val="0"/>
                <w:color w:val="auto"/>
                <w:spacing w:val="0"/>
                <w:w w:val="100"/>
                <w:kern w:val="2"/>
                <w:position w:val="0"/>
                <w:sz w:val="21"/>
                <w:szCs w:val="21"/>
                <w:highlight w:val="none"/>
                <w:lang w:val="en-US" w:eastAsia="en-US" w:bidi="ar-SA"/>
              </w:rPr>
              <w:t>表</w:t>
            </w:r>
            <w:r>
              <w:rPr>
                <w:rFonts w:hint="default" w:cs="Times New Roman"/>
                <w:b/>
                <w:bCs/>
                <w:caps w:val="0"/>
                <w:smallCaps w:val="0"/>
                <w:snapToGrid w:val="0"/>
                <w:color w:val="auto"/>
                <w:spacing w:val="0"/>
                <w:w w:val="100"/>
                <w:kern w:val="2"/>
                <w:position w:val="0"/>
                <w:sz w:val="21"/>
                <w:szCs w:val="21"/>
                <w:highlight w:val="none"/>
                <w:lang w:val="en-US" w:eastAsia="zh-CN" w:bidi="ar-SA"/>
              </w:rPr>
              <w:t>3-</w:t>
            </w:r>
            <w:r>
              <w:rPr>
                <w:rFonts w:hint="eastAsia" w:cs="Times New Roman"/>
                <w:b/>
                <w:bCs/>
                <w:caps w:val="0"/>
                <w:smallCaps w:val="0"/>
                <w:snapToGrid w:val="0"/>
                <w:color w:val="auto"/>
                <w:spacing w:val="0"/>
                <w:w w:val="100"/>
                <w:kern w:val="2"/>
                <w:position w:val="0"/>
                <w:sz w:val="21"/>
                <w:szCs w:val="21"/>
                <w:highlight w:val="none"/>
                <w:lang w:val="en-US" w:eastAsia="zh-CN" w:bidi="ar-SA"/>
              </w:rPr>
              <w:t xml:space="preserve">7                    </w:t>
            </w:r>
            <w:r>
              <w:rPr>
                <w:rFonts w:hint="default" w:cs="Times New Roman"/>
                <w:b/>
                <w:bCs/>
                <w:caps w:val="0"/>
                <w:smallCaps w:val="0"/>
                <w:snapToGrid w:val="0"/>
                <w:color w:val="auto"/>
                <w:spacing w:val="0"/>
                <w:w w:val="100"/>
                <w:kern w:val="2"/>
                <w:position w:val="0"/>
                <w:sz w:val="21"/>
                <w:szCs w:val="21"/>
                <w:highlight w:val="none"/>
                <w:lang w:val="en-US" w:eastAsia="en-US" w:bidi="ar-SA"/>
              </w:rPr>
              <w:t>环境空气质量标准</w:t>
            </w:r>
          </w:p>
          <w:tbl>
            <w:tblPr>
              <w:tblStyle w:val="29"/>
              <w:tblW w:w="49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736"/>
              <w:gridCol w:w="1730"/>
              <w:gridCol w:w="1287"/>
              <w:gridCol w:w="784"/>
              <w:gridCol w:w="2129"/>
            </w:tblGrid>
            <w:tr w14:paraId="675FF0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tcBorders>
                    <w:tl2br w:val="nil"/>
                    <w:tr2bl w:val="nil"/>
                  </w:tcBorders>
                  <w:noWrap w:val="0"/>
                  <w:vAlign w:val="center"/>
                </w:tcPr>
                <w:p w14:paraId="3AF6C715">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污染物</w:t>
                  </w:r>
                </w:p>
              </w:tc>
              <w:tc>
                <w:tcPr>
                  <w:tcW w:w="1128" w:type="pct"/>
                  <w:tcBorders>
                    <w:tl2br w:val="nil"/>
                    <w:tr2bl w:val="nil"/>
                  </w:tcBorders>
                  <w:noWrap w:val="0"/>
                  <w:vAlign w:val="center"/>
                </w:tcPr>
                <w:p w14:paraId="6FB41BBD">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取值时间</w:t>
                  </w:r>
                </w:p>
              </w:tc>
              <w:tc>
                <w:tcPr>
                  <w:tcW w:w="839" w:type="pct"/>
                  <w:tcBorders>
                    <w:tl2br w:val="nil"/>
                    <w:tr2bl w:val="nil"/>
                  </w:tcBorders>
                  <w:noWrap w:val="0"/>
                  <w:vAlign w:val="center"/>
                </w:tcPr>
                <w:p w14:paraId="30AAFC96">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浓度限值</w:t>
                  </w:r>
                </w:p>
                <w:p w14:paraId="6DE147C9">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二级标准</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p>
              </w:tc>
              <w:tc>
                <w:tcPr>
                  <w:tcW w:w="511" w:type="pct"/>
                  <w:tcBorders>
                    <w:tl2br w:val="nil"/>
                    <w:tr2bl w:val="nil"/>
                  </w:tcBorders>
                  <w:noWrap w:val="0"/>
                  <w:vAlign w:val="center"/>
                </w:tcPr>
                <w:p w14:paraId="5DD702FD">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单位</w:t>
                  </w:r>
                </w:p>
              </w:tc>
              <w:tc>
                <w:tcPr>
                  <w:tcW w:w="1388" w:type="pct"/>
                  <w:tcBorders>
                    <w:tl2br w:val="nil"/>
                    <w:tr2bl w:val="nil"/>
                  </w:tcBorders>
                  <w:noWrap w:val="0"/>
                  <w:vAlign w:val="center"/>
                </w:tcPr>
                <w:p w14:paraId="05A8ADA2">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依据标准</w:t>
                  </w:r>
                </w:p>
              </w:tc>
            </w:tr>
            <w:tr w14:paraId="4C0309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restart"/>
                  <w:tcBorders>
                    <w:tl2br w:val="nil"/>
                    <w:tr2bl w:val="nil"/>
                  </w:tcBorders>
                  <w:noWrap w:val="0"/>
                  <w:vAlign w:val="center"/>
                </w:tcPr>
                <w:p w14:paraId="5CFB148C">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二氧化硫</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SO</w:t>
                  </w:r>
                  <w:r>
                    <w:rPr>
                      <w:rFonts w:hint="default" w:ascii="Times New Roman" w:hAnsi="Times New Roman" w:eastAsia="宋体" w:cs="Times New Roman"/>
                      <w:caps w:val="0"/>
                      <w:smallCaps w:val="0"/>
                      <w:color w:val="auto"/>
                      <w:spacing w:val="0"/>
                      <w:w w:val="100"/>
                      <w:kern w:val="2"/>
                      <w:position w:val="0"/>
                      <w:sz w:val="21"/>
                      <w:szCs w:val="21"/>
                      <w:highlight w:val="none"/>
                      <w:vertAlign w:val="subscript"/>
                      <w:lang w:val="en-US" w:eastAsia="en-US" w:bidi="ar-SA"/>
                    </w:rPr>
                    <w:t>2</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p>
              </w:tc>
              <w:tc>
                <w:tcPr>
                  <w:tcW w:w="1128" w:type="pct"/>
                  <w:tcBorders>
                    <w:tl2br w:val="nil"/>
                    <w:tr2bl w:val="nil"/>
                  </w:tcBorders>
                  <w:noWrap w:val="0"/>
                  <w:vAlign w:val="center"/>
                </w:tcPr>
                <w:p w14:paraId="1924ADFE">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年平均</w:t>
                  </w:r>
                </w:p>
              </w:tc>
              <w:tc>
                <w:tcPr>
                  <w:tcW w:w="839" w:type="pct"/>
                  <w:tcBorders>
                    <w:tl2br w:val="nil"/>
                    <w:tr2bl w:val="nil"/>
                  </w:tcBorders>
                  <w:noWrap w:val="0"/>
                  <w:vAlign w:val="center"/>
                </w:tcPr>
                <w:p w14:paraId="70245560">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60</w:t>
                  </w:r>
                </w:p>
              </w:tc>
              <w:tc>
                <w:tcPr>
                  <w:tcW w:w="511" w:type="pct"/>
                  <w:vMerge w:val="restart"/>
                  <w:tcBorders>
                    <w:tl2br w:val="nil"/>
                    <w:tr2bl w:val="nil"/>
                  </w:tcBorders>
                  <w:noWrap w:val="0"/>
                  <w:vAlign w:val="center"/>
                </w:tcPr>
                <w:p w14:paraId="3262C80C">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μg/m</w:t>
                  </w:r>
                  <w:r>
                    <w:rPr>
                      <w:rFonts w:hint="default" w:ascii="Times New Roman" w:hAnsi="Times New Roman" w:eastAsia="宋体" w:cs="Times New Roman"/>
                      <w:caps w:val="0"/>
                      <w:smallCaps w:val="0"/>
                      <w:color w:val="auto"/>
                      <w:spacing w:val="0"/>
                      <w:w w:val="100"/>
                      <w:kern w:val="2"/>
                      <w:position w:val="0"/>
                      <w:sz w:val="21"/>
                      <w:szCs w:val="21"/>
                      <w:highlight w:val="none"/>
                      <w:vertAlign w:val="superscript"/>
                      <w:lang w:val="en-US" w:eastAsia="zh-CN" w:bidi="ar-SA"/>
                    </w:rPr>
                    <w:t>3</w:t>
                  </w:r>
                </w:p>
              </w:tc>
              <w:tc>
                <w:tcPr>
                  <w:tcW w:w="1388" w:type="pct"/>
                  <w:vMerge w:val="restart"/>
                  <w:tcBorders>
                    <w:tl2br w:val="nil"/>
                    <w:tr2bl w:val="nil"/>
                  </w:tcBorders>
                  <w:noWrap w:val="0"/>
                  <w:vAlign w:val="center"/>
                </w:tcPr>
                <w:p w14:paraId="413529F9">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《环境空气质量标准》</w:t>
                  </w:r>
                </w:p>
                <w:p w14:paraId="62EB5A17">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GB3095-20</w:t>
                  </w: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bidi="ar-SA"/>
                    </w:rPr>
                    <w:t>26</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p>
              </w:tc>
            </w:tr>
            <w:tr w14:paraId="11D4E4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continue"/>
                  <w:tcBorders>
                    <w:tl2br w:val="nil"/>
                    <w:tr2bl w:val="nil"/>
                  </w:tcBorders>
                  <w:noWrap w:val="0"/>
                  <w:vAlign w:val="center"/>
                </w:tcPr>
                <w:p w14:paraId="5BAA675E">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128" w:type="pct"/>
                  <w:tcBorders>
                    <w:tl2br w:val="nil"/>
                    <w:tr2bl w:val="nil"/>
                  </w:tcBorders>
                  <w:noWrap w:val="0"/>
                  <w:vAlign w:val="center"/>
                </w:tcPr>
                <w:p w14:paraId="6CB3EE8E">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24小时平均</w:t>
                  </w:r>
                </w:p>
              </w:tc>
              <w:tc>
                <w:tcPr>
                  <w:tcW w:w="839" w:type="pct"/>
                  <w:tcBorders>
                    <w:tl2br w:val="nil"/>
                    <w:tr2bl w:val="nil"/>
                  </w:tcBorders>
                  <w:noWrap w:val="0"/>
                  <w:vAlign w:val="center"/>
                </w:tcPr>
                <w:p w14:paraId="45D1A1C1">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150</w:t>
                  </w:r>
                </w:p>
              </w:tc>
              <w:tc>
                <w:tcPr>
                  <w:tcW w:w="511" w:type="pct"/>
                  <w:vMerge w:val="continue"/>
                  <w:tcBorders>
                    <w:tl2br w:val="nil"/>
                    <w:tr2bl w:val="nil"/>
                  </w:tcBorders>
                  <w:noWrap w:val="0"/>
                  <w:vAlign w:val="center"/>
                </w:tcPr>
                <w:p w14:paraId="33F56EA4">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24072891">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420F3C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continue"/>
                  <w:tcBorders>
                    <w:tl2br w:val="nil"/>
                    <w:tr2bl w:val="nil"/>
                  </w:tcBorders>
                  <w:noWrap w:val="0"/>
                  <w:vAlign w:val="center"/>
                </w:tcPr>
                <w:p w14:paraId="63C7A0D3">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128" w:type="pct"/>
                  <w:tcBorders>
                    <w:tl2br w:val="nil"/>
                    <w:tr2bl w:val="nil"/>
                  </w:tcBorders>
                  <w:noWrap w:val="0"/>
                  <w:vAlign w:val="center"/>
                </w:tcPr>
                <w:p w14:paraId="434E2D76">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1小时平均</w:t>
                  </w:r>
                </w:p>
              </w:tc>
              <w:tc>
                <w:tcPr>
                  <w:tcW w:w="839" w:type="pct"/>
                  <w:tcBorders>
                    <w:tl2br w:val="nil"/>
                    <w:tr2bl w:val="nil"/>
                  </w:tcBorders>
                  <w:noWrap w:val="0"/>
                  <w:vAlign w:val="center"/>
                </w:tcPr>
                <w:p w14:paraId="5C6926D5">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500</w:t>
                  </w:r>
                </w:p>
              </w:tc>
              <w:tc>
                <w:tcPr>
                  <w:tcW w:w="511" w:type="pct"/>
                  <w:vMerge w:val="continue"/>
                  <w:tcBorders>
                    <w:tl2br w:val="nil"/>
                    <w:tr2bl w:val="nil"/>
                  </w:tcBorders>
                  <w:noWrap w:val="0"/>
                  <w:vAlign w:val="center"/>
                </w:tcPr>
                <w:p w14:paraId="28C9F68D">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43B0155E">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6F40B8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restart"/>
                  <w:tcBorders>
                    <w:tl2br w:val="nil"/>
                    <w:tr2bl w:val="nil"/>
                  </w:tcBorders>
                  <w:noWrap w:val="0"/>
                  <w:vAlign w:val="center"/>
                </w:tcPr>
                <w:p w14:paraId="7D016101">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二氧化氮</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NO</w:t>
                  </w:r>
                  <w:r>
                    <w:rPr>
                      <w:rFonts w:hint="default" w:ascii="Times New Roman" w:hAnsi="Times New Roman" w:eastAsia="宋体" w:cs="Times New Roman"/>
                      <w:caps w:val="0"/>
                      <w:smallCaps w:val="0"/>
                      <w:color w:val="auto"/>
                      <w:spacing w:val="0"/>
                      <w:w w:val="100"/>
                      <w:kern w:val="2"/>
                      <w:position w:val="0"/>
                      <w:sz w:val="21"/>
                      <w:szCs w:val="21"/>
                      <w:highlight w:val="none"/>
                      <w:vertAlign w:val="subscript"/>
                      <w:lang w:val="en-US" w:eastAsia="en-US" w:bidi="ar-SA"/>
                    </w:rPr>
                    <w:t>2</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p>
              </w:tc>
              <w:tc>
                <w:tcPr>
                  <w:tcW w:w="1128" w:type="pct"/>
                  <w:tcBorders>
                    <w:tl2br w:val="nil"/>
                    <w:tr2bl w:val="nil"/>
                  </w:tcBorders>
                  <w:noWrap w:val="0"/>
                  <w:vAlign w:val="center"/>
                </w:tcPr>
                <w:p w14:paraId="6DFECABC">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年平均</w:t>
                  </w:r>
                </w:p>
              </w:tc>
              <w:tc>
                <w:tcPr>
                  <w:tcW w:w="839" w:type="pct"/>
                  <w:tcBorders>
                    <w:tl2br w:val="nil"/>
                    <w:tr2bl w:val="nil"/>
                  </w:tcBorders>
                  <w:noWrap w:val="0"/>
                  <w:vAlign w:val="center"/>
                </w:tcPr>
                <w:p w14:paraId="0E87BEDD">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40</w:t>
                  </w:r>
                </w:p>
              </w:tc>
              <w:tc>
                <w:tcPr>
                  <w:tcW w:w="511" w:type="pct"/>
                  <w:vMerge w:val="continue"/>
                  <w:tcBorders>
                    <w:tl2br w:val="nil"/>
                    <w:tr2bl w:val="nil"/>
                  </w:tcBorders>
                  <w:noWrap w:val="0"/>
                  <w:vAlign w:val="center"/>
                </w:tcPr>
                <w:p w14:paraId="38D7B341">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5BB83C03">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7681D3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continue"/>
                  <w:tcBorders>
                    <w:tl2br w:val="nil"/>
                    <w:tr2bl w:val="nil"/>
                  </w:tcBorders>
                  <w:noWrap w:val="0"/>
                  <w:vAlign w:val="center"/>
                </w:tcPr>
                <w:p w14:paraId="5C31FC54">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128" w:type="pct"/>
                  <w:tcBorders>
                    <w:tl2br w:val="nil"/>
                    <w:tr2bl w:val="nil"/>
                  </w:tcBorders>
                  <w:noWrap w:val="0"/>
                  <w:vAlign w:val="center"/>
                </w:tcPr>
                <w:p w14:paraId="1EFA125F">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24小时平均</w:t>
                  </w:r>
                </w:p>
              </w:tc>
              <w:tc>
                <w:tcPr>
                  <w:tcW w:w="839" w:type="pct"/>
                  <w:tcBorders>
                    <w:tl2br w:val="nil"/>
                    <w:tr2bl w:val="nil"/>
                  </w:tcBorders>
                  <w:noWrap w:val="0"/>
                  <w:vAlign w:val="center"/>
                </w:tcPr>
                <w:p w14:paraId="1F872ADF">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80</w:t>
                  </w:r>
                </w:p>
              </w:tc>
              <w:tc>
                <w:tcPr>
                  <w:tcW w:w="511" w:type="pct"/>
                  <w:vMerge w:val="continue"/>
                  <w:tcBorders>
                    <w:tl2br w:val="nil"/>
                    <w:tr2bl w:val="nil"/>
                  </w:tcBorders>
                  <w:noWrap w:val="0"/>
                  <w:vAlign w:val="center"/>
                </w:tcPr>
                <w:p w14:paraId="24AA5BF9">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7B5D09F9">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043C42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continue"/>
                  <w:tcBorders>
                    <w:tl2br w:val="nil"/>
                    <w:tr2bl w:val="nil"/>
                  </w:tcBorders>
                  <w:noWrap w:val="0"/>
                  <w:vAlign w:val="center"/>
                </w:tcPr>
                <w:p w14:paraId="52279A24">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128" w:type="pct"/>
                  <w:tcBorders>
                    <w:tl2br w:val="nil"/>
                    <w:tr2bl w:val="nil"/>
                  </w:tcBorders>
                  <w:noWrap w:val="0"/>
                  <w:vAlign w:val="center"/>
                </w:tcPr>
                <w:p w14:paraId="325202C5">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1小时平均</w:t>
                  </w:r>
                </w:p>
              </w:tc>
              <w:tc>
                <w:tcPr>
                  <w:tcW w:w="839" w:type="pct"/>
                  <w:tcBorders>
                    <w:tl2br w:val="nil"/>
                    <w:tr2bl w:val="nil"/>
                  </w:tcBorders>
                  <w:noWrap w:val="0"/>
                  <w:vAlign w:val="center"/>
                </w:tcPr>
                <w:p w14:paraId="6355E135">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200</w:t>
                  </w:r>
                </w:p>
              </w:tc>
              <w:tc>
                <w:tcPr>
                  <w:tcW w:w="511" w:type="pct"/>
                  <w:vMerge w:val="continue"/>
                  <w:tcBorders>
                    <w:tl2br w:val="nil"/>
                    <w:tr2bl w:val="nil"/>
                  </w:tcBorders>
                  <w:noWrap w:val="0"/>
                  <w:vAlign w:val="center"/>
                </w:tcPr>
                <w:p w14:paraId="7386723F">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08C2355B">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23CCF5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restart"/>
                  <w:tcBorders>
                    <w:tl2br w:val="nil"/>
                    <w:tr2bl w:val="nil"/>
                  </w:tcBorders>
                  <w:noWrap w:val="0"/>
                  <w:vAlign w:val="center"/>
                </w:tcPr>
                <w:p w14:paraId="08AA35A3">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一氧化碳</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CO</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p>
              </w:tc>
              <w:tc>
                <w:tcPr>
                  <w:tcW w:w="1128" w:type="pct"/>
                  <w:tcBorders>
                    <w:tl2br w:val="nil"/>
                    <w:tr2bl w:val="nil"/>
                  </w:tcBorders>
                  <w:noWrap w:val="0"/>
                  <w:vAlign w:val="center"/>
                </w:tcPr>
                <w:p w14:paraId="3A696303">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24小时平均</w:t>
                  </w:r>
                </w:p>
              </w:tc>
              <w:tc>
                <w:tcPr>
                  <w:tcW w:w="839" w:type="pct"/>
                  <w:tcBorders>
                    <w:tl2br w:val="nil"/>
                    <w:tr2bl w:val="nil"/>
                  </w:tcBorders>
                  <w:noWrap w:val="0"/>
                  <w:vAlign w:val="center"/>
                </w:tcPr>
                <w:p w14:paraId="264E79B4">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4</w:t>
                  </w:r>
                </w:p>
              </w:tc>
              <w:tc>
                <w:tcPr>
                  <w:tcW w:w="511" w:type="pct"/>
                  <w:vMerge w:val="restart"/>
                  <w:tcBorders>
                    <w:tl2br w:val="nil"/>
                    <w:tr2bl w:val="nil"/>
                  </w:tcBorders>
                  <w:noWrap w:val="0"/>
                  <w:vAlign w:val="center"/>
                </w:tcPr>
                <w:p w14:paraId="0EAB87C2">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mg/m</w:t>
                  </w:r>
                  <w:r>
                    <w:rPr>
                      <w:rFonts w:hint="default" w:ascii="Times New Roman" w:hAnsi="Times New Roman" w:eastAsia="宋体" w:cs="Times New Roman"/>
                      <w:caps w:val="0"/>
                      <w:smallCaps w:val="0"/>
                      <w:color w:val="auto"/>
                      <w:spacing w:val="0"/>
                      <w:w w:val="100"/>
                      <w:kern w:val="2"/>
                      <w:position w:val="0"/>
                      <w:sz w:val="21"/>
                      <w:szCs w:val="21"/>
                      <w:highlight w:val="none"/>
                      <w:vertAlign w:val="superscript"/>
                      <w:lang w:val="en-US" w:eastAsia="en-US" w:bidi="ar-SA"/>
                    </w:rPr>
                    <w:t>3</w:t>
                  </w:r>
                </w:p>
              </w:tc>
              <w:tc>
                <w:tcPr>
                  <w:tcW w:w="1388" w:type="pct"/>
                  <w:vMerge w:val="continue"/>
                  <w:tcBorders>
                    <w:tl2br w:val="nil"/>
                    <w:tr2bl w:val="nil"/>
                  </w:tcBorders>
                  <w:noWrap w:val="0"/>
                  <w:vAlign w:val="center"/>
                </w:tcPr>
                <w:p w14:paraId="2C633443">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0C80E1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continue"/>
                  <w:tcBorders>
                    <w:tl2br w:val="nil"/>
                    <w:tr2bl w:val="nil"/>
                  </w:tcBorders>
                  <w:noWrap w:val="0"/>
                  <w:vAlign w:val="center"/>
                </w:tcPr>
                <w:p w14:paraId="1747B17E">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128" w:type="pct"/>
                  <w:tcBorders>
                    <w:tl2br w:val="nil"/>
                    <w:tr2bl w:val="nil"/>
                  </w:tcBorders>
                  <w:noWrap w:val="0"/>
                  <w:vAlign w:val="center"/>
                </w:tcPr>
                <w:p w14:paraId="59C9A4BD">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1小时平均</w:t>
                  </w:r>
                </w:p>
              </w:tc>
              <w:tc>
                <w:tcPr>
                  <w:tcW w:w="839" w:type="pct"/>
                  <w:tcBorders>
                    <w:tl2br w:val="nil"/>
                    <w:tr2bl w:val="nil"/>
                  </w:tcBorders>
                  <w:noWrap w:val="0"/>
                  <w:vAlign w:val="center"/>
                </w:tcPr>
                <w:p w14:paraId="183960D7">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10</w:t>
                  </w:r>
                </w:p>
              </w:tc>
              <w:tc>
                <w:tcPr>
                  <w:tcW w:w="511" w:type="pct"/>
                  <w:vMerge w:val="continue"/>
                  <w:tcBorders>
                    <w:tl2br w:val="nil"/>
                    <w:tr2bl w:val="nil"/>
                  </w:tcBorders>
                  <w:noWrap w:val="0"/>
                  <w:vAlign w:val="center"/>
                </w:tcPr>
                <w:p w14:paraId="35D57DBF">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37687109">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171C7C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restart"/>
                  <w:tcBorders>
                    <w:tl2br w:val="nil"/>
                    <w:tr2bl w:val="nil"/>
                  </w:tcBorders>
                  <w:noWrap w:val="0"/>
                  <w:vAlign w:val="center"/>
                </w:tcPr>
                <w:p w14:paraId="20409B66">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臭氧</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O</w:t>
                  </w:r>
                  <w:r>
                    <w:rPr>
                      <w:rFonts w:hint="default" w:ascii="Times New Roman" w:hAnsi="Times New Roman" w:eastAsia="宋体" w:cs="Times New Roman"/>
                      <w:caps w:val="0"/>
                      <w:smallCaps w:val="0"/>
                      <w:color w:val="auto"/>
                      <w:spacing w:val="0"/>
                      <w:w w:val="100"/>
                      <w:kern w:val="2"/>
                      <w:position w:val="0"/>
                      <w:sz w:val="21"/>
                      <w:szCs w:val="21"/>
                      <w:highlight w:val="none"/>
                      <w:vertAlign w:val="subscript"/>
                      <w:lang w:val="en-US" w:eastAsia="en-US" w:bidi="ar-SA"/>
                    </w:rPr>
                    <w:t>3</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p>
              </w:tc>
              <w:tc>
                <w:tcPr>
                  <w:tcW w:w="1128" w:type="pct"/>
                  <w:tcBorders>
                    <w:tl2br w:val="nil"/>
                    <w:tr2bl w:val="nil"/>
                  </w:tcBorders>
                  <w:noWrap w:val="0"/>
                  <w:vAlign w:val="center"/>
                </w:tcPr>
                <w:p w14:paraId="751D9573">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日最大8小时平均</w:t>
                  </w:r>
                </w:p>
              </w:tc>
              <w:tc>
                <w:tcPr>
                  <w:tcW w:w="839" w:type="pct"/>
                  <w:tcBorders>
                    <w:tl2br w:val="nil"/>
                    <w:tr2bl w:val="nil"/>
                  </w:tcBorders>
                  <w:noWrap w:val="0"/>
                  <w:vAlign w:val="center"/>
                </w:tcPr>
                <w:p w14:paraId="6744455F">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1</w:t>
                  </w:r>
                  <w:r>
                    <w:rPr>
                      <w:rFonts w:hint="eastAsia" w:cs="Times New Roman"/>
                      <w:caps w:val="0"/>
                      <w:smallCaps w:val="0"/>
                      <w:color w:val="auto"/>
                      <w:spacing w:val="0"/>
                      <w:w w:val="100"/>
                      <w:kern w:val="2"/>
                      <w:position w:val="0"/>
                      <w:sz w:val="21"/>
                      <w:szCs w:val="21"/>
                      <w:highlight w:val="none"/>
                      <w:lang w:val="en-US" w:eastAsia="zh-CN" w:bidi="ar-SA"/>
                    </w:rPr>
                    <w:t>60</w:t>
                  </w:r>
                </w:p>
              </w:tc>
              <w:tc>
                <w:tcPr>
                  <w:tcW w:w="511" w:type="pct"/>
                  <w:vMerge w:val="restart"/>
                  <w:tcBorders>
                    <w:tl2br w:val="nil"/>
                    <w:tr2bl w:val="nil"/>
                  </w:tcBorders>
                  <w:noWrap w:val="0"/>
                  <w:vAlign w:val="center"/>
                </w:tcPr>
                <w:p w14:paraId="53D51167">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μg/m</w:t>
                  </w:r>
                  <w:r>
                    <w:rPr>
                      <w:rFonts w:hint="default" w:ascii="Times New Roman" w:hAnsi="Times New Roman" w:eastAsia="宋体" w:cs="Times New Roman"/>
                      <w:caps w:val="0"/>
                      <w:smallCaps w:val="0"/>
                      <w:color w:val="auto"/>
                      <w:spacing w:val="0"/>
                      <w:w w:val="100"/>
                      <w:kern w:val="2"/>
                      <w:position w:val="0"/>
                      <w:sz w:val="21"/>
                      <w:szCs w:val="21"/>
                      <w:highlight w:val="none"/>
                      <w:vertAlign w:val="superscript"/>
                      <w:lang w:val="en-US" w:eastAsia="zh-CN" w:bidi="ar-SA"/>
                    </w:rPr>
                    <w:t>3</w:t>
                  </w:r>
                </w:p>
              </w:tc>
              <w:tc>
                <w:tcPr>
                  <w:tcW w:w="1388" w:type="pct"/>
                  <w:vMerge w:val="continue"/>
                  <w:tcBorders>
                    <w:tl2br w:val="nil"/>
                    <w:tr2bl w:val="nil"/>
                  </w:tcBorders>
                  <w:noWrap w:val="0"/>
                  <w:vAlign w:val="center"/>
                </w:tcPr>
                <w:p w14:paraId="266B7B91">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67AE67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continue"/>
                  <w:tcBorders>
                    <w:tl2br w:val="nil"/>
                    <w:tr2bl w:val="nil"/>
                  </w:tcBorders>
                  <w:noWrap w:val="0"/>
                  <w:vAlign w:val="center"/>
                </w:tcPr>
                <w:p w14:paraId="55D88C6F">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128" w:type="pct"/>
                  <w:tcBorders>
                    <w:tl2br w:val="nil"/>
                    <w:tr2bl w:val="nil"/>
                  </w:tcBorders>
                  <w:noWrap w:val="0"/>
                  <w:vAlign w:val="center"/>
                </w:tcPr>
                <w:p w14:paraId="1D68BB96">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1小时平均</w:t>
                  </w:r>
                </w:p>
              </w:tc>
              <w:tc>
                <w:tcPr>
                  <w:tcW w:w="839" w:type="pct"/>
                  <w:tcBorders>
                    <w:tl2br w:val="nil"/>
                    <w:tr2bl w:val="nil"/>
                  </w:tcBorders>
                  <w:noWrap w:val="0"/>
                  <w:vAlign w:val="center"/>
                </w:tcPr>
                <w:p w14:paraId="42AF73FE">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eastAsia" w:cs="Times New Roman"/>
                      <w:caps w:val="0"/>
                      <w:smallCaps w:val="0"/>
                      <w:color w:val="auto"/>
                      <w:spacing w:val="0"/>
                      <w:w w:val="100"/>
                      <w:kern w:val="2"/>
                      <w:position w:val="0"/>
                      <w:sz w:val="21"/>
                      <w:szCs w:val="21"/>
                      <w:highlight w:val="none"/>
                      <w:lang w:val="en-US" w:eastAsia="zh-CN" w:bidi="ar-SA"/>
                    </w:rPr>
                    <w:t>20</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0</w:t>
                  </w:r>
                </w:p>
              </w:tc>
              <w:tc>
                <w:tcPr>
                  <w:tcW w:w="511" w:type="pct"/>
                  <w:vMerge w:val="continue"/>
                  <w:tcBorders>
                    <w:tl2br w:val="nil"/>
                    <w:tr2bl w:val="nil"/>
                  </w:tcBorders>
                  <w:noWrap w:val="0"/>
                  <w:vAlign w:val="center"/>
                </w:tcPr>
                <w:p w14:paraId="422C46CF">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20FA8147">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638DD6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restart"/>
                  <w:tcBorders>
                    <w:tl2br w:val="nil"/>
                    <w:tr2bl w:val="nil"/>
                  </w:tcBorders>
                  <w:noWrap w:val="0"/>
                  <w:vAlign w:val="center"/>
                </w:tcPr>
                <w:p w14:paraId="4DC40E9C">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可吸入颗粒</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PM</w:t>
                  </w:r>
                  <w:r>
                    <w:rPr>
                      <w:rFonts w:hint="default" w:ascii="Times New Roman" w:hAnsi="Times New Roman" w:eastAsia="宋体" w:cs="Times New Roman"/>
                      <w:caps w:val="0"/>
                      <w:smallCaps w:val="0"/>
                      <w:color w:val="auto"/>
                      <w:spacing w:val="0"/>
                      <w:w w:val="100"/>
                      <w:kern w:val="2"/>
                      <w:position w:val="0"/>
                      <w:sz w:val="21"/>
                      <w:szCs w:val="21"/>
                      <w:highlight w:val="none"/>
                      <w:vertAlign w:val="subscript"/>
                      <w:lang w:val="en-US" w:eastAsia="en-US" w:bidi="ar-SA"/>
                    </w:rPr>
                    <w:t>10</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p>
              </w:tc>
              <w:tc>
                <w:tcPr>
                  <w:tcW w:w="1128" w:type="pct"/>
                  <w:tcBorders>
                    <w:tl2br w:val="nil"/>
                    <w:tr2bl w:val="nil"/>
                  </w:tcBorders>
                  <w:noWrap w:val="0"/>
                  <w:vAlign w:val="center"/>
                </w:tcPr>
                <w:p w14:paraId="496A0AEB">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年平均</w:t>
                  </w:r>
                </w:p>
              </w:tc>
              <w:tc>
                <w:tcPr>
                  <w:tcW w:w="839" w:type="pct"/>
                  <w:tcBorders>
                    <w:tl2br w:val="nil"/>
                    <w:tr2bl w:val="nil"/>
                  </w:tcBorders>
                  <w:noWrap w:val="0"/>
                  <w:vAlign w:val="center"/>
                </w:tcPr>
                <w:p w14:paraId="3FE0307B">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eastAsia" w:cs="Times New Roman"/>
                      <w:caps w:val="0"/>
                      <w:smallCaps w:val="0"/>
                      <w:color w:val="auto"/>
                      <w:spacing w:val="0"/>
                      <w:w w:val="100"/>
                      <w:kern w:val="2"/>
                      <w:position w:val="0"/>
                      <w:sz w:val="21"/>
                      <w:szCs w:val="21"/>
                      <w:highlight w:val="none"/>
                      <w:lang w:val="en-US" w:eastAsia="zh-CN" w:bidi="ar-SA"/>
                    </w:rPr>
                    <w:t>60</w:t>
                  </w:r>
                </w:p>
              </w:tc>
              <w:tc>
                <w:tcPr>
                  <w:tcW w:w="511" w:type="pct"/>
                  <w:vMerge w:val="continue"/>
                  <w:tcBorders>
                    <w:tl2br w:val="nil"/>
                    <w:tr2bl w:val="nil"/>
                  </w:tcBorders>
                  <w:noWrap w:val="0"/>
                  <w:vAlign w:val="center"/>
                </w:tcPr>
                <w:p w14:paraId="259B79C0">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667FF3E5">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4394CD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continue"/>
                  <w:tcBorders>
                    <w:tl2br w:val="nil"/>
                    <w:tr2bl w:val="nil"/>
                  </w:tcBorders>
                  <w:noWrap w:val="0"/>
                  <w:vAlign w:val="center"/>
                </w:tcPr>
                <w:p w14:paraId="430D4D65">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128" w:type="pct"/>
                  <w:tcBorders>
                    <w:tl2br w:val="nil"/>
                    <w:tr2bl w:val="nil"/>
                  </w:tcBorders>
                  <w:noWrap w:val="0"/>
                  <w:vAlign w:val="center"/>
                </w:tcPr>
                <w:p w14:paraId="1F7A8F1F">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日平均</w:t>
                  </w:r>
                </w:p>
              </w:tc>
              <w:tc>
                <w:tcPr>
                  <w:tcW w:w="839" w:type="pct"/>
                  <w:tcBorders>
                    <w:tl2br w:val="nil"/>
                    <w:tr2bl w:val="nil"/>
                  </w:tcBorders>
                  <w:noWrap w:val="0"/>
                  <w:vAlign w:val="center"/>
                </w:tcPr>
                <w:p w14:paraId="65BD82E4">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eastAsia" w:cs="Times New Roman"/>
                      <w:caps w:val="0"/>
                      <w:smallCaps w:val="0"/>
                      <w:color w:val="auto"/>
                      <w:spacing w:val="0"/>
                      <w:w w:val="100"/>
                      <w:kern w:val="2"/>
                      <w:position w:val="0"/>
                      <w:sz w:val="21"/>
                      <w:szCs w:val="21"/>
                      <w:highlight w:val="none"/>
                      <w:lang w:val="en-US" w:eastAsia="zh-CN" w:bidi="ar-SA"/>
                    </w:rPr>
                    <w:t>120</w:t>
                  </w:r>
                </w:p>
              </w:tc>
              <w:tc>
                <w:tcPr>
                  <w:tcW w:w="511" w:type="pct"/>
                  <w:vMerge w:val="continue"/>
                  <w:tcBorders>
                    <w:tl2br w:val="nil"/>
                    <w:tr2bl w:val="nil"/>
                  </w:tcBorders>
                  <w:noWrap w:val="0"/>
                  <w:vAlign w:val="center"/>
                </w:tcPr>
                <w:p w14:paraId="6A167D0F">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28948470">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6E7B39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restart"/>
                  <w:tcBorders>
                    <w:tl2br w:val="nil"/>
                    <w:tr2bl w:val="nil"/>
                  </w:tcBorders>
                  <w:noWrap w:val="0"/>
                  <w:vAlign w:val="center"/>
                </w:tcPr>
                <w:p w14:paraId="67ACF7A7">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细颗粒物</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PM</w:t>
                  </w:r>
                  <w:r>
                    <w:rPr>
                      <w:rFonts w:hint="default" w:ascii="Times New Roman" w:hAnsi="Times New Roman" w:eastAsia="宋体" w:cs="Times New Roman"/>
                      <w:caps w:val="0"/>
                      <w:smallCaps w:val="0"/>
                      <w:color w:val="auto"/>
                      <w:spacing w:val="0"/>
                      <w:w w:val="100"/>
                      <w:kern w:val="2"/>
                      <w:position w:val="0"/>
                      <w:sz w:val="21"/>
                      <w:szCs w:val="21"/>
                      <w:highlight w:val="none"/>
                      <w:vertAlign w:val="subscript"/>
                      <w:lang w:val="en-US" w:eastAsia="en-US" w:bidi="ar-SA"/>
                    </w:rPr>
                    <w:t>2.5</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t>）</w:t>
                  </w:r>
                </w:p>
              </w:tc>
              <w:tc>
                <w:tcPr>
                  <w:tcW w:w="1128" w:type="pct"/>
                  <w:tcBorders>
                    <w:tl2br w:val="nil"/>
                    <w:tr2bl w:val="nil"/>
                  </w:tcBorders>
                  <w:noWrap w:val="0"/>
                  <w:vAlign w:val="center"/>
                </w:tcPr>
                <w:p w14:paraId="59EAADF0">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年平均</w:t>
                  </w:r>
                </w:p>
              </w:tc>
              <w:tc>
                <w:tcPr>
                  <w:tcW w:w="839" w:type="pct"/>
                  <w:tcBorders>
                    <w:tl2br w:val="nil"/>
                    <w:tr2bl w:val="nil"/>
                  </w:tcBorders>
                  <w:noWrap w:val="0"/>
                  <w:vAlign w:val="center"/>
                </w:tcPr>
                <w:p w14:paraId="3AB23FB5">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eastAsia" w:cs="Times New Roman"/>
                      <w:caps w:val="0"/>
                      <w:smallCaps w:val="0"/>
                      <w:color w:val="auto"/>
                      <w:spacing w:val="0"/>
                      <w:w w:val="100"/>
                      <w:kern w:val="2"/>
                      <w:position w:val="0"/>
                      <w:sz w:val="21"/>
                      <w:szCs w:val="21"/>
                      <w:highlight w:val="none"/>
                      <w:lang w:val="en-US" w:eastAsia="zh-CN" w:bidi="ar-SA"/>
                    </w:rPr>
                    <w:t>30</w:t>
                  </w:r>
                </w:p>
              </w:tc>
              <w:tc>
                <w:tcPr>
                  <w:tcW w:w="511" w:type="pct"/>
                  <w:vMerge w:val="continue"/>
                  <w:tcBorders>
                    <w:tl2br w:val="nil"/>
                    <w:tr2bl w:val="nil"/>
                  </w:tcBorders>
                  <w:noWrap w:val="0"/>
                  <w:vAlign w:val="center"/>
                </w:tcPr>
                <w:p w14:paraId="605916B9">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272F4DDF">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r w14:paraId="44FE7A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32" w:type="pct"/>
                  <w:vMerge w:val="continue"/>
                  <w:tcBorders>
                    <w:tl2br w:val="nil"/>
                    <w:tr2bl w:val="nil"/>
                  </w:tcBorders>
                  <w:noWrap w:val="0"/>
                  <w:vAlign w:val="center"/>
                </w:tcPr>
                <w:p w14:paraId="70611E5E">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128" w:type="pct"/>
                  <w:tcBorders>
                    <w:tl2br w:val="nil"/>
                    <w:tr2bl w:val="nil"/>
                  </w:tcBorders>
                  <w:noWrap w:val="0"/>
                  <w:vAlign w:val="center"/>
                </w:tcPr>
                <w:p w14:paraId="67DCEC93">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日平均</w:t>
                  </w:r>
                </w:p>
              </w:tc>
              <w:tc>
                <w:tcPr>
                  <w:tcW w:w="839" w:type="pct"/>
                  <w:tcBorders>
                    <w:tl2br w:val="nil"/>
                    <w:tr2bl w:val="nil"/>
                  </w:tcBorders>
                  <w:noWrap w:val="0"/>
                  <w:vAlign w:val="center"/>
                </w:tcPr>
                <w:p w14:paraId="44C4383C">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SA"/>
                    </w:rPr>
                  </w:pPr>
                  <w:r>
                    <w:rPr>
                      <w:rFonts w:hint="eastAsia" w:cs="Times New Roman"/>
                      <w:caps w:val="0"/>
                      <w:smallCaps w:val="0"/>
                      <w:color w:val="auto"/>
                      <w:spacing w:val="0"/>
                      <w:w w:val="100"/>
                      <w:kern w:val="2"/>
                      <w:position w:val="0"/>
                      <w:sz w:val="21"/>
                      <w:szCs w:val="21"/>
                      <w:highlight w:val="none"/>
                      <w:lang w:val="en-US" w:eastAsia="zh-CN" w:bidi="ar-SA"/>
                    </w:rPr>
                    <w:t>60</w:t>
                  </w:r>
                </w:p>
              </w:tc>
              <w:tc>
                <w:tcPr>
                  <w:tcW w:w="511" w:type="pct"/>
                  <w:vMerge w:val="continue"/>
                  <w:tcBorders>
                    <w:tl2br w:val="nil"/>
                    <w:tr2bl w:val="nil"/>
                  </w:tcBorders>
                  <w:noWrap w:val="0"/>
                  <w:vAlign w:val="center"/>
                </w:tcPr>
                <w:p w14:paraId="545F84E0">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c>
                <w:tcPr>
                  <w:tcW w:w="1388" w:type="pct"/>
                  <w:vMerge w:val="continue"/>
                  <w:tcBorders>
                    <w:tl2br w:val="nil"/>
                    <w:tr2bl w:val="nil"/>
                  </w:tcBorders>
                  <w:noWrap w:val="0"/>
                  <w:vAlign w:val="center"/>
                </w:tcPr>
                <w:p w14:paraId="11F19E21">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p>
              </w:tc>
            </w:tr>
          </w:tbl>
          <w:p w14:paraId="66714CDE">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2"/>
                <w:highlight w:val="none"/>
                <w:lang w:eastAsia="en-US"/>
              </w:rPr>
            </w:pPr>
            <w:r>
              <w:rPr>
                <w:rFonts w:hint="default" w:ascii="Times New Roman" w:hAnsi="Times New Roman" w:eastAsia="宋体" w:cs="Times New Roman"/>
                <w:caps w:val="0"/>
                <w:smallCaps w:val="0"/>
                <w:color w:val="auto"/>
                <w:spacing w:val="0"/>
                <w:w w:val="100"/>
                <w:kern w:val="2"/>
                <w:position w:val="0"/>
                <w:sz w:val="24"/>
                <w:szCs w:val="22"/>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zh-CN"/>
              </w:rPr>
              <w:t>2</w:t>
            </w:r>
            <w:r>
              <w:rPr>
                <w:rFonts w:hint="default" w:ascii="Times New Roman" w:hAnsi="Times New Roman" w:eastAsia="宋体" w:cs="Times New Roman"/>
                <w:caps w:val="0"/>
                <w:smallCaps w:val="0"/>
                <w:color w:val="auto"/>
                <w:spacing w:val="0"/>
                <w:w w:val="100"/>
                <w:kern w:val="2"/>
                <w:position w:val="0"/>
                <w:sz w:val="24"/>
                <w:szCs w:val="22"/>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声环境</w:t>
            </w:r>
          </w:p>
          <w:p w14:paraId="3D05EA7A">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2"/>
                <w:highlight w:val="none"/>
                <w:lang w:val="en-US" w:eastAsia="zh-CN"/>
              </w:rPr>
            </w:pPr>
            <w:r>
              <w:rPr>
                <w:rFonts w:hint="default" w:ascii="Times New Roman" w:hAnsi="Times New Roman" w:eastAsia="宋体" w:cs="Times New Roman"/>
                <w:caps w:val="0"/>
                <w:smallCaps w:val="0"/>
                <w:color w:val="auto"/>
                <w:spacing w:val="0"/>
                <w:w w:val="100"/>
                <w:kern w:val="2"/>
                <w:position w:val="0"/>
                <w:sz w:val="24"/>
                <w:szCs w:val="22"/>
                <w:highlight w:val="none"/>
                <w:lang w:val="en-US" w:eastAsia="zh-CN"/>
              </w:rPr>
              <w:t>根据声环境功能区划</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en-US"/>
              </w:rPr>
              <w:t>位于拟建项目两侧红线外35m以内的区域执行《声环境质量标准》</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zh-CN"/>
              </w:rPr>
              <w:t>（</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en-US"/>
              </w:rPr>
              <w:t>GB3096-2008</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zh-CN"/>
              </w:rPr>
              <w:t>）</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en-US"/>
              </w:rPr>
              <w:t>4a类标准，35m以外区域执行2类标准</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，详见表</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zh-CN"/>
              </w:rPr>
              <w:t>3-</w:t>
            </w:r>
            <w:r>
              <w:rPr>
                <w:rFonts w:hint="eastAsia" w:ascii="Times New Roman" w:hAnsi="Times New Roman" w:eastAsia="宋体" w:cs="Times New Roman"/>
                <w:caps w:val="0"/>
                <w:smallCaps w:val="0"/>
                <w:color w:val="auto"/>
                <w:spacing w:val="0"/>
                <w:w w:val="100"/>
                <w:kern w:val="2"/>
                <w:position w:val="0"/>
                <w:sz w:val="24"/>
                <w:szCs w:val="22"/>
                <w:highlight w:val="none"/>
                <w:lang w:val="en-US" w:eastAsia="zh-CN"/>
              </w:rPr>
              <w:t>8</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w:t>
            </w:r>
            <w:r>
              <w:rPr>
                <w:rFonts w:hint="eastAsia" w:cs="Times New Roman"/>
                <w:caps w:val="0"/>
                <w:smallCaps w:val="0"/>
                <w:color w:val="auto"/>
                <w:spacing w:val="0"/>
                <w:w w:val="100"/>
                <w:kern w:val="2"/>
                <w:position w:val="0"/>
                <w:sz w:val="24"/>
                <w:szCs w:val="22"/>
                <w:highlight w:val="none"/>
                <w:lang w:val="en-US" w:eastAsia="zh-CN"/>
              </w:rPr>
              <w:t xml:space="preserve"> </w:t>
            </w:r>
          </w:p>
          <w:p w14:paraId="6D27440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422" w:firstLineChars="200"/>
              <w:textAlignment w:val="auto"/>
              <w:rPr>
                <w:rFonts w:hint="default" w:cs="Times New Roman"/>
                <w:b/>
                <w:bCs/>
                <w:caps w:val="0"/>
                <w:smallCaps w:val="0"/>
                <w:snapToGrid w:val="0"/>
                <w:color w:val="auto"/>
                <w:spacing w:val="0"/>
                <w:w w:val="100"/>
                <w:kern w:val="2"/>
                <w:position w:val="0"/>
                <w:sz w:val="21"/>
                <w:szCs w:val="21"/>
                <w:highlight w:val="none"/>
                <w:lang w:val="en-US" w:eastAsia="zh-CN" w:bidi="ar-SA"/>
              </w:rPr>
            </w:pPr>
            <w:r>
              <w:rPr>
                <w:rFonts w:hint="default" w:cs="Times New Roman"/>
                <w:b/>
                <w:bCs/>
                <w:caps w:val="0"/>
                <w:smallCaps w:val="0"/>
                <w:snapToGrid w:val="0"/>
                <w:color w:val="auto"/>
                <w:spacing w:val="0"/>
                <w:w w:val="100"/>
                <w:kern w:val="2"/>
                <w:position w:val="0"/>
                <w:sz w:val="21"/>
                <w:szCs w:val="21"/>
                <w:highlight w:val="none"/>
                <w:lang w:val="en-US" w:eastAsia="en-US" w:bidi="ar-SA"/>
              </w:rPr>
              <w:t>表</w:t>
            </w:r>
            <w:r>
              <w:rPr>
                <w:rFonts w:hint="default" w:cs="Times New Roman"/>
                <w:b/>
                <w:bCs/>
                <w:caps w:val="0"/>
                <w:smallCaps w:val="0"/>
                <w:snapToGrid w:val="0"/>
                <w:color w:val="auto"/>
                <w:spacing w:val="0"/>
                <w:w w:val="100"/>
                <w:kern w:val="2"/>
                <w:position w:val="0"/>
                <w:sz w:val="21"/>
                <w:szCs w:val="21"/>
                <w:highlight w:val="none"/>
                <w:lang w:val="en-US" w:eastAsia="zh-CN" w:bidi="ar-SA"/>
              </w:rPr>
              <w:t>3-</w:t>
            </w:r>
            <w:r>
              <w:rPr>
                <w:rFonts w:hint="eastAsia" w:cs="Times New Roman"/>
                <w:b/>
                <w:bCs/>
                <w:caps w:val="0"/>
                <w:smallCaps w:val="0"/>
                <w:snapToGrid w:val="0"/>
                <w:color w:val="auto"/>
                <w:spacing w:val="0"/>
                <w:w w:val="100"/>
                <w:kern w:val="2"/>
                <w:position w:val="0"/>
                <w:sz w:val="21"/>
                <w:szCs w:val="21"/>
                <w:highlight w:val="none"/>
                <w:lang w:val="en-US" w:eastAsia="zh-CN" w:bidi="ar-SA"/>
              </w:rPr>
              <w:t xml:space="preserve">8                    </w:t>
            </w:r>
            <w:r>
              <w:rPr>
                <w:rFonts w:hint="default" w:cs="Times New Roman"/>
                <w:b/>
                <w:bCs/>
                <w:caps w:val="0"/>
                <w:smallCaps w:val="0"/>
                <w:snapToGrid w:val="0"/>
                <w:color w:val="auto"/>
                <w:spacing w:val="0"/>
                <w:w w:val="100"/>
                <w:kern w:val="2"/>
                <w:position w:val="0"/>
                <w:sz w:val="21"/>
                <w:szCs w:val="21"/>
                <w:highlight w:val="none"/>
                <w:lang w:val="en-US" w:eastAsia="en-US" w:bidi="ar-SA"/>
              </w:rPr>
              <w:t>声环境质量标准</w:t>
            </w:r>
            <w:r>
              <w:rPr>
                <w:rFonts w:hint="eastAsia" w:cs="Times New Roman"/>
                <w:b/>
                <w:bCs/>
                <w:caps w:val="0"/>
                <w:smallCaps w:val="0"/>
                <w:snapToGrid w:val="0"/>
                <w:color w:val="auto"/>
                <w:spacing w:val="0"/>
                <w:w w:val="100"/>
                <w:kern w:val="2"/>
                <w:position w:val="0"/>
                <w:sz w:val="21"/>
                <w:szCs w:val="21"/>
                <w:highlight w:val="none"/>
                <w:lang w:val="en-US" w:eastAsia="zh-CN" w:bidi="ar-SA"/>
              </w:rPr>
              <w:t xml:space="preserve">                 </w:t>
            </w:r>
            <w:r>
              <w:rPr>
                <w:rFonts w:hint="default" w:cs="Times New Roman"/>
                <w:b/>
                <w:bCs/>
                <w:caps w:val="0"/>
                <w:smallCaps w:val="0"/>
                <w:snapToGrid w:val="0"/>
                <w:color w:val="auto"/>
                <w:spacing w:val="0"/>
                <w:w w:val="100"/>
                <w:kern w:val="2"/>
                <w:position w:val="0"/>
                <w:sz w:val="21"/>
                <w:szCs w:val="21"/>
                <w:highlight w:val="none"/>
                <w:lang w:val="en-US" w:eastAsia="en-US" w:bidi="ar-SA"/>
              </w:rPr>
              <w:t>单位：dB</w:t>
            </w:r>
            <w:r>
              <w:rPr>
                <w:rFonts w:hint="default" w:cs="Times New Roman"/>
                <w:b/>
                <w:bCs/>
                <w:caps w:val="0"/>
                <w:smallCaps w:val="0"/>
                <w:snapToGrid w:val="0"/>
                <w:color w:val="auto"/>
                <w:spacing w:val="0"/>
                <w:w w:val="100"/>
                <w:kern w:val="2"/>
                <w:position w:val="0"/>
                <w:sz w:val="21"/>
                <w:szCs w:val="21"/>
                <w:highlight w:val="none"/>
                <w:lang w:val="en-US" w:eastAsia="zh-CN" w:bidi="ar-SA"/>
              </w:rPr>
              <w:t>（</w:t>
            </w:r>
            <w:r>
              <w:rPr>
                <w:rFonts w:hint="default" w:cs="Times New Roman"/>
                <w:b/>
                <w:bCs/>
                <w:caps w:val="0"/>
                <w:smallCaps w:val="0"/>
                <w:snapToGrid w:val="0"/>
                <w:color w:val="auto"/>
                <w:spacing w:val="0"/>
                <w:w w:val="100"/>
                <w:kern w:val="2"/>
                <w:position w:val="0"/>
                <w:sz w:val="21"/>
                <w:szCs w:val="21"/>
                <w:highlight w:val="none"/>
                <w:lang w:val="en-US" w:eastAsia="en-US" w:bidi="ar-SA"/>
              </w:rPr>
              <w:t>A</w:t>
            </w:r>
            <w:r>
              <w:rPr>
                <w:rFonts w:hint="default" w:cs="Times New Roman"/>
                <w:b/>
                <w:bCs/>
                <w:caps w:val="0"/>
                <w:smallCaps w:val="0"/>
                <w:snapToGrid w:val="0"/>
                <w:color w:val="auto"/>
                <w:spacing w:val="0"/>
                <w:w w:val="100"/>
                <w:kern w:val="2"/>
                <w:position w:val="0"/>
                <w:sz w:val="21"/>
                <w:szCs w:val="21"/>
                <w:highlight w:val="none"/>
                <w:lang w:val="en-US" w:eastAsia="zh-CN" w:bidi="ar-SA"/>
              </w:rPr>
              <w:t>）</w:t>
            </w:r>
          </w:p>
          <w:tbl>
            <w:tblPr>
              <w:tblStyle w:val="29"/>
              <w:tblW w:w="4999"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autofit"/>
              <w:tblCellMar>
                <w:top w:w="0" w:type="dxa"/>
                <w:left w:w="0" w:type="dxa"/>
                <w:bottom w:w="0" w:type="dxa"/>
                <w:right w:w="0" w:type="dxa"/>
              </w:tblCellMar>
            </w:tblPr>
            <w:tblGrid>
              <w:gridCol w:w="2144"/>
              <w:gridCol w:w="1090"/>
              <w:gridCol w:w="1090"/>
              <w:gridCol w:w="3417"/>
            </w:tblGrid>
            <w:tr w14:paraId="0BB4FFC6">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0" w:hRule="atLeast"/>
                <w:jc w:val="center"/>
              </w:trPr>
              <w:tc>
                <w:tcPr>
                  <w:tcW w:w="1384" w:type="pct"/>
                  <w:vMerge w:val="restart"/>
                  <w:tcBorders>
                    <w:tl2br w:val="nil"/>
                    <w:tr2bl w:val="nil"/>
                  </w:tcBorders>
                  <w:noWrap w:val="0"/>
                  <w:vAlign w:val="center"/>
                </w:tcPr>
                <w:p w14:paraId="520E45B9">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t>采用级别</w:t>
                  </w:r>
                </w:p>
              </w:tc>
              <w:tc>
                <w:tcPr>
                  <w:tcW w:w="1408" w:type="pct"/>
                  <w:gridSpan w:val="2"/>
                  <w:tcBorders>
                    <w:tl2br w:val="nil"/>
                    <w:tr2bl w:val="nil"/>
                  </w:tcBorders>
                  <w:noWrap w:val="0"/>
                  <w:vAlign w:val="center"/>
                </w:tcPr>
                <w:p w14:paraId="0B5DC496">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t>标准值</w:t>
                  </w:r>
                </w:p>
              </w:tc>
              <w:tc>
                <w:tcPr>
                  <w:tcW w:w="2206" w:type="pct"/>
                  <w:vMerge w:val="restart"/>
                  <w:tcBorders>
                    <w:tl2br w:val="nil"/>
                    <w:tr2bl w:val="nil"/>
                  </w:tcBorders>
                  <w:noWrap w:val="0"/>
                  <w:vAlign w:val="center"/>
                </w:tcPr>
                <w:p w14:paraId="3E812964">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t>标准来源</w:t>
                  </w:r>
                </w:p>
              </w:tc>
            </w:tr>
            <w:tr w14:paraId="418D7396">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0" w:hRule="atLeast"/>
                <w:jc w:val="center"/>
              </w:trPr>
              <w:tc>
                <w:tcPr>
                  <w:tcW w:w="1384" w:type="pct"/>
                  <w:vMerge w:val="continue"/>
                  <w:tcBorders>
                    <w:tl2br w:val="nil"/>
                    <w:tr2bl w:val="nil"/>
                  </w:tcBorders>
                  <w:noWrap w:val="0"/>
                  <w:vAlign w:val="center"/>
                </w:tcPr>
                <w:p w14:paraId="3BC56085">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p>
              </w:tc>
              <w:tc>
                <w:tcPr>
                  <w:tcW w:w="704" w:type="pct"/>
                  <w:tcBorders>
                    <w:tl2br w:val="nil"/>
                    <w:tr2bl w:val="nil"/>
                  </w:tcBorders>
                  <w:noWrap w:val="0"/>
                  <w:vAlign w:val="center"/>
                </w:tcPr>
                <w:p w14:paraId="6D03489D">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t>昼间</w:t>
                  </w:r>
                </w:p>
              </w:tc>
              <w:tc>
                <w:tcPr>
                  <w:tcW w:w="704" w:type="pct"/>
                  <w:tcBorders>
                    <w:tl2br w:val="nil"/>
                    <w:tr2bl w:val="nil"/>
                  </w:tcBorders>
                  <w:noWrap w:val="0"/>
                  <w:vAlign w:val="center"/>
                </w:tcPr>
                <w:p w14:paraId="38361A52">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t>夜间</w:t>
                  </w:r>
                </w:p>
              </w:tc>
              <w:tc>
                <w:tcPr>
                  <w:tcW w:w="2206" w:type="pct"/>
                  <w:vMerge w:val="continue"/>
                  <w:tcBorders>
                    <w:tl2br w:val="nil"/>
                    <w:tr2bl w:val="nil"/>
                  </w:tcBorders>
                  <w:noWrap w:val="0"/>
                  <w:vAlign w:val="center"/>
                </w:tcPr>
                <w:p w14:paraId="004B39A9">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p>
              </w:tc>
            </w:tr>
            <w:tr w14:paraId="497E405E">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0" w:hRule="atLeast"/>
                <w:jc w:val="center"/>
              </w:trPr>
              <w:tc>
                <w:tcPr>
                  <w:tcW w:w="1384" w:type="pct"/>
                  <w:tcBorders>
                    <w:tl2br w:val="nil"/>
                    <w:tr2bl w:val="nil"/>
                  </w:tcBorders>
                  <w:noWrap w:val="0"/>
                  <w:vAlign w:val="center"/>
                </w:tcPr>
                <w:p w14:paraId="692B7953">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t>2</w:t>
                  </w: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t>类</w:t>
                  </w:r>
                </w:p>
              </w:tc>
              <w:tc>
                <w:tcPr>
                  <w:tcW w:w="704" w:type="pct"/>
                  <w:tcBorders>
                    <w:tl2br w:val="nil"/>
                    <w:tr2bl w:val="nil"/>
                  </w:tcBorders>
                  <w:noWrap w:val="0"/>
                  <w:vAlign w:val="center"/>
                </w:tcPr>
                <w:p w14:paraId="6BB586C0">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t>60</w:t>
                  </w:r>
                </w:p>
              </w:tc>
              <w:tc>
                <w:tcPr>
                  <w:tcW w:w="704" w:type="pct"/>
                  <w:tcBorders>
                    <w:tl2br w:val="nil"/>
                    <w:tr2bl w:val="nil"/>
                  </w:tcBorders>
                  <w:noWrap w:val="0"/>
                  <w:vAlign w:val="center"/>
                </w:tcPr>
                <w:p w14:paraId="19A36EE4">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t>50</w:t>
                  </w:r>
                </w:p>
              </w:tc>
              <w:tc>
                <w:tcPr>
                  <w:tcW w:w="2206" w:type="pct"/>
                  <w:vMerge w:val="restart"/>
                  <w:tcBorders>
                    <w:tl2br w:val="nil"/>
                    <w:tr2bl w:val="nil"/>
                  </w:tcBorders>
                  <w:noWrap w:val="0"/>
                  <w:vAlign w:val="center"/>
                </w:tcPr>
                <w:p w14:paraId="735A69A6">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t>GB3096</w:t>
                  </w:r>
                  <w:r>
                    <w:rPr>
                      <w:rFonts w:hint="eastAsia"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t>-</w:t>
                  </w: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t>2008</w:t>
                  </w:r>
                </w:p>
              </w:tc>
            </w:tr>
            <w:tr w14:paraId="0D85C2FE">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0" w:hRule="atLeast"/>
                <w:jc w:val="center"/>
              </w:trPr>
              <w:tc>
                <w:tcPr>
                  <w:tcW w:w="1384" w:type="pct"/>
                  <w:tcBorders>
                    <w:tl2br w:val="nil"/>
                    <w:tr2bl w:val="nil"/>
                  </w:tcBorders>
                  <w:noWrap w:val="0"/>
                  <w:vAlign w:val="center"/>
                </w:tcPr>
                <w:p w14:paraId="5319B158">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t>4a</w:t>
                  </w:r>
                </w:p>
              </w:tc>
              <w:tc>
                <w:tcPr>
                  <w:tcW w:w="704" w:type="pct"/>
                  <w:tcBorders>
                    <w:tl2br w:val="nil"/>
                    <w:tr2bl w:val="nil"/>
                  </w:tcBorders>
                  <w:noWrap w:val="0"/>
                  <w:vAlign w:val="center"/>
                </w:tcPr>
                <w:p w14:paraId="32B15AC3">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t>70</w:t>
                  </w:r>
                </w:p>
              </w:tc>
              <w:tc>
                <w:tcPr>
                  <w:tcW w:w="704" w:type="pct"/>
                  <w:tcBorders>
                    <w:tl2br w:val="nil"/>
                    <w:tr2bl w:val="nil"/>
                  </w:tcBorders>
                  <w:noWrap w:val="0"/>
                  <w:vAlign w:val="center"/>
                </w:tcPr>
                <w:p w14:paraId="49175669">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zh-CN" w:bidi="ar-SA"/>
                    </w:rPr>
                    <w:t>55</w:t>
                  </w:r>
                </w:p>
              </w:tc>
              <w:tc>
                <w:tcPr>
                  <w:tcW w:w="2206" w:type="pct"/>
                  <w:vMerge w:val="continue"/>
                  <w:tcBorders>
                    <w:tl2br w:val="nil"/>
                    <w:tr2bl w:val="nil"/>
                  </w:tcBorders>
                  <w:noWrap w:val="0"/>
                  <w:vAlign w:val="center"/>
                </w:tcPr>
                <w:p w14:paraId="75A4D6EB">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lang w:val="en-US" w:eastAsia="en-US" w:bidi="ar-SA"/>
                    </w:rPr>
                  </w:pPr>
                </w:p>
              </w:tc>
            </w:tr>
          </w:tbl>
          <w:p w14:paraId="24D0C4EB">
            <w:pPr>
              <w:pStyle w:val="11"/>
              <w:keepNext w:val="0"/>
              <w:keepLines w:val="0"/>
              <w:pageBreakBefore w:val="0"/>
              <w:kinsoku/>
              <w:wordWrap/>
              <w:overflowPunct/>
              <w:topLinePunct w:val="0"/>
              <w:autoSpaceDE/>
              <w:autoSpaceDN/>
              <w:bidi w:val="0"/>
              <w:snapToGrid w:val="0"/>
              <w:spacing w:before="0" w:beforeAutospacing="0" w:after="0" w:afterAutospacing="0" w:line="360" w:lineRule="auto"/>
              <w:ind w:left="0" w:leftChars="0" w:right="0"/>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t>2</w:t>
            </w:r>
            <w:r>
              <w:rPr>
                <w:rFonts w:hint="default" w:ascii="Times New Roman" w:hAnsi="Times New Roman" w:eastAsia="宋体" w:cs="Times New Roman"/>
                <w:b/>
                <w:bCs/>
                <w:caps w:val="0"/>
                <w:smallCaps w:val="0"/>
                <w:color w:val="auto"/>
                <w:spacing w:val="0"/>
                <w:w w:val="100"/>
                <w:kern w:val="2"/>
                <w:position w:val="0"/>
                <w:sz w:val="24"/>
                <w:szCs w:val="24"/>
                <w:highlight w:val="none"/>
              </w:rPr>
              <w:t>污染物排放标准</w:t>
            </w:r>
          </w:p>
          <w:p w14:paraId="20E3E2B4">
            <w:pPr>
              <w:pStyle w:val="46"/>
              <w:keepNext w:val="0"/>
              <w:keepLines w:val="0"/>
              <w:pageBreakBefore w:val="0"/>
              <w:numPr>
                <w:ilvl w:val="0"/>
                <w:numId w:val="0"/>
              </w:numPr>
              <w:kinsoku/>
              <w:wordWrap/>
              <w:overflowPunct/>
              <w:topLinePunct w:val="0"/>
              <w:bidi w:val="0"/>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b w:val="0"/>
                <w:bCs/>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caps w:val="0"/>
                <w:smallCaps w:val="0"/>
                <w:color w:val="auto"/>
                <w:spacing w:val="0"/>
                <w:w w:val="100"/>
                <w:kern w:val="2"/>
                <w:position w:val="0"/>
                <w:sz w:val="24"/>
                <w:szCs w:val="24"/>
                <w:highlight w:val="none"/>
                <w:lang w:val="en-US" w:eastAsia="zh-CN"/>
              </w:rPr>
              <w:t>（1）废气</w:t>
            </w:r>
          </w:p>
          <w:p w14:paraId="2100DEF9">
            <w:pPr>
              <w:keepNext w:val="0"/>
              <w:keepLines w:val="0"/>
              <w:pageBreakBefore w:val="0"/>
              <w:widowControl w:val="0"/>
              <w:numPr>
                <w:ilvl w:val="0"/>
                <w:numId w:val="0"/>
              </w:numPr>
              <w:kinsoku/>
              <w:wordWrap/>
              <w:overflowPunct/>
              <w:topLinePunct w:val="0"/>
              <w:autoSpaceDE/>
              <w:autoSpaceDN/>
              <w:bidi w:val="0"/>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2"/>
                <w:position w:val="0"/>
                <w:sz w:val="24"/>
                <w:highlight w:val="none"/>
                <w:lang w:val="en-US" w:eastAsia="zh-CN"/>
              </w:rPr>
              <w:t>项目道路施工现场大气污染物为土石方开挖、运输排放的粉尘，排放标准</w:t>
            </w:r>
            <w:r>
              <w:rPr>
                <w:rFonts w:hint="default" w:ascii="Times New Roman" w:hAnsi="Times New Roman" w:eastAsia="宋体" w:cs="Times New Roman"/>
                <w:caps w:val="0"/>
                <w:smallCaps w:val="0"/>
                <w:color w:val="auto"/>
                <w:spacing w:val="0"/>
                <w:w w:val="100"/>
                <w:kern w:val="2"/>
                <w:position w:val="0"/>
                <w:sz w:val="24"/>
                <w:highlight w:val="none"/>
                <w:lang w:eastAsia="zh-CN"/>
              </w:rPr>
              <w:t>执行</w:t>
            </w:r>
            <w:r>
              <w:rPr>
                <w:rFonts w:hint="default" w:ascii="Times New Roman" w:hAnsi="Times New Roman" w:eastAsia="宋体" w:cs="Times New Roman"/>
                <w:caps w:val="0"/>
                <w:smallCaps w:val="0"/>
                <w:color w:val="auto"/>
                <w:spacing w:val="0"/>
                <w:w w:val="100"/>
                <w:kern w:val="2"/>
                <w:position w:val="0"/>
                <w:sz w:val="24"/>
                <w:highlight w:val="none"/>
              </w:rPr>
              <w:t>《大气污染物综合排放标准》</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GB16297—1996</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中无组织排放</w:t>
            </w:r>
            <w:r>
              <w:rPr>
                <w:rFonts w:hint="default" w:ascii="Times New Roman" w:hAnsi="Times New Roman" w:eastAsia="宋体" w:cs="Times New Roman"/>
                <w:caps w:val="0"/>
                <w:smallCaps w:val="0"/>
                <w:color w:val="auto"/>
                <w:spacing w:val="0"/>
                <w:w w:val="100"/>
                <w:kern w:val="2"/>
                <w:position w:val="0"/>
                <w:sz w:val="24"/>
                <w:highlight w:val="none"/>
                <w:lang w:eastAsia="zh-CN"/>
              </w:rPr>
              <w:t>监控浓度</w:t>
            </w:r>
            <w:r>
              <w:rPr>
                <w:rFonts w:hint="default" w:ascii="Times New Roman" w:hAnsi="Times New Roman" w:eastAsia="宋体" w:cs="Times New Roman"/>
                <w:caps w:val="0"/>
                <w:smallCaps w:val="0"/>
                <w:color w:val="auto"/>
                <w:spacing w:val="0"/>
                <w:w w:val="100"/>
                <w:kern w:val="2"/>
                <w:position w:val="0"/>
                <w:sz w:val="24"/>
                <w:highlight w:val="none"/>
              </w:rPr>
              <w:t>限值要求</w:t>
            </w:r>
            <w:r>
              <w:rPr>
                <w:rFonts w:hint="default" w:ascii="Times New Roman" w:hAnsi="Times New Roman" w:eastAsia="宋体" w:cs="Times New Roman"/>
                <w:caps w:val="0"/>
                <w:smallCaps w:val="0"/>
                <w:color w:val="auto"/>
                <w:spacing w:val="0"/>
                <w:w w:val="100"/>
                <w:kern w:val="2"/>
                <w:position w:val="0"/>
                <w:sz w:val="24"/>
                <w:highlight w:val="none"/>
                <w:lang w:eastAsia="zh-CN"/>
              </w:rPr>
              <w:t>（周界外浓度最高点</w:t>
            </w:r>
            <w:r>
              <w:rPr>
                <w:rFonts w:hint="default" w:ascii="Times New Roman" w:hAnsi="Times New Roman" w:eastAsia="宋体" w:cs="Times New Roman"/>
                <w:caps w:val="0"/>
                <w:smallCaps w:val="0"/>
                <w:color w:val="auto"/>
                <w:spacing w:val="0"/>
                <w:w w:val="100"/>
                <w:kern w:val="2"/>
                <w:position w:val="0"/>
                <w:sz w:val="24"/>
                <w:highlight w:val="none"/>
                <w:lang w:val="en-US" w:eastAsia="zh-CN"/>
              </w:rPr>
              <w:t>1.0mg/m</w:t>
            </w:r>
            <w:r>
              <w:rPr>
                <w:rFonts w:hint="default" w:ascii="Times New Roman" w:hAnsi="Times New Roman" w:eastAsia="宋体" w:cs="Times New Roman"/>
                <w:caps w:val="0"/>
                <w:smallCaps w:val="0"/>
                <w:color w:val="auto"/>
                <w:spacing w:val="0"/>
                <w:w w:val="100"/>
                <w:kern w:val="2"/>
                <w:position w:val="0"/>
                <w:sz w:val="24"/>
                <w:highlight w:val="none"/>
                <w:vertAlign w:val="superscript"/>
                <w:lang w:val="en-US" w:eastAsia="zh-CN"/>
              </w:rPr>
              <w:t>3</w:t>
            </w:r>
            <w:r>
              <w:rPr>
                <w:rFonts w:hint="default" w:ascii="Times New Roman" w:hAnsi="Times New Roman" w:eastAsia="宋体" w:cs="Times New Roman"/>
                <w:caps w:val="0"/>
                <w:smallCaps w:val="0"/>
                <w:color w:val="auto"/>
                <w:spacing w:val="0"/>
                <w:w w:val="100"/>
                <w:kern w:val="2"/>
                <w:position w:val="0"/>
                <w:sz w:val="24"/>
                <w:highlight w:val="none"/>
                <w:lang w:eastAsia="zh-CN"/>
              </w:rPr>
              <w:t>）</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。路面沥青铺设</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施工中沥青烟气排放执行《大气污染物综合排放标准》（GB16297-1996）中的二级标准，具体见表3</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-9</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w:t>
            </w:r>
          </w:p>
          <w:p w14:paraId="2EF0BCE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422" w:firstLineChars="200"/>
              <w:textAlignment w:val="auto"/>
              <w:rPr>
                <w:rFonts w:hint="default" w:cs="Times New Roman"/>
                <w:b/>
                <w:bCs/>
                <w:caps w:val="0"/>
                <w:smallCaps w:val="0"/>
                <w:snapToGrid w:val="0"/>
                <w:color w:val="auto"/>
                <w:spacing w:val="0"/>
                <w:w w:val="100"/>
                <w:kern w:val="2"/>
                <w:position w:val="0"/>
                <w:sz w:val="21"/>
                <w:szCs w:val="21"/>
                <w:highlight w:val="none"/>
                <w:lang w:val="en-US" w:eastAsia="zh-CN" w:bidi="ar-SA"/>
              </w:rPr>
            </w:pPr>
            <w:r>
              <w:rPr>
                <w:rFonts w:hint="default" w:cs="Times New Roman"/>
                <w:b/>
                <w:bCs/>
                <w:caps w:val="0"/>
                <w:smallCaps w:val="0"/>
                <w:snapToGrid w:val="0"/>
                <w:color w:val="auto"/>
                <w:spacing w:val="0"/>
                <w:w w:val="100"/>
                <w:kern w:val="2"/>
                <w:position w:val="0"/>
                <w:sz w:val="21"/>
                <w:szCs w:val="21"/>
                <w:highlight w:val="none"/>
                <w:lang w:val="en-US" w:eastAsia="zh-CN" w:bidi="ar-SA"/>
              </w:rPr>
              <w:t>表3-</w:t>
            </w:r>
            <w:r>
              <w:rPr>
                <w:rFonts w:hint="eastAsia" w:cs="Times New Roman"/>
                <w:b/>
                <w:bCs/>
                <w:caps w:val="0"/>
                <w:smallCaps w:val="0"/>
                <w:snapToGrid w:val="0"/>
                <w:color w:val="auto"/>
                <w:spacing w:val="0"/>
                <w:w w:val="100"/>
                <w:kern w:val="2"/>
                <w:position w:val="0"/>
                <w:sz w:val="21"/>
                <w:szCs w:val="21"/>
                <w:highlight w:val="none"/>
                <w:lang w:val="en-US" w:eastAsia="zh-CN" w:bidi="ar-SA"/>
              </w:rPr>
              <w:t xml:space="preserve">9               </w:t>
            </w:r>
            <w:r>
              <w:rPr>
                <w:rFonts w:hint="default" w:cs="Times New Roman"/>
                <w:b/>
                <w:bCs/>
                <w:caps w:val="0"/>
                <w:smallCaps w:val="0"/>
                <w:snapToGrid w:val="0"/>
                <w:color w:val="auto"/>
                <w:spacing w:val="0"/>
                <w:w w:val="100"/>
                <w:kern w:val="2"/>
                <w:position w:val="0"/>
                <w:sz w:val="21"/>
                <w:szCs w:val="21"/>
                <w:highlight w:val="none"/>
                <w:lang w:val="en-US" w:eastAsia="zh-CN" w:bidi="ar-SA"/>
              </w:rPr>
              <w:t>大气污染物综合排放标准（节选）</w:t>
            </w:r>
            <w:r>
              <w:rPr>
                <w:rFonts w:hint="eastAsia" w:cs="Times New Roman"/>
                <w:b/>
                <w:bCs/>
                <w:caps w:val="0"/>
                <w:smallCaps w:val="0"/>
                <w:snapToGrid w:val="0"/>
                <w:color w:val="auto"/>
                <w:spacing w:val="0"/>
                <w:w w:val="100"/>
                <w:kern w:val="2"/>
                <w:position w:val="0"/>
                <w:sz w:val="21"/>
                <w:szCs w:val="21"/>
                <w:highlight w:val="none"/>
                <w:lang w:val="en-US" w:eastAsia="zh-CN" w:bidi="ar-SA"/>
              </w:rPr>
              <w:t xml:space="preserve">        </w:t>
            </w:r>
            <w:r>
              <w:rPr>
                <w:rFonts w:hint="default" w:cs="Times New Roman"/>
                <w:b/>
                <w:bCs/>
                <w:caps w:val="0"/>
                <w:smallCaps w:val="0"/>
                <w:snapToGrid w:val="0"/>
                <w:color w:val="auto"/>
                <w:spacing w:val="0"/>
                <w:w w:val="100"/>
                <w:kern w:val="2"/>
                <w:position w:val="0"/>
                <w:sz w:val="21"/>
                <w:szCs w:val="21"/>
                <w:highlight w:val="none"/>
                <w:lang w:val="en-US" w:eastAsia="zh-CN" w:bidi="ar-SA"/>
              </w:rPr>
              <w:t>单位：mg/m</w:t>
            </w:r>
            <w:r>
              <w:rPr>
                <w:rFonts w:hint="default" w:cs="Times New Roman"/>
                <w:b/>
                <w:bCs/>
                <w:caps w:val="0"/>
                <w:smallCaps w:val="0"/>
                <w:snapToGrid w:val="0"/>
                <w:color w:val="auto"/>
                <w:spacing w:val="0"/>
                <w:w w:val="100"/>
                <w:kern w:val="2"/>
                <w:position w:val="0"/>
                <w:sz w:val="21"/>
                <w:szCs w:val="21"/>
                <w:highlight w:val="none"/>
                <w:vertAlign w:val="superscript"/>
                <w:lang w:val="en-US" w:eastAsia="zh-CN" w:bidi="ar-SA"/>
              </w:rPr>
              <w:t>3</w:t>
            </w:r>
          </w:p>
          <w:tbl>
            <w:tblPr>
              <w:tblStyle w:val="3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5"/>
              <w:gridCol w:w="3511"/>
              <w:gridCol w:w="2595"/>
            </w:tblGrid>
            <w:tr w14:paraId="46508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pct"/>
                  <w:vMerge w:val="restart"/>
                  <w:tcBorders>
                    <w:tl2br w:val="nil"/>
                    <w:tr2bl w:val="nil"/>
                  </w:tcBorders>
                  <w:noWrap w:val="0"/>
                  <w:vAlign w:val="center"/>
                </w:tcPr>
                <w:p w14:paraId="793E4D5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污染物</w:t>
                  </w:r>
                </w:p>
              </w:tc>
              <w:tc>
                <w:tcPr>
                  <w:tcW w:w="3943" w:type="pct"/>
                  <w:gridSpan w:val="2"/>
                  <w:tcBorders>
                    <w:tl2br w:val="nil"/>
                    <w:tr2bl w:val="nil"/>
                  </w:tcBorders>
                  <w:noWrap w:val="0"/>
                  <w:vAlign w:val="center"/>
                </w:tcPr>
                <w:p w14:paraId="3AA732B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无组织排放监控浓度限值</w:t>
                  </w:r>
                </w:p>
              </w:tc>
            </w:tr>
            <w:tr w14:paraId="2B3F20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pct"/>
                  <w:vMerge w:val="continue"/>
                  <w:tcBorders>
                    <w:tl2br w:val="nil"/>
                    <w:tr2bl w:val="nil"/>
                  </w:tcBorders>
                  <w:noWrap w:val="0"/>
                  <w:vAlign w:val="center"/>
                </w:tcPr>
                <w:p w14:paraId="0497033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p>
              </w:tc>
              <w:tc>
                <w:tcPr>
                  <w:tcW w:w="2267" w:type="pct"/>
                  <w:tcBorders>
                    <w:tl2br w:val="nil"/>
                    <w:tr2bl w:val="nil"/>
                  </w:tcBorders>
                  <w:noWrap w:val="0"/>
                  <w:vAlign w:val="center"/>
                </w:tcPr>
                <w:p w14:paraId="0A40B6E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监控点</w:t>
                  </w:r>
                </w:p>
              </w:tc>
              <w:tc>
                <w:tcPr>
                  <w:tcW w:w="1676" w:type="pct"/>
                  <w:tcBorders>
                    <w:tl2br w:val="nil"/>
                    <w:tr2bl w:val="nil"/>
                  </w:tcBorders>
                  <w:noWrap w:val="0"/>
                  <w:vAlign w:val="center"/>
                </w:tcPr>
                <w:p w14:paraId="5861C45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浓度</w:t>
                  </w:r>
                </w:p>
              </w:tc>
            </w:tr>
            <w:tr w14:paraId="2396C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pct"/>
                  <w:tcBorders>
                    <w:tl2br w:val="nil"/>
                    <w:tr2bl w:val="nil"/>
                  </w:tcBorders>
                  <w:noWrap w:val="0"/>
                  <w:vAlign w:val="center"/>
                </w:tcPr>
                <w:p w14:paraId="435A982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沥青烟</w:t>
                  </w:r>
                </w:p>
              </w:tc>
              <w:tc>
                <w:tcPr>
                  <w:tcW w:w="3943" w:type="pct"/>
                  <w:gridSpan w:val="2"/>
                  <w:tcBorders>
                    <w:tl2br w:val="nil"/>
                    <w:tr2bl w:val="nil"/>
                  </w:tcBorders>
                  <w:noWrap w:val="0"/>
                  <w:vAlign w:val="center"/>
                </w:tcPr>
                <w:p w14:paraId="4153845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生产设备不得有明显的无组织排放存在</w:t>
                  </w:r>
                </w:p>
              </w:tc>
            </w:tr>
            <w:tr w14:paraId="1CF32A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56" w:type="pct"/>
                  <w:tcBorders>
                    <w:tl2br w:val="nil"/>
                    <w:tr2bl w:val="nil"/>
                  </w:tcBorders>
                  <w:noWrap w:val="0"/>
                  <w:vAlign w:val="center"/>
                </w:tcPr>
                <w:p w14:paraId="3DBAA83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eastAsia"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颗粒物</w:t>
                  </w:r>
                </w:p>
              </w:tc>
              <w:tc>
                <w:tcPr>
                  <w:tcW w:w="3943" w:type="pct"/>
                  <w:gridSpan w:val="2"/>
                  <w:tcBorders>
                    <w:tl2br w:val="nil"/>
                    <w:tr2bl w:val="nil"/>
                  </w:tcBorders>
                  <w:noWrap w:val="0"/>
                  <w:vAlign w:val="center"/>
                </w:tcPr>
                <w:p w14:paraId="0E611F6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pPr>
                  <w:r>
                    <w:rPr>
                      <w:rFonts w:hint="eastAsia" w:ascii="Times New Roman" w:hAnsi="Times New Roman" w:eastAsia="宋体" w:cs="Times New Roman"/>
                      <w:b w:val="0"/>
                      <w:bCs w:val="0"/>
                      <w:caps w:val="0"/>
                      <w:smallCaps w:val="0"/>
                      <w:color w:val="auto"/>
                      <w:spacing w:val="0"/>
                      <w:w w:val="100"/>
                      <w:kern w:val="2"/>
                      <w:position w:val="0"/>
                      <w:sz w:val="21"/>
                      <w:szCs w:val="21"/>
                      <w:highlight w:val="none"/>
                      <w:vertAlign w:val="baseline"/>
                      <w:lang w:val="en-US" w:eastAsia="zh-CN"/>
                    </w:rPr>
                    <w:t>1.0</w:t>
                  </w:r>
                </w:p>
              </w:tc>
            </w:tr>
          </w:tbl>
          <w:p w14:paraId="41DEB18E">
            <w:pPr>
              <w:pageBreakBefore w:val="0"/>
              <w:wordWrap/>
              <w:topLinePunct w:val="0"/>
              <w:autoSpaceDE w:val="0"/>
              <w:autoSpaceDN w:val="0"/>
              <w:bidi w:val="0"/>
              <w:spacing w:beforeAutospacing="0" w:afterAutospacing="0" w:line="384" w:lineRule="auto"/>
              <w:ind w:right="0" w:firstLine="480" w:firstLineChars="200"/>
              <w:jc w:val="left"/>
              <w:rPr>
                <w:rFonts w:hint="default" w:ascii="Times New Roman" w:hAnsi="Times New Roman" w:eastAsia="宋体" w:cs="Times New Roman"/>
                <w:caps w:val="0"/>
                <w:smallCaps w:val="0"/>
                <w:color w:val="auto"/>
                <w:spacing w:val="0"/>
                <w:w w:val="100"/>
                <w:kern w:val="2"/>
                <w:position w:val="0"/>
                <w:sz w:val="24"/>
                <w:szCs w:val="22"/>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szCs w:val="22"/>
                <w:highlight w:val="none"/>
                <w:lang w:eastAsia="zh-CN"/>
              </w:rPr>
              <w:t>（</w:t>
            </w:r>
            <w:r>
              <w:rPr>
                <w:rFonts w:hint="eastAsia" w:ascii="Times New Roman" w:hAnsi="Times New Roman" w:eastAsia="宋体" w:cs="Times New Roman"/>
                <w:caps w:val="0"/>
                <w:smallCaps w:val="0"/>
                <w:color w:val="auto"/>
                <w:spacing w:val="0"/>
                <w:w w:val="100"/>
                <w:kern w:val="2"/>
                <w:position w:val="0"/>
                <w:sz w:val="24"/>
                <w:szCs w:val="22"/>
                <w:highlight w:val="none"/>
                <w:lang w:val="en-US" w:eastAsia="zh-CN"/>
              </w:rPr>
              <w:t>2</w:t>
            </w:r>
            <w:r>
              <w:rPr>
                <w:rFonts w:hint="eastAsia" w:ascii="Times New Roman" w:hAnsi="Times New Roman" w:eastAsia="宋体" w:cs="Times New Roman"/>
                <w:caps w:val="0"/>
                <w:smallCaps w:val="0"/>
                <w:color w:val="auto"/>
                <w:spacing w:val="0"/>
                <w:w w:val="100"/>
                <w:kern w:val="2"/>
                <w:position w:val="0"/>
                <w:sz w:val="24"/>
                <w:szCs w:val="22"/>
                <w:highlight w:val="none"/>
                <w:lang w:eastAsia="zh-CN"/>
              </w:rPr>
              <w:t>）</w:t>
            </w:r>
            <w:r>
              <w:rPr>
                <w:rFonts w:hint="eastAsia" w:ascii="Times New Roman" w:hAnsi="Times New Roman" w:eastAsia="宋体" w:cs="Times New Roman"/>
                <w:caps w:val="0"/>
                <w:smallCaps w:val="0"/>
                <w:color w:val="auto"/>
                <w:spacing w:val="0"/>
                <w:w w:val="100"/>
                <w:kern w:val="2"/>
                <w:position w:val="0"/>
                <w:sz w:val="24"/>
                <w:szCs w:val="22"/>
                <w:highlight w:val="none"/>
                <w:lang w:val="en-US" w:eastAsia="zh-CN"/>
              </w:rPr>
              <w:t>废水</w:t>
            </w:r>
          </w:p>
          <w:p w14:paraId="340B220D">
            <w:pPr>
              <w:pageBreakBefore w:val="0"/>
              <w:wordWrap/>
              <w:topLinePunct w:val="0"/>
              <w:autoSpaceDE w:val="0"/>
              <w:autoSpaceDN w:val="0"/>
              <w:bidi w:val="0"/>
              <w:spacing w:beforeAutospacing="0" w:afterAutospacing="0" w:line="384" w:lineRule="auto"/>
              <w:ind w:right="0" w:firstLine="480" w:firstLineChars="200"/>
              <w:jc w:val="left"/>
              <w:rPr>
                <w:rFonts w:hint="default" w:ascii="Times New Roman" w:hAnsi="Times New Roman" w:eastAsia="宋体" w:cs="Times New Roman"/>
                <w:caps w:val="0"/>
                <w:smallCaps w:val="0"/>
                <w:color w:val="auto"/>
                <w:spacing w:val="0"/>
                <w:w w:val="100"/>
                <w:kern w:val="2"/>
                <w:position w:val="0"/>
                <w:sz w:val="24"/>
                <w:szCs w:val="22"/>
                <w:highlight w:val="none"/>
                <w:lang w:eastAsia="en-US"/>
              </w:rPr>
            </w:pPr>
            <w:r>
              <w:rPr>
                <w:rFonts w:hint="eastAsia" w:ascii="Times New Roman" w:hAnsi="Times New Roman" w:eastAsia="宋体" w:cs="Times New Roman"/>
                <w:caps w:val="0"/>
                <w:smallCaps w:val="0"/>
                <w:color w:val="auto"/>
                <w:spacing w:val="0"/>
                <w:w w:val="100"/>
                <w:kern w:val="2"/>
                <w:position w:val="0"/>
                <w:sz w:val="24"/>
                <w:szCs w:val="22"/>
                <w:highlight w:val="none"/>
                <w:lang w:val="en-US" w:eastAsia="zh-CN"/>
              </w:rPr>
              <w:t>本项目施工期废水不外排，运营期雨水经桥梁两侧导排系统汇集排放至桥梁两侧。</w:t>
            </w:r>
          </w:p>
          <w:p w14:paraId="2E78DA19">
            <w:pPr>
              <w:pageBreakBefore w:val="0"/>
              <w:wordWrap/>
              <w:topLinePunct w:val="0"/>
              <w:autoSpaceDE w:val="0"/>
              <w:autoSpaceDN w:val="0"/>
              <w:bidi w:val="0"/>
              <w:spacing w:beforeAutospacing="0" w:afterAutospacing="0" w:line="384" w:lineRule="auto"/>
              <w:ind w:right="0" w:firstLine="480" w:firstLineChars="200"/>
              <w:jc w:val="left"/>
              <w:rPr>
                <w:rFonts w:hint="default" w:ascii="Times New Roman" w:hAnsi="Times New Roman" w:eastAsia="宋体" w:cs="Times New Roman"/>
                <w:caps w:val="0"/>
                <w:smallCaps w:val="0"/>
                <w:color w:val="auto"/>
                <w:spacing w:val="0"/>
                <w:w w:val="100"/>
                <w:kern w:val="2"/>
                <w:position w:val="0"/>
                <w:sz w:val="24"/>
                <w:szCs w:val="22"/>
                <w:highlight w:val="none"/>
                <w:lang w:eastAsia="en-US"/>
              </w:rPr>
            </w:pP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（3）噪声</w:t>
            </w:r>
          </w:p>
          <w:p w14:paraId="0A7373C2">
            <w:pPr>
              <w:pageBreakBefore w:val="0"/>
              <w:wordWrap/>
              <w:topLinePunct w:val="0"/>
              <w:autoSpaceDE w:val="0"/>
              <w:autoSpaceDN w:val="0"/>
              <w:bidi w:val="0"/>
              <w:spacing w:beforeAutospacing="0" w:afterAutospacing="0" w:line="384" w:lineRule="auto"/>
              <w:ind w:left="0" w:leftChars="0" w:right="0" w:firstLine="480" w:firstLineChars="200"/>
              <w:jc w:val="left"/>
              <w:rPr>
                <w:rFonts w:hint="default" w:ascii="Times New Roman" w:hAnsi="Times New Roman" w:eastAsia="宋体" w:cs="Times New Roman"/>
                <w:caps w:val="0"/>
                <w:smallCaps w:val="0"/>
                <w:color w:val="auto"/>
                <w:spacing w:val="0"/>
                <w:w w:val="100"/>
                <w:kern w:val="2"/>
                <w:position w:val="0"/>
                <w:sz w:val="24"/>
                <w:szCs w:val="22"/>
                <w:highlight w:val="none"/>
                <w:lang w:eastAsia="en-US"/>
              </w:rPr>
            </w:pP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施工噪声执行《建筑施工噪声排放标准》（GB12523-20</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en-US"/>
              </w:rPr>
              <w:t>25</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w:t>
            </w:r>
            <w:r>
              <w:rPr>
                <w:rFonts w:hint="default" w:ascii="Times New Roman" w:hAnsi="Times New Roman" w:eastAsia="宋体" w:cs="Times New Roman"/>
                <w:caps w:val="0"/>
                <w:smallCaps w:val="0"/>
                <w:color w:val="auto"/>
                <w:spacing w:val="0"/>
                <w:w w:val="100"/>
                <w:kern w:val="2"/>
                <w:position w:val="0"/>
                <w:sz w:val="24"/>
                <w:szCs w:val="22"/>
                <w:highlight w:val="none"/>
                <w:lang w:eastAsia="zh-CN"/>
              </w:rPr>
              <w:t>，</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具体指标见表</w:t>
            </w:r>
            <w:r>
              <w:rPr>
                <w:rFonts w:hint="default" w:ascii="Times New Roman" w:hAnsi="Times New Roman" w:eastAsia="宋体" w:cs="Times New Roman"/>
                <w:caps w:val="0"/>
                <w:smallCaps w:val="0"/>
                <w:color w:val="auto"/>
                <w:spacing w:val="0"/>
                <w:w w:val="100"/>
                <w:kern w:val="2"/>
                <w:position w:val="0"/>
                <w:sz w:val="24"/>
                <w:szCs w:val="22"/>
                <w:highlight w:val="none"/>
                <w:lang w:val="en-US" w:eastAsia="zh-CN"/>
              </w:rPr>
              <w:t>3-</w:t>
            </w:r>
            <w:r>
              <w:rPr>
                <w:rFonts w:hint="eastAsia" w:ascii="Times New Roman" w:hAnsi="Times New Roman" w:eastAsia="宋体" w:cs="Times New Roman"/>
                <w:caps w:val="0"/>
                <w:smallCaps w:val="0"/>
                <w:color w:val="auto"/>
                <w:spacing w:val="0"/>
                <w:w w:val="100"/>
                <w:kern w:val="2"/>
                <w:position w:val="0"/>
                <w:sz w:val="24"/>
                <w:szCs w:val="22"/>
                <w:highlight w:val="none"/>
                <w:lang w:val="en-US" w:eastAsia="zh-CN"/>
              </w:rPr>
              <w:t>10</w:t>
            </w: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w:t>
            </w:r>
          </w:p>
          <w:p w14:paraId="47915E5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422" w:firstLineChars="200"/>
              <w:textAlignment w:val="auto"/>
              <w:rPr>
                <w:rFonts w:hint="default" w:cs="Times New Roman"/>
                <w:b/>
                <w:bCs/>
                <w:caps w:val="0"/>
                <w:smallCaps w:val="0"/>
                <w:snapToGrid w:val="0"/>
                <w:color w:val="auto"/>
                <w:spacing w:val="0"/>
                <w:w w:val="100"/>
                <w:kern w:val="2"/>
                <w:position w:val="0"/>
                <w:sz w:val="21"/>
                <w:szCs w:val="21"/>
                <w:highlight w:val="none"/>
                <w:lang w:val="en-US" w:eastAsia="en-US" w:bidi="ar-SA"/>
              </w:rPr>
            </w:pPr>
            <w:r>
              <w:rPr>
                <w:rFonts w:hint="default" w:cs="Times New Roman"/>
                <w:b/>
                <w:bCs/>
                <w:caps w:val="0"/>
                <w:smallCaps w:val="0"/>
                <w:snapToGrid w:val="0"/>
                <w:color w:val="auto"/>
                <w:spacing w:val="0"/>
                <w:w w:val="100"/>
                <w:kern w:val="2"/>
                <w:position w:val="0"/>
                <w:sz w:val="21"/>
                <w:szCs w:val="21"/>
                <w:highlight w:val="none"/>
                <w:lang w:val="en-US" w:eastAsia="en-US" w:bidi="ar-SA"/>
              </w:rPr>
              <w:t>表</w:t>
            </w:r>
            <w:r>
              <w:rPr>
                <w:rFonts w:hint="default" w:cs="Times New Roman"/>
                <w:b/>
                <w:bCs/>
                <w:caps w:val="0"/>
                <w:smallCaps w:val="0"/>
                <w:snapToGrid w:val="0"/>
                <w:color w:val="auto"/>
                <w:spacing w:val="0"/>
                <w:w w:val="100"/>
                <w:kern w:val="2"/>
                <w:position w:val="0"/>
                <w:sz w:val="21"/>
                <w:szCs w:val="21"/>
                <w:highlight w:val="none"/>
                <w:lang w:val="en-US" w:eastAsia="zh-CN" w:bidi="ar-SA"/>
              </w:rPr>
              <w:t>3-</w:t>
            </w:r>
            <w:r>
              <w:rPr>
                <w:rFonts w:hint="eastAsia" w:cs="Times New Roman"/>
                <w:b/>
                <w:bCs/>
                <w:caps w:val="0"/>
                <w:smallCaps w:val="0"/>
                <w:snapToGrid w:val="0"/>
                <w:color w:val="auto"/>
                <w:spacing w:val="0"/>
                <w:w w:val="100"/>
                <w:kern w:val="2"/>
                <w:position w:val="0"/>
                <w:sz w:val="21"/>
                <w:szCs w:val="21"/>
                <w:highlight w:val="none"/>
                <w:lang w:val="en-US" w:eastAsia="zh-CN" w:bidi="ar-SA"/>
              </w:rPr>
              <w:t xml:space="preserve">10     </w:t>
            </w:r>
            <w:r>
              <w:rPr>
                <w:rFonts w:hint="default" w:cs="Times New Roman"/>
                <w:b/>
                <w:bCs/>
                <w:caps w:val="0"/>
                <w:smallCaps w:val="0"/>
                <w:snapToGrid w:val="0"/>
                <w:color w:val="auto"/>
                <w:spacing w:val="0"/>
                <w:w w:val="100"/>
                <w:kern w:val="2"/>
                <w:position w:val="0"/>
                <w:sz w:val="21"/>
                <w:szCs w:val="21"/>
                <w:highlight w:val="none"/>
                <w:lang w:val="en-US" w:eastAsia="en-US" w:bidi="ar-SA"/>
              </w:rPr>
              <w:t>《建筑施工噪声排放标准》（GB12523-2025）</w:t>
            </w:r>
            <w:r>
              <w:rPr>
                <w:rFonts w:hint="eastAsia" w:cs="Times New Roman"/>
                <w:b/>
                <w:bCs/>
                <w:caps w:val="0"/>
                <w:smallCaps w:val="0"/>
                <w:snapToGrid w:val="0"/>
                <w:color w:val="auto"/>
                <w:spacing w:val="0"/>
                <w:w w:val="100"/>
                <w:kern w:val="2"/>
                <w:position w:val="0"/>
                <w:sz w:val="21"/>
                <w:szCs w:val="21"/>
                <w:highlight w:val="none"/>
                <w:lang w:val="en-US" w:eastAsia="zh-CN" w:bidi="ar-SA"/>
              </w:rPr>
              <w:t xml:space="preserve">    </w:t>
            </w:r>
            <w:r>
              <w:rPr>
                <w:rFonts w:hint="default" w:cs="Times New Roman"/>
                <w:b/>
                <w:bCs/>
                <w:caps w:val="0"/>
                <w:smallCaps w:val="0"/>
                <w:snapToGrid w:val="0"/>
                <w:color w:val="auto"/>
                <w:spacing w:val="0"/>
                <w:w w:val="100"/>
                <w:kern w:val="2"/>
                <w:position w:val="0"/>
                <w:sz w:val="21"/>
                <w:szCs w:val="21"/>
                <w:highlight w:val="none"/>
                <w:lang w:val="en-US" w:eastAsia="en-US" w:bidi="ar-SA"/>
              </w:rPr>
              <w:t>单位：dB（A）</w:t>
            </w:r>
          </w:p>
          <w:tbl>
            <w:tblPr>
              <w:tblStyle w:val="29"/>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autofit"/>
              <w:tblCellMar>
                <w:top w:w="0" w:type="dxa"/>
                <w:left w:w="0" w:type="dxa"/>
                <w:bottom w:w="0" w:type="dxa"/>
                <w:right w:w="0" w:type="dxa"/>
              </w:tblCellMar>
            </w:tblPr>
            <w:tblGrid>
              <w:gridCol w:w="3871"/>
              <w:gridCol w:w="3872"/>
            </w:tblGrid>
            <w:tr w14:paraId="4B7ADD44">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272" w:hRule="atLeast"/>
                <w:jc w:val="center"/>
              </w:trPr>
              <w:tc>
                <w:tcPr>
                  <w:tcW w:w="2500" w:type="pct"/>
                  <w:tcBorders>
                    <w:tl2br w:val="nil"/>
                    <w:tr2bl w:val="nil"/>
                  </w:tcBorders>
                  <w:noWrap w:val="0"/>
                  <w:vAlign w:val="top"/>
                </w:tcPr>
                <w:p w14:paraId="29CD44FB">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en-US" w:bidi="ar-SA"/>
                    </w:rPr>
                    <w:t>昼间</w:t>
                  </w:r>
                </w:p>
              </w:tc>
              <w:tc>
                <w:tcPr>
                  <w:tcW w:w="2500" w:type="pct"/>
                  <w:tcBorders>
                    <w:tl2br w:val="nil"/>
                    <w:tr2bl w:val="nil"/>
                  </w:tcBorders>
                  <w:noWrap w:val="0"/>
                  <w:vAlign w:val="top"/>
                </w:tcPr>
                <w:p w14:paraId="5154D40D">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b/>
                      <w:bCs/>
                      <w:caps w:val="0"/>
                      <w:smallCaps w:val="0"/>
                      <w:color w:val="auto"/>
                      <w:spacing w:val="0"/>
                      <w:w w:val="100"/>
                      <w:kern w:val="2"/>
                      <w:position w:val="0"/>
                      <w:sz w:val="21"/>
                      <w:szCs w:val="21"/>
                      <w:highlight w:val="none"/>
                      <w:lang w:val="en-US" w:eastAsia="en-US" w:bidi="ar-SA"/>
                    </w:rPr>
                    <w:t>夜间</w:t>
                  </w:r>
                </w:p>
              </w:tc>
            </w:tr>
            <w:tr w14:paraId="513C26E2">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241" w:hRule="atLeast"/>
                <w:jc w:val="center"/>
              </w:trPr>
              <w:tc>
                <w:tcPr>
                  <w:tcW w:w="2500" w:type="pct"/>
                  <w:tcBorders>
                    <w:tl2br w:val="nil"/>
                    <w:tr2bl w:val="nil"/>
                  </w:tcBorders>
                  <w:noWrap w:val="0"/>
                  <w:vAlign w:val="top"/>
                </w:tcPr>
                <w:p w14:paraId="2ECA21E1">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70</w:t>
                  </w:r>
                </w:p>
              </w:tc>
              <w:tc>
                <w:tcPr>
                  <w:tcW w:w="2500" w:type="pct"/>
                  <w:tcBorders>
                    <w:tl2br w:val="nil"/>
                    <w:tr2bl w:val="nil"/>
                  </w:tcBorders>
                  <w:noWrap w:val="0"/>
                  <w:vAlign w:val="top"/>
                </w:tcPr>
                <w:p w14:paraId="6D791CE5">
                  <w:pPr>
                    <w:pageBreakBefore w:val="0"/>
                    <w:widowControl w:val="0"/>
                    <w:wordWrap/>
                    <w:topLinePunct w:val="0"/>
                    <w:autoSpaceDE w:val="0"/>
                    <w:autoSpaceDN w:val="0"/>
                    <w:bidi w:val="0"/>
                    <w:spacing w:beforeAutospacing="0" w:afterAutospacing="0" w:line="240" w:lineRule="auto"/>
                    <w:ind w:left="0" w:leftChars="0" w:right="0" w:firstLine="0" w:firstLineChars="0"/>
                    <w:jc w:val="cente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en-US" w:bidi="ar-SA"/>
                    </w:rPr>
                    <w:t>55</w:t>
                  </w:r>
                </w:p>
              </w:tc>
            </w:tr>
          </w:tbl>
          <w:p w14:paraId="488BF107">
            <w:pPr>
              <w:pageBreakBefore w:val="0"/>
              <w:wordWrap/>
              <w:topLinePunct w:val="0"/>
              <w:autoSpaceDE w:val="0"/>
              <w:autoSpaceDN w:val="0"/>
              <w:bidi w:val="0"/>
              <w:spacing w:beforeAutospacing="0" w:afterAutospacing="0" w:line="384" w:lineRule="auto"/>
              <w:ind w:left="0" w:leftChars="0" w:right="0" w:firstLine="480" w:firstLineChars="200"/>
              <w:jc w:val="left"/>
              <w:rPr>
                <w:rFonts w:hint="default" w:ascii="Times New Roman" w:hAnsi="Times New Roman" w:eastAsia="宋体" w:cs="Times New Roman"/>
                <w:caps w:val="0"/>
                <w:smallCaps w:val="0"/>
                <w:color w:val="auto"/>
                <w:spacing w:val="0"/>
                <w:w w:val="100"/>
                <w:kern w:val="2"/>
                <w:position w:val="0"/>
                <w:sz w:val="24"/>
                <w:szCs w:val="22"/>
                <w:highlight w:val="none"/>
                <w:lang w:eastAsia="en-US"/>
              </w:rPr>
            </w:pPr>
            <w:r>
              <w:rPr>
                <w:rFonts w:hint="default" w:ascii="Times New Roman" w:hAnsi="Times New Roman" w:eastAsia="宋体" w:cs="Times New Roman"/>
                <w:caps w:val="0"/>
                <w:smallCaps w:val="0"/>
                <w:color w:val="auto"/>
                <w:spacing w:val="0"/>
                <w:w w:val="100"/>
                <w:kern w:val="2"/>
                <w:position w:val="0"/>
                <w:sz w:val="24"/>
                <w:szCs w:val="22"/>
                <w:highlight w:val="none"/>
                <w:lang w:eastAsia="en-US"/>
              </w:rPr>
              <w:t>（4）固体废物</w:t>
            </w:r>
          </w:p>
          <w:p w14:paraId="21DF8B3E">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建筑垃圾执行《建筑垃圾处理技术标准》</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CJJ/T134-2019</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有关标准。</w:t>
            </w:r>
          </w:p>
        </w:tc>
      </w:tr>
      <w:tr w14:paraId="25A909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tcBorders>
              <w:tl2br w:val="nil"/>
              <w:tr2bl w:val="nil"/>
            </w:tcBorders>
            <w:noWrap w:val="0"/>
            <w:vAlign w:val="center"/>
          </w:tcPr>
          <w:p w14:paraId="328C9101">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caps w:val="0"/>
                <w:smallCaps w:val="0"/>
                <w:color w:val="auto"/>
                <w:spacing w:val="0"/>
                <w:w w:val="100"/>
                <w:kern w:val="2"/>
                <w:position w:val="0"/>
                <w:sz w:val="24"/>
                <w:szCs w:val="24"/>
                <w:highlight w:val="none"/>
              </w:rPr>
            </w:pPr>
            <w:r>
              <w:rPr>
                <w:rFonts w:hint="default" w:ascii="Times New Roman" w:hAnsi="Times New Roman" w:cs="Times New Roman"/>
                <w:caps w:val="0"/>
                <w:smallCaps w:val="0"/>
                <w:color w:val="auto"/>
                <w:spacing w:val="0"/>
                <w:w w:val="100"/>
                <w:kern w:val="2"/>
                <w:position w:val="0"/>
                <w:sz w:val="24"/>
                <w:szCs w:val="24"/>
                <w:highlight w:val="none"/>
              </w:rPr>
              <w:t>其他</w:t>
            </w:r>
          </w:p>
        </w:tc>
        <w:tc>
          <w:tcPr>
            <w:tcW w:w="4670" w:type="pct"/>
            <w:tcBorders>
              <w:tl2br w:val="nil"/>
              <w:tr2bl w:val="nil"/>
            </w:tcBorders>
            <w:noWrap w:val="0"/>
            <w:vAlign w:val="center"/>
          </w:tcPr>
          <w:p w14:paraId="6151A259">
            <w:pPr>
              <w:shd w:val="clear" w:color="auto" w:fill="auto"/>
              <w:adjustRightInd w:val="0"/>
              <w:snapToGrid w:val="0"/>
              <w:spacing w:line="440" w:lineRule="exact"/>
              <w:ind w:firstLine="480" w:firstLineChars="200"/>
              <w:jc w:val="left"/>
              <w:rPr>
                <w:color w:val="auto"/>
                <w:kern w:val="0"/>
                <w:sz w:val="24"/>
                <w:highlight w:val="none"/>
              </w:rPr>
            </w:pPr>
            <w:r>
              <w:rPr>
                <w:color w:val="auto"/>
                <w:kern w:val="0"/>
                <w:sz w:val="24"/>
                <w:highlight w:val="none"/>
              </w:rPr>
              <w:t>本工程为公路建设项目，不涉及服务区、停车区、管理区和收费站等服务设施，不存在集中式排放源，无SO</w:t>
            </w:r>
            <w:r>
              <w:rPr>
                <w:color w:val="auto"/>
                <w:kern w:val="0"/>
                <w:sz w:val="24"/>
                <w:highlight w:val="none"/>
                <w:vertAlign w:val="subscript"/>
              </w:rPr>
              <w:t>2</w:t>
            </w:r>
            <w:r>
              <w:rPr>
                <w:color w:val="auto"/>
                <w:kern w:val="0"/>
                <w:sz w:val="24"/>
                <w:highlight w:val="none"/>
              </w:rPr>
              <w:t>、NOx等大气污染物的排放；项目运营期废水主要为降水产生的地表径流，不存在废水排放源，无COD、氨氮等水污染物的排放。因此，本项目不设总量控制指标。</w:t>
            </w:r>
          </w:p>
          <w:p w14:paraId="63C7D01C">
            <w:pPr>
              <w:shd w:val="clear" w:color="auto" w:fill="auto"/>
              <w:adjustRightInd w:val="0"/>
              <w:snapToGrid w:val="0"/>
              <w:spacing w:line="440" w:lineRule="exact"/>
              <w:ind w:firstLine="480" w:firstLineChars="200"/>
              <w:jc w:val="left"/>
              <w:rPr>
                <w:color w:val="auto"/>
                <w:kern w:val="0"/>
                <w:sz w:val="24"/>
                <w:highlight w:val="none"/>
              </w:rPr>
            </w:pPr>
          </w:p>
          <w:p w14:paraId="41395813">
            <w:pPr>
              <w:shd w:val="clear" w:color="auto" w:fill="auto"/>
              <w:adjustRightInd w:val="0"/>
              <w:snapToGrid w:val="0"/>
              <w:spacing w:line="440" w:lineRule="exact"/>
              <w:ind w:firstLine="480" w:firstLineChars="200"/>
              <w:jc w:val="left"/>
              <w:rPr>
                <w:color w:val="auto"/>
                <w:kern w:val="0"/>
                <w:sz w:val="24"/>
                <w:highlight w:val="none"/>
              </w:rPr>
            </w:pPr>
          </w:p>
          <w:p w14:paraId="1F7C9F7E">
            <w:pPr>
              <w:shd w:val="clear" w:color="auto" w:fill="auto"/>
              <w:adjustRightInd w:val="0"/>
              <w:snapToGrid w:val="0"/>
              <w:spacing w:line="440" w:lineRule="exact"/>
              <w:ind w:firstLine="480" w:firstLineChars="200"/>
              <w:jc w:val="left"/>
              <w:rPr>
                <w:color w:val="auto"/>
                <w:kern w:val="0"/>
                <w:sz w:val="24"/>
                <w:highlight w:val="none"/>
              </w:rPr>
            </w:pPr>
          </w:p>
          <w:p w14:paraId="1E72DCFA">
            <w:pPr>
              <w:shd w:val="clear" w:color="auto" w:fill="auto"/>
              <w:adjustRightInd w:val="0"/>
              <w:snapToGrid w:val="0"/>
              <w:spacing w:line="440" w:lineRule="exact"/>
              <w:ind w:firstLine="480" w:firstLineChars="200"/>
              <w:jc w:val="left"/>
              <w:rPr>
                <w:color w:val="auto"/>
                <w:kern w:val="0"/>
                <w:sz w:val="24"/>
                <w:highlight w:val="none"/>
              </w:rPr>
            </w:pPr>
          </w:p>
          <w:p w14:paraId="63D0FCA6">
            <w:pPr>
              <w:shd w:val="clear" w:color="auto" w:fill="auto"/>
              <w:adjustRightInd w:val="0"/>
              <w:snapToGrid w:val="0"/>
              <w:spacing w:line="440" w:lineRule="exact"/>
              <w:ind w:firstLine="480" w:firstLineChars="200"/>
              <w:jc w:val="left"/>
              <w:rPr>
                <w:color w:val="auto"/>
                <w:kern w:val="0"/>
                <w:sz w:val="24"/>
                <w:highlight w:val="none"/>
              </w:rPr>
            </w:pPr>
          </w:p>
          <w:p w14:paraId="12F3A0B1">
            <w:pPr>
              <w:shd w:val="clear" w:color="auto" w:fill="auto"/>
              <w:adjustRightInd w:val="0"/>
              <w:snapToGrid w:val="0"/>
              <w:spacing w:line="440" w:lineRule="exact"/>
              <w:ind w:firstLine="480" w:firstLineChars="200"/>
              <w:jc w:val="left"/>
              <w:rPr>
                <w:color w:val="auto"/>
                <w:kern w:val="0"/>
                <w:sz w:val="24"/>
                <w:highlight w:val="none"/>
              </w:rPr>
            </w:pPr>
          </w:p>
          <w:p w14:paraId="423840B0">
            <w:pPr>
              <w:shd w:val="clear" w:color="auto" w:fill="auto"/>
              <w:adjustRightInd w:val="0"/>
              <w:snapToGrid w:val="0"/>
              <w:spacing w:line="440" w:lineRule="exact"/>
              <w:ind w:firstLine="480" w:firstLineChars="200"/>
              <w:jc w:val="left"/>
              <w:rPr>
                <w:color w:val="auto"/>
                <w:kern w:val="0"/>
                <w:sz w:val="24"/>
                <w:highlight w:val="none"/>
              </w:rPr>
            </w:pPr>
          </w:p>
          <w:p w14:paraId="4F69919C">
            <w:pPr>
              <w:shd w:val="clear" w:color="auto" w:fill="auto"/>
              <w:adjustRightInd w:val="0"/>
              <w:snapToGrid w:val="0"/>
              <w:spacing w:line="440" w:lineRule="exact"/>
              <w:ind w:firstLine="480" w:firstLineChars="200"/>
              <w:jc w:val="left"/>
              <w:rPr>
                <w:color w:val="auto"/>
                <w:kern w:val="0"/>
                <w:sz w:val="24"/>
                <w:highlight w:val="none"/>
              </w:rPr>
            </w:pPr>
          </w:p>
          <w:p w14:paraId="34BC0D92">
            <w:pPr>
              <w:shd w:val="clear" w:color="auto" w:fill="auto"/>
              <w:adjustRightInd w:val="0"/>
              <w:snapToGrid w:val="0"/>
              <w:spacing w:line="440" w:lineRule="exact"/>
              <w:ind w:firstLine="480" w:firstLineChars="200"/>
              <w:jc w:val="left"/>
              <w:rPr>
                <w:color w:val="auto"/>
                <w:kern w:val="0"/>
                <w:sz w:val="24"/>
                <w:highlight w:val="none"/>
              </w:rPr>
            </w:pPr>
          </w:p>
          <w:p w14:paraId="33424D78">
            <w:pPr>
              <w:shd w:val="clear" w:color="auto" w:fill="auto"/>
              <w:adjustRightInd w:val="0"/>
              <w:snapToGrid w:val="0"/>
              <w:spacing w:line="440" w:lineRule="exact"/>
              <w:ind w:firstLine="480" w:firstLineChars="200"/>
              <w:jc w:val="left"/>
              <w:rPr>
                <w:color w:val="auto"/>
                <w:kern w:val="0"/>
                <w:sz w:val="24"/>
                <w:highlight w:val="none"/>
              </w:rPr>
            </w:pPr>
          </w:p>
          <w:p w14:paraId="1FEEDA3A">
            <w:pPr>
              <w:shd w:val="clear" w:color="auto" w:fill="auto"/>
              <w:adjustRightInd w:val="0"/>
              <w:snapToGrid w:val="0"/>
              <w:spacing w:line="440" w:lineRule="exact"/>
              <w:ind w:firstLine="480" w:firstLineChars="200"/>
              <w:jc w:val="left"/>
              <w:rPr>
                <w:color w:val="auto"/>
                <w:kern w:val="0"/>
                <w:sz w:val="24"/>
                <w:highlight w:val="none"/>
              </w:rPr>
            </w:pPr>
          </w:p>
          <w:p w14:paraId="64FDF6BD">
            <w:pPr>
              <w:shd w:val="clear" w:color="auto" w:fill="auto"/>
              <w:adjustRightInd w:val="0"/>
              <w:snapToGrid w:val="0"/>
              <w:spacing w:line="440" w:lineRule="exact"/>
              <w:ind w:firstLine="480" w:firstLineChars="200"/>
              <w:jc w:val="left"/>
              <w:rPr>
                <w:color w:val="auto"/>
                <w:kern w:val="0"/>
                <w:sz w:val="24"/>
                <w:highlight w:val="none"/>
              </w:rPr>
            </w:pPr>
          </w:p>
          <w:p w14:paraId="4815E862">
            <w:pPr>
              <w:shd w:val="clear" w:color="auto" w:fill="auto"/>
              <w:adjustRightInd w:val="0"/>
              <w:snapToGrid w:val="0"/>
              <w:spacing w:line="440" w:lineRule="exact"/>
              <w:ind w:firstLine="480" w:firstLineChars="200"/>
              <w:jc w:val="left"/>
              <w:rPr>
                <w:color w:val="auto"/>
                <w:kern w:val="0"/>
                <w:sz w:val="24"/>
                <w:highlight w:val="none"/>
              </w:rPr>
            </w:pPr>
          </w:p>
          <w:p w14:paraId="58AF0771">
            <w:pPr>
              <w:shd w:val="clear" w:color="auto" w:fill="auto"/>
              <w:adjustRightInd w:val="0"/>
              <w:snapToGrid w:val="0"/>
              <w:spacing w:line="440" w:lineRule="exact"/>
              <w:ind w:firstLine="480" w:firstLineChars="200"/>
              <w:jc w:val="left"/>
              <w:rPr>
                <w:color w:val="auto"/>
                <w:kern w:val="0"/>
                <w:sz w:val="24"/>
                <w:highlight w:val="none"/>
              </w:rPr>
            </w:pPr>
          </w:p>
          <w:p w14:paraId="1E2798D5">
            <w:pPr>
              <w:shd w:val="clear" w:color="auto" w:fill="auto"/>
              <w:adjustRightInd w:val="0"/>
              <w:snapToGrid w:val="0"/>
              <w:spacing w:line="440" w:lineRule="exact"/>
              <w:ind w:firstLine="480" w:firstLineChars="200"/>
              <w:jc w:val="left"/>
              <w:rPr>
                <w:color w:val="auto"/>
                <w:kern w:val="0"/>
                <w:sz w:val="24"/>
                <w:highlight w:val="none"/>
              </w:rPr>
            </w:pPr>
          </w:p>
          <w:p w14:paraId="5CD9F171">
            <w:pPr>
              <w:shd w:val="clear" w:color="auto" w:fill="auto"/>
              <w:adjustRightInd w:val="0"/>
              <w:snapToGrid w:val="0"/>
              <w:spacing w:line="440" w:lineRule="exact"/>
              <w:ind w:firstLine="480" w:firstLineChars="200"/>
              <w:jc w:val="left"/>
              <w:rPr>
                <w:rFonts w:hint="default" w:ascii="Times New Roman" w:hAnsi="Times New Roman" w:eastAsia="宋体" w:cs="Times New Roman"/>
                <w:caps w:val="0"/>
                <w:smallCaps w:val="0"/>
                <w:color w:val="auto"/>
                <w:spacing w:val="0"/>
                <w:w w:val="100"/>
                <w:kern w:val="2"/>
                <w:position w:val="0"/>
                <w:sz w:val="24"/>
                <w:szCs w:val="24"/>
                <w:highlight w:val="none"/>
                <w:lang w:eastAsia="zh-CN"/>
              </w:rPr>
            </w:pPr>
          </w:p>
        </w:tc>
      </w:tr>
    </w:tbl>
    <w:p w14:paraId="27166480">
      <w:pPr>
        <w:pStyle w:val="25"/>
        <w:pageBreakBefore w:val="0"/>
        <w:wordWrap/>
        <w:topLinePunct w:val="0"/>
        <w:bidi w:val="0"/>
        <w:adjustRightInd w:val="0"/>
        <w:snapToGrid w:val="0"/>
        <w:spacing w:before="0" w:beforeAutospacing="0" w:after="0" w:afterAutospacing="0" w:line="14" w:lineRule="auto"/>
        <w:ind w:left="0" w:leftChars="0" w:right="0"/>
        <w:jc w:val="center"/>
        <w:outlineLvl w:val="9"/>
        <w:rPr>
          <w:rFonts w:hint="default" w:ascii="Times New Roman" w:hAnsi="Times New Roman" w:eastAsia="黑体" w:cs="Times New Roman"/>
          <w:caps w:val="0"/>
          <w:smallCaps w:val="0"/>
          <w:snapToGrid w:val="0"/>
          <w:color w:val="auto"/>
          <w:spacing w:val="0"/>
          <w:w w:val="100"/>
          <w:kern w:val="2"/>
          <w:position w:val="0"/>
          <w:sz w:val="24"/>
          <w:szCs w:val="24"/>
          <w:highlight w:val="none"/>
        </w:rPr>
      </w:pPr>
    </w:p>
    <w:p w14:paraId="543BD95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outlineLvl w:val="0"/>
        <w:rPr>
          <w:rFonts w:hint="default" w:ascii="Times New Roman" w:hAnsi="Times New Roman" w:eastAsia="黑体" w:cs="Times New Roman"/>
          <w:caps w:val="0"/>
          <w:smallCaps w:val="0"/>
          <w:snapToGrid w:val="0"/>
          <w:color w:val="auto"/>
          <w:spacing w:val="0"/>
          <w:w w:val="100"/>
          <w:kern w:val="2"/>
          <w:position w:val="0"/>
          <w:sz w:val="30"/>
          <w:szCs w:val="30"/>
          <w:highlight w:val="none"/>
        </w:rPr>
      </w:pPr>
      <w:r>
        <w:rPr>
          <w:rFonts w:hint="default" w:ascii="Times New Roman" w:hAnsi="Times New Roman" w:eastAsia="黑体" w:cs="Times New Roman"/>
          <w:caps w:val="0"/>
          <w:smallCaps w:val="0"/>
          <w:snapToGrid w:val="0"/>
          <w:color w:val="auto"/>
          <w:spacing w:val="0"/>
          <w:w w:val="100"/>
          <w:kern w:val="2"/>
          <w:position w:val="0"/>
          <w:sz w:val="36"/>
          <w:szCs w:val="36"/>
          <w:highlight w:val="none"/>
        </w:rPr>
        <w:br w:type="page"/>
      </w:r>
      <w:bookmarkStart w:id="6" w:name="_Toc32569"/>
      <w:r>
        <w:rPr>
          <w:rFonts w:hint="default" w:ascii="Times New Roman" w:hAnsi="Times New Roman" w:eastAsia="黑体" w:cs="Times New Roman"/>
          <w:caps w:val="0"/>
          <w:smallCaps w:val="0"/>
          <w:snapToGrid w:val="0"/>
          <w:color w:val="auto"/>
          <w:spacing w:val="0"/>
          <w:w w:val="100"/>
          <w:kern w:val="2"/>
          <w:position w:val="0"/>
          <w:sz w:val="30"/>
          <w:szCs w:val="30"/>
          <w:highlight w:val="none"/>
        </w:rPr>
        <w:t>四、生态环境影响分析</w:t>
      </w:r>
      <w:bookmarkEnd w:id="6"/>
    </w:p>
    <w:tbl>
      <w:tblPr>
        <w:tblStyle w:val="29"/>
        <w:tblW w:w="50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7944"/>
      </w:tblGrid>
      <w:tr w14:paraId="036ED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tcBorders>
              <w:tl2br w:val="nil"/>
              <w:tr2bl w:val="nil"/>
            </w:tcBorders>
            <w:noWrap w:val="0"/>
            <w:tcMar>
              <w:left w:w="28" w:type="dxa"/>
              <w:right w:w="28" w:type="dxa"/>
            </w:tcMar>
            <w:vAlign w:val="center"/>
          </w:tcPr>
          <w:p w14:paraId="7CD9930E">
            <w:pPr>
              <w:pStyle w:val="25"/>
              <w:pageBreakBefore w:val="0"/>
              <w:wordWrap/>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bCs/>
                <w:caps w:val="0"/>
                <w:smallCaps w:val="0"/>
                <w:color w:val="auto"/>
                <w:spacing w:val="0"/>
                <w:w w:val="100"/>
                <w:kern w:val="2"/>
                <w:position w:val="0"/>
                <w:sz w:val="24"/>
                <w:szCs w:val="24"/>
                <w:highlight w:val="none"/>
              </w:rPr>
            </w:pPr>
            <w:bookmarkStart w:id="7" w:name="_Hlk49796138"/>
            <w:r>
              <w:rPr>
                <w:rFonts w:hint="default" w:ascii="Times New Roman" w:hAnsi="Times New Roman" w:eastAsia="宋体" w:cs="Times New Roman"/>
                <w:bCs/>
                <w:caps w:val="0"/>
                <w:smallCaps w:val="0"/>
                <w:color w:val="auto"/>
                <w:spacing w:val="0"/>
                <w:w w:val="100"/>
                <w:kern w:val="2"/>
                <w:position w:val="0"/>
                <w:sz w:val="24"/>
                <w:szCs w:val="24"/>
                <w:highlight w:val="none"/>
              </w:rPr>
              <w:t>施工期生态环境影响分析</w:t>
            </w:r>
            <w:bookmarkEnd w:id="7"/>
          </w:p>
        </w:tc>
        <w:tc>
          <w:tcPr>
            <w:tcW w:w="4617" w:type="pct"/>
            <w:tcBorders>
              <w:tl2br w:val="nil"/>
              <w:tr2bl w:val="nil"/>
            </w:tcBorders>
            <w:noWrap w:val="0"/>
            <w:vAlign w:val="top"/>
          </w:tcPr>
          <w:p w14:paraId="2BE70C1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left"/>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t>1</w:t>
            </w: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
              </w:rPr>
              <w:t>、生态影响分析</w:t>
            </w:r>
          </w:p>
          <w:p w14:paraId="17AE65A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1）生态系统影响：施工过程中场地平整、设备进场、临时便道铺设等作业，会直接扰动项目周边小型陆生生态系统，破坏局部草本植被（主要为杂草、本地草本植物），导致区域植被覆盖率短暂下降，短期内影响局部植物群落结构；施工机械作业、人员活动会惊扰周边小型鸟类（如麻雀、乌鸦）、啮齿类动物（如田鼠、仓鼠），使其临时迁移至周边未扰动区域，影响其正常觅食、栖息及繁殖行为。该影响具有临时性、可逆性，施工结束后通过清理施工场地、补植本地适生植被，生态系统可逐步恢复，不会造成不可逆破坏。</w:t>
            </w:r>
          </w:p>
          <w:p w14:paraId="5AB1E3C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2）土壤影响：施工机械碾压、建筑物料堆放会压实表层土壤，破坏土壤孔隙结构，降低土壤透气性和透水性，短期内改变土壤理化性质，影响表层土壤微生物活动；施工过程中产生的少量建筑垃圾（如碎砖块、混凝土残渣）、施工废料（如废弃包装材料），若随意堆放、处置不当，可能造成土壤局部污染，需采取集中收集、分类清运至指定地点规范处置的措施，避免土壤质量下降，减少对周边植被生长的不利影响。</w:t>
            </w:r>
          </w:p>
          <w:p w14:paraId="2D01D97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3）景观影响：施工期间，场地裸露、临时设施（如围挡、临时办公棚）搭建及建筑物料（如砂石、水泥）堆放，会破坏项目周边原有景观协调性，出现杂乱的施工场景，与周边自然、人居景观形成反差；施工扬尘会覆盖周边植被叶片，导致植被色泽暗淡，影响景观视觉效果。施工结束后，通过清理施工垃圾、拆除临时设施、平整场地、补植植被，可逐步恢复原有景观风貌，降低施工对景观的影响。</w:t>
            </w:r>
          </w:p>
          <w:p w14:paraId="2A89BDF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4）陆生生态影响：阳霞3号桥周边分布有自然植被，以耐旱、耐贫瘠的草本植物为主，施工期对陆生生态的影响主要集中在临时用地占用、施工机械碾压及植被破坏三个方面。一是临时用地占用过程中，需清理地表植被，导致局部区域植被覆盖率下降，破坏植物生长环境，尤其对林草用地的扰动需严格遵循相关审批要求，避免违规占用；二是施工机械进场、作业及材料运输过程中，会碾压周边植被，导致植物根系受损、长势衰退，甚至死亡；三是老桥拆除及新建桥梁基础开挖过程中，产生的扬尘会覆盖周边植被叶片，影响植物光合作用，短期内抑制植物生长。</w:t>
            </w:r>
          </w:p>
          <w:p w14:paraId="3061406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此外，施工活动会惊扰周边小型哺乳动物（如啮齿类、兔类）及鸟类，导致其栖息地临时转移，影响其觅食、繁殖行为，但此类影响具有阶段性，随着施工结束及场地恢复，周边动物会逐步回归，不会造成永久性栖息地破坏。同时，本项目不涉及自然保护区、文物保护单位等环境敏感区，陆生生态影响范围及程度有限。</w:t>
            </w:r>
          </w:p>
          <w:p w14:paraId="521CD70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eastAsia" w:ascii="Times New Roman" w:hAnsi="Times New Roman" w:cs="Times New Roman"/>
                <w:b/>
                <w:bCs/>
                <w:color w:val="auto"/>
                <w:sz w:val="24"/>
                <w:lang w:val="en-US" w:eastAsia="zh-CN"/>
              </w:rPr>
            </w:pPr>
            <w:r>
              <w:rPr>
                <w:rFonts w:hint="eastAsia" w:ascii="Times New Roman" w:hAnsi="Times New Roman" w:cs="Times New Roman"/>
                <w:color w:val="auto"/>
                <w:sz w:val="24"/>
                <w:lang w:val="en-US" w:eastAsia="zh-CN"/>
              </w:rPr>
              <w:t>（5）水生生态影响：阳霞3号桥横跨当地自然河道，施工期对水生生态的影响主要来源于老桥拆除、基础施工及施工废水排放。一是老桥拆除过程中，采用“分段切割+吊运”的绿色拆除工艺替代传统爆破，可减少建筑垃圾坠入河道，但仍可能有少量混凝土块、钢筋等杂物落入水中，影响水体流通，同时扰动河底沉积物，导致水体浑浊，影响水生生物的生存环境（如鱼类、底栖生物），若未采取防护措施，可能造成部分小型水生生物死亡；二是新建桥梁基础施工（钻孔灌注桩、基坑开挖）过程中，会产生泥浆，若泥浆未经处理直接排入河道，会导致水体悬浮物浓度升高，遮蔽水生植物光合作用，影响鱼类呼吸及觅食；三是施工人员生活污水及施工机械清洗废水，若随意排放，会携带油污、泥沙及少量污染物，污染河道水体，影响水生生态系统平衡。</w:t>
            </w:r>
          </w:p>
          <w:p w14:paraId="2EA9C8D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施工期水生生态影响主要为阶段性扰动，待施工结束、河道清理完成后，水体环境可逐步恢复。</w:t>
            </w:r>
          </w:p>
          <w:p w14:paraId="4221097A">
            <w:pPr>
              <w:keepNext w:val="0"/>
              <w:keepLines w:val="0"/>
              <w:pageBreakBefore w:val="0"/>
              <w:kinsoku/>
              <w:wordWrap/>
              <w:overflowPunct/>
              <w:topLinePunct w:val="0"/>
              <w:bidi w:val="0"/>
              <w:spacing w:beforeAutospacing="0" w:afterAutospacing="0" w:line="360" w:lineRule="auto"/>
              <w:ind w:right="0"/>
              <w:rPr>
                <w:rFonts w:hint="default" w:ascii="Times New Roman" w:hAnsi="Times New Roman" w:eastAsia="宋体" w:cs="Times New Roman"/>
                <w:b/>
                <w:caps w:val="0"/>
                <w:smallCaps w:val="0"/>
                <w:color w:val="auto"/>
                <w:spacing w:val="0"/>
                <w:w w:val="100"/>
                <w:kern w:val="2"/>
                <w:position w:val="0"/>
                <w:sz w:val="24"/>
                <w:szCs w:val="24"/>
                <w:highlight w:val="none"/>
              </w:rPr>
            </w:pPr>
            <w:r>
              <w:rPr>
                <w:rFonts w:hint="default" w:ascii="Times New Roman" w:hAnsi="Times New Roman" w:eastAsia="宋体" w:cs="Times New Roman"/>
                <w:b/>
                <w:caps w:val="0"/>
                <w:smallCaps w:val="0"/>
                <w:color w:val="auto"/>
                <w:spacing w:val="0"/>
                <w:w w:val="100"/>
                <w:kern w:val="2"/>
                <w:position w:val="0"/>
                <w:sz w:val="24"/>
                <w:szCs w:val="24"/>
                <w:highlight w:val="none"/>
                <w:lang w:val="en-US" w:eastAsia="zh-CN"/>
              </w:rPr>
              <w:t>2</w:t>
            </w:r>
            <w:r>
              <w:rPr>
                <w:rFonts w:hint="eastAsia" w:ascii="Times New Roman" w:hAnsi="Times New Roman" w:eastAsia="宋体" w:cs="Times New Roman"/>
                <w:b/>
                <w:caps w:val="0"/>
                <w:smallCaps w:val="0"/>
                <w:color w:val="auto"/>
                <w:spacing w:val="0"/>
                <w:w w:val="100"/>
                <w:kern w:val="2"/>
                <w:position w:val="0"/>
                <w:sz w:val="24"/>
                <w:szCs w:val="24"/>
                <w:highlight w:val="none"/>
                <w:lang w:val="en-US" w:eastAsia="zh-CN"/>
              </w:rPr>
              <w:t>、施工期环境空气</w:t>
            </w:r>
            <w:r>
              <w:rPr>
                <w:rFonts w:hint="default" w:ascii="Times New Roman" w:hAnsi="Times New Roman" w:eastAsia="宋体" w:cs="Times New Roman"/>
                <w:b/>
                <w:caps w:val="0"/>
                <w:smallCaps w:val="0"/>
                <w:color w:val="auto"/>
                <w:spacing w:val="0"/>
                <w:w w:val="100"/>
                <w:kern w:val="2"/>
                <w:position w:val="0"/>
                <w:sz w:val="24"/>
                <w:szCs w:val="24"/>
                <w:highlight w:val="none"/>
              </w:rPr>
              <w:t>影响分析</w:t>
            </w:r>
          </w:p>
          <w:p w14:paraId="6093B542">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本工程采用沥青混凝土路面，工程施工过程对环境空气产生的主要污染物为粉尘及沥青烟</w:t>
            </w:r>
            <w:r>
              <w:rPr>
                <w:rFonts w:hint="default"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主要污染环节</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为</w:t>
            </w:r>
            <w:r>
              <w:rPr>
                <w:rFonts w:hint="default" w:ascii="Times New Roman" w:hAnsi="Times New Roman" w:eastAsia="宋体" w:cs="Times New Roman"/>
                <w:caps w:val="0"/>
                <w:smallCaps w:val="0"/>
                <w:color w:val="auto"/>
                <w:spacing w:val="0"/>
                <w:w w:val="100"/>
                <w:kern w:val="2"/>
                <w:position w:val="0"/>
                <w:sz w:val="24"/>
                <w:highlight w:val="none"/>
              </w:rPr>
              <w:t>沥青摊铺</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材料的运输和堆放、土石方的开挖和回填等作业过程，上述各环节在受风力的作用下将会对施工场地及周边环境产生粉尘、沥青烟污染</w:t>
            </w:r>
            <w:r>
              <w:rPr>
                <w:rFonts w:hint="default"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运输车辆行驶将产生道路二次污染。</w:t>
            </w:r>
          </w:p>
          <w:p w14:paraId="21890D60">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b/>
                <w:bCs/>
                <w:caps w:val="0"/>
                <w:smallCaps w:val="0"/>
                <w:color w:val="auto"/>
                <w:spacing w:val="0"/>
                <w:w w:val="100"/>
                <w:kern w:val="2"/>
                <w:position w:val="0"/>
                <w:sz w:val="24"/>
                <w:highlight w:val="none"/>
              </w:rPr>
            </w:pP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2.1</w:t>
            </w:r>
            <w:r>
              <w:rPr>
                <w:rFonts w:hint="default" w:ascii="Times New Roman" w:hAnsi="Times New Roman" w:eastAsia="宋体" w:cs="Times New Roman"/>
                <w:b/>
                <w:bCs/>
                <w:caps w:val="0"/>
                <w:smallCaps w:val="0"/>
                <w:color w:val="auto"/>
                <w:spacing w:val="0"/>
                <w:w w:val="100"/>
                <w:kern w:val="2"/>
                <w:position w:val="0"/>
                <w:sz w:val="24"/>
                <w:highlight w:val="none"/>
              </w:rPr>
              <w:t>施工扬尘的环境影响分析</w:t>
            </w:r>
          </w:p>
          <w:p w14:paraId="1C0379D4">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1</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土石方开挖及回填等各施工工地裸露地面及堆场扬尘</w:t>
            </w:r>
          </w:p>
          <w:p w14:paraId="2F0CBC59">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由于施工需要，一些建筑材料露天堆放，一些施工作业点的表层土壤在经过人工开挖后，临时堆放于露天，在气候干燥且有风的情况下，会产生大量的扬尘。</w:t>
            </w:r>
          </w:p>
          <w:p w14:paraId="4D9B4D12">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粉尘在空气中的扩散稀释与风速等气象条件有关，也与粉尘本身的沉降速度有关。不同粒径粉尘的沉降速度见下表。</w:t>
            </w:r>
          </w:p>
          <w:p w14:paraId="37A91CF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422" w:firstLineChars="200"/>
              <w:textAlignment w:val="auto"/>
              <w:rPr>
                <w:rFonts w:hint="default" w:cs="Times New Roman"/>
                <w:b/>
                <w:bCs/>
                <w:caps w:val="0"/>
                <w:smallCaps w:val="0"/>
                <w:snapToGrid w:val="0"/>
                <w:color w:val="auto"/>
                <w:spacing w:val="0"/>
                <w:w w:val="100"/>
                <w:kern w:val="2"/>
                <w:position w:val="0"/>
                <w:sz w:val="21"/>
                <w:szCs w:val="21"/>
                <w:highlight w:val="none"/>
                <w:lang w:val="en-US" w:eastAsia="zh-CN" w:bidi="ar-SA"/>
              </w:rPr>
            </w:pPr>
            <w:r>
              <w:rPr>
                <w:rFonts w:hint="default" w:cs="Times New Roman"/>
                <w:b/>
                <w:bCs/>
                <w:caps w:val="0"/>
                <w:smallCaps w:val="0"/>
                <w:snapToGrid w:val="0"/>
                <w:color w:val="auto"/>
                <w:spacing w:val="0"/>
                <w:w w:val="100"/>
                <w:kern w:val="2"/>
                <w:position w:val="0"/>
                <w:sz w:val="21"/>
                <w:szCs w:val="21"/>
                <w:highlight w:val="none"/>
                <w:lang w:val="en-US" w:eastAsia="zh-CN" w:bidi="ar-SA"/>
              </w:rPr>
              <w:t>表4-</w:t>
            </w:r>
            <w:r>
              <w:rPr>
                <w:rFonts w:hint="eastAsia" w:cs="Times New Roman"/>
                <w:b/>
                <w:bCs/>
                <w:caps w:val="0"/>
                <w:smallCaps w:val="0"/>
                <w:snapToGrid w:val="0"/>
                <w:color w:val="auto"/>
                <w:spacing w:val="0"/>
                <w:w w:val="100"/>
                <w:kern w:val="2"/>
                <w:position w:val="0"/>
                <w:sz w:val="21"/>
                <w:szCs w:val="21"/>
                <w:highlight w:val="none"/>
                <w:lang w:val="en-US" w:eastAsia="zh-CN" w:bidi="ar-SA"/>
              </w:rPr>
              <w:t xml:space="preserve">1                </w:t>
            </w:r>
            <w:r>
              <w:rPr>
                <w:rFonts w:hint="default" w:cs="Times New Roman"/>
                <w:b/>
                <w:bCs/>
                <w:caps w:val="0"/>
                <w:smallCaps w:val="0"/>
                <w:snapToGrid w:val="0"/>
                <w:color w:val="auto"/>
                <w:spacing w:val="0"/>
                <w:w w:val="100"/>
                <w:kern w:val="2"/>
                <w:position w:val="0"/>
                <w:sz w:val="21"/>
                <w:szCs w:val="21"/>
                <w:highlight w:val="none"/>
                <w:lang w:val="en-US" w:eastAsia="zh-CN" w:bidi="ar-SA"/>
              </w:rPr>
              <w:t>不同粒径尘粒的沉降速度</w:t>
            </w:r>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3"/>
              <w:gridCol w:w="848"/>
              <w:gridCol w:w="848"/>
              <w:gridCol w:w="848"/>
              <w:gridCol w:w="849"/>
              <w:gridCol w:w="849"/>
              <w:gridCol w:w="849"/>
              <w:gridCol w:w="849"/>
            </w:tblGrid>
            <w:tr w14:paraId="2D720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4" w:type="pct"/>
                  <w:tcBorders>
                    <w:tl2br w:val="nil"/>
                    <w:tr2bl w:val="nil"/>
                  </w:tcBorders>
                  <w:noWrap w:val="0"/>
                  <w:vAlign w:val="center"/>
                </w:tcPr>
                <w:p w14:paraId="50A18386">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粉尘粒径</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r>
                    <w:rPr>
                      <w:rFonts w:hint="default" w:ascii="Times New Roman" w:hAnsi="Times New Roman" w:eastAsia="宋体" w:cs="Times New Roman"/>
                      <w:b w:val="0"/>
                      <w:bCs/>
                      <w:caps w:val="0"/>
                      <w:smallCaps w:val="0"/>
                      <w:color w:val="auto"/>
                      <w:spacing w:val="0"/>
                      <w:w w:val="100"/>
                      <w:kern w:val="2"/>
                      <w:position w:val="0"/>
                      <w:sz w:val="21"/>
                      <w:szCs w:val="21"/>
                      <w:highlight w:val="none"/>
                    </w:rPr>
                    <w:t>μm</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p>
              </w:tc>
              <w:tc>
                <w:tcPr>
                  <w:tcW w:w="549" w:type="pct"/>
                  <w:tcBorders>
                    <w:tl2br w:val="nil"/>
                    <w:tr2bl w:val="nil"/>
                  </w:tcBorders>
                  <w:noWrap w:val="0"/>
                  <w:vAlign w:val="center"/>
                </w:tcPr>
                <w:p w14:paraId="4446EFF2">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10</w:t>
                  </w:r>
                </w:p>
              </w:tc>
              <w:tc>
                <w:tcPr>
                  <w:tcW w:w="549" w:type="pct"/>
                  <w:tcBorders>
                    <w:tl2br w:val="nil"/>
                    <w:tr2bl w:val="nil"/>
                  </w:tcBorders>
                  <w:noWrap w:val="0"/>
                  <w:vAlign w:val="center"/>
                </w:tcPr>
                <w:p w14:paraId="353E31BD">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20</w:t>
                  </w:r>
                </w:p>
              </w:tc>
              <w:tc>
                <w:tcPr>
                  <w:tcW w:w="549" w:type="pct"/>
                  <w:tcBorders>
                    <w:tl2br w:val="nil"/>
                    <w:tr2bl w:val="nil"/>
                  </w:tcBorders>
                  <w:noWrap w:val="0"/>
                  <w:vAlign w:val="center"/>
                </w:tcPr>
                <w:p w14:paraId="57FE4743">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30</w:t>
                  </w:r>
                </w:p>
              </w:tc>
              <w:tc>
                <w:tcPr>
                  <w:tcW w:w="549" w:type="pct"/>
                  <w:tcBorders>
                    <w:tl2br w:val="nil"/>
                    <w:tr2bl w:val="nil"/>
                  </w:tcBorders>
                  <w:noWrap w:val="0"/>
                  <w:vAlign w:val="center"/>
                </w:tcPr>
                <w:p w14:paraId="3CE35397">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40</w:t>
                  </w:r>
                </w:p>
              </w:tc>
              <w:tc>
                <w:tcPr>
                  <w:tcW w:w="549" w:type="pct"/>
                  <w:tcBorders>
                    <w:tl2br w:val="nil"/>
                    <w:tr2bl w:val="nil"/>
                  </w:tcBorders>
                  <w:noWrap w:val="0"/>
                  <w:vAlign w:val="center"/>
                </w:tcPr>
                <w:p w14:paraId="17870649">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50</w:t>
                  </w:r>
                </w:p>
              </w:tc>
              <w:tc>
                <w:tcPr>
                  <w:tcW w:w="549" w:type="pct"/>
                  <w:tcBorders>
                    <w:tl2br w:val="nil"/>
                    <w:tr2bl w:val="nil"/>
                  </w:tcBorders>
                  <w:noWrap w:val="0"/>
                  <w:vAlign w:val="center"/>
                </w:tcPr>
                <w:p w14:paraId="7D46A816">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60</w:t>
                  </w:r>
                </w:p>
              </w:tc>
              <w:tc>
                <w:tcPr>
                  <w:tcW w:w="549" w:type="pct"/>
                  <w:tcBorders>
                    <w:tl2br w:val="nil"/>
                    <w:tr2bl w:val="nil"/>
                  </w:tcBorders>
                  <w:noWrap w:val="0"/>
                  <w:vAlign w:val="center"/>
                </w:tcPr>
                <w:p w14:paraId="59861727">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70</w:t>
                  </w:r>
                </w:p>
              </w:tc>
            </w:tr>
            <w:tr w14:paraId="369BCE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pct"/>
                  <w:tcBorders>
                    <w:tl2br w:val="nil"/>
                    <w:tr2bl w:val="nil"/>
                  </w:tcBorders>
                  <w:noWrap w:val="0"/>
                  <w:vAlign w:val="center"/>
                </w:tcPr>
                <w:p w14:paraId="1EA2CFD0">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沉降速度</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r>
                    <w:rPr>
                      <w:rFonts w:hint="default" w:ascii="Times New Roman" w:hAnsi="Times New Roman" w:eastAsia="宋体" w:cs="Times New Roman"/>
                      <w:b w:val="0"/>
                      <w:bCs/>
                      <w:caps w:val="0"/>
                      <w:smallCaps w:val="0"/>
                      <w:color w:val="auto"/>
                      <w:spacing w:val="0"/>
                      <w:w w:val="100"/>
                      <w:kern w:val="2"/>
                      <w:position w:val="0"/>
                      <w:sz w:val="21"/>
                      <w:szCs w:val="21"/>
                      <w:highlight w:val="none"/>
                    </w:rPr>
                    <w:t>m/s</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p>
              </w:tc>
              <w:tc>
                <w:tcPr>
                  <w:tcW w:w="549" w:type="pct"/>
                  <w:tcBorders>
                    <w:tl2br w:val="nil"/>
                    <w:tr2bl w:val="nil"/>
                  </w:tcBorders>
                  <w:noWrap w:val="0"/>
                  <w:vAlign w:val="center"/>
                </w:tcPr>
                <w:p w14:paraId="434EA15F">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0.003</w:t>
                  </w:r>
                </w:p>
              </w:tc>
              <w:tc>
                <w:tcPr>
                  <w:tcW w:w="549" w:type="pct"/>
                  <w:tcBorders>
                    <w:tl2br w:val="nil"/>
                    <w:tr2bl w:val="nil"/>
                  </w:tcBorders>
                  <w:noWrap w:val="0"/>
                  <w:vAlign w:val="center"/>
                </w:tcPr>
                <w:p w14:paraId="513DDF11">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0.012</w:t>
                  </w:r>
                </w:p>
              </w:tc>
              <w:tc>
                <w:tcPr>
                  <w:tcW w:w="549" w:type="pct"/>
                  <w:tcBorders>
                    <w:tl2br w:val="nil"/>
                    <w:tr2bl w:val="nil"/>
                  </w:tcBorders>
                  <w:noWrap w:val="0"/>
                  <w:vAlign w:val="center"/>
                </w:tcPr>
                <w:p w14:paraId="60900DA0">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0.027</w:t>
                  </w:r>
                </w:p>
              </w:tc>
              <w:tc>
                <w:tcPr>
                  <w:tcW w:w="549" w:type="pct"/>
                  <w:tcBorders>
                    <w:tl2br w:val="nil"/>
                    <w:tr2bl w:val="nil"/>
                  </w:tcBorders>
                  <w:noWrap w:val="0"/>
                  <w:vAlign w:val="center"/>
                </w:tcPr>
                <w:p w14:paraId="296298C2">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0.048</w:t>
                  </w:r>
                </w:p>
              </w:tc>
              <w:tc>
                <w:tcPr>
                  <w:tcW w:w="549" w:type="pct"/>
                  <w:tcBorders>
                    <w:tl2br w:val="nil"/>
                    <w:tr2bl w:val="nil"/>
                  </w:tcBorders>
                  <w:noWrap w:val="0"/>
                  <w:vAlign w:val="center"/>
                </w:tcPr>
                <w:p w14:paraId="534CD44D">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0.075</w:t>
                  </w:r>
                </w:p>
              </w:tc>
              <w:tc>
                <w:tcPr>
                  <w:tcW w:w="549" w:type="pct"/>
                  <w:tcBorders>
                    <w:tl2br w:val="nil"/>
                    <w:tr2bl w:val="nil"/>
                  </w:tcBorders>
                  <w:noWrap w:val="0"/>
                  <w:vAlign w:val="center"/>
                </w:tcPr>
                <w:p w14:paraId="538DF57D">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0108</w:t>
                  </w:r>
                </w:p>
              </w:tc>
              <w:tc>
                <w:tcPr>
                  <w:tcW w:w="549" w:type="pct"/>
                  <w:tcBorders>
                    <w:tl2br w:val="nil"/>
                    <w:tr2bl w:val="nil"/>
                  </w:tcBorders>
                  <w:noWrap w:val="0"/>
                  <w:vAlign w:val="center"/>
                </w:tcPr>
                <w:p w14:paraId="6D4DC5A3">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0.147</w:t>
                  </w:r>
                </w:p>
              </w:tc>
            </w:tr>
            <w:tr w14:paraId="373F5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pct"/>
                  <w:tcBorders>
                    <w:tl2br w:val="nil"/>
                    <w:tr2bl w:val="nil"/>
                  </w:tcBorders>
                  <w:noWrap w:val="0"/>
                  <w:vAlign w:val="center"/>
                </w:tcPr>
                <w:p w14:paraId="06F0946D">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粉尘粒径</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r>
                    <w:rPr>
                      <w:rFonts w:hint="default" w:ascii="Times New Roman" w:hAnsi="Times New Roman" w:eastAsia="宋体" w:cs="Times New Roman"/>
                      <w:b w:val="0"/>
                      <w:bCs/>
                      <w:caps w:val="0"/>
                      <w:smallCaps w:val="0"/>
                      <w:color w:val="auto"/>
                      <w:spacing w:val="0"/>
                      <w:w w:val="100"/>
                      <w:kern w:val="2"/>
                      <w:position w:val="0"/>
                      <w:sz w:val="21"/>
                      <w:szCs w:val="21"/>
                      <w:highlight w:val="none"/>
                    </w:rPr>
                    <w:t>μm</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p>
              </w:tc>
              <w:tc>
                <w:tcPr>
                  <w:tcW w:w="549" w:type="pct"/>
                  <w:tcBorders>
                    <w:tl2br w:val="nil"/>
                    <w:tr2bl w:val="nil"/>
                  </w:tcBorders>
                  <w:noWrap w:val="0"/>
                  <w:vAlign w:val="center"/>
                </w:tcPr>
                <w:p w14:paraId="765677A6">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80</w:t>
                  </w:r>
                </w:p>
              </w:tc>
              <w:tc>
                <w:tcPr>
                  <w:tcW w:w="549" w:type="pct"/>
                  <w:tcBorders>
                    <w:tl2br w:val="nil"/>
                    <w:tr2bl w:val="nil"/>
                  </w:tcBorders>
                  <w:noWrap w:val="0"/>
                  <w:vAlign w:val="center"/>
                </w:tcPr>
                <w:p w14:paraId="5DB8B26A">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90</w:t>
                  </w:r>
                </w:p>
              </w:tc>
              <w:tc>
                <w:tcPr>
                  <w:tcW w:w="549" w:type="pct"/>
                  <w:tcBorders>
                    <w:tl2br w:val="nil"/>
                    <w:tr2bl w:val="nil"/>
                  </w:tcBorders>
                  <w:noWrap w:val="0"/>
                  <w:vAlign w:val="center"/>
                </w:tcPr>
                <w:p w14:paraId="0F678E88">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100</w:t>
                  </w:r>
                </w:p>
              </w:tc>
              <w:tc>
                <w:tcPr>
                  <w:tcW w:w="549" w:type="pct"/>
                  <w:tcBorders>
                    <w:tl2br w:val="nil"/>
                    <w:tr2bl w:val="nil"/>
                  </w:tcBorders>
                  <w:noWrap w:val="0"/>
                  <w:vAlign w:val="center"/>
                </w:tcPr>
                <w:p w14:paraId="41D7AE84">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150</w:t>
                  </w:r>
                </w:p>
              </w:tc>
              <w:tc>
                <w:tcPr>
                  <w:tcW w:w="549" w:type="pct"/>
                  <w:tcBorders>
                    <w:tl2br w:val="nil"/>
                    <w:tr2bl w:val="nil"/>
                  </w:tcBorders>
                  <w:noWrap w:val="0"/>
                  <w:vAlign w:val="center"/>
                </w:tcPr>
                <w:p w14:paraId="51BA4D0C">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200</w:t>
                  </w:r>
                </w:p>
              </w:tc>
              <w:tc>
                <w:tcPr>
                  <w:tcW w:w="549" w:type="pct"/>
                  <w:tcBorders>
                    <w:tl2br w:val="nil"/>
                    <w:tr2bl w:val="nil"/>
                  </w:tcBorders>
                  <w:noWrap w:val="0"/>
                  <w:vAlign w:val="center"/>
                </w:tcPr>
                <w:p w14:paraId="381B7BFD">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250</w:t>
                  </w:r>
                </w:p>
              </w:tc>
              <w:tc>
                <w:tcPr>
                  <w:tcW w:w="549" w:type="pct"/>
                  <w:tcBorders>
                    <w:tl2br w:val="nil"/>
                    <w:tr2bl w:val="nil"/>
                  </w:tcBorders>
                  <w:noWrap w:val="0"/>
                  <w:vAlign w:val="center"/>
                </w:tcPr>
                <w:p w14:paraId="209D089D">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350</w:t>
                  </w:r>
                </w:p>
              </w:tc>
            </w:tr>
            <w:tr w14:paraId="54C8D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pct"/>
                  <w:tcBorders>
                    <w:tl2br w:val="nil"/>
                    <w:tr2bl w:val="nil"/>
                  </w:tcBorders>
                  <w:noWrap w:val="0"/>
                  <w:vAlign w:val="center"/>
                </w:tcPr>
                <w:p w14:paraId="49C7A33A">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沉降速度</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r>
                    <w:rPr>
                      <w:rFonts w:hint="default" w:ascii="Times New Roman" w:hAnsi="Times New Roman" w:eastAsia="宋体" w:cs="Times New Roman"/>
                      <w:b w:val="0"/>
                      <w:bCs/>
                      <w:caps w:val="0"/>
                      <w:smallCaps w:val="0"/>
                      <w:color w:val="auto"/>
                      <w:spacing w:val="0"/>
                      <w:w w:val="100"/>
                      <w:kern w:val="2"/>
                      <w:position w:val="0"/>
                      <w:sz w:val="21"/>
                      <w:szCs w:val="21"/>
                      <w:highlight w:val="none"/>
                    </w:rPr>
                    <w:t>m/s</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p>
              </w:tc>
              <w:tc>
                <w:tcPr>
                  <w:tcW w:w="549" w:type="pct"/>
                  <w:tcBorders>
                    <w:tl2br w:val="nil"/>
                    <w:tr2bl w:val="nil"/>
                  </w:tcBorders>
                  <w:noWrap w:val="0"/>
                  <w:vAlign w:val="center"/>
                </w:tcPr>
                <w:p w14:paraId="11853530">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0.158</w:t>
                  </w:r>
                </w:p>
              </w:tc>
              <w:tc>
                <w:tcPr>
                  <w:tcW w:w="549" w:type="pct"/>
                  <w:tcBorders>
                    <w:tl2br w:val="nil"/>
                    <w:tr2bl w:val="nil"/>
                  </w:tcBorders>
                  <w:noWrap w:val="0"/>
                  <w:vAlign w:val="center"/>
                </w:tcPr>
                <w:p w14:paraId="55F241DD">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0.170</w:t>
                  </w:r>
                </w:p>
              </w:tc>
              <w:tc>
                <w:tcPr>
                  <w:tcW w:w="549" w:type="pct"/>
                  <w:tcBorders>
                    <w:tl2br w:val="nil"/>
                    <w:tr2bl w:val="nil"/>
                  </w:tcBorders>
                  <w:noWrap w:val="0"/>
                  <w:vAlign w:val="center"/>
                </w:tcPr>
                <w:p w14:paraId="4BF396EB">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0.182</w:t>
                  </w:r>
                </w:p>
              </w:tc>
              <w:tc>
                <w:tcPr>
                  <w:tcW w:w="549" w:type="pct"/>
                  <w:tcBorders>
                    <w:tl2br w:val="nil"/>
                    <w:tr2bl w:val="nil"/>
                  </w:tcBorders>
                  <w:noWrap w:val="0"/>
                  <w:vAlign w:val="center"/>
                </w:tcPr>
                <w:p w14:paraId="2C862C94">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0.239</w:t>
                  </w:r>
                </w:p>
              </w:tc>
              <w:tc>
                <w:tcPr>
                  <w:tcW w:w="549" w:type="pct"/>
                  <w:tcBorders>
                    <w:tl2br w:val="nil"/>
                    <w:tr2bl w:val="nil"/>
                  </w:tcBorders>
                  <w:noWrap w:val="0"/>
                  <w:vAlign w:val="center"/>
                </w:tcPr>
                <w:p w14:paraId="7B22B13F">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0.804</w:t>
                  </w:r>
                </w:p>
              </w:tc>
              <w:tc>
                <w:tcPr>
                  <w:tcW w:w="549" w:type="pct"/>
                  <w:tcBorders>
                    <w:tl2br w:val="nil"/>
                    <w:tr2bl w:val="nil"/>
                  </w:tcBorders>
                  <w:noWrap w:val="0"/>
                  <w:vAlign w:val="center"/>
                </w:tcPr>
                <w:p w14:paraId="2DAD96A5">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1.005</w:t>
                  </w:r>
                </w:p>
              </w:tc>
              <w:tc>
                <w:tcPr>
                  <w:tcW w:w="549" w:type="pct"/>
                  <w:tcBorders>
                    <w:tl2br w:val="nil"/>
                    <w:tr2bl w:val="nil"/>
                  </w:tcBorders>
                  <w:noWrap w:val="0"/>
                  <w:vAlign w:val="center"/>
                </w:tcPr>
                <w:p w14:paraId="5BBF98B6">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1.829</w:t>
                  </w:r>
                </w:p>
              </w:tc>
            </w:tr>
            <w:tr w14:paraId="13472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pct"/>
                  <w:tcBorders>
                    <w:tl2br w:val="nil"/>
                    <w:tr2bl w:val="nil"/>
                  </w:tcBorders>
                  <w:noWrap w:val="0"/>
                  <w:vAlign w:val="center"/>
                </w:tcPr>
                <w:p w14:paraId="65C4D62C">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粉尘粒径</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r>
                    <w:rPr>
                      <w:rFonts w:hint="default" w:ascii="Times New Roman" w:hAnsi="Times New Roman" w:eastAsia="宋体" w:cs="Times New Roman"/>
                      <w:b w:val="0"/>
                      <w:bCs/>
                      <w:caps w:val="0"/>
                      <w:smallCaps w:val="0"/>
                      <w:color w:val="auto"/>
                      <w:spacing w:val="0"/>
                      <w:w w:val="100"/>
                      <w:kern w:val="2"/>
                      <w:position w:val="0"/>
                      <w:sz w:val="21"/>
                      <w:szCs w:val="21"/>
                      <w:highlight w:val="none"/>
                    </w:rPr>
                    <w:t>μm</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p>
              </w:tc>
              <w:tc>
                <w:tcPr>
                  <w:tcW w:w="549" w:type="pct"/>
                  <w:tcBorders>
                    <w:tl2br w:val="nil"/>
                    <w:tr2bl w:val="nil"/>
                  </w:tcBorders>
                  <w:noWrap w:val="0"/>
                  <w:vAlign w:val="center"/>
                </w:tcPr>
                <w:p w14:paraId="38A4392E">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450</w:t>
                  </w:r>
                </w:p>
              </w:tc>
              <w:tc>
                <w:tcPr>
                  <w:tcW w:w="549" w:type="pct"/>
                  <w:tcBorders>
                    <w:tl2br w:val="nil"/>
                    <w:tr2bl w:val="nil"/>
                  </w:tcBorders>
                  <w:noWrap w:val="0"/>
                  <w:vAlign w:val="center"/>
                </w:tcPr>
                <w:p w14:paraId="09A170C3">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550</w:t>
                  </w:r>
                </w:p>
              </w:tc>
              <w:tc>
                <w:tcPr>
                  <w:tcW w:w="549" w:type="pct"/>
                  <w:tcBorders>
                    <w:tl2br w:val="nil"/>
                    <w:tr2bl w:val="nil"/>
                  </w:tcBorders>
                  <w:noWrap w:val="0"/>
                  <w:vAlign w:val="center"/>
                </w:tcPr>
                <w:p w14:paraId="30458AD8">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650</w:t>
                  </w:r>
                </w:p>
              </w:tc>
              <w:tc>
                <w:tcPr>
                  <w:tcW w:w="549" w:type="pct"/>
                  <w:tcBorders>
                    <w:tl2br w:val="nil"/>
                    <w:tr2bl w:val="nil"/>
                  </w:tcBorders>
                  <w:noWrap w:val="0"/>
                  <w:vAlign w:val="center"/>
                </w:tcPr>
                <w:p w14:paraId="3D0AABE1">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750</w:t>
                  </w:r>
                </w:p>
              </w:tc>
              <w:tc>
                <w:tcPr>
                  <w:tcW w:w="549" w:type="pct"/>
                  <w:tcBorders>
                    <w:tl2br w:val="nil"/>
                    <w:tr2bl w:val="nil"/>
                  </w:tcBorders>
                  <w:noWrap w:val="0"/>
                  <w:vAlign w:val="center"/>
                </w:tcPr>
                <w:p w14:paraId="6B707D85">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850</w:t>
                  </w:r>
                </w:p>
              </w:tc>
              <w:tc>
                <w:tcPr>
                  <w:tcW w:w="549" w:type="pct"/>
                  <w:tcBorders>
                    <w:tl2br w:val="nil"/>
                    <w:tr2bl w:val="nil"/>
                  </w:tcBorders>
                  <w:noWrap w:val="0"/>
                  <w:vAlign w:val="center"/>
                </w:tcPr>
                <w:p w14:paraId="3748852A">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950</w:t>
                  </w:r>
                </w:p>
              </w:tc>
              <w:tc>
                <w:tcPr>
                  <w:tcW w:w="549" w:type="pct"/>
                  <w:tcBorders>
                    <w:tl2br w:val="nil"/>
                    <w:tr2bl w:val="nil"/>
                  </w:tcBorders>
                  <w:noWrap w:val="0"/>
                  <w:vAlign w:val="center"/>
                </w:tcPr>
                <w:p w14:paraId="6471755A">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1050</w:t>
                  </w:r>
                </w:p>
              </w:tc>
            </w:tr>
            <w:tr w14:paraId="5E05A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4" w:type="pct"/>
                  <w:tcBorders>
                    <w:tl2br w:val="nil"/>
                    <w:tr2bl w:val="nil"/>
                  </w:tcBorders>
                  <w:noWrap w:val="0"/>
                  <w:vAlign w:val="center"/>
                </w:tcPr>
                <w:p w14:paraId="548E8BF2">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沉降速度</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r>
                    <w:rPr>
                      <w:rFonts w:hint="default" w:ascii="Times New Roman" w:hAnsi="Times New Roman" w:eastAsia="宋体" w:cs="Times New Roman"/>
                      <w:b w:val="0"/>
                      <w:bCs/>
                      <w:caps w:val="0"/>
                      <w:smallCaps w:val="0"/>
                      <w:color w:val="auto"/>
                      <w:spacing w:val="0"/>
                      <w:w w:val="100"/>
                      <w:kern w:val="2"/>
                      <w:position w:val="0"/>
                      <w:sz w:val="21"/>
                      <w:szCs w:val="21"/>
                      <w:highlight w:val="none"/>
                    </w:rPr>
                    <w:t>m/s</w:t>
                  </w:r>
                  <w:r>
                    <w:rPr>
                      <w:rFonts w:hint="eastAsia" w:ascii="Times New Roman" w:hAnsi="Times New Roman" w:eastAsia="宋体" w:cs="Times New Roman"/>
                      <w:b w:val="0"/>
                      <w:bCs/>
                      <w:caps w:val="0"/>
                      <w:smallCaps w:val="0"/>
                      <w:color w:val="auto"/>
                      <w:spacing w:val="0"/>
                      <w:w w:val="100"/>
                      <w:kern w:val="2"/>
                      <w:position w:val="0"/>
                      <w:sz w:val="21"/>
                      <w:szCs w:val="21"/>
                      <w:highlight w:val="none"/>
                      <w:lang w:eastAsia="zh-CN"/>
                    </w:rPr>
                    <w:t>）</w:t>
                  </w:r>
                </w:p>
              </w:tc>
              <w:tc>
                <w:tcPr>
                  <w:tcW w:w="549" w:type="pct"/>
                  <w:tcBorders>
                    <w:tl2br w:val="nil"/>
                    <w:tr2bl w:val="nil"/>
                  </w:tcBorders>
                  <w:noWrap w:val="0"/>
                  <w:vAlign w:val="center"/>
                </w:tcPr>
                <w:p w14:paraId="18F82BE9">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2.211</w:t>
                  </w:r>
                </w:p>
              </w:tc>
              <w:tc>
                <w:tcPr>
                  <w:tcW w:w="549" w:type="pct"/>
                  <w:tcBorders>
                    <w:tl2br w:val="nil"/>
                    <w:tr2bl w:val="nil"/>
                  </w:tcBorders>
                  <w:noWrap w:val="0"/>
                  <w:vAlign w:val="center"/>
                </w:tcPr>
                <w:p w14:paraId="0D64316C">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2.614</w:t>
                  </w:r>
                </w:p>
              </w:tc>
              <w:tc>
                <w:tcPr>
                  <w:tcW w:w="549" w:type="pct"/>
                  <w:tcBorders>
                    <w:tl2br w:val="nil"/>
                    <w:tr2bl w:val="nil"/>
                  </w:tcBorders>
                  <w:noWrap w:val="0"/>
                  <w:vAlign w:val="center"/>
                </w:tcPr>
                <w:p w14:paraId="357378D1">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3.016</w:t>
                  </w:r>
                </w:p>
              </w:tc>
              <w:tc>
                <w:tcPr>
                  <w:tcW w:w="549" w:type="pct"/>
                  <w:tcBorders>
                    <w:tl2br w:val="nil"/>
                    <w:tr2bl w:val="nil"/>
                  </w:tcBorders>
                  <w:noWrap w:val="0"/>
                  <w:vAlign w:val="center"/>
                </w:tcPr>
                <w:p w14:paraId="28F70211">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3.418</w:t>
                  </w:r>
                </w:p>
              </w:tc>
              <w:tc>
                <w:tcPr>
                  <w:tcW w:w="549" w:type="pct"/>
                  <w:tcBorders>
                    <w:tl2br w:val="nil"/>
                    <w:tr2bl w:val="nil"/>
                  </w:tcBorders>
                  <w:noWrap w:val="0"/>
                  <w:vAlign w:val="center"/>
                </w:tcPr>
                <w:p w14:paraId="0089DE88">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3.820</w:t>
                  </w:r>
                </w:p>
              </w:tc>
              <w:tc>
                <w:tcPr>
                  <w:tcW w:w="549" w:type="pct"/>
                  <w:tcBorders>
                    <w:tl2br w:val="nil"/>
                    <w:tr2bl w:val="nil"/>
                  </w:tcBorders>
                  <w:noWrap w:val="0"/>
                  <w:vAlign w:val="center"/>
                </w:tcPr>
                <w:p w14:paraId="2F0400BE">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4.222</w:t>
                  </w:r>
                </w:p>
              </w:tc>
              <w:tc>
                <w:tcPr>
                  <w:tcW w:w="549" w:type="pct"/>
                  <w:tcBorders>
                    <w:tl2br w:val="nil"/>
                    <w:tr2bl w:val="nil"/>
                  </w:tcBorders>
                  <w:noWrap w:val="0"/>
                  <w:vAlign w:val="center"/>
                </w:tcPr>
                <w:p w14:paraId="678F0C10">
                  <w:pPr>
                    <w:pageBreakBefore w:val="0"/>
                    <w:wordWrap/>
                    <w:topLinePunct w:val="0"/>
                    <w:bidi w:val="0"/>
                    <w:spacing w:beforeAutospacing="0" w:afterAutospacing="0"/>
                    <w:ind w:left="0" w:leftChars="0" w:right="0" w:firstLine="0" w:firstLineChars="0"/>
                    <w:jc w:val="center"/>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4.624</w:t>
                  </w:r>
                </w:p>
              </w:tc>
            </w:tr>
          </w:tbl>
          <w:p w14:paraId="03013A43">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由上表可知，粉尘的沉降速度随粒径的增大而迅速增大。当粒径为250μm时，沉降速度为1.005m/s，因此可以认为当尘粒大于250μm时，主要影响范围在扬尘点下风向近距离范围内，而真正对外环境产生影响的是一些微小粒径的粉尘。</w:t>
            </w:r>
          </w:p>
          <w:p w14:paraId="49F62E55">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起尘风速与粒径和含水量有关。因此，减少露天堆放和保证一定的含水量及减少裸露地面是减少风力起尘的有效手段。采取洒水降尘措施后，扬尘可减少70%。另外，按环评提出其余措施实施后，可进一步</w:t>
            </w:r>
            <w:r>
              <w:rPr>
                <w:rFonts w:hint="eastAsia" w:ascii="Times New Roman" w:hAnsi="Times New Roman" w:eastAsia="宋体" w:cs="Times New Roman"/>
                <w:caps w:val="0"/>
                <w:smallCaps w:val="0"/>
                <w:color w:val="auto"/>
                <w:spacing w:val="0"/>
                <w:w w:val="100"/>
                <w:kern w:val="2"/>
                <w:position w:val="0"/>
                <w:sz w:val="24"/>
                <w:highlight w:val="none"/>
                <w:lang w:eastAsia="zh-CN"/>
              </w:rPr>
              <w:t>减少</w:t>
            </w:r>
            <w:r>
              <w:rPr>
                <w:rFonts w:hint="default" w:ascii="Times New Roman" w:hAnsi="Times New Roman" w:eastAsia="宋体" w:cs="Times New Roman"/>
                <w:caps w:val="0"/>
                <w:smallCaps w:val="0"/>
                <w:color w:val="auto"/>
                <w:spacing w:val="0"/>
                <w:w w:val="100"/>
                <w:kern w:val="2"/>
                <w:position w:val="0"/>
                <w:sz w:val="24"/>
                <w:highlight w:val="none"/>
              </w:rPr>
              <w:t>扬尘产生量，从而减小对周围环境的影响。</w:t>
            </w:r>
          </w:p>
          <w:p w14:paraId="7AFF458B">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2</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交通运输车辆引起的道路扬尘</w:t>
            </w:r>
          </w:p>
          <w:p w14:paraId="1DBBD0D8">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根据有关文献资料介绍，施工过程中，车辆行驶产生的扬尘占总扬尘的60%以上。车辆行驶产生的扬尘，在完全干燥的情况下，可按以下经验公式计算：</w:t>
            </w:r>
          </w:p>
          <w:p w14:paraId="058E1D42">
            <w:pPr>
              <w:pageBreakBefore w:val="0"/>
              <w:tabs>
                <w:tab w:val="left" w:pos="0"/>
                <w:tab w:val="left" w:pos="870"/>
                <w:tab w:val="left" w:pos="3150"/>
              </w:tabs>
              <w:wordWrap/>
              <w:topLinePunct w:val="0"/>
              <w:autoSpaceDE w:val="0"/>
              <w:autoSpaceDN w:val="0"/>
              <w:bidi w:val="0"/>
              <w:spacing w:beforeAutospacing="0" w:afterAutospacing="0" w:line="360" w:lineRule="auto"/>
              <w:ind w:left="0" w:leftChars="0" w:right="0" w:firstLine="420"/>
              <w:jc w:val="center"/>
              <w:rPr>
                <w:rFonts w:hint="default" w:ascii="Times New Roman" w:hAnsi="Times New Roman" w:eastAsia="宋体" w:cs="Times New Roman"/>
                <w:caps w:val="0"/>
                <w:smallCaps w:val="0"/>
                <w:color w:val="auto"/>
                <w:spacing w:val="0"/>
                <w:w w:val="100"/>
                <w:kern w:val="2"/>
                <w:position w:val="0"/>
                <w:szCs w:val="21"/>
                <w:highlight w:val="none"/>
              </w:rPr>
            </w:pPr>
            <w:r>
              <w:rPr>
                <w:rFonts w:hint="default" w:ascii="Times New Roman" w:hAnsi="Times New Roman" w:eastAsia="宋体" w:cs="Times New Roman"/>
                <w:caps w:val="0"/>
                <w:smallCaps w:val="0"/>
                <w:color w:val="auto"/>
                <w:spacing w:val="0"/>
                <w:w w:val="100"/>
                <w:kern w:val="2"/>
                <w:position w:val="0"/>
                <w:szCs w:val="21"/>
                <w:highlight w:val="none"/>
              </w:rPr>
              <w:drawing>
                <wp:inline distT="0" distB="0" distL="114300" distR="114300">
                  <wp:extent cx="2065655" cy="333375"/>
                  <wp:effectExtent l="0" t="0" r="10795" b="8255"/>
                  <wp:docPr id="1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7"/>
                          <pic:cNvPicPr>
                            <a:picLocks noChangeAspect="1"/>
                          </pic:cNvPicPr>
                        </pic:nvPicPr>
                        <pic:blipFill>
                          <a:blip r:embed="rId24"/>
                          <a:stretch>
                            <a:fillRect/>
                          </a:stretch>
                        </pic:blipFill>
                        <pic:spPr>
                          <a:xfrm>
                            <a:off x="0" y="0"/>
                            <a:ext cx="2065655" cy="333375"/>
                          </a:xfrm>
                          <a:prstGeom prst="rect">
                            <a:avLst/>
                          </a:prstGeom>
                          <a:noFill/>
                          <a:ln>
                            <a:noFill/>
                          </a:ln>
                        </pic:spPr>
                      </pic:pic>
                    </a:graphicData>
                  </a:graphic>
                </wp:inline>
              </w:drawing>
            </w:r>
          </w:p>
          <w:p w14:paraId="42A4949B">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式中：Q——汽车行驶的扬尘，kg/km•辆；</w:t>
            </w:r>
          </w:p>
          <w:p w14:paraId="1C160F3A">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V——汽车行驶速度，km/h；</w:t>
            </w:r>
          </w:p>
          <w:p w14:paraId="5D85AA4B">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W——汽车载重量，t；</w:t>
            </w:r>
          </w:p>
          <w:p w14:paraId="37C7638A">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P——道路表面粉尘量，kg/m</w:t>
            </w:r>
            <w:r>
              <w:rPr>
                <w:rFonts w:hint="default" w:ascii="Times New Roman" w:hAnsi="Times New Roman" w:eastAsia="宋体" w:cs="Times New Roman"/>
                <w:caps w:val="0"/>
                <w:smallCaps w:val="0"/>
                <w:color w:val="auto"/>
                <w:spacing w:val="0"/>
                <w:w w:val="100"/>
                <w:kern w:val="2"/>
                <w:position w:val="0"/>
                <w:sz w:val="24"/>
                <w:highlight w:val="none"/>
                <w:vertAlign w:val="superscript"/>
              </w:rPr>
              <w:t>2</w:t>
            </w:r>
            <w:r>
              <w:rPr>
                <w:rFonts w:hint="default" w:ascii="Times New Roman" w:hAnsi="Times New Roman" w:eastAsia="宋体" w:cs="Times New Roman"/>
                <w:caps w:val="0"/>
                <w:smallCaps w:val="0"/>
                <w:color w:val="auto"/>
                <w:spacing w:val="0"/>
                <w:w w:val="100"/>
                <w:kern w:val="2"/>
                <w:position w:val="0"/>
                <w:sz w:val="24"/>
                <w:highlight w:val="none"/>
              </w:rPr>
              <w:t>。</w:t>
            </w:r>
          </w:p>
          <w:p w14:paraId="7DAC3CD3">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下表为一辆10吨卡车通过一段长度为1km的路面时，不同路面清洁程度、不同行驶速度条件下产生的扬尘量。</w:t>
            </w:r>
          </w:p>
          <w:p w14:paraId="66D996C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422" w:firstLineChars="200"/>
              <w:textAlignment w:val="auto"/>
              <w:rPr>
                <w:rFonts w:hint="default" w:cs="Times New Roman"/>
                <w:b/>
                <w:bCs/>
                <w:caps w:val="0"/>
                <w:smallCaps w:val="0"/>
                <w:snapToGrid w:val="0"/>
                <w:color w:val="auto"/>
                <w:spacing w:val="0"/>
                <w:w w:val="100"/>
                <w:kern w:val="2"/>
                <w:position w:val="0"/>
                <w:sz w:val="21"/>
                <w:szCs w:val="21"/>
                <w:highlight w:val="none"/>
                <w:lang w:val="en-US" w:eastAsia="zh-CN" w:bidi="ar-SA"/>
              </w:rPr>
            </w:pPr>
            <w:bookmarkStart w:id="8" w:name="_Ref349036035"/>
            <w:bookmarkStart w:id="9" w:name="_Toc301546134"/>
            <w:bookmarkStart w:id="10" w:name="_Toc381011238"/>
            <w:bookmarkStart w:id="11" w:name="_Toc292306495"/>
            <w:bookmarkStart w:id="12" w:name="_Toc372525589"/>
            <w:bookmarkStart w:id="13" w:name="_Toc335867103"/>
            <w:r>
              <w:rPr>
                <w:rFonts w:hint="default" w:cs="Times New Roman"/>
                <w:b/>
                <w:bCs/>
                <w:caps w:val="0"/>
                <w:smallCaps w:val="0"/>
                <w:snapToGrid w:val="0"/>
                <w:color w:val="auto"/>
                <w:spacing w:val="0"/>
                <w:w w:val="100"/>
                <w:kern w:val="2"/>
                <w:position w:val="0"/>
                <w:sz w:val="21"/>
                <w:szCs w:val="21"/>
                <w:highlight w:val="none"/>
                <w:lang w:val="en-US" w:eastAsia="zh-CN" w:bidi="ar-SA"/>
              </w:rPr>
              <w:t>表</w:t>
            </w:r>
            <w:bookmarkEnd w:id="8"/>
            <w:r>
              <w:rPr>
                <w:rFonts w:hint="default" w:cs="Times New Roman"/>
                <w:b/>
                <w:bCs/>
                <w:caps w:val="0"/>
                <w:smallCaps w:val="0"/>
                <w:snapToGrid w:val="0"/>
                <w:color w:val="auto"/>
                <w:spacing w:val="0"/>
                <w:w w:val="100"/>
                <w:kern w:val="2"/>
                <w:position w:val="0"/>
                <w:sz w:val="21"/>
                <w:szCs w:val="21"/>
                <w:highlight w:val="none"/>
                <w:lang w:val="en-US" w:eastAsia="zh-CN" w:bidi="ar-SA"/>
              </w:rPr>
              <w:t>4-</w:t>
            </w:r>
            <w:r>
              <w:rPr>
                <w:rFonts w:hint="eastAsia" w:cs="Times New Roman"/>
                <w:b/>
                <w:bCs/>
                <w:caps w:val="0"/>
                <w:smallCaps w:val="0"/>
                <w:snapToGrid w:val="0"/>
                <w:color w:val="auto"/>
                <w:spacing w:val="0"/>
                <w:w w:val="100"/>
                <w:kern w:val="2"/>
                <w:position w:val="0"/>
                <w:sz w:val="21"/>
                <w:szCs w:val="21"/>
                <w:highlight w:val="none"/>
                <w:lang w:val="en-US" w:eastAsia="zh-CN" w:bidi="ar-SA"/>
              </w:rPr>
              <w:t xml:space="preserve">2                </w:t>
            </w:r>
            <w:r>
              <w:rPr>
                <w:rFonts w:hint="default" w:cs="Times New Roman"/>
                <w:b/>
                <w:bCs/>
                <w:caps w:val="0"/>
                <w:smallCaps w:val="0"/>
                <w:snapToGrid w:val="0"/>
                <w:color w:val="auto"/>
                <w:spacing w:val="0"/>
                <w:w w:val="100"/>
                <w:kern w:val="2"/>
                <w:position w:val="0"/>
                <w:sz w:val="21"/>
                <w:szCs w:val="21"/>
                <w:highlight w:val="none"/>
                <w:lang w:val="en-US" w:eastAsia="zh-CN" w:bidi="ar-SA"/>
              </w:rPr>
              <w:t>不同车速和路面清洁程度条件下的汽车扬尘</w:t>
            </w:r>
            <w:bookmarkEnd w:id="9"/>
            <w:bookmarkEnd w:id="10"/>
            <w:bookmarkEnd w:id="11"/>
            <w:bookmarkEnd w:id="12"/>
            <w:bookmarkEnd w:id="13"/>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1246"/>
              <w:gridCol w:w="1246"/>
              <w:gridCol w:w="1246"/>
              <w:gridCol w:w="1246"/>
              <w:gridCol w:w="1246"/>
            </w:tblGrid>
            <w:tr w14:paraId="4244B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8" w:type="pct"/>
                  <w:tcBorders>
                    <w:tl2br w:val="nil"/>
                    <w:tr2bl w:val="nil"/>
                  </w:tcBorders>
                  <w:noWrap w:val="0"/>
                  <w:vAlign w:val="center"/>
                </w:tcPr>
                <w:p w14:paraId="488C67DD">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right"/>
                    <w:textAlignment w:val="baseline"/>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粉尘量</w:t>
                  </w:r>
                </w:p>
                <w:p w14:paraId="0D69EE78">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left"/>
                    <w:textAlignment w:val="baseline"/>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车速</w:t>
                  </w:r>
                </w:p>
              </w:tc>
              <w:tc>
                <w:tcPr>
                  <w:tcW w:w="806" w:type="pct"/>
                  <w:tcBorders>
                    <w:tl2br w:val="nil"/>
                    <w:tr2bl w:val="nil"/>
                  </w:tcBorders>
                  <w:noWrap w:val="0"/>
                  <w:vAlign w:val="center"/>
                </w:tcPr>
                <w:p w14:paraId="6E60083F">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0.1kg/m</w:t>
                  </w:r>
                  <w:r>
                    <w:rPr>
                      <w:rFonts w:hint="default" w:ascii="Times New Roman" w:hAnsi="Times New Roman" w:eastAsia="宋体" w:cs="Times New Roman"/>
                      <w:b/>
                      <w:bCs/>
                      <w:caps w:val="0"/>
                      <w:smallCaps w:val="0"/>
                      <w:color w:val="auto"/>
                      <w:spacing w:val="0"/>
                      <w:w w:val="100"/>
                      <w:kern w:val="2"/>
                      <w:position w:val="0"/>
                      <w:sz w:val="21"/>
                      <w:szCs w:val="21"/>
                      <w:highlight w:val="none"/>
                      <w:vertAlign w:val="superscript"/>
                    </w:rPr>
                    <w:t>2</w:t>
                  </w:r>
                </w:p>
              </w:tc>
              <w:tc>
                <w:tcPr>
                  <w:tcW w:w="806" w:type="pct"/>
                  <w:tcBorders>
                    <w:tl2br w:val="nil"/>
                    <w:tr2bl w:val="nil"/>
                  </w:tcBorders>
                  <w:noWrap w:val="0"/>
                  <w:vAlign w:val="center"/>
                </w:tcPr>
                <w:p w14:paraId="2B1E2E39">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0.2kg/m</w:t>
                  </w:r>
                  <w:r>
                    <w:rPr>
                      <w:rFonts w:hint="default" w:ascii="Times New Roman" w:hAnsi="Times New Roman" w:eastAsia="宋体" w:cs="Times New Roman"/>
                      <w:b/>
                      <w:bCs/>
                      <w:caps w:val="0"/>
                      <w:smallCaps w:val="0"/>
                      <w:color w:val="auto"/>
                      <w:spacing w:val="0"/>
                      <w:w w:val="100"/>
                      <w:kern w:val="2"/>
                      <w:position w:val="0"/>
                      <w:sz w:val="21"/>
                      <w:szCs w:val="21"/>
                      <w:highlight w:val="none"/>
                      <w:vertAlign w:val="superscript"/>
                    </w:rPr>
                    <w:t>2</w:t>
                  </w:r>
                </w:p>
              </w:tc>
              <w:tc>
                <w:tcPr>
                  <w:tcW w:w="806" w:type="pct"/>
                  <w:tcBorders>
                    <w:tl2br w:val="nil"/>
                    <w:tr2bl w:val="nil"/>
                  </w:tcBorders>
                  <w:noWrap w:val="0"/>
                  <w:vAlign w:val="center"/>
                </w:tcPr>
                <w:p w14:paraId="7FAE5E20">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0.3kg/m</w:t>
                  </w:r>
                  <w:r>
                    <w:rPr>
                      <w:rFonts w:hint="default" w:ascii="Times New Roman" w:hAnsi="Times New Roman" w:eastAsia="宋体" w:cs="Times New Roman"/>
                      <w:b/>
                      <w:bCs/>
                      <w:caps w:val="0"/>
                      <w:smallCaps w:val="0"/>
                      <w:color w:val="auto"/>
                      <w:spacing w:val="0"/>
                      <w:w w:val="100"/>
                      <w:kern w:val="2"/>
                      <w:position w:val="0"/>
                      <w:sz w:val="21"/>
                      <w:szCs w:val="21"/>
                      <w:highlight w:val="none"/>
                      <w:vertAlign w:val="superscript"/>
                    </w:rPr>
                    <w:t>2</w:t>
                  </w:r>
                </w:p>
              </w:tc>
              <w:tc>
                <w:tcPr>
                  <w:tcW w:w="806" w:type="pct"/>
                  <w:tcBorders>
                    <w:tl2br w:val="nil"/>
                    <w:tr2bl w:val="nil"/>
                  </w:tcBorders>
                  <w:noWrap w:val="0"/>
                  <w:vAlign w:val="center"/>
                </w:tcPr>
                <w:p w14:paraId="3879A1B2">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0.4kg/m</w:t>
                  </w:r>
                  <w:r>
                    <w:rPr>
                      <w:rFonts w:hint="default" w:ascii="Times New Roman" w:hAnsi="Times New Roman" w:eastAsia="宋体" w:cs="Times New Roman"/>
                      <w:b/>
                      <w:bCs/>
                      <w:caps w:val="0"/>
                      <w:smallCaps w:val="0"/>
                      <w:color w:val="auto"/>
                      <w:spacing w:val="0"/>
                      <w:w w:val="100"/>
                      <w:kern w:val="2"/>
                      <w:position w:val="0"/>
                      <w:sz w:val="21"/>
                      <w:szCs w:val="21"/>
                      <w:highlight w:val="none"/>
                      <w:vertAlign w:val="superscript"/>
                    </w:rPr>
                    <w:t>2</w:t>
                  </w:r>
                </w:p>
              </w:tc>
              <w:tc>
                <w:tcPr>
                  <w:tcW w:w="806" w:type="pct"/>
                  <w:tcBorders>
                    <w:tl2br w:val="nil"/>
                    <w:tr2bl w:val="nil"/>
                  </w:tcBorders>
                  <w:noWrap w:val="0"/>
                  <w:vAlign w:val="center"/>
                </w:tcPr>
                <w:p w14:paraId="7B4F7000">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0.5kg/m</w:t>
                  </w:r>
                  <w:r>
                    <w:rPr>
                      <w:rFonts w:hint="default" w:ascii="Times New Roman" w:hAnsi="Times New Roman" w:eastAsia="宋体" w:cs="Times New Roman"/>
                      <w:b/>
                      <w:bCs/>
                      <w:caps w:val="0"/>
                      <w:smallCaps w:val="0"/>
                      <w:color w:val="auto"/>
                      <w:spacing w:val="0"/>
                      <w:w w:val="100"/>
                      <w:kern w:val="2"/>
                      <w:position w:val="0"/>
                      <w:sz w:val="21"/>
                      <w:szCs w:val="21"/>
                      <w:highlight w:val="none"/>
                      <w:vertAlign w:val="superscript"/>
                    </w:rPr>
                    <w:t>2</w:t>
                  </w:r>
                </w:p>
              </w:tc>
            </w:tr>
            <w:tr w14:paraId="42A99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8" w:type="pct"/>
                  <w:tcBorders>
                    <w:tl2br w:val="nil"/>
                    <w:tr2bl w:val="nil"/>
                  </w:tcBorders>
                  <w:noWrap w:val="0"/>
                  <w:vAlign w:val="center"/>
                </w:tcPr>
                <w:p w14:paraId="40B8CFE5">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5km/h</w:t>
                  </w:r>
                </w:p>
              </w:tc>
              <w:tc>
                <w:tcPr>
                  <w:tcW w:w="806" w:type="pct"/>
                  <w:tcBorders>
                    <w:tl2br w:val="nil"/>
                    <w:tr2bl w:val="nil"/>
                  </w:tcBorders>
                  <w:noWrap w:val="0"/>
                  <w:vAlign w:val="center"/>
                </w:tcPr>
                <w:p w14:paraId="6E3755F1">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0.0511</w:t>
                  </w:r>
                </w:p>
              </w:tc>
              <w:tc>
                <w:tcPr>
                  <w:tcW w:w="806" w:type="pct"/>
                  <w:tcBorders>
                    <w:tl2br w:val="nil"/>
                    <w:tr2bl w:val="nil"/>
                  </w:tcBorders>
                  <w:noWrap w:val="0"/>
                  <w:vAlign w:val="center"/>
                </w:tcPr>
                <w:p w14:paraId="2E63E36E">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0.0859</w:t>
                  </w:r>
                </w:p>
              </w:tc>
              <w:tc>
                <w:tcPr>
                  <w:tcW w:w="806" w:type="pct"/>
                  <w:tcBorders>
                    <w:tl2br w:val="nil"/>
                    <w:tr2bl w:val="nil"/>
                  </w:tcBorders>
                  <w:noWrap w:val="0"/>
                  <w:vAlign w:val="center"/>
                </w:tcPr>
                <w:p w14:paraId="07B13E86">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0.1164</w:t>
                  </w:r>
                </w:p>
              </w:tc>
              <w:tc>
                <w:tcPr>
                  <w:tcW w:w="806" w:type="pct"/>
                  <w:tcBorders>
                    <w:tl2br w:val="nil"/>
                    <w:tr2bl w:val="nil"/>
                  </w:tcBorders>
                  <w:noWrap w:val="0"/>
                  <w:vAlign w:val="center"/>
                </w:tcPr>
                <w:p w14:paraId="15E03E54">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0.1444</w:t>
                  </w:r>
                </w:p>
              </w:tc>
              <w:tc>
                <w:tcPr>
                  <w:tcW w:w="806" w:type="pct"/>
                  <w:tcBorders>
                    <w:tl2br w:val="nil"/>
                    <w:tr2bl w:val="nil"/>
                  </w:tcBorders>
                  <w:noWrap w:val="0"/>
                  <w:vAlign w:val="center"/>
                </w:tcPr>
                <w:p w14:paraId="094222F8">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0.1707</w:t>
                  </w:r>
                </w:p>
              </w:tc>
            </w:tr>
            <w:tr w14:paraId="3C04B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8" w:type="pct"/>
                  <w:tcBorders>
                    <w:tl2br w:val="nil"/>
                    <w:tr2bl w:val="nil"/>
                  </w:tcBorders>
                  <w:noWrap w:val="0"/>
                  <w:vAlign w:val="center"/>
                </w:tcPr>
                <w:p w14:paraId="3FFA14B8">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10km/h</w:t>
                  </w:r>
                </w:p>
              </w:tc>
              <w:tc>
                <w:tcPr>
                  <w:tcW w:w="806" w:type="pct"/>
                  <w:tcBorders>
                    <w:tl2br w:val="nil"/>
                    <w:tr2bl w:val="nil"/>
                  </w:tcBorders>
                  <w:noWrap w:val="0"/>
                  <w:vAlign w:val="center"/>
                </w:tcPr>
                <w:p w14:paraId="3A508F0C">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0.1021</w:t>
                  </w:r>
                </w:p>
              </w:tc>
              <w:tc>
                <w:tcPr>
                  <w:tcW w:w="806" w:type="pct"/>
                  <w:tcBorders>
                    <w:tl2br w:val="nil"/>
                    <w:tr2bl w:val="nil"/>
                  </w:tcBorders>
                  <w:noWrap w:val="0"/>
                  <w:vAlign w:val="center"/>
                </w:tcPr>
                <w:p w14:paraId="64811946">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0.1717</w:t>
                  </w:r>
                </w:p>
              </w:tc>
              <w:tc>
                <w:tcPr>
                  <w:tcW w:w="806" w:type="pct"/>
                  <w:tcBorders>
                    <w:tl2br w:val="nil"/>
                    <w:tr2bl w:val="nil"/>
                  </w:tcBorders>
                  <w:noWrap w:val="0"/>
                  <w:vAlign w:val="center"/>
                </w:tcPr>
                <w:p w14:paraId="6154AF35">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0.2328</w:t>
                  </w:r>
                </w:p>
              </w:tc>
              <w:tc>
                <w:tcPr>
                  <w:tcW w:w="806" w:type="pct"/>
                  <w:tcBorders>
                    <w:tl2br w:val="nil"/>
                    <w:tr2bl w:val="nil"/>
                  </w:tcBorders>
                  <w:noWrap w:val="0"/>
                  <w:vAlign w:val="center"/>
                </w:tcPr>
                <w:p w14:paraId="700F14ED">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0.2888</w:t>
                  </w:r>
                </w:p>
              </w:tc>
              <w:tc>
                <w:tcPr>
                  <w:tcW w:w="806" w:type="pct"/>
                  <w:tcBorders>
                    <w:tl2br w:val="nil"/>
                    <w:tr2bl w:val="nil"/>
                  </w:tcBorders>
                  <w:noWrap w:val="0"/>
                  <w:vAlign w:val="center"/>
                </w:tcPr>
                <w:p w14:paraId="70B00229">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0.3414</w:t>
                  </w:r>
                </w:p>
              </w:tc>
            </w:tr>
            <w:tr w14:paraId="529195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8" w:type="pct"/>
                  <w:tcBorders>
                    <w:tl2br w:val="nil"/>
                    <w:tr2bl w:val="nil"/>
                  </w:tcBorders>
                  <w:noWrap w:val="0"/>
                  <w:vAlign w:val="center"/>
                </w:tcPr>
                <w:p w14:paraId="6689E3CD">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15km/h</w:t>
                  </w:r>
                </w:p>
              </w:tc>
              <w:tc>
                <w:tcPr>
                  <w:tcW w:w="806" w:type="pct"/>
                  <w:tcBorders>
                    <w:tl2br w:val="nil"/>
                    <w:tr2bl w:val="nil"/>
                  </w:tcBorders>
                  <w:noWrap w:val="0"/>
                  <w:vAlign w:val="center"/>
                </w:tcPr>
                <w:p w14:paraId="203F97E4">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0.1532</w:t>
                  </w:r>
                </w:p>
              </w:tc>
              <w:tc>
                <w:tcPr>
                  <w:tcW w:w="806" w:type="pct"/>
                  <w:tcBorders>
                    <w:tl2br w:val="nil"/>
                    <w:tr2bl w:val="nil"/>
                  </w:tcBorders>
                  <w:noWrap w:val="0"/>
                  <w:vAlign w:val="center"/>
                </w:tcPr>
                <w:p w14:paraId="0D3CC48C">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0.2576</w:t>
                  </w:r>
                </w:p>
              </w:tc>
              <w:tc>
                <w:tcPr>
                  <w:tcW w:w="806" w:type="pct"/>
                  <w:tcBorders>
                    <w:tl2br w:val="nil"/>
                    <w:tr2bl w:val="nil"/>
                  </w:tcBorders>
                  <w:noWrap w:val="0"/>
                  <w:vAlign w:val="center"/>
                </w:tcPr>
                <w:p w14:paraId="08049B6E">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0.3491</w:t>
                  </w:r>
                </w:p>
              </w:tc>
              <w:tc>
                <w:tcPr>
                  <w:tcW w:w="806" w:type="pct"/>
                  <w:tcBorders>
                    <w:tl2br w:val="nil"/>
                    <w:tr2bl w:val="nil"/>
                  </w:tcBorders>
                  <w:noWrap w:val="0"/>
                  <w:vAlign w:val="center"/>
                </w:tcPr>
                <w:p w14:paraId="1953932E">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0.4332</w:t>
                  </w:r>
                </w:p>
              </w:tc>
              <w:tc>
                <w:tcPr>
                  <w:tcW w:w="806" w:type="pct"/>
                  <w:tcBorders>
                    <w:tl2br w:val="nil"/>
                    <w:tr2bl w:val="nil"/>
                  </w:tcBorders>
                  <w:noWrap w:val="0"/>
                  <w:vAlign w:val="center"/>
                </w:tcPr>
                <w:p w14:paraId="3C6BCF65">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0.5121</w:t>
                  </w:r>
                </w:p>
              </w:tc>
            </w:tr>
            <w:tr w14:paraId="35C125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8" w:type="pct"/>
                  <w:tcBorders>
                    <w:tl2br w:val="nil"/>
                    <w:tr2bl w:val="nil"/>
                  </w:tcBorders>
                  <w:noWrap w:val="0"/>
                  <w:vAlign w:val="center"/>
                </w:tcPr>
                <w:p w14:paraId="67C1D9F7">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25km/h</w:t>
                  </w:r>
                </w:p>
              </w:tc>
              <w:tc>
                <w:tcPr>
                  <w:tcW w:w="806" w:type="pct"/>
                  <w:tcBorders>
                    <w:tl2br w:val="nil"/>
                    <w:tr2bl w:val="nil"/>
                  </w:tcBorders>
                  <w:noWrap w:val="0"/>
                  <w:vAlign w:val="center"/>
                </w:tcPr>
                <w:p w14:paraId="06142F1D">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0.2553</w:t>
                  </w:r>
                </w:p>
              </w:tc>
              <w:tc>
                <w:tcPr>
                  <w:tcW w:w="806" w:type="pct"/>
                  <w:tcBorders>
                    <w:tl2br w:val="nil"/>
                    <w:tr2bl w:val="nil"/>
                  </w:tcBorders>
                  <w:noWrap w:val="0"/>
                  <w:vAlign w:val="center"/>
                </w:tcPr>
                <w:p w14:paraId="07415FD9">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0.4293</w:t>
                  </w:r>
                </w:p>
              </w:tc>
              <w:tc>
                <w:tcPr>
                  <w:tcW w:w="806" w:type="pct"/>
                  <w:tcBorders>
                    <w:tl2br w:val="nil"/>
                    <w:tr2bl w:val="nil"/>
                  </w:tcBorders>
                  <w:noWrap w:val="0"/>
                  <w:vAlign w:val="center"/>
                </w:tcPr>
                <w:p w14:paraId="30884E75">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0.5819</w:t>
                  </w:r>
                </w:p>
              </w:tc>
              <w:tc>
                <w:tcPr>
                  <w:tcW w:w="806" w:type="pct"/>
                  <w:tcBorders>
                    <w:tl2br w:val="nil"/>
                    <w:tr2bl w:val="nil"/>
                  </w:tcBorders>
                  <w:noWrap w:val="0"/>
                  <w:vAlign w:val="center"/>
                </w:tcPr>
                <w:p w14:paraId="008E3861">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0.722</w:t>
                  </w:r>
                </w:p>
              </w:tc>
              <w:tc>
                <w:tcPr>
                  <w:tcW w:w="806" w:type="pct"/>
                  <w:tcBorders>
                    <w:tl2br w:val="nil"/>
                    <w:tr2bl w:val="nil"/>
                  </w:tcBorders>
                  <w:noWrap w:val="0"/>
                  <w:vAlign w:val="center"/>
                </w:tcPr>
                <w:p w14:paraId="7DC2762A">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val="0"/>
                      <w:caps w:val="0"/>
                      <w:smallCaps w:val="0"/>
                      <w:color w:val="auto"/>
                      <w:spacing w:val="0"/>
                      <w:w w:val="100"/>
                      <w:kern w:val="2"/>
                      <w:position w:val="0"/>
                      <w:sz w:val="21"/>
                      <w:szCs w:val="21"/>
                      <w:highlight w:val="none"/>
                    </w:rPr>
                  </w:pPr>
                  <w:r>
                    <w:rPr>
                      <w:rFonts w:hint="default" w:ascii="Times New Roman" w:hAnsi="Times New Roman" w:eastAsia="宋体" w:cs="Times New Roman"/>
                      <w:b w:val="0"/>
                      <w:bCs w:val="0"/>
                      <w:caps w:val="0"/>
                      <w:smallCaps w:val="0"/>
                      <w:color w:val="auto"/>
                      <w:spacing w:val="0"/>
                      <w:w w:val="100"/>
                      <w:kern w:val="2"/>
                      <w:position w:val="0"/>
                      <w:sz w:val="21"/>
                      <w:szCs w:val="21"/>
                      <w:highlight w:val="none"/>
                    </w:rPr>
                    <w:t>0.8536</w:t>
                  </w:r>
                </w:p>
              </w:tc>
            </w:tr>
          </w:tbl>
          <w:p w14:paraId="11CE32AF">
            <w:pPr>
              <w:pageBreakBefore w:val="0"/>
              <w:wordWrap/>
              <w:topLinePunct w:val="0"/>
              <w:bidi w:val="0"/>
              <w:spacing w:beforeAutospacing="0" w:afterAutospacing="0" w:line="360" w:lineRule="auto"/>
              <w:ind w:left="0" w:leftChars="0" w:right="0" w:firstLine="210" w:firstLineChars="100"/>
              <w:rPr>
                <w:rFonts w:hint="default" w:ascii="Times New Roman" w:hAnsi="Times New Roman" w:eastAsia="宋体" w:cs="Times New Roman"/>
                <w:caps w:val="0"/>
                <w:smallCaps w:val="0"/>
                <w:color w:val="auto"/>
                <w:spacing w:val="0"/>
                <w:w w:val="100"/>
                <w:kern w:val="2"/>
                <w:position w:val="0"/>
                <w:szCs w:val="21"/>
                <w:highlight w:val="none"/>
              </w:rPr>
            </w:pPr>
            <w:r>
              <w:rPr>
                <w:rFonts w:hint="default" w:ascii="Times New Roman" w:hAnsi="Times New Roman" w:eastAsia="宋体" w:cs="Times New Roman"/>
                <w:caps w:val="0"/>
                <w:smallCaps w:val="0"/>
                <w:color w:val="auto"/>
                <w:spacing w:val="0"/>
                <w:w w:val="100"/>
                <w:kern w:val="2"/>
                <w:position w:val="0"/>
                <w:szCs w:val="21"/>
                <w:highlight w:val="none"/>
              </w:rPr>
              <w:t>注：单位为kg/辆•km</w:t>
            </w:r>
          </w:p>
          <w:p w14:paraId="3C2931B6">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由上表可见，在同样路面清洁程度条件下，车速越快，扬尘量越大；在同样车速条件下，路面尘土量越大，扬尘越大。因此，限制施工车辆速度和保持路面清洁是</w:t>
            </w:r>
            <w:r>
              <w:rPr>
                <w:rFonts w:hint="eastAsia" w:ascii="Times New Roman" w:hAnsi="Times New Roman" w:eastAsia="宋体" w:cs="Times New Roman"/>
                <w:caps w:val="0"/>
                <w:smallCaps w:val="0"/>
                <w:color w:val="auto"/>
                <w:spacing w:val="0"/>
                <w:w w:val="100"/>
                <w:kern w:val="2"/>
                <w:position w:val="0"/>
                <w:sz w:val="24"/>
                <w:highlight w:val="none"/>
                <w:lang w:eastAsia="zh-CN"/>
              </w:rPr>
              <w:t>减少</w:t>
            </w:r>
            <w:r>
              <w:rPr>
                <w:rFonts w:hint="default" w:ascii="Times New Roman" w:hAnsi="Times New Roman" w:eastAsia="宋体" w:cs="Times New Roman"/>
                <w:caps w:val="0"/>
                <w:smallCaps w:val="0"/>
                <w:color w:val="auto"/>
                <w:spacing w:val="0"/>
                <w:w w:val="100"/>
                <w:kern w:val="2"/>
                <w:position w:val="0"/>
                <w:sz w:val="24"/>
                <w:highlight w:val="none"/>
              </w:rPr>
              <w:t>扬尘的有效手段。如果施工阶段对汽车行驶路面勤洒水（每天4</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5次），可以使扬尘产生量减少70%左右，收到很好的降尘效果。洒水的试验资料见</w:t>
            </w:r>
            <w:r>
              <w:rPr>
                <w:rFonts w:hint="default" w:ascii="Times New Roman" w:hAnsi="Times New Roman" w:eastAsia="宋体" w:cs="Times New Roman"/>
                <w:caps w:val="0"/>
                <w:smallCaps w:val="0"/>
                <w:color w:val="auto"/>
                <w:spacing w:val="0"/>
                <w:w w:val="100"/>
                <w:kern w:val="2"/>
                <w:position w:val="0"/>
                <w:sz w:val="24"/>
                <w:highlight w:val="none"/>
              </w:rPr>
              <w:fldChar w:fldCharType="begin"/>
            </w:r>
            <w:r>
              <w:rPr>
                <w:rFonts w:hint="default" w:ascii="Times New Roman" w:hAnsi="Times New Roman" w:eastAsia="宋体" w:cs="Times New Roman"/>
                <w:caps w:val="0"/>
                <w:smallCaps w:val="0"/>
                <w:color w:val="auto"/>
                <w:spacing w:val="0"/>
                <w:w w:val="100"/>
                <w:kern w:val="2"/>
                <w:position w:val="0"/>
                <w:sz w:val="24"/>
                <w:highlight w:val="none"/>
              </w:rPr>
              <w:instrText xml:space="preserve"> REF _Ref349050675 \h  \* MERGEFORMAT </w:instrText>
            </w:r>
            <w:r>
              <w:rPr>
                <w:rFonts w:hint="default" w:ascii="Times New Roman" w:hAnsi="Times New Roman" w:eastAsia="宋体" w:cs="Times New Roman"/>
                <w:caps w:val="0"/>
                <w:smallCaps w:val="0"/>
                <w:color w:val="auto"/>
                <w:spacing w:val="0"/>
                <w:w w:val="100"/>
                <w:kern w:val="2"/>
                <w:position w:val="0"/>
                <w:sz w:val="24"/>
                <w:highlight w:val="none"/>
              </w:rPr>
              <w:fldChar w:fldCharType="separate"/>
            </w:r>
            <w:r>
              <w:rPr>
                <w:rFonts w:hint="default" w:ascii="Times New Roman" w:hAnsi="Times New Roman" w:eastAsia="宋体" w:cs="Times New Roman"/>
                <w:caps w:val="0"/>
                <w:smallCaps w:val="0"/>
                <w:color w:val="auto"/>
                <w:spacing w:val="0"/>
                <w:w w:val="100"/>
                <w:kern w:val="2"/>
                <w:position w:val="0"/>
                <w:sz w:val="24"/>
                <w:highlight w:val="none"/>
              </w:rPr>
              <w:t>表</w:t>
            </w:r>
            <w:r>
              <w:rPr>
                <w:rFonts w:hint="default" w:ascii="Times New Roman" w:hAnsi="Times New Roman" w:eastAsia="宋体" w:cs="Times New Roman"/>
                <w:caps w:val="0"/>
                <w:smallCaps w:val="0"/>
                <w:color w:val="auto"/>
                <w:spacing w:val="0"/>
                <w:w w:val="100"/>
                <w:kern w:val="2"/>
                <w:position w:val="0"/>
                <w:sz w:val="24"/>
                <w:highlight w:val="none"/>
              </w:rPr>
              <w:fldChar w:fldCharType="end"/>
            </w:r>
            <w:r>
              <w:rPr>
                <w:rFonts w:hint="default" w:ascii="Times New Roman" w:hAnsi="Times New Roman" w:eastAsia="宋体" w:cs="Times New Roman"/>
                <w:caps w:val="0"/>
                <w:smallCaps w:val="0"/>
                <w:color w:val="auto"/>
                <w:spacing w:val="0"/>
                <w:w w:val="100"/>
                <w:kern w:val="2"/>
                <w:position w:val="0"/>
                <w:sz w:val="24"/>
                <w:highlight w:val="none"/>
              </w:rPr>
              <w:t>。当洒水频率为4</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5次/天时，扬尘造成的TSP污染距离可缩小到20</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50m范围内。</w:t>
            </w:r>
          </w:p>
          <w:p w14:paraId="7C7E34B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422" w:firstLineChars="200"/>
              <w:textAlignment w:val="auto"/>
              <w:rPr>
                <w:rFonts w:hint="default" w:cs="Times New Roman"/>
                <w:b/>
                <w:bCs/>
                <w:caps w:val="0"/>
                <w:smallCaps w:val="0"/>
                <w:snapToGrid w:val="0"/>
                <w:color w:val="auto"/>
                <w:spacing w:val="0"/>
                <w:w w:val="100"/>
                <w:kern w:val="2"/>
                <w:position w:val="0"/>
                <w:sz w:val="21"/>
                <w:szCs w:val="21"/>
                <w:highlight w:val="none"/>
                <w:lang w:val="en-US" w:eastAsia="zh-CN" w:bidi="ar-SA"/>
              </w:rPr>
            </w:pPr>
            <w:bookmarkStart w:id="14" w:name="_Ref349050675"/>
            <w:bookmarkStart w:id="15" w:name="_Toc335867104"/>
            <w:bookmarkStart w:id="16" w:name="_Toc292306496"/>
            <w:bookmarkStart w:id="17" w:name="_Toc301546135"/>
            <w:bookmarkStart w:id="18" w:name="_Toc372525590"/>
            <w:bookmarkStart w:id="19" w:name="_Toc381011239"/>
            <w:r>
              <w:rPr>
                <w:rFonts w:hint="default" w:cs="Times New Roman"/>
                <w:b/>
                <w:bCs/>
                <w:caps w:val="0"/>
                <w:smallCaps w:val="0"/>
                <w:snapToGrid w:val="0"/>
                <w:color w:val="auto"/>
                <w:spacing w:val="0"/>
                <w:w w:val="100"/>
                <w:kern w:val="2"/>
                <w:position w:val="0"/>
                <w:sz w:val="21"/>
                <w:szCs w:val="21"/>
                <w:highlight w:val="none"/>
                <w:lang w:val="en-US" w:eastAsia="zh-CN" w:bidi="ar-SA"/>
              </w:rPr>
              <w:t>表</w:t>
            </w:r>
            <w:bookmarkEnd w:id="14"/>
            <w:r>
              <w:rPr>
                <w:rFonts w:hint="default" w:cs="Times New Roman"/>
                <w:b/>
                <w:bCs/>
                <w:caps w:val="0"/>
                <w:smallCaps w:val="0"/>
                <w:snapToGrid w:val="0"/>
                <w:color w:val="auto"/>
                <w:spacing w:val="0"/>
                <w:w w:val="100"/>
                <w:kern w:val="2"/>
                <w:position w:val="0"/>
                <w:sz w:val="21"/>
                <w:szCs w:val="21"/>
                <w:highlight w:val="none"/>
                <w:lang w:val="en-US" w:eastAsia="zh-CN" w:bidi="ar-SA"/>
              </w:rPr>
              <w:t>4-</w:t>
            </w:r>
            <w:r>
              <w:rPr>
                <w:rFonts w:hint="eastAsia" w:cs="Times New Roman"/>
                <w:b/>
                <w:bCs/>
                <w:caps w:val="0"/>
                <w:smallCaps w:val="0"/>
                <w:snapToGrid w:val="0"/>
                <w:color w:val="auto"/>
                <w:spacing w:val="0"/>
                <w:w w:val="100"/>
                <w:kern w:val="2"/>
                <w:position w:val="0"/>
                <w:sz w:val="21"/>
                <w:szCs w:val="21"/>
                <w:highlight w:val="none"/>
                <w:lang w:val="en-US" w:eastAsia="zh-CN" w:bidi="ar-SA"/>
              </w:rPr>
              <w:t xml:space="preserve">3             </w:t>
            </w:r>
            <w:r>
              <w:rPr>
                <w:rFonts w:hint="default" w:cs="Times New Roman"/>
                <w:b/>
                <w:bCs/>
                <w:caps w:val="0"/>
                <w:smallCaps w:val="0"/>
                <w:snapToGrid w:val="0"/>
                <w:color w:val="auto"/>
                <w:spacing w:val="0"/>
                <w:w w:val="100"/>
                <w:kern w:val="2"/>
                <w:position w:val="0"/>
                <w:sz w:val="21"/>
                <w:szCs w:val="21"/>
                <w:highlight w:val="none"/>
                <w:lang w:val="en-US" w:eastAsia="zh-CN" w:bidi="ar-SA"/>
              </w:rPr>
              <w:t>施工阶段采用洒水车降尘试验结果</w:t>
            </w:r>
            <w:bookmarkEnd w:id="15"/>
            <w:bookmarkEnd w:id="16"/>
            <w:bookmarkEnd w:id="17"/>
            <w:bookmarkEnd w:id="18"/>
            <w:bookmarkEnd w:id="19"/>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972"/>
              <w:gridCol w:w="1268"/>
              <w:gridCol w:w="1239"/>
              <w:gridCol w:w="1239"/>
              <w:gridCol w:w="1415"/>
            </w:tblGrid>
            <w:tr w14:paraId="47B12E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1659" w:type="pct"/>
                  <w:gridSpan w:val="2"/>
                  <w:tcBorders>
                    <w:tl2br w:val="nil"/>
                    <w:tr2bl w:val="nil"/>
                  </w:tcBorders>
                  <w:noWrap w:val="0"/>
                  <w:vAlign w:val="center"/>
                </w:tcPr>
                <w:p w14:paraId="062B9924">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距路边距离（m）</w:t>
                  </w:r>
                </w:p>
              </w:tc>
              <w:tc>
                <w:tcPr>
                  <w:tcW w:w="820" w:type="pct"/>
                  <w:tcBorders>
                    <w:tl2br w:val="nil"/>
                    <w:tr2bl w:val="nil"/>
                  </w:tcBorders>
                  <w:noWrap w:val="0"/>
                  <w:vAlign w:val="center"/>
                </w:tcPr>
                <w:p w14:paraId="074EA6E7">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5</w:t>
                  </w:r>
                </w:p>
              </w:tc>
              <w:tc>
                <w:tcPr>
                  <w:tcW w:w="801" w:type="pct"/>
                  <w:tcBorders>
                    <w:tl2br w:val="nil"/>
                    <w:tr2bl w:val="nil"/>
                  </w:tcBorders>
                  <w:noWrap w:val="0"/>
                  <w:vAlign w:val="center"/>
                </w:tcPr>
                <w:p w14:paraId="2F0FFC45">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20</w:t>
                  </w:r>
                </w:p>
              </w:tc>
              <w:tc>
                <w:tcPr>
                  <w:tcW w:w="801" w:type="pct"/>
                  <w:tcBorders>
                    <w:tl2br w:val="nil"/>
                    <w:tr2bl w:val="nil"/>
                  </w:tcBorders>
                  <w:noWrap w:val="0"/>
                  <w:vAlign w:val="center"/>
                </w:tcPr>
                <w:p w14:paraId="7A424525">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50</w:t>
                  </w:r>
                </w:p>
              </w:tc>
              <w:tc>
                <w:tcPr>
                  <w:tcW w:w="915" w:type="pct"/>
                  <w:tcBorders>
                    <w:tl2br w:val="nil"/>
                    <w:tr2bl w:val="nil"/>
                  </w:tcBorders>
                  <w:noWrap w:val="0"/>
                  <w:vAlign w:val="center"/>
                </w:tcPr>
                <w:p w14:paraId="597340E6">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100</w:t>
                  </w:r>
                </w:p>
              </w:tc>
            </w:tr>
            <w:tr w14:paraId="5A3BE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0" w:type="pct"/>
                  <w:vMerge w:val="restart"/>
                  <w:tcBorders>
                    <w:tl2br w:val="nil"/>
                    <w:tr2bl w:val="nil"/>
                  </w:tcBorders>
                  <w:noWrap w:val="0"/>
                  <w:vAlign w:val="center"/>
                </w:tcPr>
                <w:p w14:paraId="22222C0D">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TSP浓度</w:t>
                  </w:r>
                </w:p>
                <w:p w14:paraId="015C9A52">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（mg/m</w:t>
                  </w:r>
                  <w:r>
                    <w:rPr>
                      <w:rFonts w:hint="default" w:ascii="Times New Roman" w:hAnsi="Times New Roman" w:eastAsia="宋体" w:cs="Times New Roman"/>
                      <w:b w:val="0"/>
                      <w:bCs/>
                      <w:caps w:val="0"/>
                      <w:smallCaps w:val="0"/>
                      <w:color w:val="auto"/>
                      <w:spacing w:val="0"/>
                      <w:w w:val="100"/>
                      <w:kern w:val="2"/>
                      <w:position w:val="0"/>
                      <w:sz w:val="21"/>
                      <w:szCs w:val="21"/>
                      <w:highlight w:val="none"/>
                      <w:vertAlign w:val="superscript"/>
                    </w:rPr>
                    <w:t>3</w:t>
                  </w:r>
                  <w:r>
                    <w:rPr>
                      <w:rFonts w:hint="eastAsia" w:ascii="Times New Roman" w:hAnsi="Times New Roman" w:eastAsia="宋体" w:cs="Times New Roman"/>
                      <w:b w:val="0"/>
                      <w:bCs/>
                      <w:caps w:val="0"/>
                      <w:smallCaps w:val="0"/>
                      <w:color w:val="auto"/>
                      <w:spacing w:val="0"/>
                      <w:w w:val="100"/>
                      <w:kern w:val="2"/>
                      <w:position w:val="0"/>
                      <w:sz w:val="21"/>
                      <w:szCs w:val="21"/>
                      <w:highlight w:val="none"/>
                      <w:vertAlign w:val="superscript"/>
                      <w:lang w:eastAsia="zh-CN"/>
                    </w:rPr>
                    <w:t>)</w:t>
                  </w:r>
                </w:p>
              </w:tc>
              <w:tc>
                <w:tcPr>
                  <w:tcW w:w="629" w:type="pct"/>
                  <w:tcBorders>
                    <w:tl2br w:val="nil"/>
                    <w:tr2bl w:val="nil"/>
                  </w:tcBorders>
                  <w:noWrap w:val="0"/>
                  <w:vAlign w:val="center"/>
                </w:tcPr>
                <w:p w14:paraId="159B45B3">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不洒水</w:t>
                  </w:r>
                </w:p>
              </w:tc>
              <w:tc>
                <w:tcPr>
                  <w:tcW w:w="820" w:type="pct"/>
                  <w:tcBorders>
                    <w:tl2br w:val="nil"/>
                    <w:tr2bl w:val="nil"/>
                  </w:tcBorders>
                  <w:noWrap w:val="0"/>
                  <w:vAlign w:val="center"/>
                </w:tcPr>
                <w:p w14:paraId="31BB0C4D">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10.14</w:t>
                  </w:r>
                </w:p>
              </w:tc>
              <w:tc>
                <w:tcPr>
                  <w:tcW w:w="801" w:type="pct"/>
                  <w:tcBorders>
                    <w:tl2br w:val="nil"/>
                    <w:tr2bl w:val="nil"/>
                  </w:tcBorders>
                  <w:noWrap w:val="0"/>
                  <w:vAlign w:val="center"/>
                </w:tcPr>
                <w:p w14:paraId="081D04F3">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2.81</w:t>
                  </w:r>
                </w:p>
              </w:tc>
              <w:tc>
                <w:tcPr>
                  <w:tcW w:w="801" w:type="pct"/>
                  <w:tcBorders>
                    <w:tl2br w:val="nil"/>
                    <w:tr2bl w:val="nil"/>
                  </w:tcBorders>
                  <w:noWrap w:val="0"/>
                  <w:vAlign w:val="center"/>
                </w:tcPr>
                <w:p w14:paraId="331FF239">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1.15</w:t>
                  </w:r>
                </w:p>
              </w:tc>
              <w:tc>
                <w:tcPr>
                  <w:tcW w:w="915" w:type="pct"/>
                  <w:tcBorders>
                    <w:tl2br w:val="nil"/>
                    <w:tr2bl w:val="nil"/>
                  </w:tcBorders>
                  <w:noWrap w:val="0"/>
                  <w:vAlign w:val="center"/>
                </w:tcPr>
                <w:p w14:paraId="53BAD152">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0.86</w:t>
                  </w:r>
                </w:p>
              </w:tc>
            </w:tr>
            <w:tr w14:paraId="62F2E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0" w:type="pct"/>
                  <w:vMerge w:val="continue"/>
                  <w:tcBorders>
                    <w:tl2br w:val="nil"/>
                    <w:tr2bl w:val="nil"/>
                  </w:tcBorders>
                  <w:noWrap w:val="0"/>
                  <w:vAlign w:val="center"/>
                </w:tcPr>
                <w:p w14:paraId="650771F1">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p>
              </w:tc>
              <w:tc>
                <w:tcPr>
                  <w:tcW w:w="629" w:type="pct"/>
                  <w:tcBorders>
                    <w:tl2br w:val="nil"/>
                    <w:tr2bl w:val="nil"/>
                  </w:tcBorders>
                  <w:noWrap w:val="0"/>
                  <w:vAlign w:val="center"/>
                </w:tcPr>
                <w:p w14:paraId="6EB38D19">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洒水</w:t>
                  </w:r>
                </w:p>
              </w:tc>
              <w:tc>
                <w:tcPr>
                  <w:tcW w:w="820" w:type="pct"/>
                  <w:tcBorders>
                    <w:tl2br w:val="nil"/>
                    <w:tr2bl w:val="nil"/>
                  </w:tcBorders>
                  <w:noWrap w:val="0"/>
                  <w:vAlign w:val="center"/>
                </w:tcPr>
                <w:p w14:paraId="206B734D">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2.01</w:t>
                  </w:r>
                </w:p>
              </w:tc>
              <w:tc>
                <w:tcPr>
                  <w:tcW w:w="801" w:type="pct"/>
                  <w:tcBorders>
                    <w:tl2br w:val="nil"/>
                    <w:tr2bl w:val="nil"/>
                  </w:tcBorders>
                  <w:noWrap w:val="0"/>
                  <w:vAlign w:val="center"/>
                </w:tcPr>
                <w:p w14:paraId="50D76188">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1.4</w:t>
                  </w:r>
                </w:p>
              </w:tc>
              <w:tc>
                <w:tcPr>
                  <w:tcW w:w="801" w:type="pct"/>
                  <w:tcBorders>
                    <w:tl2br w:val="nil"/>
                    <w:tr2bl w:val="nil"/>
                  </w:tcBorders>
                  <w:noWrap w:val="0"/>
                  <w:vAlign w:val="center"/>
                </w:tcPr>
                <w:p w14:paraId="6C4DD1E5">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0.68</w:t>
                  </w:r>
                </w:p>
              </w:tc>
              <w:tc>
                <w:tcPr>
                  <w:tcW w:w="915" w:type="pct"/>
                  <w:tcBorders>
                    <w:tl2br w:val="nil"/>
                    <w:tr2bl w:val="nil"/>
                  </w:tcBorders>
                  <w:noWrap w:val="0"/>
                  <w:vAlign w:val="center"/>
                </w:tcPr>
                <w:p w14:paraId="31C050E5">
                  <w:pPr>
                    <w:pageBreakBefore w:val="0"/>
                    <w:tabs>
                      <w:tab w:val="left" w:pos="277"/>
                      <w:tab w:val="left" w:pos="600"/>
                      <w:tab w:val="left" w:pos="780"/>
                      <w:tab w:val="left" w:pos="2517"/>
                    </w:tabs>
                    <w:wordWrap/>
                    <w:topLinePunct w:val="0"/>
                    <w:bidi w:val="0"/>
                    <w:adjustRightInd w:val="0"/>
                    <w:spacing w:beforeAutospacing="0" w:afterAutospacing="0"/>
                    <w:ind w:left="0" w:leftChars="0" w:right="0" w:firstLine="0" w:firstLineChars="0"/>
                    <w:jc w:val="center"/>
                    <w:textAlignment w:val="baseline"/>
                    <w:rPr>
                      <w:rFonts w:hint="default" w:ascii="Times New Roman" w:hAnsi="Times New Roman" w:eastAsia="宋体" w:cs="Times New Roman"/>
                      <w:b w:val="0"/>
                      <w:bCs/>
                      <w:caps w:val="0"/>
                      <w:smallCaps w:val="0"/>
                      <w:color w:val="auto"/>
                      <w:spacing w:val="0"/>
                      <w:w w:val="100"/>
                      <w:kern w:val="2"/>
                      <w:position w:val="0"/>
                      <w:sz w:val="21"/>
                      <w:szCs w:val="21"/>
                      <w:highlight w:val="none"/>
                    </w:rPr>
                  </w:pPr>
                  <w:r>
                    <w:rPr>
                      <w:rFonts w:hint="default" w:ascii="Times New Roman" w:hAnsi="Times New Roman" w:eastAsia="宋体" w:cs="Times New Roman"/>
                      <w:b w:val="0"/>
                      <w:bCs/>
                      <w:caps w:val="0"/>
                      <w:smallCaps w:val="0"/>
                      <w:color w:val="auto"/>
                      <w:spacing w:val="0"/>
                      <w:w w:val="100"/>
                      <w:kern w:val="2"/>
                      <w:position w:val="0"/>
                      <w:sz w:val="21"/>
                      <w:szCs w:val="21"/>
                      <w:highlight w:val="none"/>
                    </w:rPr>
                    <w:t>0.6</w:t>
                  </w:r>
                </w:p>
              </w:tc>
            </w:tr>
          </w:tbl>
          <w:p w14:paraId="351F6C7A">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考虑到工程施工特点，要求项目方加强管理，杜绝运输车辆超载，并采取遮盖措施减少沿途抛洒；出入口应设置车辆冲洗设施，设置冲洗槽和沉淀池，可收到很好的降尘效果。</w:t>
            </w:r>
          </w:p>
          <w:p w14:paraId="10519041">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b/>
                <w:bCs/>
                <w:caps w:val="0"/>
                <w:smallCaps w:val="0"/>
                <w:color w:val="auto"/>
                <w:spacing w:val="0"/>
                <w:w w:val="100"/>
                <w:kern w:val="2"/>
                <w:position w:val="0"/>
                <w:sz w:val="24"/>
                <w:highlight w:val="none"/>
              </w:rPr>
            </w:pP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2.2</w:t>
            </w:r>
            <w:r>
              <w:rPr>
                <w:rFonts w:hint="default" w:ascii="Times New Roman" w:hAnsi="Times New Roman" w:eastAsia="宋体" w:cs="Times New Roman"/>
                <w:b/>
                <w:bCs/>
                <w:caps w:val="0"/>
                <w:smallCaps w:val="0"/>
                <w:color w:val="auto"/>
                <w:spacing w:val="0"/>
                <w:w w:val="100"/>
                <w:kern w:val="2"/>
                <w:position w:val="0"/>
                <w:sz w:val="24"/>
                <w:highlight w:val="none"/>
              </w:rPr>
              <w:t>施工废气环境影响分析</w:t>
            </w:r>
          </w:p>
          <w:p w14:paraId="7DBF69A9">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1</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施工机械废气</w:t>
            </w:r>
          </w:p>
          <w:p w14:paraId="799BA7F0">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施工车辆、施工机械等因燃油产生的CO、THC、NOX等污染物对环境空气有所影响。施工车辆、施工机械在现场范围内活动，尾气呈面源污染形式，尾气扩散范围有限。车辆为非连续行驶状态，施工采用分段进行，且每段施工时间有限，污染物排放时间和排放量相对较少，所以不会对周围环境空气有明显影响，与运营期道路车辆尾气排放量相比，施工期尾气排放非常有限。</w:t>
            </w:r>
          </w:p>
          <w:p w14:paraId="74E0C2F9">
            <w:pPr>
              <w:pageBreakBefore w:val="0"/>
              <w:wordWrap/>
              <w:topLinePunct w:val="0"/>
              <w:bidi w:val="0"/>
              <w:snapToGrid w:val="0"/>
              <w:spacing w:beforeAutospacing="0" w:afterAutospacing="0" w:line="360" w:lineRule="auto"/>
              <w:ind w:left="0" w:leftChars="0" w:right="0" w:firstLine="480"/>
              <w:rPr>
                <w:rFonts w:hint="eastAsia" w:ascii="Times New Roman" w:hAnsi="Times New Roman" w:eastAsia="宋体" w:cs="Times New Roman"/>
                <w:caps w:val="0"/>
                <w:smallCaps w:val="0"/>
                <w:color w:val="auto"/>
                <w:spacing w:val="0"/>
                <w:w w:val="100"/>
                <w:kern w:val="2"/>
                <w:position w:val="0"/>
                <w:sz w:val="24"/>
                <w:highlight w:val="none"/>
                <w:lang w:eastAsia="zh-CN"/>
              </w:rPr>
            </w:pP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2</w:t>
            </w:r>
            <w:r>
              <w:rPr>
                <w:rFonts w:hint="eastAsia" w:ascii="Times New Roman" w:hAnsi="Times New Roman" w:eastAsia="宋体" w:cs="Times New Roman"/>
                <w:caps w:val="0"/>
                <w:smallCaps w:val="0"/>
                <w:color w:val="auto"/>
                <w:spacing w:val="0"/>
                <w:w w:val="100"/>
                <w:kern w:val="2"/>
                <w:position w:val="0"/>
                <w:sz w:val="24"/>
                <w:highlight w:val="none"/>
                <w:lang w:eastAsia="zh-CN"/>
              </w:rPr>
              <w:t>）老桥（老路）拆除对环境的影响</w:t>
            </w:r>
          </w:p>
          <w:p w14:paraId="697006DB">
            <w:pPr>
              <w:pageBreakBefore w:val="0"/>
              <w:wordWrap/>
              <w:topLinePunct w:val="0"/>
              <w:bidi w:val="0"/>
              <w:snapToGrid w:val="0"/>
              <w:spacing w:beforeAutospacing="0" w:afterAutospacing="0" w:line="360" w:lineRule="auto"/>
              <w:ind w:left="0" w:leftChars="0" w:right="0" w:firstLine="480"/>
              <w:rPr>
                <w:rFonts w:hint="eastAsia" w:ascii="Times New Roman" w:hAnsi="Times New Roman" w:eastAsia="宋体" w:cs="Times New Roman"/>
                <w:caps w:val="0"/>
                <w:smallCaps w:val="0"/>
                <w:color w:val="auto"/>
                <w:spacing w:val="0"/>
                <w:w w:val="100"/>
                <w:kern w:val="2"/>
                <w:position w:val="0"/>
                <w:sz w:val="24"/>
                <w:highlight w:val="none"/>
                <w:lang w:eastAsia="zh-CN"/>
              </w:rPr>
            </w:pPr>
            <w:r>
              <w:rPr>
                <w:rFonts w:hint="eastAsia" w:ascii="Times New Roman" w:hAnsi="Times New Roman" w:eastAsia="宋体" w:cs="Times New Roman"/>
                <w:caps w:val="0"/>
                <w:smallCaps w:val="0"/>
                <w:color w:val="auto"/>
                <w:spacing w:val="0"/>
                <w:w w:val="100"/>
                <w:kern w:val="2"/>
                <w:position w:val="0"/>
                <w:sz w:val="24"/>
                <w:highlight w:val="none"/>
                <w:lang w:eastAsia="zh-CN"/>
              </w:rPr>
              <w:t>老桥（老路）拆除过程中需对现有路面进行刨除、对路基进行拓宽，同时对桥梁进行切割，这些过程将不可避免产生扬尘，这些扬尘大部分在施工场地附近沉降，在拆除过程中充分落实洒水措施，将有效控制老桥（老路）拆除过程产生的扬尘。</w:t>
            </w:r>
          </w:p>
          <w:p w14:paraId="4616D733">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3</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default" w:ascii="Times New Roman" w:hAnsi="Times New Roman" w:eastAsia="宋体" w:cs="Times New Roman"/>
                <w:caps w:val="0"/>
                <w:smallCaps w:val="0"/>
                <w:color w:val="auto"/>
                <w:spacing w:val="0"/>
                <w:w w:val="100"/>
                <w:kern w:val="2"/>
                <w:position w:val="0"/>
                <w:sz w:val="24"/>
                <w:highlight w:val="none"/>
              </w:rPr>
              <w:t>沥青烟气对环境的影响</w:t>
            </w:r>
          </w:p>
          <w:p w14:paraId="7055E909">
            <w:pPr>
              <w:pageBreakBefore w:val="0"/>
              <w:wordWrap/>
              <w:topLinePunct w:val="0"/>
              <w:bidi w:val="0"/>
              <w:snapToGrid w:val="0"/>
              <w:spacing w:beforeAutospacing="0" w:afterAutospacing="0" w:line="360" w:lineRule="auto"/>
              <w:ind w:left="0" w:leftChars="0" w:right="0" w:firstLine="480"/>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highlight w:val="none"/>
              </w:rPr>
              <w:t>本项目采用沥青路面，沥青混凝土采用商品沥青混凝土，在路面敷设过程中，会产生沥青烟，对周边环境空气产生影响。但本项目采用商品沥青混凝土，经沥青转运车转运至现场，这种专用车辆保温性好，具备一定的加热能力，不在现场</w:t>
            </w:r>
            <w:r>
              <w:rPr>
                <w:rFonts w:hint="eastAsia" w:ascii="Times New Roman" w:hAnsi="Times New Roman" w:eastAsia="宋体" w:cs="Times New Roman"/>
                <w:caps w:val="0"/>
                <w:smallCaps w:val="0"/>
                <w:color w:val="auto"/>
                <w:spacing w:val="0"/>
                <w:w w:val="100"/>
                <w:kern w:val="2"/>
                <w:position w:val="0"/>
                <w:sz w:val="24"/>
                <w:highlight w:val="none"/>
                <w:lang w:eastAsia="zh-CN"/>
              </w:rPr>
              <w:t>拌和</w:t>
            </w:r>
            <w:r>
              <w:rPr>
                <w:rFonts w:hint="default" w:ascii="Times New Roman" w:hAnsi="Times New Roman" w:eastAsia="宋体" w:cs="Times New Roman"/>
                <w:caps w:val="0"/>
                <w:smallCaps w:val="0"/>
                <w:color w:val="auto"/>
                <w:spacing w:val="0"/>
                <w:w w:val="100"/>
                <w:kern w:val="2"/>
                <w:position w:val="0"/>
                <w:sz w:val="24"/>
                <w:highlight w:val="none"/>
              </w:rPr>
              <w:t>，所以沥青烟影响很有限，且路面沥青敷设工期相对较短，其影响时间有限。</w:t>
            </w:r>
          </w:p>
          <w:p w14:paraId="31777F1C">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textAlignment w:val="auto"/>
              <w:outlineLvl w:val="9"/>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路面沥青摊铺过程中产生少量沥青烟，沥青烟含有THC、酚、苯并[a]芘等有毒有害成分，类比公路建设监测资料，在沥青摊铺施工点下风向100m外苯并[a]芘浓度低于0.002μg/m</w:t>
            </w:r>
            <w:r>
              <w:rPr>
                <w:rFonts w:hint="default" w:ascii="Times New Roman" w:hAnsi="Times New Roman" w:eastAsia="宋体" w:cs="Times New Roman"/>
                <w:b w:val="0"/>
                <w:bCs w:val="0"/>
                <w:caps w:val="0"/>
                <w:smallCaps w:val="0"/>
                <w:color w:val="auto"/>
                <w:spacing w:val="0"/>
                <w:w w:val="100"/>
                <w:kern w:val="2"/>
                <w:position w:val="0"/>
                <w:sz w:val="24"/>
                <w:szCs w:val="24"/>
                <w:highlight w:val="none"/>
                <w:vertAlign w:val="superscript"/>
                <w:lang w:val="en-US" w:eastAsia="zh-CN"/>
              </w:rPr>
              <w:t>3</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，符合《环境空气质量标准》（GB3095-20</w:t>
            </w: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rPr>
              <w:t>26</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）的0.0025μg/m</w:t>
            </w:r>
            <w:r>
              <w:rPr>
                <w:rFonts w:hint="default" w:ascii="Times New Roman" w:hAnsi="Times New Roman" w:eastAsia="宋体" w:cs="Times New Roman"/>
                <w:b w:val="0"/>
                <w:bCs w:val="0"/>
                <w:caps w:val="0"/>
                <w:smallCaps w:val="0"/>
                <w:color w:val="auto"/>
                <w:spacing w:val="0"/>
                <w:w w:val="100"/>
                <w:kern w:val="2"/>
                <w:position w:val="0"/>
                <w:sz w:val="24"/>
                <w:szCs w:val="24"/>
                <w:highlight w:val="none"/>
                <w:vertAlign w:val="superscript"/>
                <w:lang w:val="en-US" w:eastAsia="zh-CN"/>
              </w:rPr>
              <w:t>3</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的限值；</w:t>
            </w: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rPr>
              <w:t>并</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在下风向60m处浓度不超过0.01mg/m</w:t>
            </w:r>
            <w:r>
              <w:rPr>
                <w:rFonts w:hint="default" w:ascii="Times New Roman" w:hAnsi="Times New Roman" w:eastAsia="宋体" w:cs="Times New Roman"/>
                <w:b w:val="0"/>
                <w:bCs w:val="0"/>
                <w:caps w:val="0"/>
                <w:smallCaps w:val="0"/>
                <w:color w:val="auto"/>
                <w:spacing w:val="0"/>
                <w:w w:val="100"/>
                <w:kern w:val="2"/>
                <w:position w:val="0"/>
                <w:sz w:val="24"/>
                <w:szCs w:val="24"/>
                <w:highlight w:val="none"/>
                <w:vertAlign w:val="superscript"/>
                <w:lang w:val="en-US" w:eastAsia="zh-CN"/>
              </w:rPr>
              <w:t>3</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，THC在下风向60m处浓度不超过0.16mg/m</w:t>
            </w:r>
            <w:r>
              <w:rPr>
                <w:rFonts w:hint="default" w:ascii="Times New Roman" w:hAnsi="Times New Roman" w:eastAsia="宋体" w:cs="Times New Roman"/>
                <w:b w:val="0"/>
                <w:bCs w:val="0"/>
                <w:caps w:val="0"/>
                <w:smallCaps w:val="0"/>
                <w:color w:val="auto"/>
                <w:spacing w:val="0"/>
                <w:w w:val="100"/>
                <w:kern w:val="2"/>
                <w:position w:val="0"/>
                <w:sz w:val="24"/>
                <w:szCs w:val="24"/>
                <w:highlight w:val="none"/>
                <w:vertAlign w:val="superscript"/>
                <w:lang w:val="en-US" w:eastAsia="zh-CN"/>
              </w:rPr>
              <w:t>3</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，符合</w:t>
            </w:r>
            <w:r>
              <w:rPr>
                <w:rFonts w:hint="default" w:ascii="Times New Roman" w:hAnsi="Times New Roman" w:eastAsia="宋体" w:cs="Times New Roman"/>
                <w:b w:val="0"/>
                <w:bCs w:val="0"/>
                <w:caps w:val="0"/>
                <w:smallCaps w:val="0"/>
                <w:color w:val="auto"/>
                <w:spacing w:val="0"/>
                <w:w w:val="100"/>
                <w:kern w:val="2"/>
                <w:position w:val="0"/>
                <w:sz w:val="24"/>
                <w:highlight w:val="none"/>
                <w:lang w:val="en-US" w:eastAsia="zh-CN"/>
              </w:rPr>
              <w:t>《大气污染物综合排放标准》（GBl6297-1996）的要求</w:t>
            </w: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w:t>
            </w:r>
          </w:p>
          <w:p w14:paraId="0E608207">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textAlignment w:val="auto"/>
              <w:outlineLvl w:val="9"/>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rPr>
              <w:t>（4）标线施工废气影响分析</w:t>
            </w:r>
          </w:p>
          <w:p w14:paraId="52D1B395">
            <w:pPr>
              <w:pStyle w:val="6"/>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textAlignment w:val="auto"/>
              <w:outlineLvl w:val="9"/>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rPr>
              <w:t>本项目标线施工过程中需要进行使用反光涂料等原料，在反光涂料加热过程中产生少量有机废气，主要为非甲烷总烃，考虑本项目为户外施工，且加热过程中有机废气产生量较少，进入空气后受到风力影响，受到稀释，对环境空气影响较小。</w:t>
            </w:r>
          </w:p>
          <w:p w14:paraId="6EFCC0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default" w:ascii="Times New Roman" w:hAnsi="Times New Roman" w:eastAsia="宋体" w:cs="Times New Roman"/>
                <w:b/>
                <w:caps w:val="0"/>
                <w:smallCaps w:val="0"/>
                <w:color w:val="auto"/>
                <w:spacing w:val="0"/>
                <w:w w:val="100"/>
                <w:kern w:val="2"/>
                <w:position w:val="0"/>
                <w:sz w:val="24"/>
                <w:szCs w:val="24"/>
                <w:highlight w:val="none"/>
              </w:rPr>
            </w:pPr>
            <w:r>
              <w:rPr>
                <w:rFonts w:hint="default" w:ascii="Times New Roman" w:hAnsi="Times New Roman" w:eastAsia="宋体" w:cs="Times New Roman"/>
                <w:b/>
                <w:caps w:val="0"/>
                <w:smallCaps w:val="0"/>
                <w:color w:val="auto"/>
                <w:spacing w:val="0"/>
                <w:w w:val="100"/>
                <w:kern w:val="2"/>
                <w:position w:val="0"/>
                <w:sz w:val="24"/>
                <w:szCs w:val="24"/>
                <w:highlight w:val="none"/>
                <w:lang w:val="en-US" w:eastAsia="zh-CN"/>
              </w:rPr>
              <w:t>3</w:t>
            </w:r>
            <w:r>
              <w:rPr>
                <w:rFonts w:hint="default" w:ascii="Times New Roman" w:hAnsi="Times New Roman" w:eastAsia="宋体" w:cs="Times New Roman"/>
                <w:b/>
                <w:caps w:val="0"/>
                <w:smallCaps w:val="0"/>
                <w:color w:val="auto"/>
                <w:spacing w:val="0"/>
                <w:w w:val="100"/>
                <w:kern w:val="2"/>
                <w:position w:val="0"/>
                <w:sz w:val="24"/>
                <w:szCs w:val="24"/>
                <w:highlight w:val="none"/>
              </w:rPr>
              <w:t>水环境影响分析</w:t>
            </w:r>
          </w:p>
          <w:p w14:paraId="7E49F62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t>3.1施工场地对水环境的影响分析</w:t>
            </w:r>
          </w:p>
          <w:p w14:paraId="4C86E6F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施工期间，在施工现场将产生一定数量的施工废水，排放特点是</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间歇式</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排放，废水量不稳定，主要为</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运输车辆轮胎冲洗</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废水，这些废水中的主要污染物是SS和少量的油类，如果施工中节水措施不落实，用水无节制，将会在施工现场随意流淌，而导致该部分废水排放量增大，势必对周围环境造成一定的影响。施工机械跑、冒、滴、漏的污油及冲洗（禁止河道内洗车）或被雨水冲刷产生的油水污染，这些污水中成分较为简单，</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集中收集后回用于单路洒水抑尘，</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严禁排入附近水体。</w:t>
            </w:r>
          </w:p>
          <w:p w14:paraId="0B5F317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t>3.2施工营地生活污水对水环境的影响</w:t>
            </w:r>
          </w:p>
          <w:p w14:paraId="0045F1F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pP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本项目不设置独立的施工营地。</w:t>
            </w:r>
          </w:p>
          <w:p w14:paraId="3F58AC6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left"/>
              <w:textAlignment w:val="auto"/>
              <w:rPr>
                <w:rFonts w:hint="default" w:ascii="Times New Roman" w:hAnsi="Times New Roman" w:eastAsia="宋体" w:cs="Times New Roman"/>
                <w:b/>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caps w:val="0"/>
                <w:smallCaps w:val="0"/>
                <w:color w:val="auto"/>
                <w:spacing w:val="0"/>
                <w:w w:val="100"/>
                <w:kern w:val="2"/>
                <w:position w:val="0"/>
                <w:sz w:val="24"/>
                <w:szCs w:val="24"/>
                <w:highlight w:val="none"/>
                <w:lang w:val="en-US" w:eastAsia="zh-CN"/>
              </w:rPr>
              <w:t>3.3桥梁基础施工对水体环境的影响</w:t>
            </w:r>
          </w:p>
          <w:p w14:paraId="148E44CE">
            <w:pPr>
              <w:pStyle w:val="22"/>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桥梁建设施工工艺不当或施工管理不强，产生的施工泥渣、机械漏油、施工物料受雨水冲刷</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进</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入地表水将影响水质。环评要求</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桥梁施工期</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尽量采用先进的设备、机械，以有效地减少跑、冒、滴、漏的数量及机械维修的次数，同时及时检修施工机械设备，避免跑、冒、滴、漏的发生，从而减少含油污水的产生量。注意检查维护施工机械，防止油料发生泄漏污染水体。施工材料如油料、化学品等禁止堆放在地表水体附近，并应备有临时遮挡的雨布。施工机械停放区设置隔油沉淀池，将施工机械冲洗废水收集至隔油沉淀池内统一处置，经过隔油隔渣处理后回用，尾水用于施工场地洒水降尘，严禁排入附近水体。严格落实以上地表水保护措施，从源头杜绝施工废水排入附近水体。</w:t>
            </w:r>
          </w:p>
          <w:p w14:paraId="6CF097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textAlignment w:val="auto"/>
              <w:rPr>
                <w:rFonts w:hint="default" w:ascii="Times New Roman" w:hAnsi="Times New Roman" w:eastAsia="宋体" w:cs="Times New Roman"/>
                <w:b/>
                <w:caps w:val="0"/>
                <w:smallCaps w:val="0"/>
                <w:color w:val="auto"/>
                <w:spacing w:val="0"/>
                <w:w w:val="100"/>
                <w:kern w:val="2"/>
                <w:position w:val="0"/>
                <w:sz w:val="24"/>
                <w:szCs w:val="24"/>
                <w:highlight w:val="none"/>
              </w:rPr>
            </w:pPr>
            <w:r>
              <w:rPr>
                <w:rFonts w:hint="default" w:ascii="Times New Roman" w:hAnsi="Times New Roman" w:eastAsia="宋体" w:cs="Times New Roman"/>
                <w:b/>
                <w:caps w:val="0"/>
                <w:smallCaps w:val="0"/>
                <w:color w:val="auto"/>
                <w:spacing w:val="0"/>
                <w:w w:val="100"/>
                <w:kern w:val="2"/>
                <w:position w:val="0"/>
                <w:sz w:val="24"/>
                <w:szCs w:val="24"/>
                <w:highlight w:val="none"/>
                <w:lang w:val="en-US" w:eastAsia="zh-CN"/>
              </w:rPr>
              <w:t>4</w:t>
            </w:r>
            <w:r>
              <w:rPr>
                <w:rFonts w:hint="default" w:ascii="Times New Roman" w:hAnsi="Times New Roman" w:eastAsia="宋体" w:cs="Times New Roman"/>
                <w:b/>
                <w:caps w:val="0"/>
                <w:smallCaps w:val="0"/>
                <w:color w:val="auto"/>
                <w:spacing w:val="0"/>
                <w:w w:val="100"/>
                <w:kern w:val="2"/>
                <w:position w:val="0"/>
                <w:sz w:val="24"/>
                <w:szCs w:val="24"/>
                <w:highlight w:val="none"/>
              </w:rPr>
              <w:t>声环境影响分析</w:t>
            </w:r>
          </w:p>
          <w:p w14:paraId="73597683">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（1）施工期噪声污染源源强</w:t>
            </w:r>
          </w:p>
          <w:p w14:paraId="2865736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施工期噪声污染主要由施工作业机械产生，根据《环境噪声与振动控制工程技术导则》（HJ2034-2013）中相关规定，常用道路施工机械污染源强见表4-</w:t>
            </w:r>
            <w:r>
              <w:rPr>
                <w:rFonts w:hint="eastAsia"/>
                <w:color w:val="auto"/>
                <w:sz w:val="24"/>
                <w:lang w:val="en-US" w:eastAsia="zh-CN"/>
              </w:rPr>
              <w:t>4</w:t>
            </w:r>
            <w:r>
              <w:rPr>
                <w:color w:val="auto"/>
                <w:sz w:val="24"/>
              </w:rPr>
              <w:t>。</w:t>
            </w:r>
          </w:p>
          <w:p w14:paraId="4923D0F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422" w:firstLineChars="200"/>
              <w:textAlignment w:val="auto"/>
              <w:rPr>
                <w:rFonts w:hint="eastAsia" w:cs="Times New Roman"/>
                <w:b/>
                <w:bCs/>
                <w:caps w:val="0"/>
                <w:smallCaps w:val="0"/>
                <w:snapToGrid w:val="0"/>
                <w:color w:val="auto"/>
                <w:spacing w:val="0"/>
                <w:w w:val="100"/>
                <w:kern w:val="2"/>
                <w:position w:val="0"/>
                <w:sz w:val="21"/>
                <w:szCs w:val="21"/>
                <w:highlight w:val="none"/>
                <w:lang w:val="en-US" w:eastAsia="zh-CN" w:bidi="ar-SA"/>
              </w:rPr>
            </w:pPr>
            <w:r>
              <w:rPr>
                <w:rFonts w:hint="eastAsia" w:cs="Times New Roman"/>
                <w:b/>
                <w:bCs/>
                <w:caps w:val="0"/>
                <w:smallCaps w:val="0"/>
                <w:snapToGrid w:val="0"/>
                <w:color w:val="auto"/>
                <w:spacing w:val="0"/>
                <w:w w:val="100"/>
                <w:kern w:val="2"/>
                <w:position w:val="0"/>
                <w:sz w:val="21"/>
                <w:szCs w:val="21"/>
                <w:highlight w:val="none"/>
                <w:lang w:val="en-US" w:eastAsia="zh-CN" w:bidi="ar-SA"/>
              </w:rPr>
              <w:t>表4-4               路面工程施工机械噪声值</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543"/>
              <w:gridCol w:w="3202"/>
              <w:gridCol w:w="1983"/>
            </w:tblGrid>
            <w:tr w14:paraId="49814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026CB3C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机械类型</w:t>
                  </w:r>
                </w:p>
              </w:tc>
              <w:tc>
                <w:tcPr>
                  <w:tcW w:w="2071" w:type="pct"/>
                  <w:tcBorders>
                    <w:tl2br w:val="nil"/>
                    <w:tr2bl w:val="nil"/>
                  </w:tcBorders>
                  <w:noWrap w:val="0"/>
                  <w:vAlign w:val="center"/>
                </w:tcPr>
                <w:p w14:paraId="657276B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测点距施工机械距离（m）</w:t>
                  </w:r>
                </w:p>
              </w:tc>
              <w:tc>
                <w:tcPr>
                  <w:tcW w:w="1282" w:type="pct"/>
                  <w:tcBorders>
                    <w:tl2br w:val="nil"/>
                    <w:tr2bl w:val="nil"/>
                  </w:tcBorders>
                  <w:noWrap w:val="0"/>
                  <w:vAlign w:val="center"/>
                </w:tcPr>
                <w:p w14:paraId="6FF7EE3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最大声级dB(A)</w:t>
                  </w:r>
                </w:p>
              </w:tc>
            </w:tr>
            <w:tr w14:paraId="01C22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260F662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液压挖掘机</w:t>
                  </w:r>
                </w:p>
              </w:tc>
              <w:tc>
                <w:tcPr>
                  <w:tcW w:w="2071" w:type="pct"/>
                  <w:tcBorders>
                    <w:tl2br w:val="nil"/>
                    <w:tr2bl w:val="nil"/>
                  </w:tcBorders>
                  <w:noWrap w:val="0"/>
                  <w:vAlign w:val="center"/>
                </w:tcPr>
                <w:p w14:paraId="09D6E7D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36D6F43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90</w:t>
                  </w:r>
                </w:p>
              </w:tc>
            </w:tr>
            <w:tr w14:paraId="23B99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3BF01FF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电动挖掘机</w:t>
                  </w:r>
                </w:p>
              </w:tc>
              <w:tc>
                <w:tcPr>
                  <w:tcW w:w="2071" w:type="pct"/>
                  <w:tcBorders>
                    <w:tl2br w:val="nil"/>
                    <w:tr2bl w:val="nil"/>
                  </w:tcBorders>
                  <w:noWrap w:val="0"/>
                  <w:vAlign w:val="center"/>
                </w:tcPr>
                <w:p w14:paraId="79ECB34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57A0EA7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86</w:t>
                  </w:r>
                </w:p>
              </w:tc>
            </w:tr>
            <w:tr w14:paraId="6802F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39F6D63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轮式装载机</w:t>
                  </w:r>
                </w:p>
              </w:tc>
              <w:tc>
                <w:tcPr>
                  <w:tcW w:w="2071" w:type="pct"/>
                  <w:tcBorders>
                    <w:tl2br w:val="nil"/>
                    <w:tr2bl w:val="nil"/>
                  </w:tcBorders>
                  <w:noWrap w:val="0"/>
                  <w:vAlign w:val="center"/>
                </w:tcPr>
                <w:p w14:paraId="22FF26E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5D3D478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95</w:t>
                  </w:r>
                </w:p>
              </w:tc>
            </w:tr>
            <w:tr w14:paraId="0EF72F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19F3F58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推土机</w:t>
                  </w:r>
                </w:p>
              </w:tc>
              <w:tc>
                <w:tcPr>
                  <w:tcW w:w="2071" w:type="pct"/>
                  <w:tcBorders>
                    <w:tl2br w:val="nil"/>
                    <w:tr2bl w:val="nil"/>
                  </w:tcBorders>
                  <w:noWrap w:val="0"/>
                  <w:vAlign w:val="center"/>
                </w:tcPr>
                <w:p w14:paraId="4FB84C4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164474A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88</w:t>
                  </w:r>
                </w:p>
              </w:tc>
            </w:tr>
            <w:tr w14:paraId="576B8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668867B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压路机</w:t>
                  </w:r>
                </w:p>
              </w:tc>
              <w:tc>
                <w:tcPr>
                  <w:tcW w:w="2071" w:type="pct"/>
                  <w:tcBorders>
                    <w:tl2br w:val="nil"/>
                    <w:tr2bl w:val="nil"/>
                  </w:tcBorders>
                  <w:noWrap w:val="0"/>
                  <w:vAlign w:val="center"/>
                </w:tcPr>
                <w:p w14:paraId="02C713D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41B8A16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90</w:t>
                  </w:r>
                </w:p>
              </w:tc>
            </w:tr>
            <w:tr w14:paraId="5C782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3EB3962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重型运输车</w:t>
                  </w:r>
                </w:p>
              </w:tc>
              <w:tc>
                <w:tcPr>
                  <w:tcW w:w="2071" w:type="pct"/>
                  <w:tcBorders>
                    <w:tl2br w:val="nil"/>
                    <w:tr2bl w:val="nil"/>
                  </w:tcBorders>
                  <w:noWrap w:val="0"/>
                  <w:vAlign w:val="center"/>
                </w:tcPr>
                <w:p w14:paraId="769A9BC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26F3F9D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90</w:t>
                  </w:r>
                </w:p>
              </w:tc>
            </w:tr>
            <w:tr w14:paraId="29782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143EDD2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电锤</w:t>
                  </w:r>
                </w:p>
              </w:tc>
              <w:tc>
                <w:tcPr>
                  <w:tcW w:w="2071" w:type="pct"/>
                  <w:tcBorders>
                    <w:tl2br w:val="nil"/>
                    <w:tr2bl w:val="nil"/>
                  </w:tcBorders>
                  <w:noWrap w:val="0"/>
                  <w:vAlign w:val="center"/>
                </w:tcPr>
                <w:p w14:paraId="52725BC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17ADE2E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105</w:t>
                  </w:r>
                </w:p>
              </w:tc>
            </w:tr>
            <w:tr w14:paraId="39749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6E7F22D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振动夯锤</w:t>
                  </w:r>
                </w:p>
              </w:tc>
              <w:tc>
                <w:tcPr>
                  <w:tcW w:w="2071" w:type="pct"/>
                  <w:tcBorders>
                    <w:tl2br w:val="nil"/>
                    <w:tr2bl w:val="nil"/>
                  </w:tcBorders>
                  <w:noWrap w:val="0"/>
                  <w:vAlign w:val="center"/>
                </w:tcPr>
                <w:p w14:paraId="7CD79AE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666152B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100</w:t>
                  </w:r>
                </w:p>
              </w:tc>
            </w:tr>
            <w:tr w14:paraId="6A15C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5A79B9F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打桩机</w:t>
                  </w:r>
                </w:p>
              </w:tc>
              <w:tc>
                <w:tcPr>
                  <w:tcW w:w="2071" w:type="pct"/>
                  <w:tcBorders>
                    <w:tl2br w:val="nil"/>
                    <w:tr2bl w:val="nil"/>
                  </w:tcBorders>
                  <w:noWrap w:val="0"/>
                  <w:vAlign w:val="center"/>
                </w:tcPr>
                <w:p w14:paraId="160914E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2CAADD8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110</w:t>
                  </w:r>
                </w:p>
              </w:tc>
            </w:tr>
            <w:tr w14:paraId="64833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58EDADB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静力压桩机</w:t>
                  </w:r>
                </w:p>
              </w:tc>
              <w:tc>
                <w:tcPr>
                  <w:tcW w:w="2071" w:type="pct"/>
                  <w:tcBorders>
                    <w:tl2br w:val="nil"/>
                    <w:tr2bl w:val="nil"/>
                  </w:tcBorders>
                  <w:noWrap w:val="0"/>
                  <w:vAlign w:val="center"/>
                </w:tcPr>
                <w:p w14:paraId="1CE7890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0B4CB8C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75</w:t>
                  </w:r>
                </w:p>
              </w:tc>
            </w:tr>
            <w:tr w14:paraId="07504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6391525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拌和机</w:t>
                  </w:r>
                </w:p>
              </w:tc>
              <w:tc>
                <w:tcPr>
                  <w:tcW w:w="2071" w:type="pct"/>
                  <w:tcBorders>
                    <w:tl2br w:val="nil"/>
                    <w:tr2bl w:val="nil"/>
                  </w:tcBorders>
                  <w:noWrap w:val="0"/>
                  <w:vAlign w:val="center"/>
                </w:tcPr>
                <w:p w14:paraId="3E1D26C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236EB42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90</w:t>
                  </w:r>
                </w:p>
              </w:tc>
            </w:tr>
            <w:tr w14:paraId="6312DC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08AFC01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摊铺机</w:t>
                  </w:r>
                </w:p>
              </w:tc>
              <w:tc>
                <w:tcPr>
                  <w:tcW w:w="2071" w:type="pct"/>
                  <w:tcBorders>
                    <w:tl2br w:val="nil"/>
                    <w:tr2bl w:val="nil"/>
                  </w:tcBorders>
                  <w:noWrap w:val="0"/>
                  <w:vAlign w:val="center"/>
                </w:tcPr>
                <w:p w14:paraId="5440928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5DE9F22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87</w:t>
                  </w:r>
                </w:p>
              </w:tc>
            </w:tr>
            <w:tr w14:paraId="3D6C0D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45" w:type="pct"/>
                  <w:tcBorders>
                    <w:tl2br w:val="nil"/>
                    <w:tr2bl w:val="nil"/>
                  </w:tcBorders>
                  <w:noWrap w:val="0"/>
                  <w:vAlign w:val="center"/>
                </w:tcPr>
                <w:p w14:paraId="61D63E2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吊车</w:t>
                  </w:r>
                </w:p>
              </w:tc>
              <w:tc>
                <w:tcPr>
                  <w:tcW w:w="2071" w:type="pct"/>
                  <w:tcBorders>
                    <w:tl2br w:val="nil"/>
                    <w:tr2bl w:val="nil"/>
                  </w:tcBorders>
                  <w:noWrap w:val="0"/>
                  <w:vAlign w:val="center"/>
                </w:tcPr>
                <w:p w14:paraId="682BF96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5</w:t>
                  </w:r>
                </w:p>
              </w:tc>
              <w:tc>
                <w:tcPr>
                  <w:tcW w:w="1282" w:type="pct"/>
                  <w:tcBorders>
                    <w:tl2br w:val="nil"/>
                    <w:tr2bl w:val="nil"/>
                  </w:tcBorders>
                  <w:noWrap w:val="0"/>
                  <w:vAlign w:val="center"/>
                </w:tcPr>
                <w:p w14:paraId="63ECF95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87</w:t>
                  </w:r>
                </w:p>
              </w:tc>
            </w:tr>
          </w:tbl>
          <w:p w14:paraId="1B8BFC50">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（2）施工期声环境影响预测与评价</w:t>
            </w:r>
          </w:p>
          <w:p w14:paraId="747DBE52">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施工噪声可近似视为点声源处理，根据点声源噪声衰减模式，估算出离声源不同距离处的噪声值，预测模式如下：</w:t>
            </w:r>
          </w:p>
          <w:p w14:paraId="67FC7FD9">
            <w:pPr>
              <w:keepNext w:val="0"/>
              <w:keepLines w:val="0"/>
              <w:pageBreakBefore w:val="0"/>
              <w:widowControl w:val="0"/>
              <w:shd w:val="clear" w:color="auto" w:fill="auto"/>
              <w:tabs>
                <w:tab w:val="center" w:pos="2520"/>
              </w:tabs>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position w:val="-6"/>
                <w:sz w:val="24"/>
              </w:rPr>
              <w:drawing>
                <wp:inline distT="0" distB="0" distL="114300" distR="114300">
                  <wp:extent cx="1409700" cy="241300"/>
                  <wp:effectExtent l="0" t="0" r="0" b="5080"/>
                  <wp:docPr id="18"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5"/>
                          <pic:cNvPicPr>
                            <a:picLocks noChangeAspect="1"/>
                          </pic:cNvPicPr>
                        </pic:nvPicPr>
                        <pic:blipFill>
                          <a:blip r:embed="rId25"/>
                          <a:stretch>
                            <a:fillRect/>
                          </a:stretch>
                        </pic:blipFill>
                        <pic:spPr>
                          <a:xfrm>
                            <a:off x="0" y="0"/>
                            <a:ext cx="1409700" cy="241300"/>
                          </a:xfrm>
                          <a:prstGeom prst="rect">
                            <a:avLst/>
                          </a:prstGeom>
                          <a:noFill/>
                          <a:ln>
                            <a:noFill/>
                          </a:ln>
                        </pic:spPr>
                      </pic:pic>
                    </a:graphicData>
                  </a:graphic>
                </wp:inline>
              </w:drawing>
            </w:r>
          </w:p>
          <w:p w14:paraId="65B9AA6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式中：L</w:t>
            </w:r>
            <w:r>
              <w:rPr>
                <w:color w:val="auto"/>
                <w:sz w:val="24"/>
                <w:vertAlign w:val="subscript"/>
              </w:rPr>
              <w:t>p</w:t>
            </w:r>
            <w:r>
              <w:rPr>
                <w:color w:val="auto"/>
                <w:sz w:val="24"/>
              </w:rPr>
              <w:t>—距声源r米处的噪声预测值，dB(A)；</w:t>
            </w:r>
          </w:p>
          <w:p w14:paraId="40EC807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L</w:t>
            </w:r>
            <w:r>
              <w:rPr>
                <w:color w:val="auto"/>
                <w:sz w:val="24"/>
                <w:vertAlign w:val="subscript"/>
              </w:rPr>
              <w:t>p0</w:t>
            </w:r>
            <w:r>
              <w:rPr>
                <w:color w:val="auto"/>
                <w:sz w:val="24"/>
              </w:rPr>
              <w:t>—距声源r</w:t>
            </w:r>
            <w:r>
              <w:rPr>
                <w:color w:val="auto"/>
                <w:sz w:val="24"/>
                <w:vertAlign w:val="subscript"/>
              </w:rPr>
              <w:t>0</w:t>
            </w:r>
            <w:r>
              <w:rPr>
                <w:color w:val="auto"/>
                <w:sz w:val="24"/>
              </w:rPr>
              <w:t>米处的参考点的声级，dB(A)；</w:t>
            </w:r>
          </w:p>
          <w:p w14:paraId="625ED60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r</w:t>
            </w:r>
            <w:r>
              <w:rPr>
                <w:color w:val="auto"/>
                <w:sz w:val="24"/>
                <w:vertAlign w:val="subscript"/>
              </w:rPr>
              <w:t>0</w:t>
            </w:r>
            <w:r>
              <w:rPr>
                <w:color w:val="auto"/>
                <w:sz w:val="24"/>
              </w:rPr>
              <w:t>—参考点与声源的距离（5m），m。</w:t>
            </w:r>
          </w:p>
          <w:p w14:paraId="30A5487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64" w:firstLineChars="200"/>
              <w:textAlignment w:val="auto"/>
              <w:rPr>
                <w:color w:val="auto"/>
                <w:spacing w:val="-4"/>
                <w:sz w:val="24"/>
              </w:rPr>
            </w:pPr>
            <w:r>
              <w:rPr>
                <w:color w:val="auto"/>
                <w:spacing w:val="-4"/>
                <w:sz w:val="24"/>
              </w:rPr>
              <w:t>对于多台施工机械同时作业对某个预测点的影响，应按照下式进行声级叠加：</w:t>
            </w:r>
          </w:p>
          <w:p w14:paraId="5E2468C3">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drawing>
                <wp:anchor distT="0" distB="0" distL="114300" distR="114300" simplePos="0" relativeHeight="251660288" behindDoc="0" locked="0" layoutInCell="1" allowOverlap="1">
                  <wp:simplePos x="0" y="0"/>
                  <wp:positionH relativeFrom="page">
                    <wp:posOffset>1431925</wp:posOffset>
                  </wp:positionH>
                  <wp:positionV relativeFrom="paragraph">
                    <wp:posOffset>90805</wp:posOffset>
                  </wp:positionV>
                  <wp:extent cx="1329055" cy="457200"/>
                  <wp:effectExtent l="0" t="0" r="4445" b="0"/>
                  <wp:wrapNone/>
                  <wp:docPr id="1" name="对象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对象 1006"/>
                          <pic:cNvPicPr>
                            <a:picLocks noChangeAspect="1"/>
                          </pic:cNvPicPr>
                        </pic:nvPicPr>
                        <pic:blipFill>
                          <a:blip r:embed="rId26"/>
                          <a:stretch>
                            <a:fillRect/>
                          </a:stretch>
                        </pic:blipFill>
                        <pic:spPr>
                          <a:xfrm>
                            <a:off x="0" y="0"/>
                            <a:ext cx="1329055" cy="457200"/>
                          </a:xfrm>
                          <a:prstGeom prst="rect">
                            <a:avLst/>
                          </a:prstGeom>
                          <a:noFill/>
                          <a:ln>
                            <a:noFill/>
                          </a:ln>
                        </pic:spPr>
                      </pic:pic>
                    </a:graphicData>
                  </a:graphic>
                </wp:anchor>
              </w:drawing>
            </w:r>
          </w:p>
          <w:p w14:paraId="2A5FAC02">
            <w:pPr>
              <w:keepNext w:val="0"/>
              <w:keepLines w:val="0"/>
              <w:pageBreakBefore w:val="0"/>
              <w:widowControl w:val="0"/>
              <w:shd w:val="clear" w:color="auto" w:fill="auto"/>
              <w:tabs>
                <w:tab w:val="left" w:pos="1620"/>
              </w:tabs>
              <w:kinsoku/>
              <w:wordWrap/>
              <w:overflowPunct/>
              <w:topLinePunct w:val="0"/>
              <w:autoSpaceDE/>
              <w:autoSpaceDN/>
              <w:bidi w:val="0"/>
              <w:adjustRightInd/>
              <w:snapToGrid/>
              <w:spacing w:line="360" w:lineRule="auto"/>
              <w:ind w:firstLine="480" w:firstLineChars="200"/>
              <w:textAlignment w:val="auto"/>
              <w:rPr>
                <w:color w:val="auto"/>
                <w:sz w:val="24"/>
              </w:rPr>
            </w:pPr>
          </w:p>
          <w:p w14:paraId="6F8AD83D">
            <w:pPr>
              <w:keepNext w:val="0"/>
              <w:keepLines w:val="0"/>
              <w:pageBreakBefore w:val="0"/>
              <w:widowControl w:val="0"/>
              <w:shd w:val="clear" w:color="auto" w:fill="auto"/>
              <w:tabs>
                <w:tab w:val="center" w:pos="2520"/>
              </w:tabs>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式中：L</w:t>
            </w:r>
            <w:r>
              <w:rPr>
                <w:color w:val="auto"/>
                <w:sz w:val="24"/>
                <w:vertAlign w:val="subscript"/>
              </w:rPr>
              <w:t>A</w:t>
            </w:r>
            <w:r>
              <w:rPr>
                <w:color w:val="auto"/>
                <w:sz w:val="24"/>
              </w:rPr>
              <w:t>：合成声源声级，dB（A）；</w:t>
            </w:r>
          </w:p>
          <w:p w14:paraId="72E08724">
            <w:pPr>
              <w:keepNext w:val="0"/>
              <w:keepLines w:val="0"/>
              <w:pageBreakBefore w:val="0"/>
              <w:widowControl w:val="0"/>
              <w:shd w:val="clear" w:color="auto" w:fill="auto"/>
              <w:tabs>
                <w:tab w:val="center" w:pos="2520"/>
              </w:tabs>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 xml:space="preserve">      n：声源个数；</w:t>
            </w:r>
          </w:p>
          <w:p w14:paraId="3E6B8139">
            <w:pPr>
              <w:keepNext w:val="0"/>
              <w:keepLines w:val="0"/>
              <w:pageBreakBefore w:val="0"/>
              <w:widowControl w:val="0"/>
              <w:shd w:val="clear" w:color="auto" w:fill="auto"/>
              <w:tabs>
                <w:tab w:val="center" w:pos="2520"/>
              </w:tabs>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 xml:space="preserve">      L</w:t>
            </w:r>
            <w:r>
              <w:rPr>
                <w:color w:val="auto"/>
                <w:sz w:val="24"/>
                <w:vertAlign w:val="subscript"/>
              </w:rPr>
              <w:t>i</w:t>
            </w:r>
            <w:r>
              <w:rPr>
                <w:color w:val="auto"/>
                <w:sz w:val="24"/>
              </w:rPr>
              <w:t>：某声源的噪声值，dB（A）。</w:t>
            </w:r>
          </w:p>
          <w:p w14:paraId="2B146691">
            <w:pPr>
              <w:keepNext w:val="0"/>
              <w:keepLines w:val="0"/>
              <w:pageBreakBefore w:val="0"/>
              <w:widowControl w:val="0"/>
              <w:shd w:val="clear" w:color="auto" w:fill="auto"/>
              <w:tabs>
                <w:tab w:val="center" w:pos="2520"/>
              </w:tabs>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采用上述公式，计算得到施工期主要单台施工机械满负荷运行时不同距离处的噪声预测结果见表4</w:t>
            </w:r>
            <w:r>
              <w:rPr>
                <w:rFonts w:hint="eastAsia"/>
                <w:color w:val="auto"/>
                <w:sz w:val="24"/>
                <w:lang w:val="en-US" w:eastAsia="zh-CN"/>
              </w:rPr>
              <w:t>-5</w:t>
            </w:r>
            <w:r>
              <w:rPr>
                <w:color w:val="auto"/>
                <w:sz w:val="24"/>
              </w:rPr>
              <w:t>。</w:t>
            </w:r>
          </w:p>
          <w:p w14:paraId="3F388F3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422" w:firstLineChars="200"/>
              <w:textAlignment w:val="auto"/>
              <w:rPr>
                <w:rFonts w:hint="eastAsia" w:cs="Times New Roman"/>
                <w:b/>
                <w:bCs/>
                <w:caps w:val="0"/>
                <w:smallCaps w:val="0"/>
                <w:snapToGrid w:val="0"/>
                <w:color w:val="auto"/>
                <w:spacing w:val="0"/>
                <w:w w:val="100"/>
                <w:kern w:val="2"/>
                <w:position w:val="0"/>
                <w:sz w:val="21"/>
                <w:szCs w:val="21"/>
                <w:highlight w:val="none"/>
                <w:lang w:val="en-US" w:eastAsia="zh-CN" w:bidi="ar-SA"/>
              </w:rPr>
            </w:pPr>
            <w:r>
              <w:rPr>
                <w:rFonts w:hint="eastAsia" w:cs="Times New Roman"/>
                <w:b/>
                <w:bCs/>
                <w:caps w:val="0"/>
                <w:smallCaps w:val="0"/>
                <w:snapToGrid w:val="0"/>
                <w:color w:val="auto"/>
                <w:spacing w:val="0"/>
                <w:w w:val="100"/>
                <w:kern w:val="2"/>
                <w:position w:val="0"/>
                <w:sz w:val="21"/>
                <w:szCs w:val="21"/>
                <w:highlight w:val="none"/>
                <w:lang w:val="en-US" w:eastAsia="zh-CN" w:bidi="ar-SA"/>
              </w:rPr>
              <w:t>表4-5          主要施工机械不同距离处的噪声级            单位：dB(A)</w:t>
            </w:r>
          </w:p>
          <w:tbl>
            <w:tblPr>
              <w:tblStyle w:val="29"/>
              <w:tblW w:w="5000" w:type="pct"/>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65"/>
              <w:gridCol w:w="625"/>
              <w:gridCol w:w="756"/>
              <w:gridCol w:w="609"/>
              <w:gridCol w:w="643"/>
              <w:gridCol w:w="586"/>
              <w:gridCol w:w="645"/>
              <w:gridCol w:w="606"/>
              <w:gridCol w:w="604"/>
              <w:gridCol w:w="570"/>
              <w:gridCol w:w="509"/>
            </w:tblGrid>
            <w:tr w14:paraId="1E88822B">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013" w:type="pct"/>
                  <w:tcBorders>
                    <w:tl2br w:val="nil"/>
                    <w:tr2bl w:val="nil"/>
                  </w:tcBorders>
                  <w:noWrap w:val="0"/>
                  <w:vAlign w:val="center"/>
                </w:tcPr>
                <w:p w14:paraId="2997A30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机械类型</w:t>
                  </w:r>
                </w:p>
              </w:tc>
              <w:tc>
                <w:tcPr>
                  <w:tcW w:w="404" w:type="pct"/>
                  <w:tcBorders>
                    <w:tl2br w:val="nil"/>
                    <w:tr2bl w:val="nil"/>
                  </w:tcBorders>
                  <w:noWrap w:val="0"/>
                  <w:vAlign w:val="center"/>
                </w:tcPr>
                <w:p w14:paraId="6E94087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5m</w:t>
                  </w:r>
                </w:p>
              </w:tc>
              <w:tc>
                <w:tcPr>
                  <w:tcW w:w="489" w:type="pct"/>
                  <w:tcBorders>
                    <w:tl2br w:val="nil"/>
                    <w:tr2bl w:val="nil"/>
                  </w:tcBorders>
                  <w:noWrap w:val="0"/>
                  <w:vAlign w:val="center"/>
                </w:tcPr>
                <w:p w14:paraId="13DEA94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10m</w:t>
                  </w:r>
                </w:p>
              </w:tc>
              <w:tc>
                <w:tcPr>
                  <w:tcW w:w="394" w:type="pct"/>
                  <w:tcBorders>
                    <w:tl2br w:val="nil"/>
                    <w:tr2bl w:val="nil"/>
                  </w:tcBorders>
                  <w:noWrap w:val="0"/>
                  <w:vAlign w:val="center"/>
                </w:tcPr>
                <w:p w14:paraId="1B3DCDC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20m</w:t>
                  </w:r>
                </w:p>
              </w:tc>
              <w:tc>
                <w:tcPr>
                  <w:tcW w:w="416" w:type="pct"/>
                  <w:tcBorders>
                    <w:tl2br w:val="nil"/>
                    <w:tr2bl w:val="nil"/>
                  </w:tcBorders>
                  <w:noWrap w:val="0"/>
                  <w:vAlign w:val="center"/>
                </w:tcPr>
                <w:p w14:paraId="0514F4B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40m</w:t>
                  </w:r>
                </w:p>
              </w:tc>
              <w:tc>
                <w:tcPr>
                  <w:tcW w:w="379" w:type="pct"/>
                  <w:tcBorders>
                    <w:tl2br w:val="nil"/>
                    <w:tr2bl w:val="nil"/>
                  </w:tcBorders>
                  <w:noWrap w:val="0"/>
                  <w:vAlign w:val="center"/>
                </w:tcPr>
                <w:p w14:paraId="4806172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60m</w:t>
                  </w:r>
                </w:p>
              </w:tc>
              <w:tc>
                <w:tcPr>
                  <w:tcW w:w="417" w:type="pct"/>
                  <w:tcBorders>
                    <w:tl2br w:val="nil"/>
                    <w:tr2bl w:val="nil"/>
                  </w:tcBorders>
                  <w:noWrap w:val="0"/>
                  <w:vAlign w:val="center"/>
                </w:tcPr>
                <w:p w14:paraId="19A4A13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80m</w:t>
                  </w:r>
                </w:p>
              </w:tc>
              <w:tc>
                <w:tcPr>
                  <w:tcW w:w="392" w:type="pct"/>
                  <w:tcBorders>
                    <w:tl2br w:val="nil"/>
                    <w:tr2bl w:val="nil"/>
                  </w:tcBorders>
                  <w:noWrap w:val="0"/>
                  <w:vAlign w:val="center"/>
                </w:tcPr>
                <w:p w14:paraId="3C62DAE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100m</w:t>
                  </w:r>
                </w:p>
              </w:tc>
              <w:tc>
                <w:tcPr>
                  <w:tcW w:w="391" w:type="pct"/>
                  <w:tcBorders>
                    <w:tl2br w:val="nil"/>
                    <w:tr2bl w:val="nil"/>
                  </w:tcBorders>
                  <w:noWrap w:val="0"/>
                  <w:vAlign w:val="top"/>
                </w:tcPr>
                <w:p w14:paraId="2536581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150m</w:t>
                  </w:r>
                </w:p>
              </w:tc>
              <w:tc>
                <w:tcPr>
                  <w:tcW w:w="369" w:type="pct"/>
                  <w:tcBorders>
                    <w:tl2br w:val="nil"/>
                    <w:tr2bl w:val="nil"/>
                  </w:tcBorders>
                  <w:noWrap w:val="0"/>
                  <w:vAlign w:val="top"/>
                </w:tcPr>
                <w:p w14:paraId="0127178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200m</w:t>
                  </w:r>
                </w:p>
              </w:tc>
              <w:tc>
                <w:tcPr>
                  <w:tcW w:w="329" w:type="pct"/>
                  <w:tcBorders>
                    <w:tl2br w:val="nil"/>
                    <w:tr2bl w:val="nil"/>
                  </w:tcBorders>
                  <w:noWrap w:val="0"/>
                  <w:vAlign w:val="top"/>
                </w:tcPr>
                <w:p w14:paraId="4B607B5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300m</w:t>
                  </w:r>
                </w:p>
              </w:tc>
            </w:tr>
            <w:tr w14:paraId="43FF530B">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141F9A2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液压挖掘机</w:t>
                  </w:r>
                </w:p>
              </w:tc>
              <w:tc>
                <w:tcPr>
                  <w:tcW w:w="404" w:type="pct"/>
                  <w:tcBorders>
                    <w:tl2br w:val="nil"/>
                    <w:tr2bl w:val="nil"/>
                  </w:tcBorders>
                  <w:noWrap w:val="0"/>
                  <w:vAlign w:val="center"/>
                </w:tcPr>
                <w:p w14:paraId="714898B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90</w:t>
                  </w:r>
                </w:p>
              </w:tc>
              <w:tc>
                <w:tcPr>
                  <w:tcW w:w="489" w:type="pct"/>
                  <w:tcBorders>
                    <w:tl2br w:val="nil"/>
                    <w:tr2bl w:val="nil"/>
                  </w:tcBorders>
                  <w:noWrap w:val="0"/>
                  <w:vAlign w:val="bottom"/>
                </w:tcPr>
                <w:p w14:paraId="02F81F9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cr/>
                  </w:r>
                  <w:r>
                    <w:rPr>
                      <w:color w:val="auto"/>
                      <w:szCs w:val="21"/>
                    </w:rPr>
                    <w:t>4</w:t>
                  </w:r>
                </w:p>
              </w:tc>
              <w:tc>
                <w:tcPr>
                  <w:tcW w:w="394" w:type="pct"/>
                  <w:tcBorders>
                    <w:tl2br w:val="nil"/>
                    <w:tr2bl w:val="nil"/>
                  </w:tcBorders>
                  <w:noWrap w:val="0"/>
                  <w:vAlign w:val="center"/>
                </w:tcPr>
                <w:p w14:paraId="38ADB54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78</w:t>
                  </w:r>
                </w:p>
              </w:tc>
              <w:tc>
                <w:tcPr>
                  <w:tcW w:w="416" w:type="pct"/>
                  <w:tcBorders>
                    <w:tl2br w:val="nil"/>
                    <w:tr2bl w:val="nil"/>
                  </w:tcBorders>
                  <w:noWrap w:val="0"/>
                  <w:vAlign w:val="center"/>
                </w:tcPr>
                <w:p w14:paraId="0B020DC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72</w:t>
                  </w:r>
                </w:p>
              </w:tc>
              <w:tc>
                <w:tcPr>
                  <w:tcW w:w="379" w:type="pct"/>
                  <w:tcBorders>
                    <w:tl2br w:val="nil"/>
                    <w:tr2bl w:val="nil"/>
                  </w:tcBorders>
                  <w:noWrap w:val="0"/>
                  <w:vAlign w:val="center"/>
                </w:tcPr>
                <w:p w14:paraId="5A64B81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68</w:t>
                  </w:r>
                </w:p>
              </w:tc>
              <w:tc>
                <w:tcPr>
                  <w:tcW w:w="417" w:type="pct"/>
                  <w:tcBorders>
                    <w:tl2br w:val="nil"/>
                    <w:tr2bl w:val="nil"/>
                  </w:tcBorders>
                  <w:noWrap w:val="0"/>
                  <w:vAlign w:val="center"/>
                </w:tcPr>
                <w:p w14:paraId="0EC873C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66</w:t>
                  </w:r>
                </w:p>
              </w:tc>
              <w:tc>
                <w:tcPr>
                  <w:tcW w:w="392" w:type="pct"/>
                  <w:tcBorders>
                    <w:tl2br w:val="nil"/>
                    <w:tr2bl w:val="nil"/>
                  </w:tcBorders>
                  <w:noWrap w:val="0"/>
                  <w:vAlign w:val="center"/>
                </w:tcPr>
                <w:p w14:paraId="0E4A5FC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64</w:t>
                  </w:r>
                </w:p>
              </w:tc>
              <w:tc>
                <w:tcPr>
                  <w:tcW w:w="391" w:type="pct"/>
                  <w:tcBorders>
                    <w:tl2br w:val="nil"/>
                    <w:tr2bl w:val="nil"/>
                  </w:tcBorders>
                  <w:noWrap w:val="0"/>
                  <w:vAlign w:val="center"/>
                </w:tcPr>
                <w:p w14:paraId="4B74ADD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60</w:t>
                  </w:r>
                </w:p>
              </w:tc>
              <w:tc>
                <w:tcPr>
                  <w:tcW w:w="369" w:type="pct"/>
                  <w:tcBorders>
                    <w:tl2br w:val="nil"/>
                    <w:tr2bl w:val="nil"/>
                  </w:tcBorders>
                  <w:noWrap w:val="0"/>
                  <w:vAlign w:val="center"/>
                </w:tcPr>
                <w:p w14:paraId="733B1CE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58</w:t>
                  </w:r>
                </w:p>
              </w:tc>
              <w:tc>
                <w:tcPr>
                  <w:tcW w:w="329" w:type="pct"/>
                  <w:tcBorders>
                    <w:tl2br w:val="nil"/>
                    <w:tr2bl w:val="nil"/>
                  </w:tcBorders>
                  <w:noWrap w:val="0"/>
                  <w:vAlign w:val="bottom"/>
                </w:tcPr>
                <w:p w14:paraId="5DB1A02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55</w:t>
                  </w:r>
                </w:p>
              </w:tc>
            </w:tr>
            <w:tr w14:paraId="49759D60">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420B019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电动挖掘机</w:t>
                  </w:r>
                </w:p>
              </w:tc>
              <w:tc>
                <w:tcPr>
                  <w:tcW w:w="404" w:type="pct"/>
                  <w:tcBorders>
                    <w:tl2br w:val="nil"/>
                    <w:tr2bl w:val="nil"/>
                  </w:tcBorders>
                  <w:noWrap w:val="0"/>
                  <w:vAlign w:val="center"/>
                </w:tcPr>
                <w:p w14:paraId="72A146F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86</w:t>
                  </w:r>
                </w:p>
              </w:tc>
              <w:tc>
                <w:tcPr>
                  <w:tcW w:w="489" w:type="pct"/>
                  <w:tcBorders>
                    <w:tl2br w:val="nil"/>
                    <w:tr2bl w:val="nil"/>
                  </w:tcBorders>
                  <w:noWrap w:val="0"/>
                  <w:vAlign w:val="bottom"/>
                </w:tcPr>
                <w:p w14:paraId="24E6930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80</w:t>
                  </w:r>
                </w:p>
              </w:tc>
              <w:tc>
                <w:tcPr>
                  <w:tcW w:w="394" w:type="pct"/>
                  <w:tcBorders>
                    <w:tl2br w:val="nil"/>
                    <w:tr2bl w:val="nil"/>
                  </w:tcBorders>
                  <w:noWrap w:val="0"/>
                  <w:vAlign w:val="center"/>
                </w:tcPr>
                <w:p w14:paraId="617A0F2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74</w:t>
                  </w:r>
                </w:p>
              </w:tc>
              <w:tc>
                <w:tcPr>
                  <w:tcW w:w="416" w:type="pct"/>
                  <w:tcBorders>
                    <w:tl2br w:val="nil"/>
                    <w:tr2bl w:val="nil"/>
                  </w:tcBorders>
                  <w:noWrap w:val="0"/>
                  <w:vAlign w:val="center"/>
                </w:tcPr>
                <w:p w14:paraId="00CC01C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68</w:t>
                  </w:r>
                </w:p>
              </w:tc>
              <w:tc>
                <w:tcPr>
                  <w:tcW w:w="379" w:type="pct"/>
                  <w:tcBorders>
                    <w:tl2br w:val="nil"/>
                    <w:tr2bl w:val="nil"/>
                  </w:tcBorders>
                  <w:noWrap w:val="0"/>
                  <w:vAlign w:val="center"/>
                </w:tcPr>
                <w:p w14:paraId="0E8F269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64</w:t>
                  </w:r>
                </w:p>
              </w:tc>
              <w:tc>
                <w:tcPr>
                  <w:tcW w:w="417" w:type="pct"/>
                  <w:tcBorders>
                    <w:tl2br w:val="nil"/>
                    <w:tr2bl w:val="nil"/>
                  </w:tcBorders>
                  <w:noWrap w:val="0"/>
                  <w:vAlign w:val="center"/>
                </w:tcPr>
                <w:p w14:paraId="311A385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62</w:t>
                  </w:r>
                </w:p>
              </w:tc>
              <w:tc>
                <w:tcPr>
                  <w:tcW w:w="392" w:type="pct"/>
                  <w:tcBorders>
                    <w:tl2br w:val="nil"/>
                    <w:tr2bl w:val="nil"/>
                  </w:tcBorders>
                  <w:noWrap w:val="0"/>
                  <w:vAlign w:val="center"/>
                </w:tcPr>
                <w:p w14:paraId="404A369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60</w:t>
                  </w:r>
                </w:p>
              </w:tc>
              <w:tc>
                <w:tcPr>
                  <w:tcW w:w="391" w:type="pct"/>
                  <w:tcBorders>
                    <w:tl2br w:val="nil"/>
                    <w:tr2bl w:val="nil"/>
                  </w:tcBorders>
                  <w:noWrap w:val="0"/>
                  <w:vAlign w:val="center"/>
                </w:tcPr>
                <w:p w14:paraId="4D1A81F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56</w:t>
                  </w:r>
                </w:p>
              </w:tc>
              <w:tc>
                <w:tcPr>
                  <w:tcW w:w="369" w:type="pct"/>
                  <w:tcBorders>
                    <w:tl2br w:val="nil"/>
                    <w:tr2bl w:val="nil"/>
                  </w:tcBorders>
                  <w:noWrap w:val="0"/>
                  <w:vAlign w:val="center"/>
                </w:tcPr>
                <w:p w14:paraId="27C06F1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54</w:t>
                  </w:r>
                </w:p>
              </w:tc>
              <w:tc>
                <w:tcPr>
                  <w:tcW w:w="329" w:type="pct"/>
                  <w:tcBorders>
                    <w:tl2br w:val="nil"/>
                    <w:tr2bl w:val="nil"/>
                  </w:tcBorders>
                  <w:noWrap w:val="0"/>
                  <w:vAlign w:val="bottom"/>
                </w:tcPr>
                <w:p w14:paraId="41FAE4B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51</w:t>
                  </w:r>
                </w:p>
              </w:tc>
            </w:tr>
            <w:tr w14:paraId="7010D9A7">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584B9FA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轮式装载机</w:t>
                  </w:r>
                </w:p>
              </w:tc>
              <w:tc>
                <w:tcPr>
                  <w:tcW w:w="404" w:type="pct"/>
                  <w:tcBorders>
                    <w:tl2br w:val="nil"/>
                    <w:tr2bl w:val="nil"/>
                  </w:tcBorders>
                  <w:noWrap w:val="0"/>
                  <w:vAlign w:val="center"/>
                </w:tcPr>
                <w:p w14:paraId="4BC0B7C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95</w:t>
                  </w:r>
                </w:p>
              </w:tc>
              <w:tc>
                <w:tcPr>
                  <w:tcW w:w="489" w:type="pct"/>
                  <w:tcBorders>
                    <w:tl2br w:val="nil"/>
                    <w:tr2bl w:val="nil"/>
                  </w:tcBorders>
                  <w:noWrap w:val="0"/>
                  <w:vAlign w:val="bottom"/>
                </w:tcPr>
                <w:p w14:paraId="455C377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89</w:t>
                  </w:r>
                </w:p>
              </w:tc>
              <w:tc>
                <w:tcPr>
                  <w:tcW w:w="394" w:type="pct"/>
                  <w:tcBorders>
                    <w:tl2br w:val="nil"/>
                    <w:tr2bl w:val="nil"/>
                  </w:tcBorders>
                  <w:noWrap w:val="0"/>
                  <w:vAlign w:val="center"/>
                </w:tcPr>
                <w:p w14:paraId="1BE215A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83</w:t>
                  </w:r>
                </w:p>
              </w:tc>
              <w:tc>
                <w:tcPr>
                  <w:tcW w:w="416" w:type="pct"/>
                  <w:tcBorders>
                    <w:tl2br w:val="nil"/>
                    <w:tr2bl w:val="nil"/>
                  </w:tcBorders>
                  <w:noWrap w:val="0"/>
                  <w:vAlign w:val="center"/>
                </w:tcPr>
                <w:p w14:paraId="4FB2A70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77</w:t>
                  </w:r>
                </w:p>
              </w:tc>
              <w:tc>
                <w:tcPr>
                  <w:tcW w:w="379" w:type="pct"/>
                  <w:tcBorders>
                    <w:tl2br w:val="nil"/>
                    <w:tr2bl w:val="nil"/>
                  </w:tcBorders>
                  <w:noWrap w:val="0"/>
                  <w:vAlign w:val="center"/>
                </w:tcPr>
                <w:p w14:paraId="74DD139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73</w:t>
                  </w:r>
                </w:p>
              </w:tc>
              <w:tc>
                <w:tcPr>
                  <w:tcW w:w="417" w:type="pct"/>
                  <w:tcBorders>
                    <w:tl2br w:val="nil"/>
                    <w:tr2bl w:val="nil"/>
                  </w:tcBorders>
                  <w:noWrap w:val="0"/>
                  <w:vAlign w:val="center"/>
                </w:tcPr>
                <w:p w14:paraId="2EB4261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71</w:t>
                  </w:r>
                </w:p>
              </w:tc>
              <w:tc>
                <w:tcPr>
                  <w:tcW w:w="392" w:type="pct"/>
                  <w:tcBorders>
                    <w:tl2br w:val="nil"/>
                    <w:tr2bl w:val="nil"/>
                  </w:tcBorders>
                  <w:noWrap w:val="0"/>
                  <w:vAlign w:val="center"/>
                </w:tcPr>
                <w:p w14:paraId="3F86641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69</w:t>
                  </w:r>
                </w:p>
              </w:tc>
              <w:tc>
                <w:tcPr>
                  <w:tcW w:w="391" w:type="pct"/>
                  <w:tcBorders>
                    <w:tl2br w:val="nil"/>
                    <w:tr2bl w:val="nil"/>
                  </w:tcBorders>
                  <w:noWrap w:val="0"/>
                  <w:vAlign w:val="center"/>
                </w:tcPr>
                <w:p w14:paraId="7AA6078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65</w:t>
                  </w:r>
                </w:p>
              </w:tc>
              <w:tc>
                <w:tcPr>
                  <w:tcW w:w="369" w:type="pct"/>
                  <w:tcBorders>
                    <w:tl2br w:val="nil"/>
                    <w:tr2bl w:val="nil"/>
                  </w:tcBorders>
                  <w:noWrap w:val="0"/>
                  <w:vAlign w:val="center"/>
                </w:tcPr>
                <w:p w14:paraId="1635E39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63</w:t>
                  </w:r>
                </w:p>
              </w:tc>
              <w:tc>
                <w:tcPr>
                  <w:tcW w:w="329" w:type="pct"/>
                  <w:tcBorders>
                    <w:tl2br w:val="nil"/>
                    <w:tr2bl w:val="nil"/>
                  </w:tcBorders>
                  <w:noWrap w:val="0"/>
                  <w:vAlign w:val="bottom"/>
                </w:tcPr>
                <w:p w14:paraId="5EED889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60</w:t>
                  </w:r>
                </w:p>
              </w:tc>
            </w:tr>
            <w:tr w14:paraId="4BB74568">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70A03AF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推土机</w:t>
                  </w:r>
                </w:p>
              </w:tc>
              <w:tc>
                <w:tcPr>
                  <w:tcW w:w="404" w:type="pct"/>
                  <w:tcBorders>
                    <w:tl2br w:val="nil"/>
                    <w:tr2bl w:val="nil"/>
                  </w:tcBorders>
                  <w:noWrap w:val="0"/>
                  <w:vAlign w:val="center"/>
                </w:tcPr>
                <w:p w14:paraId="11BCBB0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88</w:t>
                  </w:r>
                </w:p>
              </w:tc>
              <w:tc>
                <w:tcPr>
                  <w:tcW w:w="489" w:type="pct"/>
                  <w:tcBorders>
                    <w:tl2br w:val="nil"/>
                    <w:tr2bl w:val="nil"/>
                  </w:tcBorders>
                  <w:noWrap w:val="0"/>
                  <w:vAlign w:val="bottom"/>
                </w:tcPr>
                <w:p w14:paraId="6AACE92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82</w:t>
                  </w:r>
                </w:p>
              </w:tc>
              <w:tc>
                <w:tcPr>
                  <w:tcW w:w="394" w:type="pct"/>
                  <w:tcBorders>
                    <w:tl2br w:val="nil"/>
                    <w:tr2bl w:val="nil"/>
                  </w:tcBorders>
                  <w:noWrap w:val="0"/>
                  <w:vAlign w:val="center"/>
                </w:tcPr>
                <w:p w14:paraId="313BCE0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76</w:t>
                  </w:r>
                </w:p>
              </w:tc>
              <w:tc>
                <w:tcPr>
                  <w:tcW w:w="416" w:type="pct"/>
                  <w:tcBorders>
                    <w:tl2br w:val="nil"/>
                    <w:tr2bl w:val="nil"/>
                  </w:tcBorders>
                  <w:noWrap w:val="0"/>
                  <w:vAlign w:val="center"/>
                </w:tcPr>
                <w:p w14:paraId="202F07B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70</w:t>
                  </w:r>
                </w:p>
              </w:tc>
              <w:tc>
                <w:tcPr>
                  <w:tcW w:w="379" w:type="pct"/>
                  <w:tcBorders>
                    <w:tl2br w:val="nil"/>
                    <w:tr2bl w:val="nil"/>
                  </w:tcBorders>
                  <w:noWrap w:val="0"/>
                  <w:vAlign w:val="center"/>
                </w:tcPr>
                <w:p w14:paraId="6681A6C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66</w:t>
                  </w:r>
                </w:p>
              </w:tc>
              <w:tc>
                <w:tcPr>
                  <w:tcW w:w="417" w:type="pct"/>
                  <w:tcBorders>
                    <w:tl2br w:val="nil"/>
                    <w:tr2bl w:val="nil"/>
                  </w:tcBorders>
                  <w:noWrap w:val="0"/>
                  <w:vAlign w:val="center"/>
                </w:tcPr>
                <w:p w14:paraId="44A3405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64</w:t>
                  </w:r>
                </w:p>
              </w:tc>
              <w:tc>
                <w:tcPr>
                  <w:tcW w:w="392" w:type="pct"/>
                  <w:tcBorders>
                    <w:tl2br w:val="nil"/>
                    <w:tr2bl w:val="nil"/>
                  </w:tcBorders>
                  <w:noWrap w:val="0"/>
                  <w:vAlign w:val="center"/>
                </w:tcPr>
                <w:p w14:paraId="3C18C5B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62</w:t>
                  </w:r>
                </w:p>
              </w:tc>
              <w:tc>
                <w:tcPr>
                  <w:tcW w:w="391" w:type="pct"/>
                  <w:tcBorders>
                    <w:tl2br w:val="nil"/>
                    <w:tr2bl w:val="nil"/>
                  </w:tcBorders>
                  <w:noWrap w:val="0"/>
                  <w:vAlign w:val="center"/>
                </w:tcPr>
                <w:p w14:paraId="50CB93C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58</w:t>
                  </w:r>
                </w:p>
              </w:tc>
              <w:tc>
                <w:tcPr>
                  <w:tcW w:w="369" w:type="pct"/>
                  <w:tcBorders>
                    <w:tl2br w:val="nil"/>
                    <w:tr2bl w:val="nil"/>
                  </w:tcBorders>
                  <w:noWrap w:val="0"/>
                  <w:vAlign w:val="center"/>
                </w:tcPr>
                <w:p w14:paraId="7DE8964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56</w:t>
                  </w:r>
                </w:p>
              </w:tc>
              <w:tc>
                <w:tcPr>
                  <w:tcW w:w="329" w:type="pct"/>
                  <w:tcBorders>
                    <w:tl2br w:val="nil"/>
                    <w:tr2bl w:val="nil"/>
                  </w:tcBorders>
                  <w:noWrap w:val="0"/>
                  <w:vAlign w:val="bottom"/>
                </w:tcPr>
                <w:p w14:paraId="13B9517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53</w:t>
                  </w:r>
                </w:p>
              </w:tc>
            </w:tr>
            <w:tr w14:paraId="45F681EA">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3C83133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压路机</w:t>
                  </w:r>
                </w:p>
              </w:tc>
              <w:tc>
                <w:tcPr>
                  <w:tcW w:w="404" w:type="pct"/>
                  <w:tcBorders>
                    <w:tl2br w:val="nil"/>
                    <w:tr2bl w:val="nil"/>
                  </w:tcBorders>
                  <w:noWrap w:val="0"/>
                  <w:vAlign w:val="center"/>
                </w:tcPr>
                <w:p w14:paraId="5734646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90</w:t>
                  </w:r>
                </w:p>
              </w:tc>
              <w:tc>
                <w:tcPr>
                  <w:tcW w:w="489" w:type="pct"/>
                  <w:tcBorders>
                    <w:tl2br w:val="nil"/>
                    <w:tr2bl w:val="nil"/>
                  </w:tcBorders>
                  <w:noWrap w:val="0"/>
                  <w:vAlign w:val="bottom"/>
                </w:tcPr>
                <w:p w14:paraId="3BD7424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84</w:t>
                  </w:r>
                </w:p>
              </w:tc>
              <w:tc>
                <w:tcPr>
                  <w:tcW w:w="394" w:type="pct"/>
                  <w:tcBorders>
                    <w:tl2br w:val="nil"/>
                    <w:tr2bl w:val="nil"/>
                  </w:tcBorders>
                  <w:noWrap w:val="0"/>
                  <w:vAlign w:val="center"/>
                </w:tcPr>
                <w:p w14:paraId="59EDB22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78</w:t>
                  </w:r>
                </w:p>
              </w:tc>
              <w:tc>
                <w:tcPr>
                  <w:tcW w:w="416" w:type="pct"/>
                  <w:tcBorders>
                    <w:tl2br w:val="nil"/>
                    <w:tr2bl w:val="nil"/>
                  </w:tcBorders>
                  <w:noWrap w:val="0"/>
                  <w:vAlign w:val="center"/>
                </w:tcPr>
                <w:p w14:paraId="5E11F8B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72</w:t>
                  </w:r>
                </w:p>
              </w:tc>
              <w:tc>
                <w:tcPr>
                  <w:tcW w:w="379" w:type="pct"/>
                  <w:tcBorders>
                    <w:tl2br w:val="nil"/>
                    <w:tr2bl w:val="nil"/>
                  </w:tcBorders>
                  <w:noWrap w:val="0"/>
                  <w:vAlign w:val="center"/>
                </w:tcPr>
                <w:p w14:paraId="649B9DB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68</w:t>
                  </w:r>
                </w:p>
              </w:tc>
              <w:tc>
                <w:tcPr>
                  <w:tcW w:w="417" w:type="pct"/>
                  <w:tcBorders>
                    <w:tl2br w:val="nil"/>
                    <w:tr2bl w:val="nil"/>
                  </w:tcBorders>
                  <w:noWrap w:val="0"/>
                  <w:vAlign w:val="center"/>
                </w:tcPr>
                <w:p w14:paraId="08B77D8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66</w:t>
                  </w:r>
                </w:p>
              </w:tc>
              <w:tc>
                <w:tcPr>
                  <w:tcW w:w="392" w:type="pct"/>
                  <w:tcBorders>
                    <w:tl2br w:val="nil"/>
                    <w:tr2bl w:val="nil"/>
                  </w:tcBorders>
                  <w:noWrap w:val="0"/>
                  <w:vAlign w:val="center"/>
                </w:tcPr>
                <w:p w14:paraId="44BAB78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64</w:t>
                  </w:r>
                </w:p>
              </w:tc>
              <w:tc>
                <w:tcPr>
                  <w:tcW w:w="391" w:type="pct"/>
                  <w:tcBorders>
                    <w:tl2br w:val="nil"/>
                    <w:tr2bl w:val="nil"/>
                  </w:tcBorders>
                  <w:noWrap w:val="0"/>
                  <w:vAlign w:val="center"/>
                </w:tcPr>
                <w:p w14:paraId="65459BF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60</w:t>
                  </w:r>
                </w:p>
              </w:tc>
              <w:tc>
                <w:tcPr>
                  <w:tcW w:w="369" w:type="pct"/>
                  <w:tcBorders>
                    <w:tl2br w:val="nil"/>
                    <w:tr2bl w:val="nil"/>
                  </w:tcBorders>
                  <w:noWrap w:val="0"/>
                  <w:vAlign w:val="center"/>
                </w:tcPr>
                <w:p w14:paraId="2023E4F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58</w:t>
                  </w:r>
                </w:p>
              </w:tc>
              <w:tc>
                <w:tcPr>
                  <w:tcW w:w="329" w:type="pct"/>
                  <w:tcBorders>
                    <w:tl2br w:val="nil"/>
                    <w:tr2bl w:val="nil"/>
                  </w:tcBorders>
                  <w:noWrap w:val="0"/>
                  <w:vAlign w:val="bottom"/>
                </w:tcPr>
                <w:p w14:paraId="443F48A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55</w:t>
                  </w:r>
                </w:p>
              </w:tc>
            </w:tr>
            <w:tr w14:paraId="4A93A21A">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70281A6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重型运输车</w:t>
                  </w:r>
                </w:p>
              </w:tc>
              <w:tc>
                <w:tcPr>
                  <w:tcW w:w="404" w:type="pct"/>
                  <w:tcBorders>
                    <w:tl2br w:val="nil"/>
                    <w:tr2bl w:val="nil"/>
                  </w:tcBorders>
                  <w:noWrap w:val="0"/>
                  <w:vAlign w:val="center"/>
                </w:tcPr>
                <w:p w14:paraId="66C7ECB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90</w:t>
                  </w:r>
                </w:p>
              </w:tc>
              <w:tc>
                <w:tcPr>
                  <w:tcW w:w="489" w:type="pct"/>
                  <w:tcBorders>
                    <w:tl2br w:val="nil"/>
                    <w:tr2bl w:val="nil"/>
                  </w:tcBorders>
                  <w:noWrap w:val="0"/>
                  <w:vAlign w:val="bottom"/>
                </w:tcPr>
                <w:p w14:paraId="67F9126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84</w:t>
                  </w:r>
                </w:p>
              </w:tc>
              <w:tc>
                <w:tcPr>
                  <w:tcW w:w="394" w:type="pct"/>
                  <w:tcBorders>
                    <w:tl2br w:val="nil"/>
                    <w:tr2bl w:val="nil"/>
                  </w:tcBorders>
                  <w:noWrap w:val="0"/>
                  <w:vAlign w:val="center"/>
                </w:tcPr>
                <w:p w14:paraId="21D8756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78</w:t>
                  </w:r>
                </w:p>
              </w:tc>
              <w:tc>
                <w:tcPr>
                  <w:tcW w:w="416" w:type="pct"/>
                  <w:tcBorders>
                    <w:tl2br w:val="nil"/>
                    <w:tr2bl w:val="nil"/>
                  </w:tcBorders>
                  <w:noWrap w:val="0"/>
                  <w:vAlign w:val="center"/>
                </w:tcPr>
                <w:p w14:paraId="190D416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72</w:t>
                  </w:r>
                </w:p>
              </w:tc>
              <w:tc>
                <w:tcPr>
                  <w:tcW w:w="379" w:type="pct"/>
                  <w:tcBorders>
                    <w:tl2br w:val="nil"/>
                    <w:tr2bl w:val="nil"/>
                  </w:tcBorders>
                  <w:noWrap w:val="0"/>
                  <w:vAlign w:val="center"/>
                </w:tcPr>
                <w:p w14:paraId="044762E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68</w:t>
                  </w:r>
                </w:p>
              </w:tc>
              <w:tc>
                <w:tcPr>
                  <w:tcW w:w="417" w:type="pct"/>
                  <w:tcBorders>
                    <w:tl2br w:val="nil"/>
                    <w:tr2bl w:val="nil"/>
                  </w:tcBorders>
                  <w:noWrap w:val="0"/>
                  <w:vAlign w:val="center"/>
                </w:tcPr>
                <w:p w14:paraId="4A98CC1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66</w:t>
                  </w:r>
                </w:p>
              </w:tc>
              <w:tc>
                <w:tcPr>
                  <w:tcW w:w="392" w:type="pct"/>
                  <w:tcBorders>
                    <w:tl2br w:val="nil"/>
                    <w:tr2bl w:val="nil"/>
                  </w:tcBorders>
                  <w:noWrap w:val="0"/>
                  <w:vAlign w:val="center"/>
                </w:tcPr>
                <w:p w14:paraId="789552E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64</w:t>
                  </w:r>
                </w:p>
              </w:tc>
              <w:tc>
                <w:tcPr>
                  <w:tcW w:w="391" w:type="pct"/>
                  <w:tcBorders>
                    <w:tl2br w:val="nil"/>
                    <w:tr2bl w:val="nil"/>
                  </w:tcBorders>
                  <w:noWrap w:val="0"/>
                  <w:vAlign w:val="center"/>
                </w:tcPr>
                <w:p w14:paraId="77F307F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60</w:t>
                  </w:r>
                </w:p>
              </w:tc>
              <w:tc>
                <w:tcPr>
                  <w:tcW w:w="369" w:type="pct"/>
                  <w:tcBorders>
                    <w:tl2br w:val="nil"/>
                    <w:tr2bl w:val="nil"/>
                  </w:tcBorders>
                  <w:noWrap w:val="0"/>
                  <w:vAlign w:val="center"/>
                </w:tcPr>
                <w:p w14:paraId="01E6A56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58</w:t>
                  </w:r>
                </w:p>
              </w:tc>
              <w:tc>
                <w:tcPr>
                  <w:tcW w:w="329" w:type="pct"/>
                  <w:tcBorders>
                    <w:tl2br w:val="nil"/>
                    <w:tr2bl w:val="nil"/>
                  </w:tcBorders>
                  <w:noWrap w:val="0"/>
                  <w:vAlign w:val="bottom"/>
                </w:tcPr>
                <w:p w14:paraId="4A1D3CA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55</w:t>
                  </w:r>
                </w:p>
              </w:tc>
            </w:tr>
            <w:tr w14:paraId="7A1E544D">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269C5FC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电锤</w:t>
                  </w:r>
                </w:p>
              </w:tc>
              <w:tc>
                <w:tcPr>
                  <w:tcW w:w="404" w:type="pct"/>
                  <w:tcBorders>
                    <w:tl2br w:val="nil"/>
                    <w:tr2bl w:val="nil"/>
                  </w:tcBorders>
                  <w:noWrap w:val="0"/>
                  <w:vAlign w:val="center"/>
                </w:tcPr>
                <w:p w14:paraId="3FAE948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105</w:t>
                  </w:r>
                </w:p>
              </w:tc>
              <w:tc>
                <w:tcPr>
                  <w:tcW w:w="489" w:type="pct"/>
                  <w:tcBorders>
                    <w:tl2br w:val="nil"/>
                    <w:tr2bl w:val="nil"/>
                  </w:tcBorders>
                  <w:noWrap w:val="0"/>
                  <w:vAlign w:val="bottom"/>
                </w:tcPr>
                <w:p w14:paraId="6820132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9</w:t>
                  </w:r>
                  <w:r>
                    <w:rPr>
                      <w:color w:val="auto"/>
                      <w:szCs w:val="21"/>
                    </w:rPr>
                    <w:cr/>
                  </w:r>
                </w:p>
              </w:tc>
              <w:tc>
                <w:tcPr>
                  <w:tcW w:w="394" w:type="pct"/>
                  <w:tcBorders>
                    <w:tl2br w:val="nil"/>
                    <w:tr2bl w:val="nil"/>
                  </w:tcBorders>
                  <w:noWrap w:val="0"/>
                  <w:vAlign w:val="center"/>
                </w:tcPr>
                <w:p w14:paraId="3B7589C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93</w:t>
                  </w:r>
                </w:p>
              </w:tc>
              <w:tc>
                <w:tcPr>
                  <w:tcW w:w="416" w:type="pct"/>
                  <w:tcBorders>
                    <w:tl2br w:val="nil"/>
                    <w:tr2bl w:val="nil"/>
                  </w:tcBorders>
                  <w:noWrap w:val="0"/>
                  <w:vAlign w:val="center"/>
                </w:tcPr>
                <w:p w14:paraId="1190165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87</w:t>
                  </w:r>
                </w:p>
              </w:tc>
              <w:tc>
                <w:tcPr>
                  <w:tcW w:w="379" w:type="pct"/>
                  <w:tcBorders>
                    <w:tl2br w:val="nil"/>
                    <w:tr2bl w:val="nil"/>
                  </w:tcBorders>
                  <w:noWrap w:val="0"/>
                  <w:vAlign w:val="center"/>
                </w:tcPr>
                <w:p w14:paraId="22C2786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83</w:t>
                  </w:r>
                </w:p>
              </w:tc>
              <w:tc>
                <w:tcPr>
                  <w:tcW w:w="417" w:type="pct"/>
                  <w:tcBorders>
                    <w:tl2br w:val="nil"/>
                    <w:tr2bl w:val="nil"/>
                  </w:tcBorders>
                  <w:noWrap w:val="0"/>
                  <w:vAlign w:val="center"/>
                </w:tcPr>
                <w:p w14:paraId="48CCD11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81</w:t>
                  </w:r>
                </w:p>
              </w:tc>
              <w:tc>
                <w:tcPr>
                  <w:tcW w:w="392" w:type="pct"/>
                  <w:tcBorders>
                    <w:tl2br w:val="nil"/>
                    <w:tr2bl w:val="nil"/>
                  </w:tcBorders>
                  <w:noWrap w:val="0"/>
                  <w:vAlign w:val="center"/>
                </w:tcPr>
                <w:p w14:paraId="39DA94C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79</w:t>
                  </w:r>
                </w:p>
              </w:tc>
              <w:tc>
                <w:tcPr>
                  <w:tcW w:w="391" w:type="pct"/>
                  <w:tcBorders>
                    <w:tl2br w:val="nil"/>
                    <w:tr2bl w:val="nil"/>
                  </w:tcBorders>
                  <w:noWrap w:val="0"/>
                  <w:vAlign w:val="center"/>
                </w:tcPr>
                <w:p w14:paraId="559BBEB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75</w:t>
                  </w:r>
                </w:p>
              </w:tc>
              <w:tc>
                <w:tcPr>
                  <w:tcW w:w="369" w:type="pct"/>
                  <w:tcBorders>
                    <w:tl2br w:val="nil"/>
                    <w:tr2bl w:val="nil"/>
                  </w:tcBorders>
                  <w:noWrap w:val="0"/>
                  <w:vAlign w:val="center"/>
                </w:tcPr>
                <w:p w14:paraId="37094EA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73</w:t>
                  </w:r>
                </w:p>
              </w:tc>
              <w:tc>
                <w:tcPr>
                  <w:tcW w:w="329" w:type="pct"/>
                  <w:tcBorders>
                    <w:tl2br w:val="nil"/>
                    <w:tr2bl w:val="nil"/>
                  </w:tcBorders>
                  <w:noWrap w:val="0"/>
                  <w:vAlign w:val="bottom"/>
                </w:tcPr>
                <w:p w14:paraId="7A39D0D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70</w:t>
                  </w:r>
                </w:p>
              </w:tc>
            </w:tr>
            <w:tr w14:paraId="127307BB">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3C748BD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振动夯锤</w:t>
                  </w:r>
                </w:p>
              </w:tc>
              <w:tc>
                <w:tcPr>
                  <w:tcW w:w="404" w:type="pct"/>
                  <w:tcBorders>
                    <w:tl2br w:val="nil"/>
                    <w:tr2bl w:val="nil"/>
                  </w:tcBorders>
                  <w:noWrap w:val="0"/>
                  <w:vAlign w:val="center"/>
                </w:tcPr>
                <w:p w14:paraId="51F3D16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100</w:t>
                  </w:r>
                </w:p>
              </w:tc>
              <w:tc>
                <w:tcPr>
                  <w:tcW w:w="489" w:type="pct"/>
                  <w:tcBorders>
                    <w:tl2br w:val="nil"/>
                    <w:tr2bl w:val="nil"/>
                  </w:tcBorders>
                  <w:noWrap w:val="0"/>
                  <w:vAlign w:val="bottom"/>
                </w:tcPr>
                <w:p w14:paraId="2AC4197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94</w:t>
                  </w:r>
                </w:p>
              </w:tc>
              <w:tc>
                <w:tcPr>
                  <w:tcW w:w="394" w:type="pct"/>
                  <w:tcBorders>
                    <w:tl2br w:val="nil"/>
                    <w:tr2bl w:val="nil"/>
                  </w:tcBorders>
                  <w:noWrap w:val="0"/>
                  <w:vAlign w:val="center"/>
                </w:tcPr>
                <w:p w14:paraId="710ACA3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cr/>
                  </w:r>
                  <w:r>
                    <w:rPr>
                      <w:color w:val="auto"/>
                      <w:szCs w:val="21"/>
                    </w:rPr>
                    <w:t>8</w:t>
                  </w:r>
                </w:p>
              </w:tc>
              <w:tc>
                <w:tcPr>
                  <w:tcW w:w="416" w:type="pct"/>
                  <w:tcBorders>
                    <w:tl2br w:val="nil"/>
                    <w:tr2bl w:val="nil"/>
                  </w:tcBorders>
                  <w:noWrap w:val="0"/>
                  <w:vAlign w:val="center"/>
                </w:tcPr>
                <w:p w14:paraId="3698D24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82</w:t>
                  </w:r>
                </w:p>
              </w:tc>
              <w:tc>
                <w:tcPr>
                  <w:tcW w:w="379" w:type="pct"/>
                  <w:tcBorders>
                    <w:tl2br w:val="nil"/>
                    <w:tr2bl w:val="nil"/>
                  </w:tcBorders>
                  <w:noWrap w:val="0"/>
                  <w:vAlign w:val="center"/>
                </w:tcPr>
                <w:p w14:paraId="6DB586B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78</w:t>
                  </w:r>
                </w:p>
              </w:tc>
              <w:tc>
                <w:tcPr>
                  <w:tcW w:w="417" w:type="pct"/>
                  <w:tcBorders>
                    <w:tl2br w:val="nil"/>
                    <w:tr2bl w:val="nil"/>
                  </w:tcBorders>
                  <w:noWrap w:val="0"/>
                  <w:vAlign w:val="center"/>
                </w:tcPr>
                <w:p w14:paraId="5C09E2C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76</w:t>
                  </w:r>
                </w:p>
              </w:tc>
              <w:tc>
                <w:tcPr>
                  <w:tcW w:w="392" w:type="pct"/>
                  <w:tcBorders>
                    <w:tl2br w:val="nil"/>
                    <w:tr2bl w:val="nil"/>
                  </w:tcBorders>
                  <w:noWrap w:val="0"/>
                  <w:vAlign w:val="center"/>
                </w:tcPr>
                <w:p w14:paraId="3AA6DF3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74</w:t>
                  </w:r>
                </w:p>
              </w:tc>
              <w:tc>
                <w:tcPr>
                  <w:tcW w:w="391" w:type="pct"/>
                  <w:tcBorders>
                    <w:tl2br w:val="nil"/>
                    <w:tr2bl w:val="nil"/>
                  </w:tcBorders>
                  <w:noWrap w:val="0"/>
                  <w:vAlign w:val="center"/>
                </w:tcPr>
                <w:p w14:paraId="0028AD4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70</w:t>
                  </w:r>
                </w:p>
              </w:tc>
              <w:tc>
                <w:tcPr>
                  <w:tcW w:w="369" w:type="pct"/>
                  <w:tcBorders>
                    <w:tl2br w:val="nil"/>
                    <w:tr2bl w:val="nil"/>
                  </w:tcBorders>
                  <w:noWrap w:val="0"/>
                  <w:vAlign w:val="center"/>
                </w:tcPr>
                <w:p w14:paraId="441F862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68</w:t>
                  </w:r>
                </w:p>
              </w:tc>
              <w:tc>
                <w:tcPr>
                  <w:tcW w:w="329" w:type="pct"/>
                  <w:tcBorders>
                    <w:tl2br w:val="nil"/>
                    <w:tr2bl w:val="nil"/>
                  </w:tcBorders>
                  <w:noWrap w:val="0"/>
                  <w:vAlign w:val="bottom"/>
                </w:tcPr>
                <w:p w14:paraId="72B6FC2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65</w:t>
                  </w:r>
                </w:p>
              </w:tc>
            </w:tr>
            <w:tr w14:paraId="54002490">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62EA1E2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打桩机</w:t>
                  </w:r>
                </w:p>
              </w:tc>
              <w:tc>
                <w:tcPr>
                  <w:tcW w:w="404" w:type="pct"/>
                  <w:tcBorders>
                    <w:tl2br w:val="nil"/>
                    <w:tr2bl w:val="nil"/>
                  </w:tcBorders>
                  <w:noWrap w:val="0"/>
                  <w:vAlign w:val="center"/>
                </w:tcPr>
                <w:p w14:paraId="7F7949D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110</w:t>
                  </w:r>
                </w:p>
              </w:tc>
              <w:tc>
                <w:tcPr>
                  <w:tcW w:w="489" w:type="pct"/>
                  <w:tcBorders>
                    <w:tl2br w:val="nil"/>
                    <w:tr2bl w:val="nil"/>
                  </w:tcBorders>
                  <w:noWrap w:val="0"/>
                  <w:vAlign w:val="bottom"/>
                </w:tcPr>
                <w:p w14:paraId="44143EE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104</w:t>
                  </w:r>
                </w:p>
              </w:tc>
              <w:tc>
                <w:tcPr>
                  <w:tcW w:w="394" w:type="pct"/>
                  <w:tcBorders>
                    <w:tl2br w:val="nil"/>
                    <w:tr2bl w:val="nil"/>
                  </w:tcBorders>
                  <w:noWrap w:val="0"/>
                  <w:vAlign w:val="center"/>
                </w:tcPr>
                <w:p w14:paraId="4B6D6A9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98</w:t>
                  </w:r>
                </w:p>
              </w:tc>
              <w:tc>
                <w:tcPr>
                  <w:tcW w:w="416" w:type="pct"/>
                  <w:tcBorders>
                    <w:tl2br w:val="nil"/>
                    <w:tr2bl w:val="nil"/>
                  </w:tcBorders>
                  <w:noWrap w:val="0"/>
                  <w:vAlign w:val="center"/>
                </w:tcPr>
                <w:p w14:paraId="5A8DDC5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92</w:t>
                  </w:r>
                </w:p>
              </w:tc>
              <w:tc>
                <w:tcPr>
                  <w:tcW w:w="379" w:type="pct"/>
                  <w:tcBorders>
                    <w:tl2br w:val="nil"/>
                    <w:tr2bl w:val="nil"/>
                  </w:tcBorders>
                  <w:noWrap w:val="0"/>
                  <w:vAlign w:val="center"/>
                </w:tcPr>
                <w:p w14:paraId="343C2E2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88</w:t>
                  </w:r>
                </w:p>
              </w:tc>
              <w:tc>
                <w:tcPr>
                  <w:tcW w:w="417" w:type="pct"/>
                  <w:tcBorders>
                    <w:tl2br w:val="nil"/>
                    <w:tr2bl w:val="nil"/>
                  </w:tcBorders>
                  <w:noWrap w:val="0"/>
                  <w:vAlign w:val="center"/>
                </w:tcPr>
                <w:p w14:paraId="24B4319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86</w:t>
                  </w:r>
                </w:p>
              </w:tc>
              <w:tc>
                <w:tcPr>
                  <w:tcW w:w="392" w:type="pct"/>
                  <w:tcBorders>
                    <w:tl2br w:val="nil"/>
                    <w:tr2bl w:val="nil"/>
                  </w:tcBorders>
                  <w:noWrap w:val="0"/>
                  <w:vAlign w:val="center"/>
                </w:tcPr>
                <w:p w14:paraId="08EB24C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84</w:t>
                  </w:r>
                </w:p>
              </w:tc>
              <w:tc>
                <w:tcPr>
                  <w:tcW w:w="391" w:type="pct"/>
                  <w:tcBorders>
                    <w:tl2br w:val="nil"/>
                    <w:tr2bl w:val="nil"/>
                  </w:tcBorders>
                  <w:noWrap w:val="0"/>
                  <w:vAlign w:val="center"/>
                </w:tcPr>
                <w:p w14:paraId="4C51A74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80</w:t>
                  </w:r>
                </w:p>
              </w:tc>
              <w:tc>
                <w:tcPr>
                  <w:tcW w:w="369" w:type="pct"/>
                  <w:tcBorders>
                    <w:tl2br w:val="nil"/>
                    <w:tr2bl w:val="nil"/>
                  </w:tcBorders>
                  <w:noWrap w:val="0"/>
                  <w:vAlign w:val="center"/>
                </w:tcPr>
                <w:p w14:paraId="4476598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78</w:t>
                  </w:r>
                </w:p>
              </w:tc>
              <w:tc>
                <w:tcPr>
                  <w:tcW w:w="329" w:type="pct"/>
                  <w:tcBorders>
                    <w:tl2br w:val="nil"/>
                    <w:tr2bl w:val="nil"/>
                  </w:tcBorders>
                  <w:noWrap w:val="0"/>
                  <w:vAlign w:val="bottom"/>
                </w:tcPr>
                <w:p w14:paraId="01F398C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75</w:t>
                  </w:r>
                </w:p>
              </w:tc>
            </w:tr>
            <w:tr w14:paraId="6E6C8BC9">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27E077A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静力压桩机</w:t>
                  </w:r>
                </w:p>
              </w:tc>
              <w:tc>
                <w:tcPr>
                  <w:tcW w:w="404" w:type="pct"/>
                  <w:tcBorders>
                    <w:tl2br w:val="nil"/>
                    <w:tr2bl w:val="nil"/>
                  </w:tcBorders>
                  <w:noWrap w:val="0"/>
                  <w:vAlign w:val="center"/>
                </w:tcPr>
                <w:p w14:paraId="477F1B7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75</w:t>
                  </w:r>
                </w:p>
              </w:tc>
              <w:tc>
                <w:tcPr>
                  <w:tcW w:w="489" w:type="pct"/>
                  <w:tcBorders>
                    <w:tl2br w:val="nil"/>
                    <w:tr2bl w:val="nil"/>
                  </w:tcBorders>
                  <w:noWrap w:val="0"/>
                  <w:vAlign w:val="bottom"/>
                </w:tcPr>
                <w:p w14:paraId="02A185C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69</w:t>
                  </w:r>
                </w:p>
              </w:tc>
              <w:tc>
                <w:tcPr>
                  <w:tcW w:w="394" w:type="pct"/>
                  <w:tcBorders>
                    <w:tl2br w:val="nil"/>
                    <w:tr2bl w:val="nil"/>
                  </w:tcBorders>
                  <w:noWrap w:val="0"/>
                  <w:vAlign w:val="center"/>
                </w:tcPr>
                <w:p w14:paraId="61AB715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63</w:t>
                  </w:r>
                </w:p>
              </w:tc>
              <w:tc>
                <w:tcPr>
                  <w:tcW w:w="416" w:type="pct"/>
                  <w:tcBorders>
                    <w:tl2br w:val="nil"/>
                    <w:tr2bl w:val="nil"/>
                  </w:tcBorders>
                  <w:noWrap w:val="0"/>
                  <w:vAlign w:val="center"/>
                </w:tcPr>
                <w:p w14:paraId="4CD9043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57</w:t>
                  </w:r>
                </w:p>
              </w:tc>
              <w:tc>
                <w:tcPr>
                  <w:tcW w:w="379" w:type="pct"/>
                  <w:tcBorders>
                    <w:tl2br w:val="nil"/>
                    <w:tr2bl w:val="nil"/>
                  </w:tcBorders>
                  <w:noWrap w:val="0"/>
                  <w:vAlign w:val="center"/>
                </w:tcPr>
                <w:p w14:paraId="7A23296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53</w:t>
                  </w:r>
                </w:p>
              </w:tc>
              <w:tc>
                <w:tcPr>
                  <w:tcW w:w="417" w:type="pct"/>
                  <w:tcBorders>
                    <w:tl2br w:val="nil"/>
                    <w:tr2bl w:val="nil"/>
                  </w:tcBorders>
                  <w:noWrap w:val="0"/>
                  <w:vAlign w:val="center"/>
                </w:tcPr>
                <w:p w14:paraId="1E21230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51</w:t>
                  </w:r>
                </w:p>
              </w:tc>
              <w:tc>
                <w:tcPr>
                  <w:tcW w:w="392" w:type="pct"/>
                  <w:tcBorders>
                    <w:tl2br w:val="nil"/>
                    <w:tr2bl w:val="nil"/>
                  </w:tcBorders>
                  <w:noWrap w:val="0"/>
                  <w:vAlign w:val="center"/>
                </w:tcPr>
                <w:p w14:paraId="09530FA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49</w:t>
                  </w:r>
                </w:p>
              </w:tc>
              <w:tc>
                <w:tcPr>
                  <w:tcW w:w="391" w:type="pct"/>
                  <w:tcBorders>
                    <w:tl2br w:val="nil"/>
                    <w:tr2bl w:val="nil"/>
                  </w:tcBorders>
                  <w:noWrap w:val="0"/>
                  <w:vAlign w:val="center"/>
                </w:tcPr>
                <w:p w14:paraId="552D323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45</w:t>
                  </w:r>
                </w:p>
              </w:tc>
              <w:tc>
                <w:tcPr>
                  <w:tcW w:w="369" w:type="pct"/>
                  <w:tcBorders>
                    <w:tl2br w:val="nil"/>
                    <w:tr2bl w:val="nil"/>
                  </w:tcBorders>
                  <w:noWrap w:val="0"/>
                  <w:vAlign w:val="center"/>
                </w:tcPr>
                <w:p w14:paraId="68FE0F2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43</w:t>
                  </w:r>
                </w:p>
              </w:tc>
              <w:tc>
                <w:tcPr>
                  <w:tcW w:w="329" w:type="pct"/>
                  <w:tcBorders>
                    <w:tl2br w:val="nil"/>
                    <w:tr2bl w:val="nil"/>
                  </w:tcBorders>
                  <w:noWrap w:val="0"/>
                  <w:vAlign w:val="bottom"/>
                </w:tcPr>
                <w:p w14:paraId="2EE3EBB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40</w:t>
                  </w:r>
                </w:p>
              </w:tc>
            </w:tr>
            <w:tr w14:paraId="0DACC328">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tcBorders>
                    <w:tl2br w:val="nil"/>
                    <w:tr2bl w:val="nil"/>
                  </w:tcBorders>
                  <w:noWrap w:val="0"/>
                  <w:vAlign w:val="center"/>
                </w:tcPr>
                <w:p w14:paraId="27BF3F5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摊铺机</w:t>
                  </w:r>
                </w:p>
              </w:tc>
              <w:tc>
                <w:tcPr>
                  <w:tcW w:w="404" w:type="pct"/>
                  <w:tcBorders>
                    <w:tl2br w:val="nil"/>
                    <w:tr2bl w:val="nil"/>
                  </w:tcBorders>
                  <w:noWrap w:val="0"/>
                  <w:vAlign w:val="center"/>
                </w:tcPr>
                <w:p w14:paraId="28A3686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87</w:t>
                  </w:r>
                </w:p>
              </w:tc>
              <w:tc>
                <w:tcPr>
                  <w:tcW w:w="489" w:type="pct"/>
                  <w:tcBorders>
                    <w:tl2br w:val="nil"/>
                    <w:tr2bl w:val="nil"/>
                  </w:tcBorders>
                  <w:noWrap w:val="0"/>
                  <w:vAlign w:val="bottom"/>
                </w:tcPr>
                <w:p w14:paraId="7A5D10A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81</w:t>
                  </w:r>
                </w:p>
              </w:tc>
              <w:tc>
                <w:tcPr>
                  <w:tcW w:w="394" w:type="pct"/>
                  <w:tcBorders>
                    <w:tl2br w:val="nil"/>
                    <w:tr2bl w:val="nil"/>
                  </w:tcBorders>
                  <w:noWrap w:val="0"/>
                  <w:vAlign w:val="center"/>
                </w:tcPr>
                <w:p w14:paraId="23E2C14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75</w:t>
                  </w:r>
                </w:p>
              </w:tc>
              <w:tc>
                <w:tcPr>
                  <w:tcW w:w="416" w:type="pct"/>
                  <w:tcBorders>
                    <w:tl2br w:val="nil"/>
                    <w:tr2bl w:val="nil"/>
                  </w:tcBorders>
                  <w:noWrap w:val="0"/>
                  <w:vAlign w:val="center"/>
                </w:tcPr>
                <w:p w14:paraId="799E88D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69</w:t>
                  </w:r>
                </w:p>
              </w:tc>
              <w:tc>
                <w:tcPr>
                  <w:tcW w:w="379" w:type="pct"/>
                  <w:tcBorders>
                    <w:tl2br w:val="nil"/>
                    <w:tr2bl w:val="nil"/>
                  </w:tcBorders>
                  <w:noWrap w:val="0"/>
                  <w:vAlign w:val="center"/>
                </w:tcPr>
                <w:p w14:paraId="3C35392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65</w:t>
                  </w:r>
                </w:p>
              </w:tc>
              <w:tc>
                <w:tcPr>
                  <w:tcW w:w="417" w:type="pct"/>
                  <w:tcBorders>
                    <w:tl2br w:val="nil"/>
                    <w:tr2bl w:val="nil"/>
                  </w:tcBorders>
                  <w:noWrap w:val="0"/>
                  <w:vAlign w:val="center"/>
                </w:tcPr>
                <w:p w14:paraId="7E741BF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63</w:t>
                  </w:r>
                </w:p>
              </w:tc>
              <w:tc>
                <w:tcPr>
                  <w:tcW w:w="392" w:type="pct"/>
                  <w:tcBorders>
                    <w:tl2br w:val="nil"/>
                    <w:tr2bl w:val="nil"/>
                  </w:tcBorders>
                  <w:noWrap w:val="0"/>
                  <w:vAlign w:val="center"/>
                </w:tcPr>
                <w:p w14:paraId="272FCD1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61</w:t>
                  </w:r>
                </w:p>
              </w:tc>
              <w:tc>
                <w:tcPr>
                  <w:tcW w:w="391" w:type="pct"/>
                  <w:tcBorders>
                    <w:tl2br w:val="nil"/>
                    <w:tr2bl w:val="nil"/>
                  </w:tcBorders>
                  <w:noWrap w:val="0"/>
                  <w:vAlign w:val="center"/>
                </w:tcPr>
                <w:p w14:paraId="0E7236E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57</w:t>
                  </w:r>
                </w:p>
              </w:tc>
              <w:tc>
                <w:tcPr>
                  <w:tcW w:w="369" w:type="pct"/>
                  <w:tcBorders>
                    <w:tl2br w:val="nil"/>
                    <w:tr2bl w:val="nil"/>
                  </w:tcBorders>
                  <w:noWrap w:val="0"/>
                  <w:vAlign w:val="center"/>
                </w:tcPr>
                <w:p w14:paraId="43F414B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55</w:t>
                  </w:r>
                </w:p>
              </w:tc>
              <w:tc>
                <w:tcPr>
                  <w:tcW w:w="329" w:type="pct"/>
                  <w:tcBorders>
                    <w:tl2br w:val="nil"/>
                    <w:tr2bl w:val="nil"/>
                  </w:tcBorders>
                  <w:noWrap w:val="0"/>
                  <w:vAlign w:val="bottom"/>
                </w:tcPr>
                <w:p w14:paraId="2612850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52</w:t>
                  </w:r>
                </w:p>
              </w:tc>
            </w:tr>
            <w:tr w14:paraId="1DC8966D">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PrEx>
              <w:trPr>
                <w:jc w:val="center"/>
              </w:trPr>
              <w:tc>
                <w:tcPr>
                  <w:tcW w:w="1013" w:type="pct"/>
                  <w:tcBorders>
                    <w:tl2br w:val="nil"/>
                    <w:tr2bl w:val="nil"/>
                  </w:tcBorders>
                  <w:noWrap w:val="0"/>
                  <w:vAlign w:val="center"/>
                </w:tcPr>
                <w:p w14:paraId="662BF2C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吊车</w:t>
                  </w:r>
                </w:p>
              </w:tc>
              <w:tc>
                <w:tcPr>
                  <w:tcW w:w="404" w:type="pct"/>
                  <w:tcBorders>
                    <w:tl2br w:val="nil"/>
                    <w:tr2bl w:val="nil"/>
                  </w:tcBorders>
                  <w:noWrap w:val="0"/>
                  <w:vAlign w:val="center"/>
                </w:tcPr>
                <w:p w14:paraId="11565DF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87</w:t>
                  </w:r>
                </w:p>
              </w:tc>
              <w:tc>
                <w:tcPr>
                  <w:tcW w:w="489" w:type="pct"/>
                  <w:tcBorders>
                    <w:tl2br w:val="nil"/>
                    <w:tr2bl w:val="nil"/>
                  </w:tcBorders>
                  <w:noWrap w:val="0"/>
                  <w:vAlign w:val="bottom"/>
                </w:tcPr>
                <w:p w14:paraId="55A3589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81</w:t>
                  </w:r>
                </w:p>
              </w:tc>
              <w:tc>
                <w:tcPr>
                  <w:tcW w:w="394" w:type="pct"/>
                  <w:tcBorders>
                    <w:tl2br w:val="nil"/>
                    <w:tr2bl w:val="nil"/>
                  </w:tcBorders>
                  <w:noWrap w:val="0"/>
                  <w:vAlign w:val="center"/>
                </w:tcPr>
                <w:p w14:paraId="5043721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75</w:t>
                  </w:r>
                </w:p>
              </w:tc>
              <w:tc>
                <w:tcPr>
                  <w:tcW w:w="416" w:type="pct"/>
                  <w:tcBorders>
                    <w:tl2br w:val="nil"/>
                    <w:tr2bl w:val="nil"/>
                  </w:tcBorders>
                  <w:noWrap w:val="0"/>
                  <w:vAlign w:val="center"/>
                </w:tcPr>
                <w:p w14:paraId="524235C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69</w:t>
                  </w:r>
                </w:p>
              </w:tc>
              <w:tc>
                <w:tcPr>
                  <w:tcW w:w="379" w:type="pct"/>
                  <w:tcBorders>
                    <w:tl2br w:val="nil"/>
                    <w:tr2bl w:val="nil"/>
                  </w:tcBorders>
                  <w:noWrap w:val="0"/>
                  <w:vAlign w:val="center"/>
                </w:tcPr>
                <w:p w14:paraId="1E21030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65</w:t>
                  </w:r>
                </w:p>
              </w:tc>
              <w:tc>
                <w:tcPr>
                  <w:tcW w:w="417" w:type="pct"/>
                  <w:tcBorders>
                    <w:tl2br w:val="nil"/>
                    <w:tr2bl w:val="nil"/>
                  </w:tcBorders>
                  <w:noWrap w:val="0"/>
                  <w:vAlign w:val="center"/>
                </w:tcPr>
                <w:p w14:paraId="7D9C81E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63</w:t>
                  </w:r>
                </w:p>
              </w:tc>
              <w:tc>
                <w:tcPr>
                  <w:tcW w:w="392" w:type="pct"/>
                  <w:tcBorders>
                    <w:tl2br w:val="nil"/>
                    <w:tr2bl w:val="nil"/>
                  </w:tcBorders>
                  <w:noWrap w:val="0"/>
                  <w:vAlign w:val="center"/>
                </w:tcPr>
                <w:p w14:paraId="2BAF060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61</w:t>
                  </w:r>
                </w:p>
              </w:tc>
              <w:tc>
                <w:tcPr>
                  <w:tcW w:w="391" w:type="pct"/>
                  <w:tcBorders>
                    <w:tl2br w:val="nil"/>
                    <w:tr2bl w:val="nil"/>
                  </w:tcBorders>
                  <w:noWrap w:val="0"/>
                  <w:vAlign w:val="center"/>
                </w:tcPr>
                <w:p w14:paraId="5927207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57</w:t>
                  </w:r>
                </w:p>
              </w:tc>
              <w:tc>
                <w:tcPr>
                  <w:tcW w:w="369" w:type="pct"/>
                  <w:tcBorders>
                    <w:tl2br w:val="nil"/>
                    <w:tr2bl w:val="nil"/>
                  </w:tcBorders>
                  <w:noWrap w:val="0"/>
                  <w:vAlign w:val="center"/>
                </w:tcPr>
                <w:p w14:paraId="2AA75E4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55</w:t>
                  </w:r>
                </w:p>
              </w:tc>
              <w:tc>
                <w:tcPr>
                  <w:tcW w:w="329" w:type="pct"/>
                  <w:tcBorders>
                    <w:tl2br w:val="nil"/>
                    <w:tr2bl w:val="nil"/>
                  </w:tcBorders>
                  <w:noWrap w:val="0"/>
                  <w:vAlign w:val="bottom"/>
                </w:tcPr>
                <w:p w14:paraId="4E0F6F3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52</w:t>
                  </w:r>
                </w:p>
              </w:tc>
            </w:tr>
          </w:tbl>
          <w:p w14:paraId="674831E7">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由于道路施工过程中不同施工阶段所使用施工机械不同，同时不同施工阶段可能出现多台机械同步施工的情形，本次评价根据不同施工阶段的特点，选取有代表性的施工机械，假设施工机械同时作业的场景，预测典型施工机械组合施工时在不同距离处的噪声影响，见表4-</w:t>
            </w:r>
            <w:r>
              <w:rPr>
                <w:rFonts w:hint="eastAsia"/>
                <w:color w:val="auto"/>
                <w:sz w:val="24"/>
                <w:lang w:val="en-US" w:eastAsia="zh-CN"/>
              </w:rPr>
              <w:t>6</w:t>
            </w:r>
            <w:r>
              <w:rPr>
                <w:color w:val="auto"/>
                <w:sz w:val="24"/>
              </w:rPr>
              <w:t>。</w:t>
            </w:r>
          </w:p>
          <w:p w14:paraId="476F588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422" w:firstLineChars="200"/>
              <w:textAlignment w:val="auto"/>
              <w:rPr>
                <w:rFonts w:hint="eastAsia" w:cs="Times New Roman"/>
                <w:b/>
                <w:bCs/>
                <w:caps w:val="0"/>
                <w:smallCaps w:val="0"/>
                <w:snapToGrid w:val="0"/>
                <w:color w:val="auto"/>
                <w:spacing w:val="0"/>
                <w:w w:val="100"/>
                <w:kern w:val="2"/>
                <w:position w:val="0"/>
                <w:sz w:val="21"/>
                <w:szCs w:val="21"/>
                <w:highlight w:val="none"/>
                <w:lang w:val="en-US" w:eastAsia="zh-CN" w:bidi="ar-SA"/>
              </w:rPr>
            </w:pPr>
            <w:r>
              <w:rPr>
                <w:rFonts w:hint="eastAsia" w:cs="Times New Roman"/>
                <w:b/>
                <w:bCs/>
                <w:caps w:val="0"/>
                <w:smallCaps w:val="0"/>
                <w:snapToGrid w:val="0"/>
                <w:color w:val="auto"/>
                <w:spacing w:val="0"/>
                <w:w w:val="100"/>
                <w:kern w:val="2"/>
                <w:position w:val="0"/>
                <w:sz w:val="21"/>
                <w:szCs w:val="21"/>
                <w:highlight w:val="none"/>
                <w:lang w:val="en-US" w:eastAsia="zh-CN" w:bidi="ar-SA"/>
              </w:rPr>
              <w:t>表4-6           不同施工阶段噪声预测表            单位：dB(A)</w:t>
            </w:r>
          </w:p>
          <w:tbl>
            <w:tblPr>
              <w:tblStyle w:val="29"/>
              <w:tblW w:w="5000" w:type="pct"/>
              <w:jc w:val="center"/>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99"/>
              <w:gridCol w:w="892"/>
              <w:gridCol w:w="535"/>
              <w:gridCol w:w="535"/>
              <w:gridCol w:w="535"/>
              <w:gridCol w:w="535"/>
              <w:gridCol w:w="681"/>
              <w:gridCol w:w="681"/>
              <w:gridCol w:w="681"/>
              <w:gridCol w:w="681"/>
              <w:gridCol w:w="681"/>
              <w:gridCol w:w="682"/>
            </w:tblGrid>
            <w:tr w14:paraId="68790F2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restart"/>
                  <w:tcBorders>
                    <w:tl2br w:val="nil"/>
                    <w:tr2bl w:val="nil"/>
                  </w:tcBorders>
                  <w:noWrap w:val="0"/>
                  <w:vAlign w:val="center"/>
                </w:tcPr>
                <w:p w14:paraId="2F7A94DD">
                  <w:pPr>
                    <w:shd w:val="clear" w:color="auto" w:fill="auto"/>
                    <w:tabs>
                      <w:tab w:val="center" w:pos="2520"/>
                    </w:tabs>
                    <w:spacing w:line="360" w:lineRule="exact"/>
                    <w:jc w:val="center"/>
                    <w:rPr>
                      <w:color w:val="auto"/>
                      <w:szCs w:val="21"/>
                    </w:rPr>
                  </w:pPr>
                  <w:r>
                    <w:rPr>
                      <w:color w:val="auto"/>
                      <w:szCs w:val="21"/>
                    </w:rPr>
                    <w:t>施工</w:t>
                  </w:r>
                </w:p>
                <w:p w14:paraId="01ACE8EB">
                  <w:pPr>
                    <w:shd w:val="clear" w:color="auto" w:fill="auto"/>
                    <w:tabs>
                      <w:tab w:val="center" w:pos="2520"/>
                    </w:tabs>
                    <w:spacing w:line="360" w:lineRule="exact"/>
                    <w:jc w:val="center"/>
                    <w:rPr>
                      <w:color w:val="auto"/>
                      <w:szCs w:val="21"/>
                    </w:rPr>
                  </w:pPr>
                  <w:r>
                    <w:rPr>
                      <w:color w:val="auto"/>
                      <w:szCs w:val="21"/>
                    </w:rPr>
                    <w:t>阶段</w:t>
                  </w:r>
                </w:p>
              </w:tc>
              <w:tc>
                <w:tcPr>
                  <w:tcW w:w="0" w:type="auto"/>
                  <w:vMerge w:val="restart"/>
                  <w:tcBorders>
                    <w:tl2br w:val="nil"/>
                    <w:tr2bl w:val="nil"/>
                  </w:tcBorders>
                  <w:noWrap w:val="0"/>
                  <w:vAlign w:val="center"/>
                </w:tcPr>
                <w:p w14:paraId="3B9B512C">
                  <w:pPr>
                    <w:shd w:val="clear" w:color="auto" w:fill="auto"/>
                    <w:tabs>
                      <w:tab w:val="center" w:pos="2520"/>
                    </w:tabs>
                    <w:spacing w:line="360" w:lineRule="exact"/>
                    <w:jc w:val="center"/>
                    <w:rPr>
                      <w:color w:val="auto"/>
                      <w:szCs w:val="21"/>
                    </w:rPr>
                  </w:pPr>
                  <w:r>
                    <w:rPr>
                      <w:color w:val="auto"/>
                      <w:szCs w:val="21"/>
                    </w:rPr>
                    <w:t>机械</w:t>
                  </w:r>
                </w:p>
                <w:p w14:paraId="47127944">
                  <w:pPr>
                    <w:shd w:val="clear" w:color="auto" w:fill="auto"/>
                    <w:tabs>
                      <w:tab w:val="center" w:pos="2520"/>
                    </w:tabs>
                    <w:spacing w:line="360" w:lineRule="exact"/>
                    <w:jc w:val="center"/>
                    <w:rPr>
                      <w:color w:val="auto"/>
                      <w:szCs w:val="21"/>
                    </w:rPr>
                  </w:pPr>
                  <w:r>
                    <w:rPr>
                      <w:color w:val="auto"/>
                      <w:szCs w:val="21"/>
                    </w:rPr>
                    <w:t>类型</w:t>
                  </w:r>
                </w:p>
              </w:tc>
              <w:tc>
                <w:tcPr>
                  <w:tcW w:w="0" w:type="auto"/>
                  <w:gridSpan w:val="10"/>
                  <w:tcBorders>
                    <w:tl2br w:val="nil"/>
                    <w:tr2bl w:val="nil"/>
                  </w:tcBorders>
                  <w:noWrap w:val="0"/>
                  <w:vAlign w:val="center"/>
                </w:tcPr>
                <w:p w14:paraId="7EA48568">
                  <w:pPr>
                    <w:shd w:val="clear" w:color="auto" w:fill="auto"/>
                    <w:tabs>
                      <w:tab w:val="center" w:pos="2520"/>
                    </w:tabs>
                    <w:spacing w:line="360" w:lineRule="exact"/>
                    <w:jc w:val="center"/>
                    <w:rPr>
                      <w:color w:val="auto"/>
                      <w:szCs w:val="21"/>
                    </w:rPr>
                  </w:pPr>
                  <w:r>
                    <w:rPr>
                      <w:color w:val="auto"/>
                      <w:szCs w:val="21"/>
                    </w:rPr>
                    <w:t>距施工现场不同距离处噪声值</w:t>
                  </w:r>
                </w:p>
              </w:tc>
            </w:tr>
            <w:tr w14:paraId="7E2DA5FD">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continue"/>
                  <w:tcBorders>
                    <w:tl2br w:val="nil"/>
                    <w:tr2bl w:val="nil"/>
                  </w:tcBorders>
                  <w:noWrap w:val="0"/>
                  <w:vAlign w:val="center"/>
                </w:tcPr>
                <w:p w14:paraId="5D800BF6">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670E8FAE">
                  <w:pPr>
                    <w:shd w:val="clear" w:color="auto" w:fill="auto"/>
                    <w:tabs>
                      <w:tab w:val="center" w:pos="2520"/>
                    </w:tabs>
                    <w:spacing w:line="360" w:lineRule="exact"/>
                    <w:jc w:val="center"/>
                    <w:rPr>
                      <w:color w:val="auto"/>
                      <w:szCs w:val="21"/>
                    </w:rPr>
                  </w:pPr>
                </w:p>
              </w:tc>
              <w:tc>
                <w:tcPr>
                  <w:tcW w:w="0" w:type="auto"/>
                  <w:tcBorders>
                    <w:tl2br w:val="nil"/>
                    <w:tr2bl w:val="nil"/>
                  </w:tcBorders>
                  <w:noWrap w:val="0"/>
                  <w:vAlign w:val="center"/>
                </w:tcPr>
                <w:p w14:paraId="2A7403F1">
                  <w:pPr>
                    <w:shd w:val="clear" w:color="auto" w:fill="auto"/>
                    <w:tabs>
                      <w:tab w:val="center" w:pos="2520"/>
                    </w:tabs>
                    <w:spacing w:line="360" w:lineRule="exact"/>
                    <w:jc w:val="center"/>
                    <w:rPr>
                      <w:color w:val="auto"/>
                      <w:szCs w:val="21"/>
                    </w:rPr>
                  </w:pPr>
                  <w:r>
                    <w:rPr>
                      <w:color w:val="auto"/>
                      <w:szCs w:val="21"/>
                    </w:rPr>
                    <w:t>20m</w:t>
                  </w:r>
                </w:p>
              </w:tc>
              <w:tc>
                <w:tcPr>
                  <w:tcW w:w="0" w:type="auto"/>
                  <w:tcBorders>
                    <w:tl2br w:val="nil"/>
                    <w:tr2bl w:val="nil"/>
                  </w:tcBorders>
                  <w:noWrap w:val="0"/>
                  <w:vAlign w:val="center"/>
                </w:tcPr>
                <w:p w14:paraId="4B6FB4F4">
                  <w:pPr>
                    <w:shd w:val="clear" w:color="auto" w:fill="auto"/>
                    <w:tabs>
                      <w:tab w:val="center" w:pos="2520"/>
                    </w:tabs>
                    <w:spacing w:line="360" w:lineRule="exact"/>
                    <w:jc w:val="center"/>
                    <w:rPr>
                      <w:color w:val="auto"/>
                      <w:szCs w:val="21"/>
                    </w:rPr>
                  </w:pPr>
                  <w:r>
                    <w:rPr>
                      <w:color w:val="auto"/>
                      <w:szCs w:val="21"/>
                    </w:rPr>
                    <w:t>40m</w:t>
                  </w:r>
                </w:p>
              </w:tc>
              <w:tc>
                <w:tcPr>
                  <w:tcW w:w="0" w:type="auto"/>
                  <w:tcBorders>
                    <w:tl2br w:val="nil"/>
                    <w:tr2bl w:val="nil"/>
                  </w:tcBorders>
                  <w:noWrap w:val="0"/>
                  <w:vAlign w:val="center"/>
                </w:tcPr>
                <w:p w14:paraId="47A92BE4">
                  <w:pPr>
                    <w:shd w:val="clear" w:color="auto" w:fill="auto"/>
                    <w:tabs>
                      <w:tab w:val="center" w:pos="2520"/>
                    </w:tabs>
                    <w:spacing w:line="360" w:lineRule="exact"/>
                    <w:jc w:val="center"/>
                    <w:rPr>
                      <w:color w:val="auto"/>
                      <w:szCs w:val="21"/>
                    </w:rPr>
                  </w:pPr>
                  <w:r>
                    <w:rPr>
                      <w:color w:val="auto"/>
                      <w:szCs w:val="21"/>
                    </w:rPr>
                    <w:t>60m</w:t>
                  </w:r>
                </w:p>
              </w:tc>
              <w:tc>
                <w:tcPr>
                  <w:tcW w:w="0" w:type="auto"/>
                  <w:tcBorders>
                    <w:tl2br w:val="nil"/>
                    <w:tr2bl w:val="nil"/>
                  </w:tcBorders>
                  <w:noWrap w:val="0"/>
                  <w:vAlign w:val="center"/>
                </w:tcPr>
                <w:p w14:paraId="417EA951">
                  <w:pPr>
                    <w:shd w:val="clear" w:color="auto" w:fill="auto"/>
                    <w:tabs>
                      <w:tab w:val="center" w:pos="2520"/>
                    </w:tabs>
                    <w:spacing w:line="360" w:lineRule="exact"/>
                    <w:jc w:val="center"/>
                    <w:rPr>
                      <w:color w:val="auto"/>
                      <w:szCs w:val="21"/>
                    </w:rPr>
                  </w:pPr>
                  <w:r>
                    <w:rPr>
                      <w:color w:val="auto"/>
                      <w:szCs w:val="21"/>
                    </w:rPr>
                    <w:t>80m</w:t>
                  </w:r>
                </w:p>
              </w:tc>
              <w:tc>
                <w:tcPr>
                  <w:tcW w:w="0" w:type="auto"/>
                  <w:tcBorders>
                    <w:tl2br w:val="nil"/>
                    <w:tr2bl w:val="nil"/>
                  </w:tcBorders>
                  <w:noWrap w:val="0"/>
                  <w:vAlign w:val="center"/>
                </w:tcPr>
                <w:p w14:paraId="676F0C32">
                  <w:pPr>
                    <w:shd w:val="clear" w:color="auto" w:fill="auto"/>
                    <w:tabs>
                      <w:tab w:val="center" w:pos="2520"/>
                    </w:tabs>
                    <w:spacing w:line="360" w:lineRule="exact"/>
                    <w:jc w:val="center"/>
                    <w:rPr>
                      <w:color w:val="auto"/>
                      <w:szCs w:val="21"/>
                    </w:rPr>
                  </w:pPr>
                  <w:r>
                    <w:rPr>
                      <w:color w:val="auto"/>
                      <w:szCs w:val="21"/>
                    </w:rPr>
                    <w:t>100m</w:t>
                  </w:r>
                </w:p>
              </w:tc>
              <w:tc>
                <w:tcPr>
                  <w:tcW w:w="0" w:type="auto"/>
                  <w:tcBorders>
                    <w:tl2br w:val="nil"/>
                    <w:tr2bl w:val="nil"/>
                  </w:tcBorders>
                  <w:noWrap w:val="0"/>
                  <w:vAlign w:val="center"/>
                </w:tcPr>
                <w:p w14:paraId="5501E46D">
                  <w:pPr>
                    <w:shd w:val="clear" w:color="auto" w:fill="auto"/>
                    <w:tabs>
                      <w:tab w:val="center" w:pos="2520"/>
                    </w:tabs>
                    <w:spacing w:line="360" w:lineRule="exact"/>
                    <w:jc w:val="center"/>
                    <w:rPr>
                      <w:color w:val="auto"/>
                      <w:szCs w:val="21"/>
                    </w:rPr>
                  </w:pPr>
                  <w:r>
                    <w:rPr>
                      <w:color w:val="auto"/>
                      <w:szCs w:val="21"/>
                    </w:rPr>
                    <w:t>120m</w:t>
                  </w:r>
                </w:p>
              </w:tc>
              <w:tc>
                <w:tcPr>
                  <w:tcW w:w="0" w:type="auto"/>
                  <w:tcBorders>
                    <w:tl2br w:val="nil"/>
                    <w:tr2bl w:val="nil"/>
                  </w:tcBorders>
                  <w:noWrap w:val="0"/>
                  <w:vAlign w:val="center"/>
                </w:tcPr>
                <w:p w14:paraId="3DD61BC8">
                  <w:pPr>
                    <w:shd w:val="clear" w:color="auto" w:fill="auto"/>
                    <w:tabs>
                      <w:tab w:val="center" w:pos="2520"/>
                    </w:tabs>
                    <w:spacing w:line="360" w:lineRule="exact"/>
                    <w:jc w:val="center"/>
                    <w:rPr>
                      <w:color w:val="auto"/>
                      <w:szCs w:val="21"/>
                    </w:rPr>
                  </w:pPr>
                  <w:r>
                    <w:rPr>
                      <w:color w:val="auto"/>
                      <w:szCs w:val="21"/>
                    </w:rPr>
                    <w:t>140m</w:t>
                  </w:r>
                </w:p>
              </w:tc>
              <w:tc>
                <w:tcPr>
                  <w:tcW w:w="0" w:type="auto"/>
                  <w:tcBorders>
                    <w:tl2br w:val="nil"/>
                    <w:tr2bl w:val="nil"/>
                  </w:tcBorders>
                  <w:noWrap w:val="0"/>
                  <w:vAlign w:val="center"/>
                </w:tcPr>
                <w:p w14:paraId="3318AA52">
                  <w:pPr>
                    <w:shd w:val="clear" w:color="auto" w:fill="auto"/>
                    <w:tabs>
                      <w:tab w:val="center" w:pos="2520"/>
                    </w:tabs>
                    <w:spacing w:line="360" w:lineRule="exact"/>
                    <w:jc w:val="center"/>
                    <w:rPr>
                      <w:color w:val="auto"/>
                      <w:szCs w:val="21"/>
                    </w:rPr>
                  </w:pPr>
                  <w:r>
                    <w:rPr>
                      <w:color w:val="auto"/>
                      <w:szCs w:val="21"/>
                    </w:rPr>
                    <w:t>160m</w:t>
                  </w:r>
                </w:p>
              </w:tc>
              <w:tc>
                <w:tcPr>
                  <w:tcW w:w="0" w:type="auto"/>
                  <w:tcBorders>
                    <w:tl2br w:val="nil"/>
                    <w:tr2bl w:val="nil"/>
                  </w:tcBorders>
                  <w:noWrap w:val="0"/>
                  <w:vAlign w:val="center"/>
                </w:tcPr>
                <w:p w14:paraId="35182084">
                  <w:pPr>
                    <w:shd w:val="clear" w:color="auto" w:fill="auto"/>
                    <w:tabs>
                      <w:tab w:val="center" w:pos="2520"/>
                    </w:tabs>
                    <w:spacing w:line="360" w:lineRule="exact"/>
                    <w:jc w:val="center"/>
                    <w:rPr>
                      <w:color w:val="auto"/>
                      <w:szCs w:val="21"/>
                    </w:rPr>
                  </w:pPr>
                  <w:r>
                    <w:rPr>
                      <w:color w:val="auto"/>
                      <w:szCs w:val="21"/>
                    </w:rPr>
                    <w:t>180m</w:t>
                  </w:r>
                </w:p>
              </w:tc>
              <w:tc>
                <w:tcPr>
                  <w:tcW w:w="0" w:type="auto"/>
                  <w:tcBorders>
                    <w:tl2br w:val="nil"/>
                    <w:tr2bl w:val="nil"/>
                  </w:tcBorders>
                  <w:noWrap w:val="0"/>
                  <w:vAlign w:val="center"/>
                </w:tcPr>
                <w:p w14:paraId="4EE94966">
                  <w:pPr>
                    <w:shd w:val="clear" w:color="auto" w:fill="auto"/>
                    <w:tabs>
                      <w:tab w:val="center" w:pos="2520"/>
                    </w:tabs>
                    <w:spacing w:line="360" w:lineRule="exact"/>
                    <w:jc w:val="center"/>
                    <w:rPr>
                      <w:color w:val="auto"/>
                      <w:szCs w:val="21"/>
                    </w:rPr>
                  </w:pPr>
                  <w:r>
                    <w:rPr>
                      <w:color w:val="auto"/>
                      <w:szCs w:val="21"/>
                    </w:rPr>
                    <w:t>200m</w:t>
                  </w:r>
                </w:p>
              </w:tc>
            </w:tr>
            <w:tr w14:paraId="1783CBD8">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restart"/>
                  <w:tcBorders>
                    <w:tl2br w:val="nil"/>
                    <w:tr2bl w:val="nil"/>
                  </w:tcBorders>
                  <w:noWrap w:val="0"/>
                  <w:vAlign w:val="center"/>
                </w:tcPr>
                <w:p w14:paraId="6F68407F">
                  <w:pPr>
                    <w:shd w:val="clear" w:color="auto" w:fill="auto"/>
                    <w:tabs>
                      <w:tab w:val="center" w:pos="2520"/>
                    </w:tabs>
                    <w:spacing w:line="360" w:lineRule="exact"/>
                    <w:jc w:val="center"/>
                    <w:rPr>
                      <w:color w:val="auto"/>
                      <w:szCs w:val="21"/>
                    </w:rPr>
                  </w:pPr>
                  <w:r>
                    <w:rPr>
                      <w:color w:val="auto"/>
                      <w:szCs w:val="21"/>
                    </w:rPr>
                    <w:t>路基</w:t>
                  </w:r>
                </w:p>
              </w:tc>
              <w:tc>
                <w:tcPr>
                  <w:tcW w:w="0" w:type="auto"/>
                  <w:tcBorders>
                    <w:tl2br w:val="nil"/>
                    <w:tr2bl w:val="nil"/>
                  </w:tcBorders>
                  <w:noWrap w:val="0"/>
                  <w:vAlign w:val="center"/>
                </w:tcPr>
                <w:p w14:paraId="441E1A41">
                  <w:pPr>
                    <w:shd w:val="clear" w:color="auto" w:fill="auto"/>
                    <w:tabs>
                      <w:tab w:val="center" w:pos="2520"/>
                    </w:tabs>
                    <w:spacing w:line="360" w:lineRule="exact"/>
                    <w:jc w:val="center"/>
                    <w:rPr>
                      <w:color w:val="auto"/>
                      <w:szCs w:val="21"/>
                    </w:rPr>
                  </w:pPr>
                  <w:r>
                    <w:rPr>
                      <w:color w:val="auto"/>
                      <w:szCs w:val="21"/>
                    </w:rPr>
                    <w:t>挖掘机</w:t>
                  </w:r>
                </w:p>
              </w:tc>
              <w:tc>
                <w:tcPr>
                  <w:tcW w:w="0" w:type="auto"/>
                  <w:vMerge w:val="restart"/>
                  <w:tcBorders>
                    <w:tl2br w:val="nil"/>
                    <w:tr2bl w:val="nil"/>
                  </w:tcBorders>
                  <w:noWrap w:val="0"/>
                  <w:vAlign w:val="center"/>
                </w:tcPr>
                <w:p w14:paraId="2D9D42C6">
                  <w:pPr>
                    <w:shd w:val="clear" w:color="auto" w:fill="auto"/>
                    <w:tabs>
                      <w:tab w:val="center" w:pos="2520"/>
                    </w:tabs>
                    <w:spacing w:line="360" w:lineRule="exact"/>
                    <w:jc w:val="center"/>
                    <w:rPr>
                      <w:color w:val="auto"/>
                      <w:szCs w:val="21"/>
                    </w:rPr>
                  </w:pPr>
                  <w:r>
                    <w:rPr>
                      <w:color w:val="auto"/>
                      <w:szCs w:val="21"/>
                    </w:rPr>
                    <w:t>86.3</w:t>
                  </w:r>
                </w:p>
              </w:tc>
              <w:tc>
                <w:tcPr>
                  <w:tcW w:w="0" w:type="auto"/>
                  <w:vMerge w:val="restart"/>
                  <w:tcBorders>
                    <w:tl2br w:val="nil"/>
                    <w:tr2bl w:val="nil"/>
                  </w:tcBorders>
                  <w:noWrap w:val="0"/>
                  <w:vAlign w:val="center"/>
                </w:tcPr>
                <w:p w14:paraId="32AAE212">
                  <w:pPr>
                    <w:shd w:val="clear" w:color="auto" w:fill="auto"/>
                    <w:tabs>
                      <w:tab w:val="center" w:pos="2520"/>
                    </w:tabs>
                    <w:spacing w:line="360" w:lineRule="exact"/>
                    <w:jc w:val="center"/>
                    <w:rPr>
                      <w:color w:val="auto"/>
                      <w:szCs w:val="21"/>
                    </w:rPr>
                  </w:pPr>
                  <w:r>
                    <w:rPr>
                      <w:color w:val="auto"/>
                      <w:szCs w:val="21"/>
                    </w:rPr>
                    <w:t>80.3</w:t>
                  </w:r>
                </w:p>
              </w:tc>
              <w:tc>
                <w:tcPr>
                  <w:tcW w:w="0" w:type="auto"/>
                  <w:vMerge w:val="restart"/>
                  <w:tcBorders>
                    <w:tl2br w:val="nil"/>
                    <w:tr2bl w:val="nil"/>
                  </w:tcBorders>
                  <w:noWrap w:val="0"/>
                  <w:vAlign w:val="center"/>
                </w:tcPr>
                <w:p w14:paraId="3EF39254">
                  <w:pPr>
                    <w:shd w:val="clear" w:color="auto" w:fill="auto"/>
                    <w:tabs>
                      <w:tab w:val="center" w:pos="2520"/>
                    </w:tabs>
                    <w:spacing w:line="360" w:lineRule="exact"/>
                    <w:jc w:val="center"/>
                    <w:rPr>
                      <w:color w:val="auto"/>
                      <w:szCs w:val="21"/>
                    </w:rPr>
                  </w:pPr>
                  <w:r>
                    <w:rPr>
                      <w:color w:val="auto"/>
                      <w:szCs w:val="21"/>
                    </w:rPr>
                    <w:t>76.7</w:t>
                  </w:r>
                </w:p>
              </w:tc>
              <w:tc>
                <w:tcPr>
                  <w:tcW w:w="0" w:type="auto"/>
                  <w:vMerge w:val="restart"/>
                  <w:tcBorders>
                    <w:tl2br w:val="nil"/>
                    <w:tr2bl w:val="nil"/>
                  </w:tcBorders>
                  <w:noWrap w:val="0"/>
                  <w:vAlign w:val="center"/>
                </w:tcPr>
                <w:p w14:paraId="652B15FB">
                  <w:pPr>
                    <w:shd w:val="clear" w:color="auto" w:fill="auto"/>
                    <w:tabs>
                      <w:tab w:val="center" w:pos="2520"/>
                    </w:tabs>
                    <w:spacing w:line="360" w:lineRule="exact"/>
                    <w:jc w:val="center"/>
                    <w:rPr>
                      <w:color w:val="auto"/>
                      <w:szCs w:val="21"/>
                    </w:rPr>
                  </w:pPr>
                  <w:r>
                    <w:rPr>
                      <w:color w:val="auto"/>
                      <w:szCs w:val="21"/>
                    </w:rPr>
                    <w:t>74.2</w:t>
                  </w:r>
                </w:p>
              </w:tc>
              <w:tc>
                <w:tcPr>
                  <w:tcW w:w="0" w:type="auto"/>
                  <w:vMerge w:val="restart"/>
                  <w:tcBorders>
                    <w:tl2br w:val="nil"/>
                    <w:tr2bl w:val="nil"/>
                  </w:tcBorders>
                  <w:noWrap w:val="0"/>
                  <w:vAlign w:val="center"/>
                </w:tcPr>
                <w:p w14:paraId="1FD86549">
                  <w:pPr>
                    <w:shd w:val="clear" w:color="auto" w:fill="auto"/>
                    <w:tabs>
                      <w:tab w:val="center" w:pos="2520"/>
                    </w:tabs>
                    <w:spacing w:line="360" w:lineRule="exact"/>
                    <w:jc w:val="center"/>
                    <w:rPr>
                      <w:color w:val="auto"/>
                      <w:szCs w:val="21"/>
                    </w:rPr>
                  </w:pPr>
                  <w:r>
                    <w:rPr>
                      <w:color w:val="auto"/>
                      <w:szCs w:val="21"/>
                    </w:rPr>
                    <w:t>72.3</w:t>
                  </w:r>
                </w:p>
              </w:tc>
              <w:tc>
                <w:tcPr>
                  <w:tcW w:w="0" w:type="auto"/>
                  <w:vMerge w:val="restart"/>
                  <w:tcBorders>
                    <w:tl2br w:val="nil"/>
                    <w:tr2bl w:val="nil"/>
                  </w:tcBorders>
                  <w:noWrap w:val="0"/>
                  <w:vAlign w:val="center"/>
                </w:tcPr>
                <w:p w14:paraId="7B16883B">
                  <w:pPr>
                    <w:shd w:val="clear" w:color="auto" w:fill="auto"/>
                    <w:tabs>
                      <w:tab w:val="center" w:pos="2520"/>
                    </w:tabs>
                    <w:spacing w:line="360" w:lineRule="exact"/>
                    <w:jc w:val="center"/>
                    <w:rPr>
                      <w:color w:val="auto"/>
                      <w:szCs w:val="21"/>
                    </w:rPr>
                  </w:pPr>
                  <w:r>
                    <w:rPr>
                      <w:color w:val="auto"/>
                      <w:szCs w:val="21"/>
                    </w:rPr>
                    <w:t>70.7</w:t>
                  </w:r>
                </w:p>
              </w:tc>
              <w:tc>
                <w:tcPr>
                  <w:tcW w:w="0" w:type="auto"/>
                  <w:vMerge w:val="restart"/>
                  <w:tcBorders>
                    <w:tl2br w:val="nil"/>
                    <w:tr2bl w:val="nil"/>
                  </w:tcBorders>
                  <w:noWrap w:val="0"/>
                  <w:vAlign w:val="center"/>
                </w:tcPr>
                <w:p w14:paraId="78425C9C">
                  <w:pPr>
                    <w:shd w:val="clear" w:color="auto" w:fill="auto"/>
                    <w:tabs>
                      <w:tab w:val="center" w:pos="2520"/>
                    </w:tabs>
                    <w:spacing w:line="360" w:lineRule="exact"/>
                    <w:jc w:val="center"/>
                    <w:rPr>
                      <w:color w:val="auto"/>
                      <w:szCs w:val="21"/>
                    </w:rPr>
                  </w:pPr>
                  <w:r>
                    <w:rPr>
                      <w:color w:val="auto"/>
                      <w:szCs w:val="21"/>
                    </w:rPr>
                    <w:t>69.4</w:t>
                  </w:r>
                </w:p>
              </w:tc>
              <w:tc>
                <w:tcPr>
                  <w:tcW w:w="0" w:type="auto"/>
                  <w:vMerge w:val="restart"/>
                  <w:tcBorders>
                    <w:tl2br w:val="nil"/>
                    <w:tr2bl w:val="nil"/>
                  </w:tcBorders>
                  <w:noWrap w:val="0"/>
                  <w:vAlign w:val="center"/>
                </w:tcPr>
                <w:p w14:paraId="12D44065">
                  <w:pPr>
                    <w:shd w:val="clear" w:color="auto" w:fill="auto"/>
                    <w:tabs>
                      <w:tab w:val="center" w:pos="2520"/>
                    </w:tabs>
                    <w:spacing w:line="360" w:lineRule="exact"/>
                    <w:jc w:val="center"/>
                    <w:rPr>
                      <w:color w:val="auto"/>
                      <w:szCs w:val="21"/>
                    </w:rPr>
                  </w:pPr>
                  <w:r>
                    <w:rPr>
                      <w:color w:val="auto"/>
                      <w:szCs w:val="21"/>
                    </w:rPr>
                    <w:t>68.2</w:t>
                  </w:r>
                </w:p>
              </w:tc>
              <w:tc>
                <w:tcPr>
                  <w:tcW w:w="0" w:type="auto"/>
                  <w:vMerge w:val="restart"/>
                  <w:tcBorders>
                    <w:tl2br w:val="nil"/>
                    <w:tr2bl w:val="nil"/>
                  </w:tcBorders>
                  <w:noWrap w:val="0"/>
                  <w:vAlign w:val="center"/>
                </w:tcPr>
                <w:p w14:paraId="75CAA2E7">
                  <w:pPr>
                    <w:shd w:val="clear" w:color="auto" w:fill="auto"/>
                    <w:tabs>
                      <w:tab w:val="center" w:pos="2520"/>
                    </w:tabs>
                    <w:spacing w:line="360" w:lineRule="exact"/>
                    <w:jc w:val="center"/>
                    <w:rPr>
                      <w:color w:val="auto"/>
                      <w:szCs w:val="21"/>
                    </w:rPr>
                  </w:pPr>
                  <w:r>
                    <w:rPr>
                      <w:color w:val="auto"/>
                      <w:szCs w:val="21"/>
                    </w:rPr>
                    <w:t>67.2</w:t>
                  </w:r>
                </w:p>
              </w:tc>
              <w:tc>
                <w:tcPr>
                  <w:tcW w:w="0" w:type="auto"/>
                  <w:vMerge w:val="restart"/>
                  <w:tcBorders>
                    <w:tl2br w:val="nil"/>
                    <w:tr2bl w:val="nil"/>
                  </w:tcBorders>
                  <w:noWrap w:val="0"/>
                  <w:vAlign w:val="center"/>
                </w:tcPr>
                <w:p w14:paraId="37332C31">
                  <w:pPr>
                    <w:shd w:val="clear" w:color="auto" w:fill="auto"/>
                    <w:tabs>
                      <w:tab w:val="center" w:pos="2520"/>
                    </w:tabs>
                    <w:spacing w:line="360" w:lineRule="exact"/>
                    <w:jc w:val="center"/>
                    <w:rPr>
                      <w:color w:val="auto"/>
                      <w:szCs w:val="21"/>
                    </w:rPr>
                  </w:pPr>
                  <w:r>
                    <w:rPr>
                      <w:color w:val="auto"/>
                      <w:szCs w:val="21"/>
                    </w:rPr>
                    <w:t>66.3</w:t>
                  </w:r>
                </w:p>
              </w:tc>
            </w:tr>
            <w:tr w14:paraId="3E95C889">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continue"/>
                  <w:tcBorders>
                    <w:tl2br w:val="nil"/>
                    <w:tr2bl w:val="nil"/>
                  </w:tcBorders>
                  <w:noWrap w:val="0"/>
                  <w:vAlign w:val="center"/>
                </w:tcPr>
                <w:p w14:paraId="41A4998F">
                  <w:pPr>
                    <w:shd w:val="clear" w:color="auto" w:fill="auto"/>
                    <w:tabs>
                      <w:tab w:val="center" w:pos="2520"/>
                    </w:tabs>
                    <w:spacing w:line="360" w:lineRule="exact"/>
                    <w:jc w:val="center"/>
                    <w:rPr>
                      <w:color w:val="auto"/>
                      <w:szCs w:val="21"/>
                    </w:rPr>
                  </w:pPr>
                </w:p>
              </w:tc>
              <w:tc>
                <w:tcPr>
                  <w:tcW w:w="0" w:type="auto"/>
                  <w:tcBorders>
                    <w:tl2br w:val="nil"/>
                    <w:tr2bl w:val="nil"/>
                  </w:tcBorders>
                  <w:noWrap w:val="0"/>
                  <w:vAlign w:val="center"/>
                </w:tcPr>
                <w:p w14:paraId="2D83E958">
                  <w:pPr>
                    <w:shd w:val="clear" w:color="auto" w:fill="auto"/>
                    <w:tabs>
                      <w:tab w:val="center" w:pos="2520"/>
                    </w:tabs>
                    <w:spacing w:line="360" w:lineRule="exact"/>
                    <w:jc w:val="center"/>
                    <w:rPr>
                      <w:color w:val="auto"/>
                      <w:szCs w:val="21"/>
                    </w:rPr>
                  </w:pPr>
                  <w:r>
                    <w:rPr>
                      <w:color w:val="auto"/>
                      <w:szCs w:val="21"/>
                    </w:rPr>
                    <w:t>装载机</w:t>
                  </w:r>
                </w:p>
              </w:tc>
              <w:tc>
                <w:tcPr>
                  <w:tcW w:w="0" w:type="auto"/>
                  <w:vMerge w:val="continue"/>
                  <w:tcBorders>
                    <w:tl2br w:val="nil"/>
                    <w:tr2bl w:val="nil"/>
                  </w:tcBorders>
                  <w:noWrap w:val="0"/>
                  <w:vAlign w:val="center"/>
                </w:tcPr>
                <w:p w14:paraId="6042124D">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0A4E0648">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3B538BDA">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540CD3C6">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1DC538C5">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7617BBE5">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12E4FF88">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2B2991D1">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3AEAEE4C">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00133A78">
                  <w:pPr>
                    <w:shd w:val="clear" w:color="auto" w:fill="auto"/>
                    <w:tabs>
                      <w:tab w:val="center" w:pos="2520"/>
                    </w:tabs>
                    <w:spacing w:line="360" w:lineRule="exact"/>
                    <w:jc w:val="center"/>
                    <w:rPr>
                      <w:color w:val="auto"/>
                      <w:szCs w:val="21"/>
                    </w:rPr>
                  </w:pPr>
                </w:p>
              </w:tc>
            </w:tr>
            <w:tr w14:paraId="6DF4E73E">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continue"/>
                  <w:tcBorders>
                    <w:tl2br w:val="nil"/>
                    <w:tr2bl w:val="nil"/>
                  </w:tcBorders>
                  <w:noWrap w:val="0"/>
                  <w:vAlign w:val="center"/>
                </w:tcPr>
                <w:p w14:paraId="0A77395A">
                  <w:pPr>
                    <w:shd w:val="clear" w:color="auto" w:fill="auto"/>
                    <w:tabs>
                      <w:tab w:val="center" w:pos="2520"/>
                    </w:tabs>
                    <w:spacing w:line="360" w:lineRule="exact"/>
                    <w:jc w:val="center"/>
                    <w:rPr>
                      <w:color w:val="auto"/>
                      <w:szCs w:val="21"/>
                    </w:rPr>
                  </w:pPr>
                </w:p>
              </w:tc>
              <w:tc>
                <w:tcPr>
                  <w:tcW w:w="0" w:type="auto"/>
                  <w:tcBorders>
                    <w:tl2br w:val="nil"/>
                    <w:tr2bl w:val="nil"/>
                  </w:tcBorders>
                  <w:noWrap w:val="0"/>
                  <w:vAlign w:val="center"/>
                </w:tcPr>
                <w:p w14:paraId="5ECAC0F9">
                  <w:pPr>
                    <w:shd w:val="clear" w:color="auto" w:fill="auto"/>
                    <w:tabs>
                      <w:tab w:val="center" w:pos="2520"/>
                    </w:tabs>
                    <w:spacing w:line="360" w:lineRule="exact"/>
                    <w:jc w:val="center"/>
                    <w:rPr>
                      <w:color w:val="auto"/>
                      <w:szCs w:val="21"/>
                    </w:rPr>
                  </w:pPr>
                  <w:r>
                    <w:rPr>
                      <w:color w:val="auto"/>
                      <w:szCs w:val="21"/>
                    </w:rPr>
                    <w:t>推土机</w:t>
                  </w:r>
                </w:p>
              </w:tc>
              <w:tc>
                <w:tcPr>
                  <w:tcW w:w="0" w:type="auto"/>
                  <w:vMerge w:val="continue"/>
                  <w:tcBorders>
                    <w:tl2br w:val="nil"/>
                    <w:tr2bl w:val="nil"/>
                  </w:tcBorders>
                  <w:noWrap w:val="0"/>
                  <w:vAlign w:val="center"/>
                </w:tcPr>
                <w:p w14:paraId="3AD16643">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002EF91A">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0413304D">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2EBAB795">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2DB8DABC">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795A4B54">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0C9DE463">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2F1BDC3E">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2C492C46">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2D706979">
                  <w:pPr>
                    <w:shd w:val="clear" w:color="auto" w:fill="auto"/>
                    <w:tabs>
                      <w:tab w:val="center" w:pos="2520"/>
                    </w:tabs>
                    <w:spacing w:line="360" w:lineRule="exact"/>
                    <w:jc w:val="center"/>
                    <w:rPr>
                      <w:color w:val="auto"/>
                      <w:szCs w:val="21"/>
                    </w:rPr>
                  </w:pPr>
                </w:p>
              </w:tc>
            </w:tr>
            <w:tr w14:paraId="13BF1B0B">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continue"/>
                  <w:tcBorders>
                    <w:tl2br w:val="nil"/>
                    <w:tr2bl w:val="nil"/>
                  </w:tcBorders>
                  <w:noWrap w:val="0"/>
                  <w:vAlign w:val="center"/>
                </w:tcPr>
                <w:p w14:paraId="2B447BAE">
                  <w:pPr>
                    <w:shd w:val="clear" w:color="auto" w:fill="auto"/>
                    <w:tabs>
                      <w:tab w:val="center" w:pos="2520"/>
                    </w:tabs>
                    <w:spacing w:line="360" w:lineRule="exact"/>
                    <w:jc w:val="center"/>
                    <w:rPr>
                      <w:color w:val="auto"/>
                      <w:szCs w:val="21"/>
                    </w:rPr>
                  </w:pPr>
                </w:p>
              </w:tc>
              <w:tc>
                <w:tcPr>
                  <w:tcW w:w="0" w:type="auto"/>
                  <w:tcBorders>
                    <w:tl2br w:val="nil"/>
                    <w:tr2bl w:val="nil"/>
                  </w:tcBorders>
                  <w:noWrap w:val="0"/>
                  <w:vAlign w:val="center"/>
                </w:tcPr>
                <w:p w14:paraId="4FCD1029">
                  <w:pPr>
                    <w:shd w:val="clear" w:color="auto" w:fill="auto"/>
                    <w:tabs>
                      <w:tab w:val="center" w:pos="2520"/>
                    </w:tabs>
                    <w:spacing w:line="360" w:lineRule="exact"/>
                    <w:jc w:val="center"/>
                    <w:rPr>
                      <w:color w:val="auto"/>
                      <w:szCs w:val="21"/>
                    </w:rPr>
                  </w:pPr>
                  <w:r>
                    <w:rPr>
                      <w:color w:val="auto"/>
                      <w:szCs w:val="21"/>
                    </w:rPr>
                    <w:t>压路机</w:t>
                  </w:r>
                </w:p>
              </w:tc>
              <w:tc>
                <w:tcPr>
                  <w:tcW w:w="0" w:type="auto"/>
                  <w:vMerge w:val="continue"/>
                  <w:tcBorders>
                    <w:tl2br w:val="nil"/>
                    <w:tr2bl w:val="nil"/>
                  </w:tcBorders>
                  <w:noWrap w:val="0"/>
                  <w:vAlign w:val="center"/>
                </w:tcPr>
                <w:p w14:paraId="64A70961">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271FCE32">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290FFEED">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28B513E8">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6BAFA1AA">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3053AFE4">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6AC47B8F">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6EC9843C">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4EC55114">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1AFA1B21">
                  <w:pPr>
                    <w:shd w:val="clear" w:color="auto" w:fill="auto"/>
                    <w:tabs>
                      <w:tab w:val="center" w:pos="2520"/>
                    </w:tabs>
                    <w:spacing w:line="360" w:lineRule="exact"/>
                    <w:jc w:val="center"/>
                    <w:rPr>
                      <w:color w:val="auto"/>
                      <w:szCs w:val="21"/>
                    </w:rPr>
                  </w:pPr>
                </w:p>
              </w:tc>
            </w:tr>
            <w:tr w14:paraId="7A4C67A8">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continue"/>
                  <w:tcBorders>
                    <w:tl2br w:val="nil"/>
                    <w:tr2bl w:val="nil"/>
                  </w:tcBorders>
                  <w:noWrap w:val="0"/>
                  <w:vAlign w:val="center"/>
                </w:tcPr>
                <w:p w14:paraId="52BFAD57">
                  <w:pPr>
                    <w:shd w:val="clear" w:color="auto" w:fill="auto"/>
                    <w:tabs>
                      <w:tab w:val="center" w:pos="2520"/>
                    </w:tabs>
                    <w:spacing w:line="360" w:lineRule="exact"/>
                    <w:jc w:val="center"/>
                    <w:rPr>
                      <w:color w:val="auto"/>
                      <w:szCs w:val="21"/>
                    </w:rPr>
                  </w:pPr>
                </w:p>
              </w:tc>
              <w:tc>
                <w:tcPr>
                  <w:tcW w:w="0" w:type="auto"/>
                  <w:tcBorders>
                    <w:tl2br w:val="nil"/>
                    <w:tr2bl w:val="nil"/>
                  </w:tcBorders>
                  <w:noWrap w:val="0"/>
                  <w:vAlign w:val="center"/>
                </w:tcPr>
                <w:p w14:paraId="384AFBDF">
                  <w:pPr>
                    <w:shd w:val="clear" w:color="auto" w:fill="auto"/>
                    <w:tabs>
                      <w:tab w:val="center" w:pos="2520"/>
                    </w:tabs>
                    <w:spacing w:line="360" w:lineRule="exact"/>
                    <w:jc w:val="center"/>
                    <w:rPr>
                      <w:color w:val="auto"/>
                      <w:szCs w:val="21"/>
                    </w:rPr>
                  </w:pPr>
                  <w:r>
                    <w:rPr>
                      <w:color w:val="auto"/>
                      <w:szCs w:val="21"/>
                    </w:rPr>
                    <w:t>重型车</w:t>
                  </w:r>
                </w:p>
              </w:tc>
              <w:tc>
                <w:tcPr>
                  <w:tcW w:w="0" w:type="auto"/>
                  <w:vMerge w:val="continue"/>
                  <w:tcBorders>
                    <w:tl2br w:val="nil"/>
                    <w:tr2bl w:val="nil"/>
                  </w:tcBorders>
                  <w:noWrap w:val="0"/>
                  <w:vAlign w:val="center"/>
                </w:tcPr>
                <w:p w14:paraId="7AFFBDFC">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7DAE449F">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629F9F8C">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14B39333">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5DAE4335">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3D20898F">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121425F6">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3E5DB669">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6848A1A4">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5D807A5F">
                  <w:pPr>
                    <w:shd w:val="clear" w:color="auto" w:fill="auto"/>
                    <w:tabs>
                      <w:tab w:val="center" w:pos="2520"/>
                    </w:tabs>
                    <w:spacing w:line="360" w:lineRule="exact"/>
                    <w:jc w:val="center"/>
                    <w:rPr>
                      <w:color w:val="auto"/>
                      <w:szCs w:val="21"/>
                    </w:rPr>
                  </w:pPr>
                </w:p>
              </w:tc>
            </w:tr>
            <w:tr w14:paraId="0A671F98">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restart"/>
                  <w:tcBorders>
                    <w:tl2br w:val="nil"/>
                    <w:tr2bl w:val="nil"/>
                  </w:tcBorders>
                  <w:noWrap w:val="0"/>
                  <w:vAlign w:val="center"/>
                </w:tcPr>
                <w:p w14:paraId="5D158992">
                  <w:pPr>
                    <w:shd w:val="clear" w:color="auto" w:fill="auto"/>
                    <w:tabs>
                      <w:tab w:val="center" w:pos="2520"/>
                    </w:tabs>
                    <w:spacing w:line="360" w:lineRule="exact"/>
                    <w:jc w:val="center"/>
                    <w:rPr>
                      <w:color w:val="auto"/>
                      <w:szCs w:val="21"/>
                    </w:rPr>
                  </w:pPr>
                  <w:r>
                    <w:rPr>
                      <w:color w:val="auto"/>
                      <w:szCs w:val="21"/>
                    </w:rPr>
                    <w:t>路面</w:t>
                  </w:r>
                </w:p>
              </w:tc>
              <w:tc>
                <w:tcPr>
                  <w:tcW w:w="0" w:type="auto"/>
                  <w:tcBorders>
                    <w:tl2br w:val="nil"/>
                    <w:tr2bl w:val="nil"/>
                  </w:tcBorders>
                  <w:noWrap w:val="0"/>
                  <w:vAlign w:val="center"/>
                </w:tcPr>
                <w:p w14:paraId="2C892650">
                  <w:pPr>
                    <w:shd w:val="clear" w:color="auto" w:fill="auto"/>
                    <w:tabs>
                      <w:tab w:val="center" w:pos="2520"/>
                    </w:tabs>
                    <w:spacing w:line="360" w:lineRule="exact"/>
                    <w:jc w:val="center"/>
                    <w:rPr>
                      <w:color w:val="auto"/>
                      <w:szCs w:val="21"/>
                    </w:rPr>
                  </w:pPr>
                  <w:r>
                    <w:rPr>
                      <w:color w:val="auto"/>
                      <w:szCs w:val="21"/>
                    </w:rPr>
                    <w:t>摊铺机</w:t>
                  </w:r>
                </w:p>
              </w:tc>
              <w:tc>
                <w:tcPr>
                  <w:tcW w:w="0" w:type="auto"/>
                  <w:vMerge w:val="restart"/>
                  <w:tcBorders>
                    <w:tl2br w:val="nil"/>
                    <w:tr2bl w:val="nil"/>
                  </w:tcBorders>
                  <w:noWrap w:val="0"/>
                  <w:vAlign w:val="center"/>
                </w:tcPr>
                <w:p w14:paraId="0CFD7A43">
                  <w:pPr>
                    <w:shd w:val="clear" w:color="auto" w:fill="auto"/>
                    <w:tabs>
                      <w:tab w:val="center" w:pos="2520"/>
                    </w:tabs>
                    <w:spacing w:line="360" w:lineRule="exact"/>
                    <w:jc w:val="center"/>
                    <w:rPr>
                      <w:color w:val="auto"/>
                      <w:szCs w:val="21"/>
                    </w:rPr>
                  </w:pPr>
                  <w:r>
                    <w:rPr>
                      <w:color w:val="auto"/>
                      <w:szCs w:val="21"/>
                    </w:rPr>
                    <w:t>79.7</w:t>
                  </w:r>
                </w:p>
              </w:tc>
              <w:tc>
                <w:tcPr>
                  <w:tcW w:w="0" w:type="auto"/>
                  <w:vMerge w:val="restart"/>
                  <w:tcBorders>
                    <w:tl2br w:val="nil"/>
                    <w:tr2bl w:val="nil"/>
                  </w:tcBorders>
                  <w:noWrap w:val="0"/>
                  <w:vAlign w:val="center"/>
                </w:tcPr>
                <w:p w14:paraId="62BA090A">
                  <w:pPr>
                    <w:shd w:val="clear" w:color="auto" w:fill="auto"/>
                    <w:tabs>
                      <w:tab w:val="center" w:pos="2520"/>
                    </w:tabs>
                    <w:spacing w:line="360" w:lineRule="exact"/>
                    <w:jc w:val="center"/>
                    <w:rPr>
                      <w:color w:val="auto"/>
                      <w:szCs w:val="21"/>
                    </w:rPr>
                  </w:pPr>
                  <w:r>
                    <w:rPr>
                      <w:color w:val="auto"/>
                      <w:szCs w:val="21"/>
                    </w:rPr>
                    <w:t>73.7</w:t>
                  </w:r>
                </w:p>
              </w:tc>
              <w:tc>
                <w:tcPr>
                  <w:tcW w:w="0" w:type="auto"/>
                  <w:vMerge w:val="restart"/>
                  <w:tcBorders>
                    <w:tl2br w:val="nil"/>
                    <w:tr2bl w:val="nil"/>
                  </w:tcBorders>
                  <w:noWrap w:val="0"/>
                  <w:vAlign w:val="center"/>
                </w:tcPr>
                <w:p w14:paraId="13C8B70F">
                  <w:pPr>
                    <w:shd w:val="clear" w:color="auto" w:fill="auto"/>
                    <w:tabs>
                      <w:tab w:val="center" w:pos="2520"/>
                    </w:tabs>
                    <w:spacing w:line="360" w:lineRule="exact"/>
                    <w:jc w:val="center"/>
                    <w:rPr>
                      <w:color w:val="auto"/>
                      <w:szCs w:val="21"/>
                    </w:rPr>
                  </w:pPr>
                  <w:r>
                    <w:rPr>
                      <w:color w:val="auto"/>
                      <w:szCs w:val="21"/>
                    </w:rPr>
                    <w:t>70.2</w:t>
                  </w:r>
                </w:p>
              </w:tc>
              <w:tc>
                <w:tcPr>
                  <w:tcW w:w="0" w:type="auto"/>
                  <w:vMerge w:val="restart"/>
                  <w:tcBorders>
                    <w:tl2br w:val="nil"/>
                    <w:tr2bl w:val="nil"/>
                  </w:tcBorders>
                  <w:noWrap w:val="0"/>
                  <w:vAlign w:val="center"/>
                </w:tcPr>
                <w:p w14:paraId="5B3012BD">
                  <w:pPr>
                    <w:shd w:val="clear" w:color="auto" w:fill="auto"/>
                    <w:tabs>
                      <w:tab w:val="center" w:pos="2520"/>
                    </w:tabs>
                    <w:spacing w:line="360" w:lineRule="exact"/>
                    <w:jc w:val="center"/>
                    <w:rPr>
                      <w:color w:val="auto"/>
                      <w:szCs w:val="21"/>
                    </w:rPr>
                  </w:pPr>
                  <w:r>
                    <w:rPr>
                      <w:color w:val="auto"/>
                      <w:szCs w:val="21"/>
                    </w:rPr>
                    <w:t>67.7</w:t>
                  </w:r>
                </w:p>
              </w:tc>
              <w:tc>
                <w:tcPr>
                  <w:tcW w:w="0" w:type="auto"/>
                  <w:vMerge w:val="restart"/>
                  <w:tcBorders>
                    <w:tl2br w:val="nil"/>
                    <w:tr2bl w:val="nil"/>
                  </w:tcBorders>
                  <w:noWrap w:val="0"/>
                  <w:vAlign w:val="center"/>
                </w:tcPr>
                <w:p w14:paraId="5E06DE97">
                  <w:pPr>
                    <w:shd w:val="clear" w:color="auto" w:fill="auto"/>
                    <w:tabs>
                      <w:tab w:val="center" w:pos="2520"/>
                    </w:tabs>
                    <w:spacing w:line="360" w:lineRule="exact"/>
                    <w:jc w:val="center"/>
                    <w:rPr>
                      <w:color w:val="auto"/>
                      <w:szCs w:val="21"/>
                    </w:rPr>
                  </w:pPr>
                  <w:r>
                    <w:rPr>
                      <w:color w:val="auto"/>
                      <w:szCs w:val="21"/>
                    </w:rPr>
                    <w:t>65.7</w:t>
                  </w:r>
                </w:p>
              </w:tc>
              <w:tc>
                <w:tcPr>
                  <w:tcW w:w="0" w:type="auto"/>
                  <w:vMerge w:val="restart"/>
                  <w:tcBorders>
                    <w:tl2br w:val="nil"/>
                    <w:tr2bl w:val="nil"/>
                  </w:tcBorders>
                  <w:noWrap w:val="0"/>
                  <w:vAlign w:val="center"/>
                </w:tcPr>
                <w:p w14:paraId="10EF5567">
                  <w:pPr>
                    <w:shd w:val="clear" w:color="auto" w:fill="auto"/>
                    <w:tabs>
                      <w:tab w:val="center" w:pos="2520"/>
                    </w:tabs>
                    <w:spacing w:line="360" w:lineRule="exact"/>
                    <w:jc w:val="center"/>
                    <w:rPr>
                      <w:color w:val="auto"/>
                      <w:szCs w:val="21"/>
                    </w:rPr>
                  </w:pPr>
                  <w:r>
                    <w:rPr>
                      <w:color w:val="auto"/>
                      <w:szCs w:val="21"/>
                    </w:rPr>
                    <w:t>64.2</w:t>
                  </w:r>
                </w:p>
              </w:tc>
              <w:tc>
                <w:tcPr>
                  <w:tcW w:w="0" w:type="auto"/>
                  <w:vMerge w:val="restart"/>
                  <w:tcBorders>
                    <w:tl2br w:val="nil"/>
                    <w:tr2bl w:val="nil"/>
                  </w:tcBorders>
                  <w:noWrap w:val="0"/>
                  <w:vAlign w:val="center"/>
                </w:tcPr>
                <w:p w14:paraId="429AF144">
                  <w:pPr>
                    <w:shd w:val="clear" w:color="auto" w:fill="auto"/>
                    <w:tabs>
                      <w:tab w:val="center" w:pos="2520"/>
                    </w:tabs>
                    <w:spacing w:line="360" w:lineRule="exact"/>
                    <w:jc w:val="center"/>
                    <w:rPr>
                      <w:color w:val="auto"/>
                      <w:szCs w:val="21"/>
                    </w:rPr>
                  </w:pPr>
                  <w:r>
                    <w:rPr>
                      <w:color w:val="auto"/>
                      <w:szCs w:val="21"/>
                    </w:rPr>
                    <w:t>62.8</w:t>
                  </w:r>
                </w:p>
              </w:tc>
              <w:tc>
                <w:tcPr>
                  <w:tcW w:w="0" w:type="auto"/>
                  <w:vMerge w:val="restart"/>
                  <w:tcBorders>
                    <w:tl2br w:val="nil"/>
                    <w:tr2bl w:val="nil"/>
                  </w:tcBorders>
                  <w:noWrap w:val="0"/>
                  <w:vAlign w:val="center"/>
                </w:tcPr>
                <w:p w14:paraId="0DF09320">
                  <w:pPr>
                    <w:shd w:val="clear" w:color="auto" w:fill="auto"/>
                    <w:tabs>
                      <w:tab w:val="center" w:pos="2520"/>
                    </w:tabs>
                    <w:spacing w:line="360" w:lineRule="exact"/>
                    <w:jc w:val="center"/>
                    <w:rPr>
                      <w:color w:val="auto"/>
                      <w:szCs w:val="21"/>
                    </w:rPr>
                  </w:pPr>
                  <w:r>
                    <w:rPr>
                      <w:color w:val="auto"/>
                      <w:szCs w:val="21"/>
                    </w:rPr>
                    <w:t>61.7</w:t>
                  </w:r>
                </w:p>
              </w:tc>
              <w:tc>
                <w:tcPr>
                  <w:tcW w:w="0" w:type="auto"/>
                  <w:vMerge w:val="restart"/>
                  <w:tcBorders>
                    <w:tl2br w:val="nil"/>
                    <w:tr2bl w:val="nil"/>
                  </w:tcBorders>
                  <w:noWrap w:val="0"/>
                  <w:vAlign w:val="center"/>
                </w:tcPr>
                <w:p w14:paraId="371FBA04">
                  <w:pPr>
                    <w:shd w:val="clear" w:color="auto" w:fill="auto"/>
                    <w:tabs>
                      <w:tab w:val="center" w:pos="2520"/>
                    </w:tabs>
                    <w:spacing w:line="360" w:lineRule="exact"/>
                    <w:jc w:val="center"/>
                    <w:rPr>
                      <w:color w:val="auto"/>
                      <w:szCs w:val="21"/>
                    </w:rPr>
                  </w:pPr>
                  <w:r>
                    <w:rPr>
                      <w:color w:val="auto"/>
                      <w:szCs w:val="21"/>
                    </w:rPr>
                    <w:t>60.6</w:t>
                  </w:r>
                </w:p>
              </w:tc>
              <w:tc>
                <w:tcPr>
                  <w:tcW w:w="0" w:type="auto"/>
                  <w:vMerge w:val="restart"/>
                  <w:tcBorders>
                    <w:tl2br w:val="nil"/>
                    <w:tr2bl w:val="nil"/>
                  </w:tcBorders>
                  <w:noWrap w:val="0"/>
                  <w:vAlign w:val="center"/>
                </w:tcPr>
                <w:p w14:paraId="6801847C">
                  <w:pPr>
                    <w:shd w:val="clear" w:color="auto" w:fill="auto"/>
                    <w:tabs>
                      <w:tab w:val="center" w:pos="2520"/>
                    </w:tabs>
                    <w:spacing w:line="360" w:lineRule="exact"/>
                    <w:jc w:val="center"/>
                    <w:rPr>
                      <w:color w:val="auto"/>
                      <w:szCs w:val="21"/>
                    </w:rPr>
                  </w:pPr>
                  <w:r>
                    <w:rPr>
                      <w:color w:val="auto"/>
                      <w:szCs w:val="21"/>
                    </w:rPr>
                    <w:t>59.7</w:t>
                  </w:r>
                </w:p>
              </w:tc>
            </w:tr>
            <w:tr w14:paraId="08CFD95E">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continue"/>
                  <w:tcBorders>
                    <w:tl2br w:val="nil"/>
                    <w:tr2bl w:val="nil"/>
                  </w:tcBorders>
                  <w:noWrap w:val="0"/>
                  <w:vAlign w:val="center"/>
                </w:tcPr>
                <w:p w14:paraId="46B9C72F">
                  <w:pPr>
                    <w:shd w:val="clear" w:color="auto" w:fill="auto"/>
                    <w:tabs>
                      <w:tab w:val="center" w:pos="2520"/>
                    </w:tabs>
                    <w:spacing w:line="360" w:lineRule="exact"/>
                    <w:jc w:val="center"/>
                    <w:rPr>
                      <w:color w:val="auto"/>
                      <w:szCs w:val="21"/>
                    </w:rPr>
                  </w:pPr>
                </w:p>
              </w:tc>
              <w:tc>
                <w:tcPr>
                  <w:tcW w:w="0" w:type="auto"/>
                  <w:tcBorders>
                    <w:tl2br w:val="nil"/>
                    <w:tr2bl w:val="nil"/>
                  </w:tcBorders>
                  <w:noWrap w:val="0"/>
                  <w:vAlign w:val="center"/>
                </w:tcPr>
                <w:p w14:paraId="1A81AD27">
                  <w:pPr>
                    <w:shd w:val="clear" w:color="auto" w:fill="auto"/>
                    <w:tabs>
                      <w:tab w:val="center" w:pos="2520"/>
                    </w:tabs>
                    <w:spacing w:line="360" w:lineRule="exact"/>
                    <w:jc w:val="center"/>
                    <w:rPr>
                      <w:color w:val="auto"/>
                      <w:szCs w:val="21"/>
                    </w:rPr>
                  </w:pPr>
                  <w:r>
                    <w:rPr>
                      <w:color w:val="auto"/>
                      <w:szCs w:val="21"/>
                    </w:rPr>
                    <w:t>压路机</w:t>
                  </w:r>
                </w:p>
              </w:tc>
              <w:tc>
                <w:tcPr>
                  <w:tcW w:w="0" w:type="auto"/>
                  <w:vMerge w:val="continue"/>
                  <w:tcBorders>
                    <w:tl2br w:val="nil"/>
                    <w:tr2bl w:val="nil"/>
                  </w:tcBorders>
                  <w:noWrap w:val="0"/>
                  <w:vAlign w:val="center"/>
                </w:tcPr>
                <w:p w14:paraId="161D3FB9">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030AFB8E">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323719CC">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1F6DB7B0">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0F96B67C">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6807A68B">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77EBBAB6">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327BD66D">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2DD69743">
                  <w:pPr>
                    <w:shd w:val="clear" w:color="auto" w:fill="auto"/>
                    <w:tabs>
                      <w:tab w:val="center" w:pos="2520"/>
                    </w:tabs>
                    <w:spacing w:line="360" w:lineRule="exact"/>
                    <w:jc w:val="center"/>
                    <w:rPr>
                      <w:color w:val="auto"/>
                      <w:szCs w:val="21"/>
                    </w:rPr>
                  </w:pPr>
                </w:p>
              </w:tc>
              <w:tc>
                <w:tcPr>
                  <w:tcW w:w="0" w:type="auto"/>
                  <w:vMerge w:val="continue"/>
                  <w:tcBorders>
                    <w:tl2br w:val="nil"/>
                    <w:tr2bl w:val="nil"/>
                  </w:tcBorders>
                  <w:noWrap w:val="0"/>
                  <w:vAlign w:val="center"/>
                </w:tcPr>
                <w:p w14:paraId="2EE2C044">
                  <w:pPr>
                    <w:shd w:val="clear" w:color="auto" w:fill="auto"/>
                    <w:tabs>
                      <w:tab w:val="center" w:pos="2520"/>
                    </w:tabs>
                    <w:spacing w:line="360" w:lineRule="exact"/>
                    <w:jc w:val="center"/>
                    <w:rPr>
                      <w:color w:val="auto"/>
                      <w:szCs w:val="21"/>
                    </w:rPr>
                  </w:pPr>
                </w:p>
              </w:tc>
            </w:tr>
          </w:tbl>
          <w:p w14:paraId="5E3D0D9B">
            <w:pPr>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由上表预测结果分析可知：</w:t>
            </w:r>
          </w:p>
          <w:p w14:paraId="2C707FA9">
            <w:pPr>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①施工机械噪声近距离处噪声值较高，远距离处噪声值较低，随着距离的增加，施工机械噪声值逐渐衰减。</w:t>
            </w:r>
          </w:p>
          <w:p w14:paraId="2C93C2E2">
            <w:pPr>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②除电锤、振动夯锤、打桩机等高噪声机械外，其他单机施工机械噪声在300m处可满足《声环境质量标准》（GB3096-2008）2类昼间标准要求。</w:t>
            </w:r>
          </w:p>
          <w:p w14:paraId="6AFAF786">
            <w:pPr>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color w:val="auto"/>
                <w:sz w:val="24"/>
                <w:lang w:val="en-US" w:eastAsia="zh-CN"/>
              </w:rPr>
            </w:pPr>
            <w:r>
              <w:rPr>
                <w:rFonts w:hint="eastAsia"/>
                <w:color w:val="auto"/>
                <w:sz w:val="24"/>
              </w:rPr>
              <w:t>③</w:t>
            </w:r>
            <w:r>
              <w:rPr>
                <w:rFonts w:hint="eastAsia"/>
                <w:color w:val="auto"/>
                <w:sz w:val="24"/>
                <w:lang w:val="en-US" w:eastAsia="zh-CN"/>
              </w:rPr>
              <w:t>项目施工机械噪声排放在120m外才可满足</w:t>
            </w:r>
            <w:r>
              <w:rPr>
                <w:rFonts w:hint="eastAsia"/>
                <w:color w:val="auto"/>
                <w:sz w:val="24"/>
                <w:lang w:eastAsia="en-US"/>
              </w:rPr>
              <w:t>《建筑施工噪声排放标准》（GB12523-20</w:t>
            </w:r>
            <w:r>
              <w:rPr>
                <w:rFonts w:hint="eastAsia"/>
                <w:color w:val="auto"/>
                <w:sz w:val="24"/>
                <w:lang w:val="en-US" w:eastAsia="en-US"/>
              </w:rPr>
              <w:t>25</w:t>
            </w:r>
            <w:r>
              <w:rPr>
                <w:rFonts w:hint="eastAsia"/>
                <w:color w:val="auto"/>
                <w:sz w:val="24"/>
                <w:lang w:eastAsia="en-US"/>
              </w:rPr>
              <w:t>）</w:t>
            </w:r>
            <w:r>
              <w:rPr>
                <w:rFonts w:hint="eastAsia"/>
                <w:color w:val="auto"/>
                <w:sz w:val="24"/>
              </w:rPr>
              <w:t>即昼间70dB</w:t>
            </w:r>
            <w:r>
              <w:rPr>
                <w:rFonts w:hint="eastAsia"/>
                <w:color w:val="auto"/>
                <w:sz w:val="24"/>
                <w:lang w:eastAsia="zh-CN"/>
              </w:rPr>
              <w:t>（</w:t>
            </w:r>
            <w:r>
              <w:rPr>
                <w:rFonts w:hint="eastAsia"/>
                <w:color w:val="auto"/>
                <w:sz w:val="24"/>
                <w:lang w:val="en-US" w:eastAsia="zh-CN"/>
              </w:rPr>
              <w:t>A</w:t>
            </w:r>
            <w:r>
              <w:rPr>
                <w:rFonts w:hint="eastAsia"/>
                <w:color w:val="auto"/>
                <w:sz w:val="24"/>
                <w:lang w:eastAsia="zh-CN"/>
              </w:rPr>
              <w:t>）</w:t>
            </w:r>
            <w:r>
              <w:rPr>
                <w:rFonts w:hint="eastAsia"/>
                <w:color w:val="auto"/>
                <w:sz w:val="24"/>
                <w:lang w:val="en-US" w:eastAsia="zh-CN"/>
              </w:rPr>
              <w:t>的要求。</w:t>
            </w:r>
          </w:p>
          <w:p w14:paraId="3A606FDA">
            <w:pPr>
              <w:keepNext w:val="0"/>
              <w:keepLines w:val="0"/>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aps w:val="0"/>
                <w:smallCaps w:val="0"/>
                <w:color w:val="auto"/>
                <w:spacing w:val="0"/>
                <w:w w:val="100"/>
                <w:kern w:val="2"/>
                <w:position w:val="0"/>
                <w:highlight w:val="none"/>
                <w:lang w:val="en-US" w:eastAsia="zh-CN"/>
              </w:rPr>
            </w:pPr>
            <w:r>
              <w:rPr>
                <w:rFonts w:hint="eastAsia"/>
                <w:color w:val="auto"/>
                <w:sz w:val="24"/>
                <w:lang w:val="en-US" w:eastAsia="zh-CN"/>
              </w:rPr>
              <w:t>④</w:t>
            </w:r>
            <w:r>
              <w:rPr>
                <w:color w:val="auto"/>
                <w:sz w:val="24"/>
              </w:rPr>
              <w:t>多台施工机械同时施工时，噪声值较大，虽然经距离、大气吸收、地面效应和其他方面效应引起的衰减后会有一定程度降低，但各阶段施工期对</w:t>
            </w:r>
            <w:r>
              <w:rPr>
                <w:rFonts w:hint="eastAsia"/>
                <w:color w:val="auto"/>
                <w:sz w:val="24"/>
                <w:lang w:val="en-US" w:eastAsia="zh-CN"/>
              </w:rPr>
              <w:t>周边环境</w:t>
            </w:r>
            <w:r>
              <w:rPr>
                <w:color w:val="auto"/>
                <w:sz w:val="24"/>
              </w:rPr>
              <w:t>影响</w:t>
            </w:r>
            <w:r>
              <w:rPr>
                <w:rFonts w:hint="eastAsia"/>
                <w:color w:val="auto"/>
                <w:sz w:val="24"/>
                <w:lang w:val="en-US" w:eastAsia="zh-CN"/>
              </w:rPr>
              <w:t>依然</w:t>
            </w:r>
            <w:r>
              <w:rPr>
                <w:color w:val="auto"/>
                <w:sz w:val="24"/>
              </w:rPr>
              <w:t>较大</w:t>
            </w:r>
            <w:r>
              <w:rPr>
                <w:rFonts w:hint="default" w:ascii="Times New Roman" w:hAnsi="Times New Roman" w:cs="Times New Roman"/>
                <w:caps w:val="0"/>
                <w:smallCaps w:val="0"/>
                <w:color w:val="auto"/>
                <w:spacing w:val="0"/>
                <w:w w:val="100"/>
                <w:kern w:val="2"/>
                <w:position w:val="0"/>
                <w:sz w:val="24"/>
                <w:highlight w:val="none"/>
              </w:rPr>
              <w:t>。</w:t>
            </w:r>
          </w:p>
          <w:p w14:paraId="6BD945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textAlignment w:val="auto"/>
              <w:rPr>
                <w:rFonts w:hint="default" w:ascii="Times New Roman" w:hAnsi="Times New Roman" w:eastAsia="宋体" w:cs="Times New Roman"/>
                <w:b/>
                <w:caps w:val="0"/>
                <w:smallCaps w:val="0"/>
                <w:color w:val="auto"/>
                <w:spacing w:val="0"/>
                <w:w w:val="100"/>
                <w:kern w:val="2"/>
                <w:position w:val="0"/>
                <w:sz w:val="24"/>
                <w:szCs w:val="24"/>
                <w:highlight w:val="none"/>
              </w:rPr>
            </w:pPr>
            <w:r>
              <w:rPr>
                <w:rFonts w:hint="default" w:ascii="Times New Roman" w:hAnsi="Times New Roman" w:eastAsia="宋体" w:cs="Times New Roman"/>
                <w:b/>
                <w:caps w:val="0"/>
                <w:smallCaps w:val="0"/>
                <w:color w:val="auto"/>
                <w:spacing w:val="0"/>
                <w:w w:val="100"/>
                <w:kern w:val="2"/>
                <w:position w:val="0"/>
                <w:sz w:val="24"/>
                <w:szCs w:val="24"/>
                <w:highlight w:val="none"/>
                <w:lang w:val="en-US" w:eastAsia="zh-CN"/>
              </w:rPr>
              <w:t>5</w:t>
            </w:r>
            <w:r>
              <w:rPr>
                <w:rFonts w:hint="default" w:ascii="Times New Roman" w:hAnsi="Times New Roman" w:eastAsia="宋体" w:cs="Times New Roman"/>
                <w:b/>
                <w:caps w:val="0"/>
                <w:smallCaps w:val="0"/>
                <w:color w:val="auto"/>
                <w:spacing w:val="0"/>
                <w:w w:val="100"/>
                <w:kern w:val="2"/>
                <w:position w:val="0"/>
                <w:sz w:val="24"/>
                <w:szCs w:val="24"/>
                <w:highlight w:val="none"/>
              </w:rPr>
              <w:t>固体废弃物影响分析</w:t>
            </w:r>
          </w:p>
          <w:p w14:paraId="2EF8C320">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szCs w:val="20"/>
              </w:rPr>
            </w:pPr>
            <w:r>
              <w:rPr>
                <w:color w:val="auto"/>
                <w:sz w:val="24"/>
                <w:szCs w:val="20"/>
              </w:rPr>
              <w:t>施工期固体废物主要包括</w:t>
            </w:r>
            <w:r>
              <w:rPr>
                <w:rFonts w:hint="eastAsia"/>
                <w:color w:val="auto"/>
                <w:sz w:val="24"/>
                <w:szCs w:val="20"/>
                <w:lang w:val="en-US" w:eastAsia="zh-CN"/>
              </w:rPr>
              <w:t>基础开挖弃土、临时沉淀池泥沙</w:t>
            </w:r>
            <w:r>
              <w:rPr>
                <w:rFonts w:hint="eastAsia"/>
                <w:color w:val="auto"/>
                <w:sz w:val="24"/>
                <w:szCs w:val="20"/>
              </w:rPr>
              <w:t>、</w:t>
            </w:r>
            <w:r>
              <w:rPr>
                <w:color w:val="auto"/>
                <w:sz w:val="24"/>
                <w:szCs w:val="20"/>
              </w:rPr>
              <w:t>废沥青路面、建筑垃圾和施工人员生活垃圾。</w:t>
            </w:r>
          </w:p>
          <w:p w14:paraId="385531D9">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lang w:val="en-US" w:eastAsia="zh-CN"/>
              </w:rPr>
            </w:pPr>
            <w:r>
              <w:rPr>
                <w:color w:val="auto"/>
                <w:sz w:val="24"/>
              </w:rPr>
              <w:t>（1）</w:t>
            </w:r>
            <w:r>
              <w:rPr>
                <w:rFonts w:hint="eastAsia"/>
                <w:color w:val="auto"/>
                <w:sz w:val="24"/>
                <w:lang w:val="en-US" w:eastAsia="zh-CN"/>
              </w:rPr>
              <w:t>弃土及临时沉淀池泥沙</w:t>
            </w:r>
          </w:p>
          <w:p w14:paraId="653C403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pPr>
            <w:r>
              <w:rPr>
                <w:color w:val="auto"/>
                <w:sz w:val="24"/>
              </w:rPr>
              <w:t>石料等筑路筑材料按施工进度有计划购置，尽量减少余下的物料；路基工程</w:t>
            </w:r>
            <w:r>
              <w:rPr>
                <w:rFonts w:hint="eastAsia"/>
                <w:color w:val="auto"/>
                <w:sz w:val="24"/>
                <w:lang w:val="en-US" w:eastAsia="zh-CN"/>
              </w:rPr>
              <w:t>基础开挖</w:t>
            </w:r>
            <w:r>
              <w:rPr>
                <w:color w:val="auto"/>
                <w:sz w:val="24"/>
              </w:rPr>
              <w:t>产生的弃土临时堆存在道路红线范围内，并进行</w:t>
            </w:r>
            <w:r>
              <w:rPr>
                <w:rFonts w:hint="eastAsia"/>
                <w:color w:val="auto"/>
                <w:sz w:val="24"/>
                <w:lang w:val="en-US" w:eastAsia="zh-CN"/>
              </w:rPr>
              <w:t>遮盖、洒水等</w:t>
            </w:r>
            <w:r>
              <w:rPr>
                <w:color w:val="auto"/>
                <w:sz w:val="24"/>
              </w:rPr>
              <w:t>临时防护</w:t>
            </w:r>
            <w:r>
              <w:rPr>
                <w:rFonts w:hint="eastAsia"/>
                <w:color w:val="auto"/>
                <w:sz w:val="24"/>
                <w:lang w:eastAsia="zh-CN"/>
              </w:rPr>
              <w:t>；</w:t>
            </w:r>
            <w:r>
              <w:rPr>
                <w:rFonts w:hint="eastAsia"/>
                <w:color w:val="auto"/>
                <w:sz w:val="24"/>
                <w:lang w:val="en-US" w:eastAsia="zh-CN"/>
              </w:rPr>
              <w:t>施工期设置临时防渗沉淀池收集处置施工期废水，弃土及临时沉淀池泥沙集中清运至住建部门指定的既有社会弃土坑内处置</w:t>
            </w:r>
            <w:r>
              <w:rPr>
                <w:color w:val="auto"/>
                <w:sz w:val="24"/>
              </w:rPr>
              <w:t>。</w:t>
            </w:r>
          </w:p>
          <w:p w14:paraId="1A3F2B4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（2）废沥青路面</w:t>
            </w:r>
          </w:p>
          <w:p w14:paraId="707D86E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项目</w:t>
            </w:r>
            <w:r>
              <w:rPr>
                <w:rFonts w:hint="eastAsia"/>
                <w:color w:val="auto"/>
                <w:sz w:val="24"/>
                <w:lang w:val="en-US" w:eastAsia="zh-CN"/>
              </w:rPr>
              <w:t>沥青路面铺设过程中可能</w:t>
            </w:r>
            <w:r>
              <w:rPr>
                <w:color w:val="auto"/>
                <w:sz w:val="24"/>
              </w:rPr>
              <w:t>会产生废沥青路面，集中收集后运至</w:t>
            </w:r>
            <w:r>
              <w:rPr>
                <w:rFonts w:hint="eastAsia"/>
                <w:color w:val="auto"/>
                <w:sz w:val="24"/>
                <w:lang w:val="en-US" w:eastAsia="zh-CN"/>
              </w:rPr>
              <w:t>政府主管部门</w:t>
            </w:r>
            <w:r>
              <w:rPr>
                <w:color w:val="auto"/>
                <w:sz w:val="24"/>
              </w:rPr>
              <w:t>指定地点堆存。</w:t>
            </w:r>
          </w:p>
          <w:p w14:paraId="7AE02667">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w:t>
            </w:r>
            <w:r>
              <w:rPr>
                <w:rFonts w:hint="eastAsia"/>
                <w:color w:val="auto"/>
                <w:sz w:val="24"/>
              </w:rPr>
              <w:t>3</w:t>
            </w:r>
            <w:r>
              <w:rPr>
                <w:color w:val="auto"/>
                <w:sz w:val="24"/>
              </w:rPr>
              <w:t>）建筑垃圾</w:t>
            </w:r>
          </w:p>
          <w:p w14:paraId="66722272">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本工程</w:t>
            </w:r>
            <w:r>
              <w:rPr>
                <w:rFonts w:hint="eastAsia"/>
                <w:color w:val="auto"/>
                <w:sz w:val="24"/>
                <w:lang w:val="en-US" w:eastAsia="zh-CN"/>
              </w:rPr>
              <w:t>桥梁建设过程中</w:t>
            </w:r>
            <w:r>
              <w:rPr>
                <w:color w:val="auto"/>
                <w:sz w:val="24"/>
              </w:rPr>
              <w:t>会产生建筑垃圾，主要为砖石、混凝土、废钢材等，废钢材等可以回收利用的，集中收集后外售综合利用，砖石、混凝土不可回收利用的，运至</w:t>
            </w:r>
            <w:r>
              <w:rPr>
                <w:rFonts w:hint="eastAsia"/>
                <w:color w:val="auto"/>
                <w:sz w:val="24"/>
                <w:lang w:val="en-US" w:eastAsia="zh-CN"/>
              </w:rPr>
              <w:t>政府主管部门</w:t>
            </w:r>
            <w:r>
              <w:rPr>
                <w:color w:val="auto"/>
                <w:sz w:val="24"/>
              </w:rPr>
              <w:t>指定地点堆存。</w:t>
            </w:r>
          </w:p>
          <w:p w14:paraId="1924302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w:t>
            </w:r>
            <w:r>
              <w:rPr>
                <w:rFonts w:hint="eastAsia"/>
                <w:color w:val="auto"/>
                <w:sz w:val="24"/>
              </w:rPr>
              <w:t>4</w:t>
            </w:r>
            <w:r>
              <w:rPr>
                <w:color w:val="auto"/>
                <w:sz w:val="24"/>
              </w:rPr>
              <w:t>）生活垃圾</w:t>
            </w:r>
          </w:p>
          <w:p w14:paraId="4303975A">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施工人员生活垃圾产生量相对较小，但如果施工期间不注意此类垃圾的堆存，很容易引发蚊蝇滋生，本工程</w:t>
            </w:r>
            <w:r>
              <w:rPr>
                <w:rFonts w:hint="eastAsia"/>
                <w:color w:val="auto"/>
                <w:sz w:val="24"/>
                <w:lang w:val="en-US" w:eastAsia="zh-CN"/>
              </w:rPr>
              <w:t>不设置临时生活营地，施工人员</w:t>
            </w:r>
            <w:r>
              <w:rPr>
                <w:color w:val="auto"/>
                <w:sz w:val="24"/>
              </w:rPr>
              <w:t>生活垃圾</w:t>
            </w:r>
            <w:r>
              <w:rPr>
                <w:rFonts w:hint="eastAsia"/>
                <w:color w:val="auto"/>
                <w:sz w:val="24"/>
                <w:lang w:val="en-US" w:eastAsia="zh-CN"/>
              </w:rPr>
              <w:t>依托租住村镇既有垃圾点收集</w:t>
            </w:r>
            <w:r>
              <w:rPr>
                <w:color w:val="auto"/>
                <w:sz w:val="24"/>
              </w:rPr>
              <w:t>，严格管理，定期清运，交环卫部门统一处置，不会对周围环境产生明显影响。</w:t>
            </w:r>
          </w:p>
          <w:p w14:paraId="144E8E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pPr>
            <w:r>
              <w:rPr>
                <w:color w:val="auto"/>
                <w:sz w:val="24"/>
              </w:rPr>
              <w:t>工程施工期固体废物采取以上措施后可以得到妥善处置，不会对周围环境产生明显影响</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rPr>
              <w:t>。</w:t>
            </w:r>
          </w:p>
          <w:p w14:paraId="6A1619C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color w:val="auto"/>
                <w:kern w:val="2"/>
                <w:sz w:val="24"/>
                <w:szCs w:val="24"/>
                <w:lang w:val="en-US" w:eastAsia="zh-CN" w:bidi="ar-SA"/>
              </w:rPr>
              <w:t>本项目施工期大气、水、噪声、固废以及生态环境影响汇总如下：</w:t>
            </w:r>
          </w:p>
          <w:p w14:paraId="53F60DFE">
            <w:pPr>
              <w:pStyle w:val="23"/>
              <w:spacing w:line="240" w:lineRule="auto"/>
              <w:rPr>
                <w:rFonts w:hint="default"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表4-7                   生态环境影响分析汇总表</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493"/>
              <w:gridCol w:w="994"/>
              <w:gridCol w:w="694"/>
              <w:gridCol w:w="3298"/>
              <w:gridCol w:w="1799"/>
            </w:tblGrid>
            <w:tr w14:paraId="19C301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8" w:type="pct"/>
                  <w:gridSpan w:val="2"/>
                  <w:tcBorders>
                    <w:tl2br w:val="nil"/>
                    <w:tr2bl w:val="nil"/>
                  </w:tcBorders>
                  <w:noWrap w:val="0"/>
                  <w:vAlign w:val="center"/>
                </w:tcPr>
                <w:p w14:paraId="5BB6E7CB">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项目</w:t>
                  </w:r>
                </w:p>
              </w:tc>
              <w:tc>
                <w:tcPr>
                  <w:tcW w:w="643" w:type="pct"/>
                  <w:tcBorders>
                    <w:tl2br w:val="nil"/>
                    <w:tr2bl w:val="nil"/>
                  </w:tcBorders>
                  <w:noWrap w:val="0"/>
                  <w:vAlign w:val="center"/>
                </w:tcPr>
                <w:p w14:paraId="7EF0B145">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产生环节</w:t>
                  </w:r>
                </w:p>
              </w:tc>
              <w:tc>
                <w:tcPr>
                  <w:tcW w:w="449" w:type="pct"/>
                  <w:tcBorders>
                    <w:tl2br w:val="nil"/>
                    <w:tr2bl w:val="nil"/>
                  </w:tcBorders>
                  <w:noWrap w:val="0"/>
                  <w:vAlign w:val="center"/>
                </w:tcPr>
                <w:p w14:paraId="4A02432D">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影响因素</w:t>
                  </w:r>
                </w:p>
              </w:tc>
              <w:tc>
                <w:tcPr>
                  <w:tcW w:w="2134" w:type="pct"/>
                  <w:tcBorders>
                    <w:tl2br w:val="nil"/>
                    <w:tr2bl w:val="nil"/>
                  </w:tcBorders>
                  <w:noWrap w:val="0"/>
                  <w:vAlign w:val="center"/>
                </w:tcPr>
                <w:p w14:paraId="37F4B1A7">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措施</w:t>
                  </w:r>
                </w:p>
              </w:tc>
              <w:tc>
                <w:tcPr>
                  <w:tcW w:w="1164" w:type="pct"/>
                  <w:tcBorders>
                    <w:tl2br w:val="nil"/>
                    <w:tr2bl w:val="nil"/>
                  </w:tcBorders>
                  <w:noWrap w:val="0"/>
                  <w:vAlign w:val="center"/>
                </w:tcPr>
                <w:p w14:paraId="2862B719">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影响情况</w:t>
                  </w:r>
                </w:p>
              </w:tc>
            </w:tr>
            <w:tr w14:paraId="58E02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restart"/>
                  <w:tcBorders>
                    <w:tl2br w:val="nil"/>
                    <w:tr2bl w:val="nil"/>
                  </w:tcBorders>
                  <w:noWrap w:val="0"/>
                  <w:vAlign w:val="center"/>
                </w:tcPr>
                <w:p w14:paraId="32B55C7F">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废气</w:t>
                  </w:r>
                </w:p>
              </w:tc>
              <w:tc>
                <w:tcPr>
                  <w:tcW w:w="319" w:type="pct"/>
                  <w:tcBorders>
                    <w:tl2br w:val="nil"/>
                    <w:tr2bl w:val="nil"/>
                  </w:tcBorders>
                  <w:noWrap w:val="0"/>
                  <w:vAlign w:val="center"/>
                </w:tcPr>
                <w:p w14:paraId="0C3BFEED">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施工扬尘</w:t>
                  </w:r>
                </w:p>
              </w:tc>
              <w:tc>
                <w:tcPr>
                  <w:tcW w:w="643" w:type="pct"/>
                  <w:tcBorders>
                    <w:tl2br w:val="nil"/>
                    <w:tr2bl w:val="nil"/>
                  </w:tcBorders>
                  <w:noWrap w:val="0"/>
                  <w:vAlign w:val="center"/>
                </w:tcPr>
                <w:p w14:paraId="4E9F624E">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路基开挖、回填、边坡防护等土石方施工</w:t>
                  </w:r>
                </w:p>
              </w:tc>
              <w:tc>
                <w:tcPr>
                  <w:tcW w:w="449" w:type="pct"/>
                  <w:vMerge w:val="restart"/>
                  <w:tcBorders>
                    <w:tl2br w:val="nil"/>
                    <w:tr2bl w:val="nil"/>
                  </w:tcBorders>
                  <w:noWrap w:val="0"/>
                  <w:vAlign w:val="center"/>
                </w:tcPr>
                <w:p w14:paraId="2334897C">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大气</w:t>
                  </w:r>
                </w:p>
              </w:tc>
              <w:tc>
                <w:tcPr>
                  <w:tcW w:w="2134" w:type="pct"/>
                  <w:tcBorders>
                    <w:tl2br w:val="nil"/>
                    <w:tr2bl w:val="nil"/>
                  </w:tcBorders>
                  <w:noWrap w:val="0"/>
                  <w:vAlign w:val="center"/>
                </w:tcPr>
                <w:p w14:paraId="1B9F1CDB">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ascii="Times New Roman"/>
                      <w:color w:val="auto"/>
                      <w:sz w:val="21"/>
                      <w:szCs w:val="21"/>
                    </w:rPr>
                    <w:t>施工场地对易起尘物料采用苫盖措施，避免扬尘污染，及时洒水抑尘，控制运输车辆车速，运输车辆采用密闭车辆运输或进行苫盖，防止运输过程发生遗撒，土石方施工尽量避开大风天气施工。施工现场设置垃圾暂存点，并及时回收，加强环境管理。</w:t>
                  </w:r>
                </w:p>
              </w:tc>
              <w:tc>
                <w:tcPr>
                  <w:tcW w:w="1164" w:type="pct"/>
                  <w:vMerge w:val="restart"/>
                  <w:tcBorders>
                    <w:tl2br w:val="nil"/>
                    <w:tr2bl w:val="nil"/>
                  </w:tcBorders>
                  <w:noWrap w:val="0"/>
                  <w:vAlign w:val="center"/>
                </w:tcPr>
                <w:p w14:paraId="13977405">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通过采取措施，可有效减少施工期对项目周边大气环境的污染影响。</w:t>
                  </w:r>
                </w:p>
              </w:tc>
            </w:tr>
            <w:tr w14:paraId="349529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tcBorders>
                    <w:tl2br w:val="nil"/>
                    <w:tr2bl w:val="nil"/>
                  </w:tcBorders>
                  <w:noWrap w:val="0"/>
                  <w:vAlign w:val="center"/>
                </w:tcPr>
                <w:p w14:paraId="237DA27B">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319" w:type="pct"/>
                  <w:tcBorders>
                    <w:tl2br w:val="nil"/>
                    <w:tr2bl w:val="nil"/>
                  </w:tcBorders>
                  <w:noWrap w:val="0"/>
                  <w:vAlign w:val="center"/>
                </w:tcPr>
                <w:p w14:paraId="70846586">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沥青烟</w:t>
                  </w:r>
                </w:p>
              </w:tc>
              <w:tc>
                <w:tcPr>
                  <w:tcW w:w="643" w:type="pct"/>
                  <w:tcBorders>
                    <w:tl2br w:val="nil"/>
                    <w:tr2bl w:val="nil"/>
                  </w:tcBorders>
                  <w:noWrap w:val="0"/>
                  <w:vAlign w:val="center"/>
                </w:tcPr>
                <w:p w14:paraId="5BBA2BDE">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沥青路面摊铺</w:t>
                  </w:r>
                </w:p>
              </w:tc>
              <w:tc>
                <w:tcPr>
                  <w:tcW w:w="449" w:type="pct"/>
                  <w:vMerge w:val="continue"/>
                  <w:tcBorders>
                    <w:tl2br w:val="nil"/>
                    <w:tr2bl w:val="nil"/>
                  </w:tcBorders>
                  <w:noWrap w:val="0"/>
                  <w:vAlign w:val="center"/>
                </w:tcPr>
                <w:p w14:paraId="2CEE918F">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2134" w:type="pct"/>
                  <w:tcBorders>
                    <w:tl2br w:val="nil"/>
                    <w:tr2bl w:val="nil"/>
                  </w:tcBorders>
                  <w:noWrap w:val="0"/>
                  <w:vAlign w:val="center"/>
                </w:tcPr>
                <w:p w14:paraId="7741DFD6">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r>
                    <w:rPr>
                      <w:rFonts w:ascii="Times New Roman"/>
                      <w:color w:val="auto"/>
                      <w:sz w:val="21"/>
                      <w:szCs w:val="21"/>
                    </w:rPr>
                    <w:t>沥青混凝土外购，不设置沥青</w:t>
                  </w:r>
                  <w:r>
                    <w:rPr>
                      <w:rFonts w:hint="eastAsia" w:ascii="Times New Roman"/>
                      <w:color w:val="auto"/>
                      <w:sz w:val="21"/>
                      <w:szCs w:val="21"/>
                      <w:lang w:eastAsia="zh-CN"/>
                    </w:rPr>
                    <w:t>拌和站</w:t>
                  </w:r>
                  <w:r>
                    <w:rPr>
                      <w:rFonts w:ascii="Times New Roman"/>
                      <w:color w:val="auto"/>
                      <w:sz w:val="21"/>
                      <w:szCs w:val="21"/>
                    </w:rPr>
                    <w:t>，采用机械摊铺，加强管理。</w:t>
                  </w:r>
                </w:p>
              </w:tc>
              <w:tc>
                <w:tcPr>
                  <w:tcW w:w="1164" w:type="pct"/>
                  <w:vMerge w:val="continue"/>
                  <w:tcBorders>
                    <w:tl2br w:val="nil"/>
                    <w:tr2bl w:val="nil"/>
                  </w:tcBorders>
                  <w:noWrap w:val="0"/>
                  <w:vAlign w:val="center"/>
                </w:tcPr>
                <w:p w14:paraId="5BDFA3EE">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r>
            <w:tr w14:paraId="5F6B16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restart"/>
                  <w:tcBorders>
                    <w:tl2br w:val="nil"/>
                    <w:tr2bl w:val="nil"/>
                  </w:tcBorders>
                  <w:noWrap w:val="0"/>
                  <w:vAlign w:val="center"/>
                </w:tcPr>
                <w:p w14:paraId="2DE4E53E">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废水</w:t>
                  </w:r>
                </w:p>
              </w:tc>
              <w:tc>
                <w:tcPr>
                  <w:tcW w:w="319" w:type="pct"/>
                  <w:tcBorders>
                    <w:tl2br w:val="nil"/>
                    <w:tr2bl w:val="nil"/>
                  </w:tcBorders>
                  <w:noWrap w:val="0"/>
                  <w:vAlign w:val="center"/>
                </w:tcPr>
                <w:p w14:paraId="491FFB40">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生活废水</w:t>
                  </w:r>
                </w:p>
              </w:tc>
              <w:tc>
                <w:tcPr>
                  <w:tcW w:w="643" w:type="pct"/>
                  <w:tcBorders>
                    <w:tl2br w:val="nil"/>
                    <w:tr2bl w:val="nil"/>
                  </w:tcBorders>
                  <w:noWrap w:val="0"/>
                  <w:vAlign w:val="center"/>
                </w:tcPr>
                <w:p w14:paraId="1FB0AEB4">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施工人员生活</w:t>
                  </w:r>
                </w:p>
              </w:tc>
              <w:tc>
                <w:tcPr>
                  <w:tcW w:w="449" w:type="pct"/>
                  <w:vMerge w:val="restart"/>
                  <w:tcBorders>
                    <w:tl2br w:val="nil"/>
                    <w:tr2bl w:val="nil"/>
                  </w:tcBorders>
                  <w:noWrap w:val="0"/>
                  <w:vAlign w:val="center"/>
                </w:tcPr>
                <w:p w14:paraId="5AD7F968">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水环境</w:t>
                  </w:r>
                </w:p>
              </w:tc>
              <w:tc>
                <w:tcPr>
                  <w:tcW w:w="2134" w:type="pct"/>
                  <w:tcBorders>
                    <w:tl2br w:val="nil"/>
                    <w:tr2bl w:val="nil"/>
                  </w:tcBorders>
                  <w:noWrap w:val="0"/>
                  <w:vAlign w:val="center"/>
                </w:tcPr>
                <w:p w14:paraId="6AF24F2B">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164" w:type="pct"/>
                  <w:vMerge w:val="restart"/>
                  <w:tcBorders>
                    <w:tl2br w:val="nil"/>
                    <w:tr2bl w:val="nil"/>
                  </w:tcBorders>
                  <w:noWrap w:val="0"/>
                  <w:vAlign w:val="center"/>
                </w:tcPr>
                <w:p w14:paraId="3A7DBE81">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本项目施工过程中产生的废水均得到合理处置，不与地表水或地下水发生水力联系，不会造成水环境污染、</w:t>
                  </w:r>
                </w:p>
              </w:tc>
            </w:tr>
            <w:tr w14:paraId="3944D1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 w:type="pct"/>
                  <w:vMerge w:val="continue"/>
                  <w:tcBorders>
                    <w:tl2br w:val="nil"/>
                    <w:tr2bl w:val="nil"/>
                  </w:tcBorders>
                  <w:noWrap w:val="0"/>
                  <w:vAlign w:val="center"/>
                </w:tcPr>
                <w:p w14:paraId="04BAEC40">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319" w:type="pct"/>
                  <w:tcBorders>
                    <w:tl2br w:val="nil"/>
                    <w:tr2bl w:val="nil"/>
                  </w:tcBorders>
                  <w:noWrap w:val="0"/>
                  <w:vAlign w:val="center"/>
                </w:tcPr>
                <w:p w14:paraId="18503FDF">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施工废水</w:t>
                  </w:r>
                </w:p>
              </w:tc>
              <w:tc>
                <w:tcPr>
                  <w:tcW w:w="643" w:type="pct"/>
                  <w:tcBorders>
                    <w:tl2br w:val="nil"/>
                    <w:tr2bl w:val="nil"/>
                  </w:tcBorders>
                  <w:noWrap w:val="0"/>
                  <w:vAlign w:val="center"/>
                </w:tcPr>
                <w:p w14:paraId="3571A1E0">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工程施工</w:t>
                  </w:r>
                </w:p>
              </w:tc>
              <w:tc>
                <w:tcPr>
                  <w:tcW w:w="449" w:type="pct"/>
                  <w:vMerge w:val="continue"/>
                  <w:tcBorders>
                    <w:tl2br w:val="nil"/>
                    <w:tr2bl w:val="nil"/>
                  </w:tcBorders>
                  <w:noWrap w:val="0"/>
                  <w:vAlign w:val="center"/>
                </w:tcPr>
                <w:p w14:paraId="08C284E8">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c>
                <w:tcPr>
                  <w:tcW w:w="2134" w:type="pct"/>
                  <w:tcBorders>
                    <w:tl2br w:val="nil"/>
                    <w:tr2bl w:val="nil"/>
                  </w:tcBorders>
                  <w:noWrap w:val="0"/>
                  <w:vAlign w:val="center"/>
                </w:tcPr>
                <w:p w14:paraId="53E2872B">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施工废水：工程在桥梁施工场地附近设置泥浆干化池，泥浆及钻渣通过沉淀干化后运送至西面回填场地，沉淀后的上清液经用于洒水抑尘，不外排。</w:t>
                  </w:r>
                </w:p>
              </w:tc>
              <w:tc>
                <w:tcPr>
                  <w:tcW w:w="1164" w:type="pct"/>
                  <w:vMerge w:val="continue"/>
                  <w:tcBorders>
                    <w:tl2br w:val="nil"/>
                    <w:tr2bl w:val="nil"/>
                  </w:tcBorders>
                  <w:noWrap w:val="0"/>
                  <w:vAlign w:val="center"/>
                </w:tcPr>
                <w:p w14:paraId="448159C7">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sz w:val="21"/>
                      <w:szCs w:val="21"/>
                      <w:vertAlign w:val="baseline"/>
                      <w:lang w:val="en-US" w:eastAsia="zh-CN"/>
                    </w:rPr>
                  </w:pPr>
                </w:p>
              </w:tc>
            </w:tr>
            <w:tr w14:paraId="162C9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8" w:type="pct"/>
                  <w:gridSpan w:val="2"/>
                  <w:tcBorders>
                    <w:tl2br w:val="nil"/>
                    <w:tr2bl w:val="nil"/>
                  </w:tcBorders>
                  <w:noWrap w:val="0"/>
                  <w:vAlign w:val="center"/>
                </w:tcPr>
                <w:p w14:paraId="3613FBC5">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噪声</w:t>
                  </w:r>
                </w:p>
              </w:tc>
              <w:tc>
                <w:tcPr>
                  <w:tcW w:w="643" w:type="pct"/>
                  <w:tcBorders>
                    <w:tl2br w:val="nil"/>
                    <w:tr2bl w:val="nil"/>
                  </w:tcBorders>
                  <w:noWrap w:val="0"/>
                  <w:vAlign w:val="center"/>
                </w:tcPr>
                <w:p w14:paraId="1CF63D01">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机械施工</w:t>
                  </w:r>
                </w:p>
              </w:tc>
              <w:tc>
                <w:tcPr>
                  <w:tcW w:w="449" w:type="pct"/>
                  <w:tcBorders>
                    <w:tl2br w:val="nil"/>
                    <w:tr2bl w:val="nil"/>
                  </w:tcBorders>
                  <w:noWrap w:val="0"/>
                  <w:vAlign w:val="center"/>
                </w:tcPr>
                <w:p w14:paraId="226D7FDC">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声环境</w:t>
                  </w:r>
                </w:p>
              </w:tc>
              <w:tc>
                <w:tcPr>
                  <w:tcW w:w="2134" w:type="pct"/>
                  <w:tcBorders>
                    <w:tl2br w:val="nil"/>
                    <w:tr2bl w:val="nil"/>
                  </w:tcBorders>
                  <w:noWrap w:val="0"/>
                  <w:vAlign w:val="center"/>
                </w:tcPr>
                <w:p w14:paraId="321191D6">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主要为建筑施工期间各种施工机械和运输车辆噪声，选用低噪声、低振动的施工机械设备和带有消声、隔音的附属设备，合理布置施工时间和布局，夜间禁止施工。</w:t>
                  </w:r>
                </w:p>
              </w:tc>
              <w:tc>
                <w:tcPr>
                  <w:tcW w:w="1164" w:type="pct"/>
                  <w:tcBorders>
                    <w:tl2br w:val="nil"/>
                    <w:tr2bl w:val="nil"/>
                  </w:tcBorders>
                  <w:noWrap w:val="0"/>
                  <w:vAlign w:val="center"/>
                </w:tcPr>
                <w:p w14:paraId="56FEA373">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通过采取相关措施后可减少噪声对周围环境的影响。</w:t>
                  </w:r>
                </w:p>
              </w:tc>
            </w:tr>
            <w:tr w14:paraId="69AF7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8" w:type="pct"/>
                  <w:gridSpan w:val="2"/>
                  <w:tcBorders>
                    <w:tl2br w:val="nil"/>
                    <w:tr2bl w:val="nil"/>
                  </w:tcBorders>
                  <w:noWrap w:val="0"/>
                  <w:vAlign w:val="center"/>
                </w:tcPr>
                <w:p w14:paraId="01AD0FF9">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固废</w:t>
                  </w:r>
                </w:p>
              </w:tc>
              <w:tc>
                <w:tcPr>
                  <w:tcW w:w="643" w:type="pct"/>
                  <w:tcBorders>
                    <w:tl2br w:val="nil"/>
                    <w:tr2bl w:val="nil"/>
                  </w:tcBorders>
                  <w:noWrap w:val="0"/>
                  <w:vAlign w:val="center"/>
                </w:tcPr>
                <w:p w14:paraId="040CD2A6">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施工过程</w:t>
                  </w:r>
                </w:p>
              </w:tc>
              <w:tc>
                <w:tcPr>
                  <w:tcW w:w="449" w:type="pct"/>
                  <w:tcBorders>
                    <w:tl2br w:val="nil"/>
                    <w:tr2bl w:val="nil"/>
                  </w:tcBorders>
                  <w:noWrap w:val="0"/>
                  <w:vAlign w:val="center"/>
                </w:tcPr>
                <w:p w14:paraId="735F7ABF">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2134" w:type="pct"/>
                  <w:tcBorders>
                    <w:tl2br w:val="nil"/>
                    <w:tr2bl w:val="nil"/>
                  </w:tcBorders>
                  <w:noWrap w:val="0"/>
                  <w:vAlign w:val="center"/>
                </w:tcPr>
                <w:p w14:paraId="4B9CEAA5">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弃方主要是来自路基挖方，</w:t>
                  </w:r>
                  <w:r>
                    <w:rPr>
                      <w:rFonts w:hint="eastAsia" w:ascii="Times New Roman" w:hAnsi="Times New Roman" w:eastAsia="宋体" w:cs="Times New Roman"/>
                      <w:sz w:val="21"/>
                      <w:szCs w:val="21"/>
                      <w:vertAlign w:val="baseline"/>
                      <w:lang w:val="en-US" w:eastAsia="zh-CN"/>
                    </w:rPr>
                    <w:t>集中收集后</w:t>
                  </w:r>
                  <w:r>
                    <w:rPr>
                      <w:rFonts w:hint="default" w:ascii="Times New Roman" w:hAnsi="Times New Roman" w:eastAsia="宋体" w:cs="Times New Roman"/>
                      <w:sz w:val="21"/>
                      <w:szCs w:val="21"/>
                      <w:vertAlign w:val="baseline"/>
                      <w:lang w:val="en-US" w:eastAsia="zh-CN"/>
                    </w:rPr>
                    <w:t>运至项目依托的弃土场</w:t>
                  </w:r>
                  <w:r>
                    <w:rPr>
                      <w:rFonts w:hint="eastAsia" w:ascii="Times New Roman" w:hAnsi="Times New Roman" w:eastAsia="宋体" w:cs="Times New Roman"/>
                      <w:sz w:val="21"/>
                      <w:szCs w:val="21"/>
                      <w:vertAlign w:val="baseline"/>
                      <w:lang w:val="en-US" w:eastAsia="zh-CN"/>
                    </w:rPr>
                    <w:t>堆存处置；临时沉淀池泥沙集中收集后运至依托弃土场堆存</w:t>
                  </w:r>
                  <w:r>
                    <w:rPr>
                      <w:rFonts w:hint="default" w:ascii="Times New Roman" w:hAnsi="Times New Roman" w:eastAsia="宋体" w:cs="Times New Roman"/>
                      <w:sz w:val="21"/>
                      <w:szCs w:val="21"/>
                      <w:vertAlign w:val="baseline"/>
                      <w:lang w:val="en-US" w:eastAsia="zh-CN"/>
                    </w:rPr>
                    <w:t>；废沥青路面、建筑垃圾集中收集后运至政府指定地点堆存；生活垃圾由环卫部门统一处理，日产日清。</w:t>
                  </w:r>
                </w:p>
              </w:tc>
              <w:tc>
                <w:tcPr>
                  <w:tcW w:w="1164" w:type="pct"/>
                  <w:tcBorders>
                    <w:tl2br w:val="nil"/>
                    <w:tr2bl w:val="nil"/>
                  </w:tcBorders>
                  <w:noWrap w:val="0"/>
                  <w:vAlign w:val="center"/>
                </w:tcPr>
                <w:p w14:paraId="78B725AE">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本项目施工期固体废物得到合理处置，不会对周围环境产生污染影响。</w:t>
                  </w:r>
                </w:p>
              </w:tc>
            </w:tr>
            <w:tr w14:paraId="142A9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8" w:type="pct"/>
                  <w:gridSpan w:val="2"/>
                  <w:tcBorders>
                    <w:tl2br w:val="nil"/>
                    <w:tr2bl w:val="nil"/>
                  </w:tcBorders>
                  <w:noWrap w:val="0"/>
                  <w:vAlign w:val="center"/>
                </w:tcPr>
                <w:p w14:paraId="2BA2AD23">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生态</w:t>
                  </w:r>
                </w:p>
              </w:tc>
              <w:tc>
                <w:tcPr>
                  <w:tcW w:w="643" w:type="pct"/>
                  <w:tcBorders>
                    <w:tl2br w:val="nil"/>
                    <w:tr2bl w:val="nil"/>
                  </w:tcBorders>
                  <w:noWrap w:val="0"/>
                  <w:vAlign w:val="center"/>
                </w:tcPr>
                <w:p w14:paraId="6CE534CB">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施工过程</w:t>
                  </w:r>
                </w:p>
              </w:tc>
              <w:tc>
                <w:tcPr>
                  <w:tcW w:w="449" w:type="pct"/>
                  <w:tcBorders>
                    <w:tl2br w:val="nil"/>
                    <w:tr2bl w:val="nil"/>
                  </w:tcBorders>
                  <w:noWrap w:val="0"/>
                  <w:vAlign w:val="center"/>
                </w:tcPr>
                <w:p w14:paraId="35351EB3">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生态环境</w:t>
                  </w:r>
                </w:p>
              </w:tc>
              <w:tc>
                <w:tcPr>
                  <w:tcW w:w="2134" w:type="pct"/>
                  <w:tcBorders>
                    <w:tl2br w:val="nil"/>
                    <w:tr2bl w:val="nil"/>
                  </w:tcBorders>
                  <w:noWrap w:val="0"/>
                  <w:vAlign w:val="center"/>
                </w:tcPr>
                <w:p w14:paraId="45775EE6">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加强施工管理，做好施工组织设计，科学规划施工场地，合理安排施工进度，避开大风和雨天施工。减少公路临时占地，做好临时用地的恢复工作；施工便道清理的表土、临时弃土采用苫布遮盖。保护植被，及时恢复被破坏的地表植被；做好水土保持工作，加强各道路沿线绿化和临时占地恢复。</w:t>
                  </w:r>
                </w:p>
              </w:tc>
              <w:tc>
                <w:tcPr>
                  <w:tcW w:w="1164" w:type="pct"/>
                  <w:tcBorders>
                    <w:tl2br w:val="nil"/>
                    <w:tr2bl w:val="nil"/>
                  </w:tcBorders>
                  <w:noWrap w:val="0"/>
                  <w:vAlign w:val="center"/>
                </w:tcPr>
                <w:p w14:paraId="3DEFCE25">
                  <w:pPr>
                    <w:pStyle w:val="2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本项目施工过程主要生态环境影响表现在工程占地对植被等自然环境的影响，通过采取避让等措施最大程度减少生态破坏。</w:t>
                  </w:r>
                </w:p>
              </w:tc>
            </w:tr>
          </w:tbl>
          <w:p w14:paraId="0E969372">
            <w:pPr>
              <w:rPr>
                <w:rFonts w:hint="default"/>
              </w:rPr>
            </w:pPr>
          </w:p>
        </w:tc>
      </w:tr>
      <w:tr w14:paraId="3D413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tcBorders>
              <w:tl2br w:val="nil"/>
              <w:tr2bl w:val="nil"/>
            </w:tcBorders>
            <w:noWrap w:val="0"/>
            <w:tcMar>
              <w:left w:w="28" w:type="dxa"/>
              <w:right w:w="28" w:type="dxa"/>
            </w:tcMar>
            <w:vAlign w:val="center"/>
          </w:tcPr>
          <w:p w14:paraId="7277DEB1">
            <w:pPr>
              <w:pStyle w:val="25"/>
              <w:pageBreakBefore w:val="0"/>
              <w:wordWrap/>
              <w:topLinePunct w:val="0"/>
              <w:bidi w:val="0"/>
              <w:adjustRightInd w:val="0"/>
              <w:snapToGrid w:val="0"/>
              <w:spacing w:before="0" w:beforeAutospacing="0" w:after="0" w:afterAutospacing="0"/>
              <w:ind w:left="0" w:leftChars="0" w:right="0"/>
              <w:jc w:val="center"/>
              <w:rPr>
                <w:rFonts w:hint="default" w:ascii="Times New Roman" w:hAnsi="Times New Roman" w:eastAsia="宋体" w:cs="Times New Roman"/>
                <w:bCs/>
                <w:caps w:val="0"/>
                <w:smallCaps w:val="0"/>
                <w:color w:val="auto"/>
                <w:spacing w:val="0"/>
                <w:w w:val="100"/>
                <w:kern w:val="2"/>
                <w:position w:val="0"/>
                <w:sz w:val="24"/>
                <w:szCs w:val="24"/>
                <w:highlight w:val="none"/>
              </w:rPr>
            </w:pPr>
            <w:r>
              <w:rPr>
                <w:rFonts w:hint="default" w:ascii="Times New Roman" w:hAnsi="Times New Roman" w:eastAsia="宋体" w:cs="Times New Roman"/>
                <w:bCs/>
                <w:caps w:val="0"/>
                <w:smallCaps w:val="0"/>
                <w:color w:val="auto"/>
                <w:spacing w:val="0"/>
                <w:w w:val="100"/>
                <w:kern w:val="2"/>
                <w:position w:val="0"/>
                <w:sz w:val="24"/>
                <w:szCs w:val="24"/>
                <w:highlight w:val="none"/>
              </w:rPr>
              <w:t>运营期生态环境影响分析</w:t>
            </w:r>
          </w:p>
        </w:tc>
        <w:tc>
          <w:tcPr>
            <w:tcW w:w="4617" w:type="pct"/>
            <w:tcBorders>
              <w:tl2br w:val="nil"/>
              <w:tr2bl w:val="nil"/>
            </w:tcBorders>
            <w:noWrap w:val="0"/>
            <w:vAlign w:val="top"/>
          </w:tcPr>
          <w:p w14:paraId="0437A2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textAlignment w:val="auto"/>
              <w:rPr>
                <w:rFonts w:hint="default" w:ascii="Times New Roman" w:hAnsi="Times New Roman" w:eastAsia="宋体" w:cs="Times New Roman"/>
                <w:b/>
                <w:caps w:val="0"/>
                <w:smallCaps w:val="0"/>
                <w:color w:val="auto"/>
                <w:spacing w:val="0"/>
                <w:w w:val="100"/>
                <w:kern w:val="2"/>
                <w:position w:val="0"/>
                <w:sz w:val="24"/>
                <w:szCs w:val="24"/>
                <w:highlight w:val="none"/>
                <w:lang w:val="en-US" w:eastAsia="zh-CN"/>
              </w:rPr>
            </w:pPr>
            <w:r>
              <w:rPr>
                <w:rFonts w:hint="eastAsia" w:ascii="Times New Roman" w:hAnsi="Times New Roman" w:eastAsia="宋体" w:cs="Times New Roman"/>
                <w:b/>
                <w:caps w:val="0"/>
                <w:smallCaps w:val="0"/>
                <w:color w:val="auto"/>
                <w:spacing w:val="0"/>
                <w:w w:val="100"/>
                <w:kern w:val="2"/>
                <w:position w:val="0"/>
                <w:sz w:val="24"/>
                <w:szCs w:val="24"/>
                <w:highlight w:val="none"/>
                <w:lang w:val="en-US" w:eastAsia="zh-CN"/>
              </w:rPr>
              <w:t>1、</w:t>
            </w:r>
            <w:r>
              <w:rPr>
                <w:rFonts w:hint="default" w:ascii="Times New Roman" w:hAnsi="Times New Roman" w:eastAsia="宋体" w:cs="Times New Roman"/>
                <w:b/>
                <w:caps w:val="0"/>
                <w:smallCaps w:val="0"/>
                <w:color w:val="auto"/>
                <w:spacing w:val="0"/>
                <w:w w:val="100"/>
                <w:kern w:val="2"/>
                <w:position w:val="0"/>
                <w:sz w:val="24"/>
                <w:szCs w:val="24"/>
                <w:highlight w:val="none"/>
                <w:lang w:val="en-US" w:eastAsia="zh-CN"/>
              </w:rPr>
              <w:t>运营期大气环境影响分析</w:t>
            </w:r>
          </w:p>
          <w:p w14:paraId="65A2488A">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项目不设置公路服务设施，公路运营期大气污染源主要为汽车尾气及道路扬尘。</w:t>
            </w:r>
          </w:p>
          <w:p w14:paraId="3C92A3F4">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（1）汽车尾气</w:t>
            </w:r>
          </w:p>
          <w:p w14:paraId="79D0D1D7">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项目建成运营后，主要的大气污染源是汽车尾气污染物的排放，污染物包括CO、NO</w:t>
            </w:r>
            <w:r>
              <w:rPr>
                <w:color w:val="auto"/>
                <w:sz w:val="24"/>
                <w:vertAlign w:val="subscript"/>
              </w:rPr>
              <w:t>x</w:t>
            </w:r>
            <w:r>
              <w:rPr>
                <w:color w:val="auto"/>
                <w:sz w:val="24"/>
              </w:rPr>
              <w:t>及THC。</w:t>
            </w:r>
          </w:p>
          <w:p w14:paraId="631096A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公路为开放式的扩散空间，且单辆汽车为移动式污染源，整个公路可看作很长路段的线状污染源，汽车尾气相对于长路段来说，扩散至公路两侧一定距离处，各项目污染物浓度较低。本项目沿线较为空旷，扩散条件较好，不会对环境空气产生很大影响。另外随着我国执行单车排放标准的不断提高，单车尾气的排放量将会不断降低，项目通车运营后不会对沿线环境空气产生较明显的影响。</w:t>
            </w:r>
          </w:p>
          <w:p w14:paraId="0547BC60">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（2）道路扬尘</w:t>
            </w:r>
          </w:p>
          <w:p w14:paraId="1E01C2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caps w:val="0"/>
                <w:smallCaps w:val="0"/>
                <w:color w:val="auto"/>
                <w:spacing w:val="0"/>
                <w:w w:val="100"/>
                <w:kern w:val="2"/>
                <w:position w:val="0"/>
                <w:sz w:val="24"/>
                <w:highlight w:val="none"/>
                <w:lang w:val="en-US" w:eastAsia="zh-CN"/>
              </w:rPr>
            </w:pPr>
            <w:r>
              <w:rPr>
                <w:color w:val="auto"/>
                <w:sz w:val="24"/>
              </w:rPr>
              <w:t>运营期道路扬尘主要是车辆物料洒落及道路积尘扬起而产生的二次扬尘污染，本工程采用沥青混凝土路面，起尘量较少，此外，项目运营期加强对路面</w:t>
            </w:r>
            <w:r>
              <w:rPr>
                <w:rFonts w:hint="eastAsia"/>
                <w:color w:val="auto"/>
                <w:sz w:val="24"/>
                <w:lang w:val="en-US" w:eastAsia="zh-CN"/>
              </w:rPr>
              <w:t>维护</w:t>
            </w:r>
            <w:r>
              <w:rPr>
                <w:color w:val="auto"/>
                <w:sz w:val="24"/>
              </w:rPr>
              <w:t>、清扫保洁等措施后，道路扬尘对周围大气环境影响较小</w:t>
            </w:r>
            <w:r>
              <w:rPr>
                <w:rFonts w:hint="default" w:ascii="Times New Roman" w:hAnsi="Times New Roman" w:eastAsia="宋体" w:cs="Times New Roman"/>
                <w:b w:val="0"/>
                <w:bCs/>
                <w:caps w:val="0"/>
                <w:smallCaps w:val="0"/>
                <w:color w:val="auto"/>
                <w:spacing w:val="0"/>
                <w:w w:val="100"/>
                <w:kern w:val="2"/>
                <w:position w:val="0"/>
                <w:sz w:val="24"/>
                <w:highlight w:val="none"/>
                <w:lang w:val="en-US" w:eastAsia="zh-CN"/>
              </w:rPr>
              <w:t>。</w:t>
            </w:r>
          </w:p>
          <w:p w14:paraId="1AA33B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textAlignment w:val="auto"/>
              <w:rPr>
                <w:rFonts w:hint="default" w:ascii="Times New Roman" w:hAnsi="Times New Roman" w:eastAsia="宋体" w:cs="Times New Roman"/>
                <w:b w:val="0"/>
                <w:bCs w:val="0"/>
                <w:caps w:val="0"/>
                <w:smallCaps w:val="0"/>
                <w:color w:val="auto"/>
                <w:spacing w:val="0"/>
                <w:w w:val="100"/>
                <w:kern w:val="2"/>
                <w:position w:val="0"/>
                <w:sz w:val="24"/>
                <w:highlight w:val="none"/>
                <w:lang w:eastAsia="zh-CN"/>
              </w:rPr>
            </w:pPr>
            <w:r>
              <w:rPr>
                <w:rFonts w:hint="eastAsia" w:ascii="Times New Roman" w:hAnsi="Times New Roman" w:eastAsia="宋体" w:cs="Times New Roman"/>
                <w:b/>
                <w:caps w:val="0"/>
                <w:smallCaps w:val="0"/>
                <w:color w:val="auto"/>
                <w:spacing w:val="0"/>
                <w:w w:val="100"/>
                <w:kern w:val="2"/>
                <w:position w:val="0"/>
                <w:sz w:val="24"/>
                <w:highlight w:val="none"/>
                <w:lang w:val="en-US" w:eastAsia="zh-CN"/>
              </w:rPr>
              <w:t>2、</w:t>
            </w:r>
            <w:r>
              <w:rPr>
                <w:rFonts w:hint="default" w:ascii="Times New Roman" w:hAnsi="Times New Roman" w:eastAsia="宋体" w:cs="Times New Roman"/>
                <w:b/>
                <w:caps w:val="0"/>
                <w:smallCaps w:val="0"/>
                <w:color w:val="auto"/>
                <w:spacing w:val="0"/>
                <w:w w:val="100"/>
                <w:kern w:val="2"/>
                <w:position w:val="0"/>
                <w:sz w:val="24"/>
                <w:highlight w:val="none"/>
                <w:lang w:val="en-US" w:eastAsia="zh-CN"/>
              </w:rPr>
              <w:t>运营期水环境影响分析</w:t>
            </w:r>
          </w:p>
          <w:p w14:paraId="09A5222A">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color w:val="auto"/>
                <w:sz w:val="24"/>
              </w:rPr>
            </w:pPr>
            <w:r>
              <w:rPr>
                <w:color w:val="auto"/>
                <w:sz w:val="24"/>
              </w:rPr>
              <w:t>（1）地表水环境影响分析</w:t>
            </w:r>
          </w:p>
          <w:p w14:paraId="6387F329">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color w:val="auto"/>
                <w:sz w:val="24"/>
              </w:rPr>
            </w:pPr>
            <w:r>
              <w:rPr>
                <w:color w:val="auto"/>
                <w:sz w:val="24"/>
              </w:rPr>
              <w:t>项目不设服务区、收费站、管理处等集中服务设施，运营期不排放污水，运营期废水主要为雨天路面径流。</w:t>
            </w:r>
          </w:p>
          <w:p w14:paraId="546E8F0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在公路建成投入运营后，废水主要为雨季路面产生的地表径流，路面径流的主要污染物为COD、石油类、SS等。影响路面径流污染物浓度的因素很多，包括降雨量、降雨时间、与车流量有关的路面及大气污染程度、两场降雨之间的间隔时间、路面宽度、长度等。由于各种因素随机性强，偶然性大，所以典型的路面径流雨水污染物浓度较难确定。</w:t>
            </w:r>
          </w:p>
          <w:p w14:paraId="551D80C3">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color w:val="auto"/>
                <w:sz w:val="24"/>
              </w:rPr>
            </w:pPr>
            <w:r>
              <w:rPr>
                <w:color w:val="auto"/>
                <w:sz w:val="24"/>
              </w:rPr>
              <w:t>根据有关公路路面雨水径流实测资料，降雨初期30min内，路面径流污染物平均浓度为pH值6.4、SS100mg/L、BOD5.08mg/L、石油类11.25mg/L，降雨历时30min后，路面基本被冲洗干净，污染物含量较低，再经边坡对污染物的吸附等作用后，使污染物浓度变得更低，对水环境的影响是极其微弱的，不会对沿线水环境产生明显影响。</w:t>
            </w:r>
          </w:p>
          <w:p w14:paraId="3E67ADC9">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color w:val="auto"/>
                <w:sz w:val="24"/>
              </w:rPr>
            </w:pPr>
            <w:r>
              <w:rPr>
                <w:color w:val="auto"/>
                <w:sz w:val="24"/>
              </w:rPr>
              <w:t>综上所述，项目运营期不会对沿线水环境产生明显影响。</w:t>
            </w:r>
          </w:p>
          <w:p w14:paraId="27155EC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jc w:val="left"/>
              <w:textAlignment w:val="auto"/>
              <w:rPr>
                <w:color w:val="auto"/>
                <w:sz w:val="24"/>
              </w:rPr>
            </w:pPr>
            <w:r>
              <w:rPr>
                <w:color w:val="auto"/>
                <w:sz w:val="24"/>
              </w:rPr>
              <w:t>（2）地下水环境影响分析</w:t>
            </w:r>
          </w:p>
          <w:p w14:paraId="53657761">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根据《环境影响评价技术导则 地下水环境》（HJ610-2016），按照建设项目对地下水环境影响的程度，结合《建设项目环境影响评价分类管理名录》，将建设项目分为四类。Ⅰ类、Ⅱ类、Ⅲ类建设项目的地下水环境影响评价执行相应等级评价，Ⅳ类建设项目不开展地下水环境影响评价。</w:t>
            </w:r>
          </w:p>
          <w:p w14:paraId="7A3ABC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highlight w:val="none"/>
                <w:lang w:val="en-US" w:eastAsia="zh-CN"/>
              </w:rPr>
            </w:pPr>
            <w:r>
              <w:rPr>
                <w:color w:val="auto"/>
                <w:sz w:val="24"/>
              </w:rPr>
              <w:t>对照《环境影响评价技术导则 地下水环境》（HJ610-2016）附录A，本工程为公路建设项目，属于Ⅳ类建设项目。因此，项目不开展地下水环境影响评价</w:t>
            </w:r>
            <w:r>
              <w:rPr>
                <w:rFonts w:hint="default" w:ascii="Times New Roman" w:hAnsi="Times New Roman" w:eastAsia="宋体" w:cs="Times New Roman"/>
                <w:b w:val="0"/>
                <w:bCs w:val="0"/>
                <w:caps w:val="0"/>
                <w:smallCaps w:val="0"/>
                <w:color w:val="auto"/>
                <w:spacing w:val="0"/>
                <w:w w:val="100"/>
                <w:kern w:val="2"/>
                <w:position w:val="0"/>
                <w:sz w:val="24"/>
                <w:highlight w:val="none"/>
                <w:lang w:val="en-US" w:eastAsia="zh-CN"/>
              </w:rPr>
              <w:t>。</w:t>
            </w:r>
          </w:p>
          <w:p w14:paraId="05B04D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textAlignment w:val="auto"/>
              <w:rPr>
                <w:rFonts w:hint="eastAsia" w:ascii="Times New Roman" w:hAnsi="Times New Roman" w:eastAsia="宋体" w:cs="Times New Roman"/>
                <w:b/>
                <w:bCs/>
                <w:caps w:val="0"/>
                <w:smallCaps w:val="0"/>
                <w:color w:val="auto"/>
                <w:spacing w:val="0"/>
                <w:w w:val="100"/>
                <w:kern w:val="2"/>
                <w:position w:val="0"/>
                <w:sz w:val="24"/>
                <w:highlight w:val="none"/>
                <w:lang w:eastAsia="zh-CN"/>
              </w:rPr>
            </w:pPr>
            <w:r>
              <w:rPr>
                <w:rFonts w:hint="default" w:ascii="Times New Roman" w:hAnsi="Times New Roman" w:eastAsia="宋体" w:cs="Times New Roman"/>
                <w:b/>
                <w:bCs/>
                <w:caps w:val="0"/>
                <w:smallCaps w:val="0"/>
                <w:color w:val="auto"/>
                <w:spacing w:val="0"/>
                <w:w w:val="100"/>
                <w:kern w:val="2"/>
                <w:position w:val="0"/>
                <w:sz w:val="24"/>
                <w:highlight w:val="none"/>
              </w:rPr>
              <w:t>4运营期噪声环境影响分析</w:t>
            </w:r>
          </w:p>
          <w:p w14:paraId="6F917B42">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color w:val="auto"/>
                <w:sz w:val="24"/>
                <w:szCs w:val="20"/>
              </w:rPr>
              <w:t>项目运营期道路上行驶的机动车辆，其发动机、冷却系统、传动系统、鸣笛等部件均会产生噪声；车辆行驶中引起的气流湍动、排气系统、轮胎与路面的</w:t>
            </w:r>
            <w:r>
              <w:rPr>
                <w:rFonts w:hint="eastAsia"/>
                <w:color w:val="auto"/>
                <w:sz w:val="24"/>
                <w:szCs w:val="20"/>
              </w:rPr>
              <w:t>摩擦等</w:t>
            </w:r>
            <w:r>
              <w:rPr>
                <w:color w:val="auto"/>
                <w:sz w:val="24"/>
                <w:szCs w:val="20"/>
              </w:rPr>
              <w:t>也会产生噪声</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w:t>
            </w:r>
          </w:p>
          <w:p w14:paraId="0ED23C3A">
            <w:pPr>
              <w:pStyle w:val="62"/>
              <w:keepNext w:val="0"/>
              <w:keepLines w:val="0"/>
              <w:pageBreakBefore w:val="0"/>
              <w:widowControl w:val="0"/>
              <w:shd w:val="clear" w:color="auto" w:fill="auto"/>
              <w:kinsoku/>
              <w:wordWrap/>
              <w:overflowPunct/>
              <w:topLinePunct w:val="0"/>
              <w:autoSpaceDE/>
              <w:autoSpaceDN/>
              <w:bidi w:val="0"/>
              <w:adjustRightInd/>
              <w:snapToGrid/>
              <w:spacing w:line="360" w:lineRule="auto"/>
              <w:ind w:left="0" w:firstLine="480" w:firstLineChars="200"/>
              <w:jc w:val="left"/>
              <w:textAlignment w:val="auto"/>
              <w:rPr>
                <w:color w:val="auto"/>
                <w:sz w:val="24"/>
                <w:szCs w:val="24"/>
              </w:rPr>
            </w:pPr>
            <w:r>
              <w:rPr>
                <w:rFonts w:hint="eastAsia" w:ascii="Times New Roman" w:hAnsi="Times New Roman" w:eastAsia="宋体" w:cs="Times New Roman"/>
                <w:b w:val="0"/>
                <w:color w:val="auto"/>
                <w:kern w:val="2"/>
                <w:sz w:val="24"/>
                <w:szCs w:val="20"/>
                <w:lang w:val="en-US" w:eastAsia="zh-CN" w:bidi="ar-SA"/>
              </w:rPr>
              <w:t>根据现场勘察及设计资料可知，本项目周边无声环境保护目标</w:t>
            </w:r>
            <w:r>
              <w:rPr>
                <w:rFonts w:hint="eastAsia"/>
                <w:b w:val="0"/>
                <w:bCs/>
                <w:color w:val="auto"/>
                <w:sz w:val="24"/>
                <w:szCs w:val="24"/>
                <w:lang w:val="en-US" w:eastAsia="zh-CN"/>
              </w:rPr>
              <w:t>。本项目建成后可对该区域车流量进行分摊，考虑该路段交通噪声影响，因此本次评价采用环安科技噪声预测系统对该路段进行了近期、中期及远期噪声预测，预测结果如下：</w:t>
            </w:r>
          </w:p>
          <w:p w14:paraId="54C3EF10">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p>
          <w:p w14:paraId="4D01D7E1">
            <w:pPr>
              <w:pStyle w:val="22"/>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p>
          <w:p w14:paraId="24DFC7E4">
            <w:pP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p>
          <w:p w14:paraId="6D846F1A">
            <w:pP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p>
          <w:p w14:paraId="2163AFF8">
            <w:pP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p>
          <w:p w14:paraId="46CC4BE8">
            <w:pP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p>
          <w:p w14:paraId="61701003">
            <w:pP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p>
          <w:p w14:paraId="72F47FC9">
            <w:pP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p>
          <w:p w14:paraId="752C12A2">
            <w:pP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p>
          <w:p w14:paraId="50130891">
            <w:pP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p>
          <w:p w14:paraId="5810346C">
            <w:pP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p>
          <w:p w14:paraId="70411DE4">
            <w:pP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p>
          <w:p w14:paraId="17381A94">
            <w:pP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p>
          <w:p w14:paraId="63E0FE3D">
            <w:pP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p>
          <w:p w14:paraId="043A15A2">
            <w:pP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p>
          <w:p w14:paraId="3CB822B9">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p>
          <w:p w14:paraId="4BE6076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left"/>
              <w:textAlignment w:val="auto"/>
              <w:rPr>
                <w:rFonts w:hint="default" w:ascii="Times New Roman" w:hAnsi="Times New Roman" w:cs="Times New Roman"/>
                <w:caps w:val="0"/>
                <w:smallCaps w:val="0"/>
                <w:color w:val="auto"/>
                <w:spacing w:val="0"/>
                <w:w w:val="100"/>
                <w:kern w:val="2"/>
                <w:position w:val="0"/>
                <w:highlight w:val="none"/>
                <w:lang w:val="en-US" w:eastAsia="zh-CN"/>
              </w:rPr>
            </w:pPr>
          </w:p>
        </w:tc>
      </w:tr>
    </w:tbl>
    <w:p w14:paraId="5246D73C">
      <w:pPr>
        <w:pStyle w:val="25"/>
        <w:pageBreakBefore w:val="0"/>
        <w:wordWrap/>
        <w:topLinePunct w:val="0"/>
        <w:bidi w:val="0"/>
        <w:spacing w:before="0" w:beforeAutospacing="0" w:after="0" w:afterAutospacing="0"/>
        <w:ind w:left="0" w:leftChars="0" w:right="0"/>
        <w:jc w:val="center"/>
        <w:rPr>
          <w:rFonts w:hint="default" w:ascii="Times New Roman" w:hAnsi="Times New Roman" w:eastAsia="黑体" w:cs="Times New Roman"/>
          <w:caps w:val="0"/>
          <w:smallCaps w:val="0"/>
          <w:snapToGrid w:val="0"/>
          <w:color w:val="auto"/>
          <w:spacing w:val="0"/>
          <w:w w:val="100"/>
          <w:kern w:val="2"/>
          <w:position w:val="0"/>
          <w:sz w:val="36"/>
          <w:szCs w:val="36"/>
          <w:highlight w:val="none"/>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14174"/>
      </w:tblGrid>
      <w:tr w14:paraId="206032F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14174" w:type="dxa"/>
            <w:tcBorders>
              <w:tl2br w:val="nil"/>
              <w:tr2bl w:val="nil"/>
            </w:tcBorders>
            <w:noWrap w:val="0"/>
            <w:vAlign w:val="top"/>
          </w:tcPr>
          <w:p w14:paraId="64C76F4C">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rFonts w:ascii="Times New Roman" w:hAnsi="Times New Roman" w:eastAsia="宋体" w:cs="Times New Roman"/>
                <w:color w:val="auto"/>
                <w:sz w:val="24"/>
                <w:szCs w:val="20"/>
              </w:rPr>
            </w:pPr>
            <w:r>
              <w:rPr>
                <w:rFonts w:ascii="Times New Roman" w:hAnsi="Times New Roman" w:eastAsia="宋体" w:cs="Times New Roman"/>
                <w:b/>
                <w:color w:val="auto"/>
                <w:sz w:val="24"/>
              </w:rPr>
              <w:t>表</w:t>
            </w:r>
            <w:r>
              <w:rPr>
                <w:rFonts w:hint="eastAsia" w:ascii="Times New Roman" w:hAnsi="Times New Roman" w:eastAsia="宋体" w:cs="Times New Roman"/>
                <w:b/>
                <w:color w:val="auto"/>
                <w:sz w:val="24"/>
                <w:lang w:val="en-US" w:eastAsia="zh-CN"/>
              </w:rPr>
              <w:t>4-8</w:t>
            </w:r>
            <w:r>
              <w:rPr>
                <w:rFonts w:ascii="Times New Roman" w:hAnsi="Times New Roman" w:eastAsia="宋体" w:cs="Times New Roman"/>
                <w:b/>
                <w:color w:val="auto"/>
                <w:sz w:val="24"/>
              </w:rPr>
              <w:t xml:space="preserve">   </w:t>
            </w:r>
            <w:r>
              <w:rPr>
                <w:rFonts w:hint="eastAsia" w:ascii="Times New Roman" w:hAnsi="Times New Roman" w:eastAsia="宋体" w:cs="Times New Roman"/>
                <w:b/>
                <w:color w:val="auto"/>
                <w:sz w:val="24"/>
                <w:lang w:val="en-US" w:eastAsia="zh-CN"/>
              </w:rPr>
              <w:t xml:space="preserve">                                  公路</w:t>
            </w:r>
            <w:r>
              <w:rPr>
                <w:rFonts w:hint="eastAsia" w:ascii="Times New Roman" w:hAnsi="Times New Roman" w:eastAsia="宋体" w:cs="Times New Roman"/>
                <w:b/>
                <w:color w:val="auto"/>
                <w:sz w:val="24"/>
              </w:rPr>
              <w:t>道路噪声源强调查</w:t>
            </w:r>
            <w:r>
              <w:rPr>
                <w:rFonts w:hint="eastAsia" w:ascii="Times New Roman" w:hAnsi="Times New Roman" w:eastAsia="宋体" w:cs="Times New Roman"/>
                <w:b/>
                <w:color w:val="auto"/>
                <w:sz w:val="24"/>
                <w:lang w:val="en-US" w:eastAsia="zh-CN"/>
              </w:rPr>
              <w:t>清单</w:t>
            </w:r>
          </w:p>
          <w:tbl>
            <w:tblPr>
              <w:tblStyle w:val="2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39"/>
              <w:gridCol w:w="740"/>
              <w:gridCol w:w="742"/>
              <w:gridCol w:w="594"/>
              <w:gridCol w:w="742"/>
              <w:gridCol w:w="740"/>
              <w:gridCol w:w="751"/>
              <w:gridCol w:w="740"/>
              <w:gridCol w:w="742"/>
              <w:gridCol w:w="740"/>
              <w:gridCol w:w="742"/>
              <w:gridCol w:w="740"/>
              <w:gridCol w:w="751"/>
              <w:gridCol w:w="740"/>
              <w:gridCol w:w="742"/>
              <w:gridCol w:w="740"/>
              <w:gridCol w:w="742"/>
              <w:gridCol w:w="740"/>
              <w:gridCol w:w="748"/>
            </w:tblGrid>
            <w:tr w14:paraId="45BF5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tblHeader/>
                <w:jc w:val="center"/>
              </w:trPr>
              <w:tc>
                <w:tcPr>
                  <w:tcW w:w="265" w:type="pct"/>
                  <w:vMerge w:val="restart"/>
                  <w:tcBorders>
                    <w:tl2br w:val="nil"/>
                    <w:tr2bl w:val="nil"/>
                  </w:tcBorders>
                  <w:noWrap w:val="0"/>
                  <w:vAlign w:val="center"/>
                </w:tcPr>
                <w:p w14:paraId="20131E59">
                  <w:pPr>
                    <w:adjustRightInd w:val="0"/>
                    <w:snapToGrid w:val="0"/>
                    <w:jc w:val="center"/>
                    <w:rPr>
                      <w:rFonts w:hint="default" w:ascii="Times New Roman" w:hAnsi="Times New Roman" w:eastAsia="宋体" w:cs="Times New Roman"/>
                      <w:b w:val="0"/>
                      <w:bCs w:val="0"/>
                      <w:color w:val="302116"/>
                      <w:sz w:val="21"/>
                      <w:szCs w:val="21"/>
                      <w:lang w:val="en-US" w:eastAsia="zh-CN"/>
                    </w:rPr>
                  </w:pPr>
                  <w:r>
                    <w:rPr>
                      <w:rFonts w:hint="default" w:ascii="Times New Roman" w:hAnsi="Times New Roman" w:eastAsia="宋体" w:cs="Times New Roman"/>
                      <w:b w:val="0"/>
                      <w:bCs w:val="0"/>
                      <w:color w:val="302116"/>
                      <w:sz w:val="21"/>
                      <w:szCs w:val="21"/>
                      <w:lang w:val="en-US" w:eastAsia="zh-CN"/>
                    </w:rPr>
                    <w:t>时期</w:t>
                  </w:r>
                </w:p>
              </w:tc>
              <w:tc>
                <w:tcPr>
                  <w:tcW w:w="1543" w:type="pct"/>
                  <w:gridSpan w:val="6"/>
                  <w:tcBorders>
                    <w:tl2br w:val="nil"/>
                    <w:tr2bl w:val="nil"/>
                  </w:tcBorders>
                  <w:noWrap w:val="0"/>
                  <w:vAlign w:val="center"/>
                </w:tcPr>
                <w:p w14:paraId="1CBEA8D0">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车流量/（</w:t>
                  </w:r>
                  <w:r>
                    <w:rPr>
                      <w:rFonts w:hint="default" w:ascii="Times New Roman" w:hAnsi="Times New Roman" w:eastAsia="宋体" w:cs="Times New Roman"/>
                      <w:b w:val="0"/>
                      <w:bCs w:val="0"/>
                      <w:color w:val="302116"/>
                      <w:sz w:val="21"/>
                      <w:szCs w:val="21"/>
                      <w:lang w:eastAsia="zh-CN"/>
                    </w:rPr>
                    <w:t>辆/h</w:t>
                  </w:r>
                  <w:r>
                    <w:rPr>
                      <w:rFonts w:hint="default" w:ascii="Times New Roman" w:hAnsi="Times New Roman" w:eastAsia="宋体" w:cs="Times New Roman"/>
                      <w:b w:val="0"/>
                      <w:bCs w:val="0"/>
                      <w:color w:val="302116"/>
                      <w:sz w:val="21"/>
                      <w:szCs w:val="21"/>
                      <w:lang w:val="en-US" w:eastAsia="zh-CN"/>
                    </w:rPr>
                    <w:t>）</w:t>
                  </w:r>
                </w:p>
              </w:tc>
              <w:tc>
                <w:tcPr>
                  <w:tcW w:w="1595" w:type="pct"/>
                  <w:gridSpan w:val="6"/>
                  <w:tcBorders>
                    <w:tl2br w:val="nil"/>
                    <w:tr2bl w:val="nil"/>
                  </w:tcBorders>
                  <w:noWrap w:val="0"/>
                  <w:vAlign w:val="center"/>
                </w:tcPr>
                <w:p w14:paraId="494A9809">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车速</w:t>
                  </w:r>
                  <w:r>
                    <w:rPr>
                      <w:rFonts w:hint="default" w:ascii="Times New Roman" w:hAnsi="Times New Roman" w:eastAsia="宋体" w:cs="Times New Roman"/>
                      <w:b w:val="0"/>
                      <w:bCs w:val="0"/>
                      <w:color w:val="302116"/>
                      <w:sz w:val="21"/>
                      <w:szCs w:val="21"/>
                      <w:lang w:val="en-US" w:eastAsia="zh-CN"/>
                    </w:rPr>
                    <w:t>/（</w:t>
                  </w:r>
                  <w:r>
                    <w:rPr>
                      <w:rFonts w:hint="default" w:ascii="Times New Roman" w:hAnsi="Times New Roman" w:eastAsia="宋体" w:cs="Times New Roman"/>
                      <w:b w:val="0"/>
                      <w:bCs w:val="0"/>
                      <w:color w:val="302116"/>
                      <w:sz w:val="21"/>
                      <w:szCs w:val="21"/>
                      <w:lang w:eastAsia="zh-CN"/>
                    </w:rPr>
                    <w:t>km/h</w:t>
                  </w:r>
                  <w:r>
                    <w:rPr>
                      <w:rFonts w:hint="default" w:ascii="Times New Roman" w:hAnsi="Times New Roman" w:eastAsia="宋体" w:cs="Times New Roman"/>
                      <w:b w:val="0"/>
                      <w:bCs w:val="0"/>
                      <w:color w:val="302116"/>
                      <w:sz w:val="21"/>
                      <w:szCs w:val="21"/>
                      <w:lang w:val="en-US" w:eastAsia="zh-CN"/>
                    </w:rPr>
                    <w:t>）</w:t>
                  </w:r>
                </w:p>
              </w:tc>
              <w:tc>
                <w:tcPr>
                  <w:tcW w:w="1595" w:type="pct"/>
                  <w:gridSpan w:val="6"/>
                  <w:tcBorders>
                    <w:tl2br w:val="nil"/>
                    <w:tr2bl w:val="nil"/>
                  </w:tcBorders>
                  <w:noWrap w:val="0"/>
                  <w:vAlign w:val="center"/>
                </w:tcPr>
                <w:p w14:paraId="47353F99">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源强/</w:t>
                  </w:r>
                  <w:r>
                    <w:rPr>
                      <w:rFonts w:hint="default" w:ascii="Times New Roman" w:hAnsi="Times New Roman" w:eastAsia="宋体" w:cs="Times New Roman"/>
                      <w:b w:val="0"/>
                      <w:bCs w:val="0"/>
                      <w:color w:val="302116"/>
                      <w:sz w:val="21"/>
                      <w:szCs w:val="21"/>
                      <w:lang w:eastAsia="zh-CN"/>
                    </w:rPr>
                    <w:t>dB(A)</w:t>
                  </w:r>
                </w:p>
              </w:tc>
            </w:tr>
            <w:tr w14:paraId="772ED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tblHeader/>
                <w:jc w:val="center"/>
              </w:trPr>
              <w:tc>
                <w:tcPr>
                  <w:tcW w:w="265" w:type="pct"/>
                  <w:vMerge w:val="continue"/>
                  <w:tcBorders>
                    <w:tl2br w:val="nil"/>
                    <w:tr2bl w:val="nil"/>
                  </w:tcBorders>
                  <w:noWrap w:val="0"/>
                  <w:vAlign w:val="center"/>
                </w:tcPr>
                <w:p w14:paraId="0DF7A9EA">
                  <w:pPr>
                    <w:adjustRightInd w:val="0"/>
                    <w:snapToGrid w:val="0"/>
                    <w:jc w:val="center"/>
                    <w:rPr>
                      <w:rFonts w:hint="default" w:ascii="Times New Roman" w:hAnsi="Times New Roman" w:eastAsia="宋体" w:cs="Times New Roman"/>
                      <w:b w:val="0"/>
                      <w:bCs w:val="0"/>
                      <w:color w:val="302116"/>
                      <w:sz w:val="21"/>
                      <w:szCs w:val="21"/>
                      <w:lang w:eastAsia="zh-CN"/>
                    </w:rPr>
                  </w:pPr>
                </w:p>
              </w:tc>
              <w:tc>
                <w:tcPr>
                  <w:tcW w:w="531" w:type="pct"/>
                  <w:gridSpan w:val="2"/>
                  <w:tcBorders>
                    <w:tl2br w:val="nil"/>
                    <w:tr2bl w:val="nil"/>
                  </w:tcBorders>
                  <w:noWrap w:val="0"/>
                  <w:vAlign w:val="center"/>
                </w:tcPr>
                <w:p w14:paraId="2C651B65">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小型车</w:t>
                  </w:r>
                </w:p>
              </w:tc>
              <w:tc>
                <w:tcPr>
                  <w:tcW w:w="479" w:type="pct"/>
                  <w:gridSpan w:val="2"/>
                  <w:tcBorders>
                    <w:tl2br w:val="nil"/>
                    <w:tr2bl w:val="nil"/>
                  </w:tcBorders>
                  <w:noWrap w:val="0"/>
                  <w:tcMar>
                    <w:left w:w="0" w:type="dxa"/>
                    <w:right w:w="0" w:type="dxa"/>
                  </w:tcMar>
                  <w:vAlign w:val="center"/>
                </w:tcPr>
                <w:p w14:paraId="793E9741">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中</w:t>
                  </w:r>
                  <w:r>
                    <w:rPr>
                      <w:rFonts w:hint="default" w:ascii="Times New Roman" w:hAnsi="Times New Roman" w:eastAsia="宋体" w:cs="Times New Roman"/>
                      <w:b w:val="0"/>
                      <w:bCs w:val="0"/>
                      <w:color w:val="302116"/>
                      <w:sz w:val="21"/>
                      <w:szCs w:val="21"/>
                      <w:lang w:eastAsia="zh-CN"/>
                    </w:rPr>
                    <w:t>型车</w:t>
                  </w:r>
                </w:p>
              </w:tc>
              <w:tc>
                <w:tcPr>
                  <w:tcW w:w="532" w:type="pct"/>
                  <w:gridSpan w:val="2"/>
                  <w:tcBorders>
                    <w:tl2br w:val="nil"/>
                    <w:tr2bl w:val="nil"/>
                  </w:tcBorders>
                  <w:noWrap w:val="0"/>
                  <w:vAlign w:val="center"/>
                </w:tcPr>
                <w:p w14:paraId="1FC9DEEE">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大</w:t>
                  </w:r>
                  <w:r>
                    <w:rPr>
                      <w:rFonts w:hint="default" w:ascii="Times New Roman" w:hAnsi="Times New Roman" w:eastAsia="宋体" w:cs="Times New Roman"/>
                      <w:b w:val="0"/>
                      <w:bCs w:val="0"/>
                      <w:color w:val="302116"/>
                      <w:sz w:val="21"/>
                      <w:szCs w:val="21"/>
                      <w:lang w:eastAsia="zh-CN"/>
                    </w:rPr>
                    <w:t>型车</w:t>
                  </w:r>
                </w:p>
              </w:tc>
              <w:tc>
                <w:tcPr>
                  <w:tcW w:w="531" w:type="pct"/>
                  <w:gridSpan w:val="2"/>
                  <w:tcBorders>
                    <w:tl2br w:val="nil"/>
                    <w:tr2bl w:val="nil"/>
                  </w:tcBorders>
                  <w:noWrap w:val="0"/>
                  <w:vAlign w:val="center"/>
                </w:tcPr>
                <w:p w14:paraId="34E2919A">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小型车</w:t>
                  </w:r>
                </w:p>
              </w:tc>
              <w:tc>
                <w:tcPr>
                  <w:tcW w:w="531" w:type="pct"/>
                  <w:gridSpan w:val="2"/>
                  <w:tcBorders>
                    <w:tl2br w:val="nil"/>
                    <w:tr2bl w:val="nil"/>
                  </w:tcBorders>
                  <w:noWrap w:val="0"/>
                  <w:vAlign w:val="center"/>
                </w:tcPr>
                <w:p w14:paraId="3A650525">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中</w:t>
                  </w:r>
                  <w:r>
                    <w:rPr>
                      <w:rFonts w:hint="default" w:ascii="Times New Roman" w:hAnsi="Times New Roman" w:eastAsia="宋体" w:cs="Times New Roman"/>
                      <w:b w:val="0"/>
                      <w:bCs w:val="0"/>
                      <w:color w:val="302116"/>
                      <w:sz w:val="21"/>
                      <w:szCs w:val="21"/>
                      <w:lang w:eastAsia="zh-CN"/>
                    </w:rPr>
                    <w:t>型车</w:t>
                  </w:r>
                </w:p>
              </w:tc>
              <w:tc>
                <w:tcPr>
                  <w:tcW w:w="532" w:type="pct"/>
                  <w:gridSpan w:val="2"/>
                  <w:tcBorders>
                    <w:tl2br w:val="nil"/>
                    <w:tr2bl w:val="nil"/>
                  </w:tcBorders>
                  <w:noWrap w:val="0"/>
                  <w:vAlign w:val="center"/>
                </w:tcPr>
                <w:p w14:paraId="31F4A3B5">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大</w:t>
                  </w:r>
                  <w:r>
                    <w:rPr>
                      <w:rFonts w:hint="default" w:ascii="Times New Roman" w:hAnsi="Times New Roman" w:eastAsia="宋体" w:cs="Times New Roman"/>
                      <w:b w:val="0"/>
                      <w:bCs w:val="0"/>
                      <w:color w:val="302116"/>
                      <w:sz w:val="21"/>
                      <w:szCs w:val="21"/>
                      <w:lang w:eastAsia="zh-CN"/>
                    </w:rPr>
                    <w:t>型车</w:t>
                  </w:r>
                </w:p>
              </w:tc>
              <w:tc>
                <w:tcPr>
                  <w:tcW w:w="531" w:type="pct"/>
                  <w:gridSpan w:val="2"/>
                  <w:tcBorders>
                    <w:tl2br w:val="nil"/>
                    <w:tr2bl w:val="nil"/>
                  </w:tcBorders>
                  <w:noWrap w:val="0"/>
                  <w:vAlign w:val="center"/>
                </w:tcPr>
                <w:p w14:paraId="6C8AB684">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小型车</w:t>
                  </w:r>
                </w:p>
              </w:tc>
              <w:tc>
                <w:tcPr>
                  <w:tcW w:w="531" w:type="pct"/>
                  <w:gridSpan w:val="2"/>
                  <w:tcBorders>
                    <w:tl2br w:val="nil"/>
                    <w:tr2bl w:val="nil"/>
                  </w:tcBorders>
                  <w:noWrap w:val="0"/>
                  <w:vAlign w:val="center"/>
                </w:tcPr>
                <w:p w14:paraId="335393FF">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中</w:t>
                  </w:r>
                  <w:r>
                    <w:rPr>
                      <w:rFonts w:hint="default" w:ascii="Times New Roman" w:hAnsi="Times New Roman" w:eastAsia="宋体" w:cs="Times New Roman"/>
                      <w:b w:val="0"/>
                      <w:bCs w:val="0"/>
                      <w:color w:val="302116"/>
                      <w:sz w:val="21"/>
                      <w:szCs w:val="21"/>
                      <w:lang w:eastAsia="zh-CN"/>
                    </w:rPr>
                    <w:t>型车</w:t>
                  </w:r>
                </w:p>
              </w:tc>
              <w:tc>
                <w:tcPr>
                  <w:tcW w:w="532" w:type="pct"/>
                  <w:gridSpan w:val="2"/>
                  <w:tcBorders>
                    <w:tl2br w:val="nil"/>
                    <w:tr2bl w:val="nil"/>
                  </w:tcBorders>
                  <w:noWrap w:val="0"/>
                  <w:vAlign w:val="center"/>
                </w:tcPr>
                <w:p w14:paraId="58FA645B">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大</w:t>
                  </w:r>
                  <w:r>
                    <w:rPr>
                      <w:rFonts w:hint="default" w:ascii="Times New Roman" w:hAnsi="Times New Roman" w:eastAsia="宋体" w:cs="Times New Roman"/>
                      <w:b w:val="0"/>
                      <w:bCs w:val="0"/>
                      <w:color w:val="302116"/>
                      <w:sz w:val="21"/>
                      <w:szCs w:val="21"/>
                      <w:lang w:eastAsia="zh-CN"/>
                    </w:rPr>
                    <w:t>型车</w:t>
                  </w:r>
                </w:p>
              </w:tc>
            </w:tr>
            <w:tr w14:paraId="1FC96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tblHeader/>
                <w:jc w:val="center"/>
              </w:trPr>
              <w:tc>
                <w:tcPr>
                  <w:tcW w:w="265" w:type="pct"/>
                  <w:vMerge w:val="continue"/>
                  <w:tcBorders>
                    <w:tl2br w:val="nil"/>
                    <w:tr2bl w:val="nil"/>
                  </w:tcBorders>
                  <w:noWrap w:val="0"/>
                  <w:vAlign w:val="center"/>
                </w:tcPr>
                <w:p w14:paraId="55F88008">
                  <w:pPr>
                    <w:adjustRightInd w:val="0"/>
                    <w:snapToGrid w:val="0"/>
                    <w:jc w:val="center"/>
                    <w:rPr>
                      <w:rFonts w:hint="default" w:ascii="Times New Roman" w:hAnsi="Times New Roman" w:eastAsia="宋体" w:cs="Times New Roman"/>
                      <w:b w:val="0"/>
                      <w:bCs w:val="0"/>
                      <w:color w:val="302116"/>
                      <w:sz w:val="21"/>
                      <w:szCs w:val="21"/>
                      <w:lang w:eastAsia="zh-CN"/>
                    </w:rPr>
                  </w:pPr>
                </w:p>
              </w:tc>
              <w:tc>
                <w:tcPr>
                  <w:tcW w:w="265" w:type="pct"/>
                  <w:tcBorders>
                    <w:tl2br w:val="nil"/>
                    <w:tr2bl w:val="nil"/>
                  </w:tcBorders>
                  <w:noWrap w:val="0"/>
                  <w:vAlign w:val="center"/>
                </w:tcPr>
                <w:p w14:paraId="48C0AB95">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昼间</w:t>
                  </w:r>
                </w:p>
              </w:tc>
              <w:tc>
                <w:tcPr>
                  <w:tcW w:w="265" w:type="pct"/>
                  <w:tcBorders>
                    <w:tl2br w:val="nil"/>
                    <w:tr2bl w:val="nil"/>
                  </w:tcBorders>
                  <w:noWrap w:val="0"/>
                  <w:vAlign w:val="center"/>
                </w:tcPr>
                <w:p w14:paraId="2F69B5EC">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夜间</w:t>
                  </w:r>
                </w:p>
              </w:tc>
              <w:tc>
                <w:tcPr>
                  <w:tcW w:w="213" w:type="pct"/>
                  <w:tcBorders>
                    <w:tl2br w:val="nil"/>
                    <w:tr2bl w:val="nil"/>
                  </w:tcBorders>
                  <w:noWrap w:val="0"/>
                  <w:tcMar>
                    <w:left w:w="0" w:type="dxa"/>
                    <w:right w:w="0" w:type="dxa"/>
                  </w:tcMar>
                  <w:vAlign w:val="center"/>
                </w:tcPr>
                <w:p w14:paraId="1CC2A853">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昼间</w:t>
                  </w:r>
                </w:p>
              </w:tc>
              <w:tc>
                <w:tcPr>
                  <w:tcW w:w="265" w:type="pct"/>
                  <w:tcBorders>
                    <w:tl2br w:val="nil"/>
                    <w:tr2bl w:val="nil"/>
                  </w:tcBorders>
                  <w:noWrap w:val="0"/>
                  <w:vAlign w:val="center"/>
                </w:tcPr>
                <w:p w14:paraId="13B57424">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夜间</w:t>
                  </w:r>
                </w:p>
              </w:tc>
              <w:tc>
                <w:tcPr>
                  <w:tcW w:w="265" w:type="pct"/>
                  <w:tcBorders>
                    <w:tl2br w:val="nil"/>
                    <w:tr2bl w:val="nil"/>
                  </w:tcBorders>
                  <w:noWrap w:val="0"/>
                  <w:vAlign w:val="center"/>
                </w:tcPr>
                <w:p w14:paraId="199CFC75">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昼间</w:t>
                  </w:r>
                </w:p>
              </w:tc>
              <w:tc>
                <w:tcPr>
                  <w:tcW w:w="266" w:type="pct"/>
                  <w:tcBorders>
                    <w:tl2br w:val="nil"/>
                    <w:tr2bl w:val="nil"/>
                  </w:tcBorders>
                  <w:noWrap w:val="0"/>
                  <w:vAlign w:val="center"/>
                </w:tcPr>
                <w:p w14:paraId="56F83460">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夜间</w:t>
                  </w:r>
                </w:p>
              </w:tc>
              <w:tc>
                <w:tcPr>
                  <w:tcW w:w="265" w:type="pct"/>
                  <w:tcBorders>
                    <w:tl2br w:val="nil"/>
                    <w:tr2bl w:val="nil"/>
                  </w:tcBorders>
                  <w:noWrap w:val="0"/>
                  <w:vAlign w:val="center"/>
                </w:tcPr>
                <w:p w14:paraId="6282156E">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昼间</w:t>
                  </w:r>
                </w:p>
              </w:tc>
              <w:tc>
                <w:tcPr>
                  <w:tcW w:w="265" w:type="pct"/>
                  <w:tcBorders>
                    <w:tl2br w:val="nil"/>
                    <w:tr2bl w:val="nil"/>
                  </w:tcBorders>
                  <w:noWrap w:val="0"/>
                  <w:vAlign w:val="center"/>
                </w:tcPr>
                <w:p w14:paraId="699A9D55">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夜间</w:t>
                  </w:r>
                </w:p>
              </w:tc>
              <w:tc>
                <w:tcPr>
                  <w:tcW w:w="265" w:type="pct"/>
                  <w:tcBorders>
                    <w:tl2br w:val="nil"/>
                    <w:tr2bl w:val="nil"/>
                  </w:tcBorders>
                  <w:noWrap w:val="0"/>
                  <w:vAlign w:val="center"/>
                </w:tcPr>
                <w:p w14:paraId="1DA8B26B">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昼间</w:t>
                  </w:r>
                </w:p>
              </w:tc>
              <w:tc>
                <w:tcPr>
                  <w:tcW w:w="265" w:type="pct"/>
                  <w:tcBorders>
                    <w:tl2br w:val="nil"/>
                    <w:tr2bl w:val="nil"/>
                  </w:tcBorders>
                  <w:noWrap w:val="0"/>
                  <w:vAlign w:val="center"/>
                </w:tcPr>
                <w:p w14:paraId="4C2B5F0B">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夜间</w:t>
                  </w:r>
                </w:p>
              </w:tc>
              <w:tc>
                <w:tcPr>
                  <w:tcW w:w="265" w:type="pct"/>
                  <w:tcBorders>
                    <w:tl2br w:val="nil"/>
                    <w:tr2bl w:val="nil"/>
                  </w:tcBorders>
                  <w:noWrap w:val="0"/>
                  <w:vAlign w:val="center"/>
                </w:tcPr>
                <w:p w14:paraId="6AA97C9B">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昼间</w:t>
                  </w:r>
                </w:p>
              </w:tc>
              <w:tc>
                <w:tcPr>
                  <w:tcW w:w="266" w:type="pct"/>
                  <w:tcBorders>
                    <w:tl2br w:val="nil"/>
                    <w:tr2bl w:val="nil"/>
                  </w:tcBorders>
                  <w:noWrap w:val="0"/>
                  <w:vAlign w:val="center"/>
                </w:tcPr>
                <w:p w14:paraId="5A9BEAC0">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夜间</w:t>
                  </w:r>
                </w:p>
              </w:tc>
              <w:tc>
                <w:tcPr>
                  <w:tcW w:w="265" w:type="pct"/>
                  <w:tcBorders>
                    <w:tl2br w:val="nil"/>
                    <w:tr2bl w:val="nil"/>
                  </w:tcBorders>
                  <w:noWrap w:val="0"/>
                  <w:vAlign w:val="center"/>
                </w:tcPr>
                <w:p w14:paraId="256A4980">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昼间</w:t>
                  </w:r>
                </w:p>
              </w:tc>
              <w:tc>
                <w:tcPr>
                  <w:tcW w:w="265" w:type="pct"/>
                  <w:tcBorders>
                    <w:tl2br w:val="nil"/>
                    <w:tr2bl w:val="nil"/>
                  </w:tcBorders>
                  <w:noWrap w:val="0"/>
                  <w:vAlign w:val="center"/>
                </w:tcPr>
                <w:p w14:paraId="50621D46">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夜间</w:t>
                  </w:r>
                </w:p>
              </w:tc>
              <w:tc>
                <w:tcPr>
                  <w:tcW w:w="265" w:type="pct"/>
                  <w:tcBorders>
                    <w:tl2br w:val="nil"/>
                    <w:tr2bl w:val="nil"/>
                  </w:tcBorders>
                  <w:noWrap w:val="0"/>
                  <w:vAlign w:val="center"/>
                </w:tcPr>
                <w:p w14:paraId="71BBE20B">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昼间</w:t>
                  </w:r>
                </w:p>
              </w:tc>
              <w:tc>
                <w:tcPr>
                  <w:tcW w:w="265" w:type="pct"/>
                  <w:tcBorders>
                    <w:tl2br w:val="nil"/>
                    <w:tr2bl w:val="nil"/>
                  </w:tcBorders>
                  <w:noWrap w:val="0"/>
                  <w:vAlign w:val="center"/>
                </w:tcPr>
                <w:p w14:paraId="74964E25">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夜间</w:t>
                  </w:r>
                </w:p>
              </w:tc>
              <w:tc>
                <w:tcPr>
                  <w:tcW w:w="265" w:type="pct"/>
                  <w:tcBorders>
                    <w:tl2br w:val="nil"/>
                    <w:tr2bl w:val="nil"/>
                  </w:tcBorders>
                  <w:noWrap w:val="0"/>
                  <w:vAlign w:val="center"/>
                </w:tcPr>
                <w:p w14:paraId="5146F721">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昼间</w:t>
                  </w:r>
                </w:p>
              </w:tc>
              <w:tc>
                <w:tcPr>
                  <w:tcW w:w="266" w:type="pct"/>
                  <w:tcBorders>
                    <w:tl2br w:val="nil"/>
                    <w:tr2bl w:val="nil"/>
                  </w:tcBorders>
                  <w:noWrap w:val="0"/>
                  <w:vAlign w:val="center"/>
                </w:tcPr>
                <w:p w14:paraId="684C3B11">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夜间</w:t>
                  </w:r>
                </w:p>
              </w:tc>
            </w:tr>
            <w:tr w14:paraId="495E6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265" w:type="pct"/>
                  <w:tcBorders>
                    <w:tl2br w:val="nil"/>
                    <w:tr2bl w:val="nil"/>
                  </w:tcBorders>
                  <w:noWrap w:val="0"/>
                  <w:tcMar>
                    <w:left w:w="0" w:type="dxa"/>
                    <w:right w:w="0" w:type="dxa"/>
                  </w:tcMar>
                  <w:vAlign w:val="center"/>
                </w:tcPr>
                <w:p w14:paraId="05C5EEB4">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近期</w:t>
                  </w:r>
                </w:p>
              </w:tc>
              <w:tc>
                <w:tcPr>
                  <w:tcW w:w="265" w:type="pct"/>
                  <w:tcBorders>
                    <w:tl2br w:val="nil"/>
                    <w:tr2bl w:val="nil"/>
                  </w:tcBorders>
                  <w:noWrap w:val="0"/>
                  <w:tcMar>
                    <w:left w:w="0" w:type="dxa"/>
                    <w:right w:w="0" w:type="dxa"/>
                  </w:tcMar>
                  <w:vAlign w:val="center"/>
                </w:tcPr>
                <w:p w14:paraId="3B48B13B">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78</w:t>
                  </w:r>
                </w:p>
              </w:tc>
              <w:tc>
                <w:tcPr>
                  <w:tcW w:w="265" w:type="pct"/>
                  <w:tcBorders>
                    <w:tl2br w:val="nil"/>
                    <w:tr2bl w:val="nil"/>
                  </w:tcBorders>
                  <w:noWrap w:val="0"/>
                  <w:vAlign w:val="center"/>
                </w:tcPr>
                <w:p w14:paraId="6C49B6E7">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17</w:t>
                  </w:r>
                </w:p>
              </w:tc>
              <w:tc>
                <w:tcPr>
                  <w:tcW w:w="213" w:type="pct"/>
                  <w:tcBorders>
                    <w:tl2br w:val="nil"/>
                    <w:tr2bl w:val="nil"/>
                  </w:tcBorders>
                  <w:noWrap w:val="0"/>
                  <w:tcMar>
                    <w:left w:w="0" w:type="dxa"/>
                    <w:right w:w="0" w:type="dxa"/>
                  </w:tcMar>
                  <w:vAlign w:val="center"/>
                </w:tcPr>
                <w:p w14:paraId="31DCB376">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14</w:t>
                  </w:r>
                </w:p>
              </w:tc>
              <w:tc>
                <w:tcPr>
                  <w:tcW w:w="265" w:type="pct"/>
                  <w:tcBorders>
                    <w:tl2br w:val="nil"/>
                    <w:tr2bl w:val="nil"/>
                  </w:tcBorders>
                  <w:noWrap w:val="0"/>
                  <w:vAlign w:val="center"/>
                </w:tcPr>
                <w:p w14:paraId="066C5C12">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3</w:t>
                  </w:r>
                </w:p>
              </w:tc>
              <w:tc>
                <w:tcPr>
                  <w:tcW w:w="265" w:type="pct"/>
                  <w:tcBorders>
                    <w:tl2br w:val="nil"/>
                    <w:tr2bl w:val="nil"/>
                  </w:tcBorders>
                  <w:noWrap/>
                  <w:tcMar>
                    <w:left w:w="0" w:type="dxa"/>
                    <w:right w:w="0" w:type="dxa"/>
                  </w:tcMar>
                  <w:vAlign w:val="center"/>
                </w:tcPr>
                <w:p w14:paraId="057D5A4E">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4</w:t>
                  </w:r>
                </w:p>
              </w:tc>
              <w:tc>
                <w:tcPr>
                  <w:tcW w:w="266" w:type="pct"/>
                  <w:tcBorders>
                    <w:tl2br w:val="nil"/>
                    <w:tr2bl w:val="nil"/>
                  </w:tcBorders>
                  <w:noWrap w:val="0"/>
                  <w:vAlign w:val="center"/>
                </w:tcPr>
                <w:p w14:paraId="1DE4BB6A">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w:t>
                  </w:r>
                </w:p>
              </w:tc>
              <w:tc>
                <w:tcPr>
                  <w:tcW w:w="265" w:type="pct"/>
                  <w:tcBorders>
                    <w:tl2br w:val="nil"/>
                    <w:tr2bl w:val="nil"/>
                  </w:tcBorders>
                  <w:noWrap w:val="0"/>
                  <w:tcMar>
                    <w:left w:w="0" w:type="dxa"/>
                    <w:right w:w="0" w:type="dxa"/>
                  </w:tcMar>
                  <w:vAlign w:val="center"/>
                </w:tcPr>
                <w:p w14:paraId="6603DC4B">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50.74</w:t>
                  </w:r>
                </w:p>
              </w:tc>
              <w:tc>
                <w:tcPr>
                  <w:tcW w:w="265" w:type="pct"/>
                  <w:tcBorders>
                    <w:tl2br w:val="nil"/>
                    <w:tr2bl w:val="nil"/>
                  </w:tcBorders>
                  <w:noWrap w:val="0"/>
                  <w:tcMar>
                    <w:left w:w="0" w:type="dxa"/>
                    <w:right w:w="0" w:type="dxa"/>
                  </w:tcMar>
                  <w:vAlign w:val="center"/>
                </w:tcPr>
                <w:p w14:paraId="39EC507F">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20.96</w:t>
                  </w:r>
                </w:p>
              </w:tc>
              <w:tc>
                <w:tcPr>
                  <w:tcW w:w="265" w:type="pct"/>
                  <w:tcBorders>
                    <w:tl2br w:val="nil"/>
                    <w:tr2bl w:val="nil"/>
                  </w:tcBorders>
                  <w:noWrap w:val="0"/>
                  <w:tcMar>
                    <w:left w:w="0" w:type="dxa"/>
                    <w:right w:w="0" w:type="dxa"/>
                  </w:tcMar>
                  <w:vAlign w:val="center"/>
                </w:tcPr>
                <w:p w14:paraId="47CB23D4">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35.38</w:t>
                  </w:r>
                </w:p>
              </w:tc>
              <w:tc>
                <w:tcPr>
                  <w:tcW w:w="265" w:type="pct"/>
                  <w:tcBorders>
                    <w:tl2br w:val="nil"/>
                    <w:tr2bl w:val="nil"/>
                  </w:tcBorders>
                  <w:noWrap w:val="0"/>
                  <w:tcMar>
                    <w:left w:w="0" w:type="dxa"/>
                    <w:right w:w="0" w:type="dxa"/>
                  </w:tcMar>
                  <w:vAlign w:val="center"/>
                </w:tcPr>
                <w:p w14:paraId="480F2F25">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34.74</w:t>
                  </w:r>
                </w:p>
              </w:tc>
              <w:tc>
                <w:tcPr>
                  <w:tcW w:w="265" w:type="pct"/>
                  <w:tcBorders>
                    <w:tl2br w:val="nil"/>
                    <w:tr2bl w:val="nil"/>
                  </w:tcBorders>
                  <w:noWrap w:val="0"/>
                  <w:tcMar>
                    <w:left w:w="0" w:type="dxa"/>
                    <w:right w:w="0" w:type="dxa"/>
                  </w:tcMar>
                  <w:vAlign w:val="center"/>
                </w:tcPr>
                <w:p w14:paraId="0120F358">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35.43</w:t>
                  </w:r>
                </w:p>
              </w:tc>
              <w:tc>
                <w:tcPr>
                  <w:tcW w:w="266" w:type="pct"/>
                  <w:tcBorders>
                    <w:tl2br w:val="nil"/>
                    <w:tr2bl w:val="nil"/>
                  </w:tcBorders>
                  <w:noWrap w:val="0"/>
                  <w:tcMar>
                    <w:left w:w="0" w:type="dxa"/>
                    <w:right w:w="0" w:type="dxa"/>
                  </w:tcMar>
                  <w:vAlign w:val="center"/>
                </w:tcPr>
                <w:p w14:paraId="133FBC4D">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34.97</w:t>
                  </w:r>
                </w:p>
              </w:tc>
              <w:tc>
                <w:tcPr>
                  <w:tcW w:w="265" w:type="pct"/>
                  <w:tcBorders>
                    <w:tl2br w:val="nil"/>
                    <w:tr2bl w:val="nil"/>
                  </w:tcBorders>
                  <w:noWrap w:val="0"/>
                  <w:tcMar>
                    <w:left w:w="0" w:type="dxa"/>
                    <w:right w:w="0" w:type="dxa"/>
                  </w:tcMar>
                  <w:vAlign w:val="center"/>
                </w:tcPr>
                <w:p w14:paraId="4B66C819">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71.83</w:t>
                  </w:r>
                </w:p>
              </w:tc>
              <w:tc>
                <w:tcPr>
                  <w:tcW w:w="265" w:type="pct"/>
                  <w:tcBorders>
                    <w:tl2br w:val="nil"/>
                    <w:tr2bl w:val="nil"/>
                  </w:tcBorders>
                  <w:noWrap w:val="0"/>
                  <w:tcMar>
                    <w:left w:w="0" w:type="dxa"/>
                    <w:right w:w="0" w:type="dxa"/>
                  </w:tcMar>
                  <w:vAlign w:val="center"/>
                </w:tcPr>
                <w:p w14:paraId="34E70EC5">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71.89</w:t>
                  </w:r>
                </w:p>
              </w:tc>
              <w:tc>
                <w:tcPr>
                  <w:tcW w:w="265" w:type="pct"/>
                  <w:tcBorders>
                    <w:tl2br w:val="nil"/>
                    <w:tr2bl w:val="nil"/>
                  </w:tcBorders>
                  <w:noWrap w:val="0"/>
                  <w:tcMar>
                    <w:left w:w="0" w:type="dxa"/>
                    <w:right w:w="0" w:type="dxa"/>
                  </w:tcMar>
                  <w:vAlign w:val="center"/>
                </w:tcPr>
                <w:p w14:paraId="486584B1">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71.50</w:t>
                  </w:r>
                </w:p>
              </w:tc>
              <w:tc>
                <w:tcPr>
                  <w:tcW w:w="265" w:type="pct"/>
                  <w:tcBorders>
                    <w:tl2br w:val="nil"/>
                    <w:tr2bl w:val="nil"/>
                  </w:tcBorders>
                  <w:noWrap w:val="0"/>
                  <w:tcMar>
                    <w:left w:w="0" w:type="dxa"/>
                    <w:right w:w="0" w:type="dxa"/>
                  </w:tcMar>
                  <w:vAlign w:val="center"/>
                </w:tcPr>
                <w:p w14:paraId="45930618">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71.17</w:t>
                  </w:r>
                </w:p>
              </w:tc>
              <w:tc>
                <w:tcPr>
                  <w:tcW w:w="265" w:type="pct"/>
                  <w:tcBorders>
                    <w:tl2br w:val="nil"/>
                    <w:tr2bl w:val="nil"/>
                  </w:tcBorders>
                  <w:noWrap w:val="0"/>
                  <w:tcMar>
                    <w:left w:w="0" w:type="dxa"/>
                    <w:right w:w="0" w:type="dxa"/>
                  </w:tcMar>
                  <w:vAlign w:val="center"/>
                </w:tcPr>
                <w:p w14:paraId="72474F61">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78.27</w:t>
                  </w:r>
                </w:p>
              </w:tc>
              <w:tc>
                <w:tcPr>
                  <w:tcW w:w="266" w:type="pct"/>
                  <w:tcBorders>
                    <w:tl2br w:val="nil"/>
                    <w:tr2bl w:val="nil"/>
                  </w:tcBorders>
                  <w:noWrap w:val="0"/>
                  <w:tcMar>
                    <w:left w:w="0" w:type="dxa"/>
                    <w:right w:w="0" w:type="dxa"/>
                  </w:tcMar>
                  <w:vAlign w:val="center"/>
                </w:tcPr>
                <w:p w14:paraId="01CB018D">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78.07</w:t>
                  </w:r>
                </w:p>
              </w:tc>
            </w:tr>
            <w:tr w14:paraId="43D53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265" w:type="pct"/>
                  <w:tcBorders>
                    <w:tl2br w:val="nil"/>
                    <w:tr2bl w:val="nil"/>
                  </w:tcBorders>
                  <w:noWrap w:val="0"/>
                  <w:tcMar>
                    <w:left w:w="0" w:type="dxa"/>
                    <w:right w:w="0" w:type="dxa"/>
                  </w:tcMar>
                  <w:vAlign w:val="center"/>
                </w:tcPr>
                <w:p w14:paraId="59049DD4">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中期</w:t>
                  </w:r>
                </w:p>
              </w:tc>
              <w:tc>
                <w:tcPr>
                  <w:tcW w:w="265" w:type="pct"/>
                  <w:tcBorders>
                    <w:tl2br w:val="nil"/>
                    <w:tr2bl w:val="nil"/>
                  </w:tcBorders>
                  <w:noWrap w:val="0"/>
                  <w:tcMar>
                    <w:left w:w="0" w:type="dxa"/>
                    <w:right w:w="0" w:type="dxa"/>
                  </w:tcMar>
                  <w:vAlign w:val="center"/>
                </w:tcPr>
                <w:p w14:paraId="67E176C3">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102</w:t>
                  </w:r>
                </w:p>
              </w:tc>
              <w:tc>
                <w:tcPr>
                  <w:tcW w:w="265" w:type="pct"/>
                  <w:tcBorders>
                    <w:tl2br w:val="nil"/>
                    <w:tr2bl w:val="nil"/>
                  </w:tcBorders>
                  <w:noWrap w:val="0"/>
                  <w:vAlign w:val="center"/>
                </w:tcPr>
                <w:p w14:paraId="2E01E12A">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23</w:t>
                  </w:r>
                </w:p>
              </w:tc>
              <w:tc>
                <w:tcPr>
                  <w:tcW w:w="213" w:type="pct"/>
                  <w:tcBorders>
                    <w:tl2br w:val="nil"/>
                    <w:tr2bl w:val="nil"/>
                  </w:tcBorders>
                  <w:noWrap w:val="0"/>
                  <w:tcMar>
                    <w:left w:w="0" w:type="dxa"/>
                    <w:right w:w="0" w:type="dxa"/>
                  </w:tcMar>
                  <w:vAlign w:val="center"/>
                </w:tcPr>
                <w:p w14:paraId="6062976C">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18</w:t>
                  </w:r>
                </w:p>
              </w:tc>
              <w:tc>
                <w:tcPr>
                  <w:tcW w:w="265" w:type="pct"/>
                  <w:tcBorders>
                    <w:tl2br w:val="nil"/>
                    <w:tr2bl w:val="nil"/>
                  </w:tcBorders>
                  <w:noWrap w:val="0"/>
                  <w:vAlign w:val="center"/>
                </w:tcPr>
                <w:p w14:paraId="68DEDD0F">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w:t>
                  </w:r>
                </w:p>
              </w:tc>
              <w:tc>
                <w:tcPr>
                  <w:tcW w:w="265" w:type="pct"/>
                  <w:tcBorders>
                    <w:tl2br w:val="nil"/>
                    <w:tr2bl w:val="nil"/>
                  </w:tcBorders>
                  <w:noWrap/>
                  <w:tcMar>
                    <w:left w:w="0" w:type="dxa"/>
                    <w:right w:w="0" w:type="dxa"/>
                  </w:tcMar>
                  <w:vAlign w:val="center"/>
                </w:tcPr>
                <w:p w14:paraId="61125BFE">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5</w:t>
                  </w:r>
                </w:p>
              </w:tc>
              <w:tc>
                <w:tcPr>
                  <w:tcW w:w="266" w:type="pct"/>
                  <w:tcBorders>
                    <w:tl2br w:val="nil"/>
                    <w:tr2bl w:val="nil"/>
                  </w:tcBorders>
                  <w:noWrap w:val="0"/>
                  <w:vAlign w:val="center"/>
                </w:tcPr>
                <w:p w14:paraId="36950D0F">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p>
              </w:tc>
              <w:tc>
                <w:tcPr>
                  <w:tcW w:w="265" w:type="pct"/>
                  <w:tcBorders>
                    <w:tl2br w:val="nil"/>
                    <w:tr2bl w:val="nil"/>
                  </w:tcBorders>
                  <w:noWrap w:val="0"/>
                  <w:tcMar>
                    <w:left w:w="0" w:type="dxa"/>
                    <w:right w:w="0" w:type="dxa"/>
                  </w:tcMar>
                  <w:vAlign w:val="center"/>
                </w:tcPr>
                <w:p w14:paraId="7CD03A3E">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50.63</w:t>
                  </w:r>
                </w:p>
              </w:tc>
              <w:tc>
                <w:tcPr>
                  <w:tcW w:w="265" w:type="pct"/>
                  <w:tcBorders>
                    <w:tl2br w:val="nil"/>
                    <w:tr2bl w:val="nil"/>
                  </w:tcBorders>
                  <w:noWrap w:val="0"/>
                  <w:tcMar>
                    <w:left w:w="0" w:type="dxa"/>
                    <w:right w:w="0" w:type="dxa"/>
                  </w:tcMar>
                  <w:vAlign w:val="center"/>
                </w:tcPr>
                <w:p w14:paraId="6230BC62">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50.94</w:t>
                  </w:r>
                </w:p>
              </w:tc>
              <w:tc>
                <w:tcPr>
                  <w:tcW w:w="265" w:type="pct"/>
                  <w:tcBorders>
                    <w:tl2br w:val="nil"/>
                    <w:tr2bl w:val="nil"/>
                  </w:tcBorders>
                  <w:noWrap w:val="0"/>
                  <w:tcMar>
                    <w:left w:w="0" w:type="dxa"/>
                    <w:right w:w="0" w:type="dxa"/>
                  </w:tcMar>
                  <w:vAlign w:val="center"/>
                </w:tcPr>
                <w:p w14:paraId="3E1A6DAC">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35.61</w:t>
                  </w:r>
                </w:p>
              </w:tc>
              <w:tc>
                <w:tcPr>
                  <w:tcW w:w="265" w:type="pct"/>
                  <w:tcBorders>
                    <w:tl2br w:val="nil"/>
                    <w:tr2bl w:val="nil"/>
                  </w:tcBorders>
                  <w:noWrap w:val="0"/>
                  <w:tcMar>
                    <w:left w:w="0" w:type="dxa"/>
                    <w:right w:w="0" w:type="dxa"/>
                  </w:tcMar>
                  <w:vAlign w:val="center"/>
                </w:tcPr>
                <w:p w14:paraId="5AB325A9">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34.80</w:t>
                  </w:r>
                </w:p>
              </w:tc>
              <w:tc>
                <w:tcPr>
                  <w:tcW w:w="265" w:type="pct"/>
                  <w:tcBorders>
                    <w:tl2br w:val="nil"/>
                    <w:tr2bl w:val="nil"/>
                  </w:tcBorders>
                  <w:noWrap w:val="0"/>
                  <w:tcMar>
                    <w:left w:w="0" w:type="dxa"/>
                    <w:right w:w="0" w:type="dxa"/>
                  </w:tcMar>
                  <w:vAlign w:val="center"/>
                </w:tcPr>
                <w:p w14:paraId="4AB4AD30">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35.59</w:t>
                  </w:r>
                </w:p>
              </w:tc>
              <w:tc>
                <w:tcPr>
                  <w:tcW w:w="266" w:type="pct"/>
                  <w:tcBorders>
                    <w:tl2br w:val="nil"/>
                    <w:tr2bl w:val="nil"/>
                  </w:tcBorders>
                  <w:noWrap w:val="0"/>
                  <w:tcMar>
                    <w:left w:w="0" w:type="dxa"/>
                    <w:right w:w="0" w:type="dxa"/>
                  </w:tcMar>
                  <w:vAlign w:val="center"/>
                </w:tcPr>
                <w:p w14:paraId="222A64AD">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35.01</w:t>
                  </w:r>
                </w:p>
              </w:tc>
              <w:tc>
                <w:tcPr>
                  <w:tcW w:w="265" w:type="pct"/>
                  <w:tcBorders>
                    <w:tl2br w:val="nil"/>
                    <w:tr2bl w:val="nil"/>
                  </w:tcBorders>
                  <w:noWrap w:val="0"/>
                  <w:tcMar>
                    <w:left w:w="0" w:type="dxa"/>
                    <w:right w:w="0" w:type="dxa"/>
                  </w:tcMar>
                  <w:vAlign w:val="center"/>
                </w:tcPr>
                <w:p w14:paraId="0E5D84F5">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71.79</w:t>
                  </w:r>
                </w:p>
              </w:tc>
              <w:tc>
                <w:tcPr>
                  <w:tcW w:w="265" w:type="pct"/>
                  <w:tcBorders>
                    <w:tl2br w:val="nil"/>
                    <w:tr2bl w:val="nil"/>
                  </w:tcBorders>
                  <w:noWrap w:val="0"/>
                  <w:tcMar>
                    <w:left w:w="0" w:type="dxa"/>
                    <w:right w:w="0" w:type="dxa"/>
                  </w:tcMar>
                  <w:vAlign w:val="center"/>
                </w:tcPr>
                <w:p w14:paraId="409E2E98">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71.89</w:t>
                  </w:r>
                </w:p>
              </w:tc>
              <w:tc>
                <w:tcPr>
                  <w:tcW w:w="265" w:type="pct"/>
                  <w:tcBorders>
                    <w:tl2br w:val="nil"/>
                    <w:tr2bl w:val="nil"/>
                  </w:tcBorders>
                  <w:noWrap w:val="0"/>
                  <w:tcMar>
                    <w:left w:w="0" w:type="dxa"/>
                    <w:right w:w="0" w:type="dxa"/>
                  </w:tcMar>
                  <w:vAlign w:val="center"/>
                </w:tcPr>
                <w:p w14:paraId="1003A808">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71.61</w:t>
                  </w:r>
                </w:p>
              </w:tc>
              <w:tc>
                <w:tcPr>
                  <w:tcW w:w="265" w:type="pct"/>
                  <w:tcBorders>
                    <w:tl2br w:val="nil"/>
                    <w:tr2bl w:val="nil"/>
                  </w:tcBorders>
                  <w:noWrap w:val="0"/>
                  <w:tcMar>
                    <w:left w:w="0" w:type="dxa"/>
                    <w:right w:w="0" w:type="dxa"/>
                  </w:tcMar>
                  <w:vAlign w:val="center"/>
                </w:tcPr>
                <w:p w14:paraId="193AE0AC">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71.20</w:t>
                  </w:r>
                </w:p>
              </w:tc>
              <w:tc>
                <w:tcPr>
                  <w:tcW w:w="265" w:type="pct"/>
                  <w:tcBorders>
                    <w:tl2br w:val="nil"/>
                    <w:tr2bl w:val="nil"/>
                  </w:tcBorders>
                  <w:noWrap w:val="0"/>
                  <w:tcMar>
                    <w:left w:w="0" w:type="dxa"/>
                    <w:right w:w="0" w:type="dxa"/>
                  </w:tcMar>
                  <w:vAlign w:val="center"/>
                </w:tcPr>
                <w:p w14:paraId="69B78459">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78.34</w:t>
                  </w:r>
                </w:p>
              </w:tc>
              <w:tc>
                <w:tcPr>
                  <w:tcW w:w="266" w:type="pct"/>
                  <w:tcBorders>
                    <w:tl2br w:val="nil"/>
                    <w:tr2bl w:val="nil"/>
                  </w:tcBorders>
                  <w:noWrap w:val="0"/>
                  <w:tcMar>
                    <w:left w:w="0" w:type="dxa"/>
                    <w:right w:w="0" w:type="dxa"/>
                  </w:tcMar>
                  <w:vAlign w:val="center"/>
                </w:tcPr>
                <w:p w14:paraId="310F3B95">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78.08</w:t>
                  </w:r>
                </w:p>
              </w:tc>
            </w:tr>
            <w:tr w14:paraId="191A6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265" w:type="pct"/>
                  <w:tcBorders>
                    <w:tl2br w:val="nil"/>
                    <w:tr2bl w:val="nil"/>
                  </w:tcBorders>
                  <w:noWrap w:val="0"/>
                  <w:tcMar>
                    <w:left w:w="0" w:type="dxa"/>
                    <w:right w:w="0" w:type="dxa"/>
                  </w:tcMar>
                  <w:vAlign w:val="center"/>
                </w:tcPr>
                <w:p w14:paraId="16BB3314">
                  <w:pPr>
                    <w:adjustRightInd w:val="0"/>
                    <w:snapToGrid w:val="0"/>
                    <w:jc w:val="center"/>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远期</w:t>
                  </w:r>
                </w:p>
              </w:tc>
              <w:tc>
                <w:tcPr>
                  <w:tcW w:w="265" w:type="pct"/>
                  <w:tcBorders>
                    <w:tl2br w:val="nil"/>
                    <w:tr2bl w:val="nil"/>
                  </w:tcBorders>
                  <w:noWrap w:val="0"/>
                  <w:tcMar>
                    <w:left w:w="0" w:type="dxa"/>
                    <w:right w:w="0" w:type="dxa"/>
                  </w:tcMar>
                  <w:vAlign w:val="center"/>
                </w:tcPr>
                <w:p w14:paraId="73AE264F">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129</w:t>
                  </w:r>
                </w:p>
              </w:tc>
              <w:tc>
                <w:tcPr>
                  <w:tcW w:w="265" w:type="pct"/>
                  <w:tcBorders>
                    <w:tl2br w:val="nil"/>
                    <w:tr2bl w:val="nil"/>
                  </w:tcBorders>
                  <w:noWrap w:val="0"/>
                  <w:vAlign w:val="center"/>
                </w:tcPr>
                <w:p w14:paraId="25F37F21">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29</w:t>
                  </w:r>
                </w:p>
              </w:tc>
              <w:tc>
                <w:tcPr>
                  <w:tcW w:w="213" w:type="pct"/>
                  <w:tcBorders>
                    <w:tl2br w:val="nil"/>
                    <w:tr2bl w:val="nil"/>
                  </w:tcBorders>
                  <w:noWrap w:val="0"/>
                  <w:tcMar>
                    <w:left w:w="0" w:type="dxa"/>
                    <w:right w:w="0" w:type="dxa"/>
                  </w:tcMar>
                  <w:vAlign w:val="center"/>
                </w:tcPr>
                <w:p w14:paraId="4C346F8A">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23</w:t>
                  </w:r>
                </w:p>
              </w:tc>
              <w:tc>
                <w:tcPr>
                  <w:tcW w:w="265" w:type="pct"/>
                  <w:tcBorders>
                    <w:tl2br w:val="nil"/>
                    <w:tr2bl w:val="nil"/>
                  </w:tcBorders>
                  <w:noWrap w:val="0"/>
                  <w:vAlign w:val="center"/>
                </w:tcPr>
                <w:p w14:paraId="2C22A4D4">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5</w:t>
                  </w:r>
                </w:p>
              </w:tc>
              <w:tc>
                <w:tcPr>
                  <w:tcW w:w="265" w:type="pct"/>
                  <w:tcBorders>
                    <w:tl2br w:val="nil"/>
                    <w:tr2bl w:val="nil"/>
                  </w:tcBorders>
                  <w:noWrap/>
                  <w:tcMar>
                    <w:left w:w="0" w:type="dxa"/>
                    <w:right w:w="0" w:type="dxa"/>
                  </w:tcMar>
                  <w:vAlign w:val="center"/>
                </w:tcPr>
                <w:p w14:paraId="18C128D7">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6</w:t>
                  </w:r>
                </w:p>
              </w:tc>
              <w:tc>
                <w:tcPr>
                  <w:tcW w:w="266" w:type="pct"/>
                  <w:tcBorders>
                    <w:tl2br w:val="nil"/>
                    <w:tr2bl w:val="nil"/>
                  </w:tcBorders>
                  <w:noWrap w:val="0"/>
                  <w:vAlign w:val="center"/>
                </w:tcPr>
                <w:p w14:paraId="650F9DEC">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1</w:t>
                  </w:r>
                </w:p>
              </w:tc>
              <w:tc>
                <w:tcPr>
                  <w:tcW w:w="265" w:type="pct"/>
                  <w:tcBorders>
                    <w:tl2br w:val="nil"/>
                    <w:tr2bl w:val="nil"/>
                  </w:tcBorders>
                  <w:noWrap w:val="0"/>
                  <w:tcMar>
                    <w:left w:w="0" w:type="dxa"/>
                    <w:right w:w="0" w:type="dxa"/>
                  </w:tcMar>
                  <w:vAlign w:val="center"/>
                </w:tcPr>
                <w:p w14:paraId="72657653">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50.49</w:t>
                  </w:r>
                </w:p>
              </w:tc>
              <w:tc>
                <w:tcPr>
                  <w:tcW w:w="265" w:type="pct"/>
                  <w:tcBorders>
                    <w:tl2br w:val="nil"/>
                    <w:tr2bl w:val="nil"/>
                  </w:tcBorders>
                  <w:noWrap w:val="0"/>
                  <w:tcMar>
                    <w:left w:w="0" w:type="dxa"/>
                    <w:right w:w="0" w:type="dxa"/>
                  </w:tcMar>
                  <w:vAlign w:val="center"/>
                </w:tcPr>
                <w:p w14:paraId="3129CEDE">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50.92</w:t>
                  </w:r>
                </w:p>
              </w:tc>
              <w:tc>
                <w:tcPr>
                  <w:tcW w:w="265" w:type="pct"/>
                  <w:tcBorders>
                    <w:tl2br w:val="nil"/>
                    <w:tr2bl w:val="nil"/>
                  </w:tcBorders>
                  <w:noWrap w:val="0"/>
                  <w:tcMar>
                    <w:left w:w="0" w:type="dxa"/>
                    <w:right w:w="0" w:type="dxa"/>
                  </w:tcMar>
                  <w:vAlign w:val="center"/>
                </w:tcPr>
                <w:p w14:paraId="6EEF5032">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35.84</w:t>
                  </w:r>
                </w:p>
              </w:tc>
              <w:tc>
                <w:tcPr>
                  <w:tcW w:w="265" w:type="pct"/>
                  <w:tcBorders>
                    <w:tl2br w:val="nil"/>
                    <w:tr2bl w:val="nil"/>
                  </w:tcBorders>
                  <w:noWrap w:val="0"/>
                  <w:tcMar>
                    <w:left w:w="0" w:type="dxa"/>
                    <w:right w:w="0" w:type="dxa"/>
                  </w:tcMar>
                  <w:vAlign w:val="center"/>
                </w:tcPr>
                <w:p w14:paraId="6A0D9B45">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34.87</w:t>
                  </w:r>
                </w:p>
              </w:tc>
              <w:tc>
                <w:tcPr>
                  <w:tcW w:w="265" w:type="pct"/>
                  <w:tcBorders>
                    <w:tl2br w:val="nil"/>
                    <w:tr2bl w:val="nil"/>
                  </w:tcBorders>
                  <w:noWrap w:val="0"/>
                  <w:tcMar>
                    <w:left w:w="0" w:type="dxa"/>
                    <w:right w:w="0" w:type="dxa"/>
                  </w:tcMar>
                  <w:vAlign w:val="center"/>
                </w:tcPr>
                <w:p w14:paraId="78D849C5">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35.76</w:t>
                  </w:r>
                </w:p>
              </w:tc>
              <w:tc>
                <w:tcPr>
                  <w:tcW w:w="266" w:type="pct"/>
                  <w:tcBorders>
                    <w:tl2br w:val="nil"/>
                    <w:tr2bl w:val="nil"/>
                  </w:tcBorders>
                  <w:noWrap w:val="0"/>
                  <w:tcMar>
                    <w:left w:w="0" w:type="dxa"/>
                    <w:right w:w="0" w:type="dxa"/>
                  </w:tcMar>
                  <w:vAlign w:val="center"/>
                </w:tcPr>
                <w:p w14:paraId="430C0C24">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35.06</w:t>
                  </w:r>
                </w:p>
              </w:tc>
              <w:tc>
                <w:tcPr>
                  <w:tcW w:w="265" w:type="pct"/>
                  <w:tcBorders>
                    <w:tl2br w:val="nil"/>
                    <w:tr2bl w:val="nil"/>
                  </w:tcBorders>
                  <w:noWrap w:val="0"/>
                  <w:tcMar>
                    <w:left w:w="0" w:type="dxa"/>
                    <w:right w:w="0" w:type="dxa"/>
                  </w:tcMar>
                  <w:vAlign w:val="center"/>
                </w:tcPr>
                <w:p w14:paraId="3430F9B3">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71.75</w:t>
                  </w:r>
                </w:p>
              </w:tc>
              <w:tc>
                <w:tcPr>
                  <w:tcW w:w="265" w:type="pct"/>
                  <w:tcBorders>
                    <w:tl2br w:val="nil"/>
                    <w:tr2bl w:val="nil"/>
                  </w:tcBorders>
                  <w:noWrap w:val="0"/>
                  <w:tcMar>
                    <w:left w:w="0" w:type="dxa"/>
                    <w:right w:w="0" w:type="dxa"/>
                  </w:tcMar>
                  <w:vAlign w:val="center"/>
                </w:tcPr>
                <w:p w14:paraId="63B409C6">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71.88</w:t>
                  </w:r>
                </w:p>
              </w:tc>
              <w:tc>
                <w:tcPr>
                  <w:tcW w:w="265" w:type="pct"/>
                  <w:tcBorders>
                    <w:tl2br w:val="nil"/>
                    <w:tr2bl w:val="nil"/>
                  </w:tcBorders>
                  <w:noWrap w:val="0"/>
                  <w:tcMar>
                    <w:left w:w="0" w:type="dxa"/>
                    <w:right w:w="0" w:type="dxa"/>
                  </w:tcMar>
                  <w:vAlign w:val="center"/>
                </w:tcPr>
                <w:p w14:paraId="0CBC3163">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71.72</w:t>
                  </w:r>
                </w:p>
              </w:tc>
              <w:tc>
                <w:tcPr>
                  <w:tcW w:w="265" w:type="pct"/>
                  <w:tcBorders>
                    <w:tl2br w:val="nil"/>
                    <w:tr2bl w:val="nil"/>
                  </w:tcBorders>
                  <w:noWrap w:val="0"/>
                  <w:tcMar>
                    <w:left w:w="0" w:type="dxa"/>
                    <w:right w:w="0" w:type="dxa"/>
                  </w:tcMar>
                  <w:vAlign w:val="center"/>
                </w:tcPr>
                <w:p w14:paraId="038E0F44">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71.24</w:t>
                  </w:r>
                </w:p>
              </w:tc>
              <w:tc>
                <w:tcPr>
                  <w:tcW w:w="265" w:type="pct"/>
                  <w:tcBorders>
                    <w:tl2br w:val="nil"/>
                    <w:tr2bl w:val="nil"/>
                  </w:tcBorders>
                  <w:noWrap w:val="0"/>
                  <w:tcMar>
                    <w:left w:w="0" w:type="dxa"/>
                    <w:right w:w="0" w:type="dxa"/>
                  </w:tcMar>
                  <w:vAlign w:val="center"/>
                </w:tcPr>
                <w:p w14:paraId="2136BB94">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78.42</w:t>
                  </w:r>
                </w:p>
              </w:tc>
              <w:tc>
                <w:tcPr>
                  <w:tcW w:w="266" w:type="pct"/>
                  <w:tcBorders>
                    <w:tl2br w:val="nil"/>
                    <w:tr2bl w:val="nil"/>
                  </w:tcBorders>
                  <w:noWrap w:val="0"/>
                  <w:tcMar>
                    <w:left w:w="0" w:type="dxa"/>
                    <w:right w:w="0" w:type="dxa"/>
                  </w:tcMar>
                  <w:vAlign w:val="center"/>
                </w:tcPr>
                <w:p w14:paraId="5F12DB2B">
                  <w:pPr>
                    <w:jc w:val="center"/>
                    <w:rPr>
                      <w:rFonts w:hint="default" w:ascii="Times New Roman" w:hAnsi="Times New Roman" w:cs="Times New Roman"/>
                      <w:kern w:val="2"/>
                      <w:sz w:val="21"/>
                      <w:szCs w:val="21"/>
                      <w:lang w:val="en-US" w:eastAsia="zh-CN" w:bidi="ar-SA"/>
                    </w:rPr>
                  </w:pPr>
                  <w:r>
                    <w:rPr>
                      <w:rFonts w:hint="eastAsia" w:cs="Times New Roman"/>
                      <w:kern w:val="2"/>
                      <w:sz w:val="21"/>
                      <w:szCs w:val="21"/>
                      <w:lang w:val="en-US" w:eastAsia="zh-CN" w:bidi="ar-SA"/>
                    </w:rPr>
                    <w:t>78.11</w:t>
                  </w:r>
                </w:p>
              </w:tc>
            </w:tr>
          </w:tbl>
          <w:p w14:paraId="390E26F1">
            <w:pPr>
              <w:keepNext w:val="0"/>
              <w:keepLines w:val="0"/>
              <w:pageBreakBefore w:val="0"/>
              <w:widowControl w:val="0"/>
              <w:kinsoku/>
              <w:wordWrap/>
              <w:overflowPunct/>
              <w:topLinePunct w:val="0"/>
              <w:autoSpaceDE/>
              <w:autoSpaceDN/>
              <w:bidi w:val="0"/>
              <w:adjustRightInd w:val="0"/>
              <w:snapToGrid w:val="0"/>
              <w:spacing w:before="157" w:beforeLines="50"/>
              <w:ind w:firstLine="482" w:firstLineChars="200"/>
              <w:jc w:val="both"/>
              <w:textAlignment w:val="auto"/>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lang w:eastAsia="zh-CN"/>
              </w:rPr>
              <w:t>表</w:t>
            </w:r>
            <w:r>
              <w:rPr>
                <w:rFonts w:hint="default" w:ascii="Times New Roman" w:hAnsi="Times New Roman" w:eastAsia="宋体" w:cs="Times New Roman"/>
                <w:b/>
                <w:sz w:val="24"/>
                <w:szCs w:val="24"/>
                <w:lang w:val="en-US" w:eastAsia="zh-CN"/>
              </w:rPr>
              <w:t>4-</w:t>
            </w:r>
            <w:r>
              <w:rPr>
                <w:rFonts w:hint="eastAsia" w:ascii="Times New Roman" w:hAnsi="Times New Roman" w:eastAsia="宋体" w:cs="Times New Roman"/>
                <w:b/>
                <w:sz w:val="24"/>
                <w:szCs w:val="24"/>
                <w:lang w:val="en-US" w:eastAsia="zh-CN"/>
              </w:rPr>
              <w:t>9</w:t>
            </w:r>
            <w:r>
              <w:rPr>
                <w:rFonts w:hint="default" w:ascii="Times New Roman" w:hAnsi="Times New Roman" w:eastAsia="宋体" w:cs="Times New Roman"/>
                <w:b/>
                <w:sz w:val="24"/>
                <w:szCs w:val="24"/>
                <w:lang w:eastAsia="zh-CN"/>
              </w:rPr>
              <w:t xml:space="preserve"> </w:t>
            </w:r>
            <w:r>
              <w:rPr>
                <w:rFonts w:hint="default" w:ascii="Times New Roman" w:hAnsi="Times New Roman" w:eastAsia="宋体" w:cs="Times New Roman"/>
                <w:b/>
                <w:sz w:val="24"/>
                <w:szCs w:val="24"/>
                <w:lang w:val="en-US" w:eastAsia="zh-CN"/>
              </w:rPr>
              <w:t xml:space="preserve">         </w:t>
            </w:r>
            <w:r>
              <w:rPr>
                <w:rFonts w:hint="eastAsia" w:cs="Times New Roman"/>
                <w:b/>
                <w:sz w:val="24"/>
                <w:szCs w:val="24"/>
                <w:lang w:val="en-US" w:eastAsia="zh-CN"/>
              </w:rPr>
              <w:t xml:space="preserve">                                </w:t>
            </w:r>
            <w:r>
              <w:rPr>
                <w:rFonts w:hint="default" w:ascii="Times New Roman" w:hAnsi="Times New Roman" w:eastAsia="宋体" w:cs="Times New Roman"/>
                <w:b/>
                <w:sz w:val="24"/>
                <w:szCs w:val="24"/>
                <w:lang w:val="en-US" w:eastAsia="zh-CN"/>
              </w:rPr>
              <w:t xml:space="preserve"> </w:t>
            </w:r>
            <w:r>
              <w:rPr>
                <w:rFonts w:hint="default" w:ascii="Times New Roman" w:hAnsi="Times New Roman" w:eastAsia="宋体" w:cs="Times New Roman"/>
                <w:b/>
                <w:sz w:val="24"/>
                <w:szCs w:val="24"/>
                <w:lang w:eastAsia="zh-CN"/>
              </w:rPr>
              <w:t xml:space="preserve"> 项目衰减预测结果表</w:t>
            </w:r>
          </w:p>
          <w:tbl>
            <w:tblPr>
              <w:tblStyle w:val="30"/>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1"/>
              <w:gridCol w:w="1189"/>
              <w:gridCol w:w="1189"/>
              <w:gridCol w:w="1189"/>
              <w:gridCol w:w="1189"/>
              <w:gridCol w:w="1189"/>
              <w:gridCol w:w="1189"/>
              <w:gridCol w:w="1385"/>
              <w:gridCol w:w="1386"/>
              <w:gridCol w:w="1408"/>
              <w:gridCol w:w="1386"/>
            </w:tblGrid>
            <w:tr w14:paraId="0E4A9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8" w:type="pct"/>
                  <w:tcBorders>
                    <w:tl2br w:val="nil"/>
                    <w:tr2bl w:val="nil"/>
                  </w:tcBorders>
                  <w:noWrap w:val="0"/>
                  <w:vAlign w:val="center"/>
                </w:tcPr>
                <w:p w14:paraId="12C424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路段</w:t>
                  </w:r>
                </w:p>
              </w:tc>
              <w:tc>
                <w:tcPr>
                  <w:tcW w:w="426" w:type="pct"/>
                  <w:tcBorders>
                    <w:tl2br w:val="nil"/>
                    <w:tr2bl w:val="nil"/>
                  </w:tcBorders>
                  <w:noWrap w:val="0"/>
                  <w:vAlign w:val="center"/>
                </w:tcPr>
                <w:p w14:paraId="0D3D76F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20m</w:t>
                  </w:r>
                </w:p>
              </w:tc>
              <w:tc>
                <w:tcPr>
                  <w:tcW w:w="426" w:type="pct"/>
                  <w:tcBorders>
                    <w:tl2br w:val="nil"/>
                    <w:tr2bl w:val="nil"/>
                  </w:tcBorders>
                  <w:noWrap w:val="0"/>
                  <w:vAlign w:val="center"/>
                </w:tcPr>
                <w:p w14:paraId="2EA3E54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3</w:t>
                  </w:r>
                  <w:r>
                    <w:rPr>
                      <w:rFonts w:hint="default" w:ascii="Times New Roman" w:hAnsi="Times New Roman" w:eastAsia="宋体" w:cs="Times New Roman"/>
                      <w:b w:val="0"/>
                      <w:bCs w:val="0"/>
                      <w:color w:val="302116"/>
                      <w:sz w:val="21"/>
                      <w:szCs w:val="21"/>
                      <w:lang w:eastAsia="zh-CN"/>
                    </w:rPr>
                    <w:t>0m</w:t>
                  </w:r>
                </w:p>
              </w:tc>
              <w:tc>
                <w:tcPr>
                  <w:tcW w:w="426" w:type="pct"/>
                  <w:tcBorders>
                    <w:tl2br w:val="nil"/>
                    <w:tr2bl w:val="nil"/>
                  </w:tcBorders>
                  <w:noWrap w:val="0"/>
                  <w:vAlign w:val="center"/>
                </w:tcPr>
                <w:p w14:paraId="37CCBFF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4</w:t>
                  </w:r>
                  <w:r>
                    <w:rPr>
                      <w:rFonts w:hint="default" w:ascii="Times New Roman" w:hAnsi="Times New Roman" w:eastAsia="宋体" w:cs="Times New Roman"/>
                      <w:b w:val="0"/>
                      <w:bCs w:val="0"/>
                      <w:color w:val="302116"/>
                      <w:sz w:val="21"/>
                      <w:szCs w:val="21"/>
                      <w:lang w:eastAsia="zh-CN"/>
                    </w:rPr>
                    <w:t>0m</w:t>
                  </w:r>
                </w:p>
              </w:tc>
              <w:tc>
                <w:tcPr>
                  <w:tcW w:w="426" w:type="pct"/>
                  <w:tcBorders>
                    <w:tl2br w:val="nil"/>
                    <w:tr2bl w:val="nil"/>
                  </w:tcBorders>
                  <w:noWrap w:val="0"/>
                  <w:vAlign w:val="center"/>
                </w:tcPr>
                <w:p w14:paraId="71AA818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5</w:t>
                  </w:r>
                  <w:r>
                    <w:rPr>
                      <w:rFonts w:hint="default" w:ascii="Times New Roman" w:hAnsi="Times New Roman" w:eastAsia="宋体" w:cs="Times New Roman"/>
                      <w:b w:val="0"/>
                      <w:bCs w:val="0"/>
                      <w:color w:val="302116"/>
                      <w:sz w:val="21"/>
                      <w:szCs w:val="21"/>
                      <w:lang w:eastAsia="zh-CN"/>
                    </w:rPr>
                    <w:t>0m</w:t>
                  </w:r>
                </w:p>
              </w:tc>
              <w:tc>
                <w:tcPr>
                  <w:tcW w:w="426" w:type="pct"/>
                  <w:tcBorders>
                    <w:tl2br w:val="nil"/>
                    <w:tr2bl w:val="nil"/>
                  </w:tcBorders>
                  <w:noWrap w:val="0"/>
                  <w:vAlign w:val="center"/>
                </w:tcPr>
                <w:p w14:paraId="6462CE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6</w:t>
                  </w:r>
                  <w:r>
                    <w:rPr>
                      <w:rFonts w:hint="default" w:ascii="Times New Roman" w:hAnsi="Times New Roman" w:eastAsia="宋体" w:cs="Times New Roman"/>
                      <w:b w:val="0"/>
                      <w:bCs w:val="0"/>
                      <w:color w:val="302116"/>
                      <w:sz w:val="21"/>
                      <w:szCs w:val="21"/>
                      <w:lang w:eastAsia="zh-CN"/>
                    </w:rPr>
                    <w:t>0m</w:t>
                  </w:r>
                </w:p>
              </w:tc>
              <w:tc>
                <w:tcPr>
                  <w:tcW w:w="426" w:type="pct"/>
                  <w:tcBorders>
                    <w:tl2br w:val="nil"/>
                    <w:tr2bl w:val="nil"/>
                  </w:tcBorders>
                  <w:noWrap w:val="0"/>
                  <w:vAlign w:val="center"/>
                </w:tcPr>
                <w:p w14:paraId="476E9CA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val="en-US" w:eastAsia="zh-CN"/>
                    </w:rPr>
                    <w:t>8</w:t>
                  </w:r>
                  <w:r>
                    <w:rPr>
                      <w:rFonts w:hint="default" w:ascii="Times New Roman" w:hAnsi="Times New Roman" w:eastAsia="宋体" w:cs="Times New Roman"/>
                      <w:b w:val="0"/>
                      <w:bCs w:val="0"/>
                      <w:color w:val="302116"/>
                      <w:sz w:val="21"/>
                      <w:szCs w:val="21"/>
                      <w:lang w:eastAsia="zh-CN"/>
                    </w:rPr>
                    <w:t>0m</w:t>
                  </w:r>
                </w:p>
              </w:tc>
              <w:tc>
                <w:tcPr>
                  <w:tcW w:w="496" w:type="pct"/>
                  <w:tcBorders>
                    <w:tl2br w:val="nil"/>
                    <w:tr2bl w:val="nil"/>
                  </w:tcBorders>
                  <w:noWrap w:val="0"/>
                  <w:vAlign w:val="center"/>
                </w:tcPr>
                <w:p w14:paraId="6D90D3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1</w:t>
                  </w:r>
                  <w:r>
                    <w:rPr>
                      <w:rFonts w:hint="default" w:ascii="Times New Roman" w:hAnsi="Times New Roman" w:eastAsia="宋体" w:cs="Times New Roman"/>
                      <w:b w:val="0"/>
                      <w:bCs w:val="0"/>
                      <w:color w:val="302116"/>
                      <w:sz w:val="21"/>
                      <w:szCs w:val="21"/>
                      <w:lang w:val="en-US" w:eastAsia="zh-CN"/>
                    </w:rPr>
                    <w:t>0</w:t>
                  </w:r>
                  <w:r>
                    <w:rPr>
                      <w:rFonts w:hint="default" w:ascii="Times New Roman" w:hAnsi="Times New Roman" w:eastAsia="宋体" w:cs="Times New Roman"/>
                      <w:b w:val="0"/>
                      <w:bCs w:val="0"/>
                      <w:color w:val="302116"/>
                      <w:sz w:val="21"/>
                      <w:szCs w:val="21"/>
                      <w:lang w:eastAsia="zh-CN"/>
                    </w:rPr>
                    <w:t>0m</w:t>
                  </w:r>
                </w:p>
              </w:tc>
              <w:tc>
                <w:tcPr>
                  <w:tcW w:w="496" w:type="pct"/>
                  <w:tcBorders>
                    <w:tl2br w:val="nil"/>
                    <w:tr2bl w:val="nil"/>
                  </w:tcBorders>
                  <w:noWrap w:val="0"/>
                  <w:vAlign w:val="center"/>
                </w:tcPr>
                <w:p w14:paraId="71F5AE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1</w:t>
                  </w:r>
                  <w:r>
                    <w:rPr>
                      <w:rFonts w:hint="default" w:ascii="Times New Roman" w:hAnsi="Times New Roman" w:eastAsia="宋体" w:cs="Times New Roman"/>
                      <w:b w:val="0"/>
                      <w:bCs w:val="0"/>
                      <w:color w:val="302116"/>
                      <w:sz w:val="21"/>
                      <w:szCs w:val="21"/>
                      <w:lang w:val="en-US" w:eastAsia="zh-CN"/>
                    </w:rPr>
                    <w:t>2</w:t>
                  </w:r>
                  <w:r>
                    <w:rPr>
                      <w:rFonts w:hint="default" w:ascii="Times New Roman" w:hAnsi="Times New Roman" w:eastAsia="宋体" w:cs="Times New Roman"/>
                      <w:b w:val="0"/>
                      <w:bCs w:val="0"/>
                      <w:color w:val="302116"/>
                      <w:sz w:val="21"/>
                      <w:szCs w:val="21"/>
                      <w:lang w:eastAsia="zh-CN"/>
                    </w:rPr>
                    <w:t>0m</w:t>
                  </w:r>
                </w:p>
              </w:tc>
              <w:tc>
                <w:tcPr>
                  <w:tcW w:w="504" w:type="pct"/>
                  <w:tcBorders>
                    <w:tl2br w:val="nil"/>
                    <w:tr2bl w:val="nil"/>
                  </w:tcBorders>
                  <w:noWrap w:val="0"/>
                  <w:vAlign w:val="center"/>
                </w:tcPr>
                <w:p w14:paraId="7A042CD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1</w:t>
                  </w:r>
                  <w:r>
                    <w:rPr>
                      <w:rFonts w:hint="default" w:ascii="Times New Roman" w:hAnsi="Times New Roman" w:eastAsia="宋体" w:cs="Times New Roman"/>
                      <w:b w:val="0"/>
                      <w:bCs w:val="0"/>
                      <w:color w:val="302116"/>
                      <w:sz w:val="21"/>
                      <w:szCs w:val="21"/>
                      <w:lang w:val="en-US" w:eastAsia="zh-CN"/>
                    </w:rPr>
                    <w:t>6</w:t>
                  </w:r>
                  <w:r>
                    <w:rPr>
                      <w:rFonts w:hint="default" w:ascii="Times New Roman" w:hAnsi="Times New Roman" w:eastAsia="宋体" w:cs="Times New Roman"/>
                      <w:b w:val="0"/>
                      <w:bCs w:val="0"/>
                      <w:color w:val="302116"/>
                      <w:sz w:val="21"/>
                      <w:szCs w:val="21"/>
                      <w:lang w:eastAsia="zh-CN"/>
                    </w:rPr>
                    <w:t>0m</w:t>
                  </w:r>
                </w:p>
              </w:tc>
              <w:tc>
                <w:tcPr>
                  <w:tcW w:w="496" w:type="pct"/>
                  <w:tcBorders>
                    <w:tl2br w:val="nil"/>
                    <w:tr2bl w:val="nil"/>
                  </w:tcBorders>
                  <w:noWrap w:val="0"/>
                  <w:vAlign w:val="center"/>
                </w:tcPr>
                <w:p w14:paraId="5C654B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r>
                    <w:rPr>
                      <w:rFonts w:hint="default" w:ascii="Times New Roman" w:hAnsi="Times New Roman" w:eastAsia="宋体" w:cs="Times New Roman"/>
                      <w:b w:val="0"/>
                      <w:bCs w:val="0"/>
                      <w:color w:val="302116"/>
                      <w:sz w:val="21"/>
                      <w:szCs w:val="21"/>
                      <w:lang w:eastAsia="zh-CN"/>
                    </w:rPr>
                    <w:t>200m</w:t>
                  </w:r>
                </w:p>
              </w:tc>
            </w:tr>
            <w:tr w14:paraId="743C1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restart"/>
                  <w:tcBorders>
                    <w:tl2br w:val="nil"/>
                    <w:tr2bl w:val="nil"/>
                  </w:tcBorders>
                  <w:noWrap w:val="0"/>
                  <w:vAlign w:val="center"/>
                </w:tcPr>
                <w:p w14:paraId="52DC2D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近期</w:t>
                  </w:r>
                </w:p>
              </w:tc>
              <w:tc>
                <w:tcPr>
                  <w:tcW w:w="426" w:type="pct"/>
                  <w:tcBorders>
                    <w:tl2br w:val="nil"/>
                    <w:tr2bl w:val="nil"/>
                  </w:tcBorders>
                  <w:noWrap w:val="0"/>
                  <w:vAlign w:val="center"/>
                </w:tcPr>
                <w:p w14:paraId="23DD164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57.2</w:t>
                  </w:r>
                </w:p>
              </w:tc>
              <w:tc>
                <w:tcPr>
                  <w:tcW w:w="426" w:type="pct"/>
                  <w:tcBorders>
                    <w:tl2br w:val="nil"/>
                    <w:tr2bl w:val="nil"/>
                  </w:tcBorders>
                  <w:noWrap w:val="0"/>
                  <w:vAlign w:val="center"/>
                </w:tcPr>
                <w:p w14:paraId="2E58BFC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51.9</w:t>
                  </w:r>
                </w:p>
              </w:tc>
              <w:tc>
                <w:tcPr>
                  <w:tcW w:w="426" w:type="pct"/>
                  <w:tcBorders>
                    <w:tl2br w:val="nil"/>
                    <w:tr2bl w:val="nil"/>
                  </w:tcBorders>
                  <w:noWrap w:val="0"/>
                  <w:vAlign w:val="center"/>
                </w:tcPr>
                <w:p w14:paraId="44AEF52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48.4</w:t>
                  </w:r>
                </w:p>
              </w:tc>
              <w:tc>
                <w:tcPr>
                  <w:tcW w:w="426" w:type="pct"/>
                  <w:tcBorders>
                    <w:tl2br w:val="nil"/>
                    <w:tr2bl w:val="nil"/>
                  </w:tcBorders>
                  <w:noWrap w:val="0"/>
                  <w:vAlign w:val="center"/>
                </w:tcPr>
                <w:p w14:paraId="592A984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45.8</w:t>
                  </w:r>
                </w:p>
              </w:tc>
              <w:tc>
                <w:tcPr>
                  <w:tcW w:w="426" w:type="pct"/>
                  <w:tcBorders>
                    <w:tl2br w:val="nil"/>
                    <w:tr2bl w:val="nil"/>
                  </w:tcBorders>
                  <w:noWrap w:val="0"/>
                  <w:vAlign w:val="center"/>
                </w:tcPr>
                <w:p w14:paraId="3FA6ACF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43.7</w:t>
                  </w:r>
                </w:p>
              </w:tc>
              <w:tc>
                <w:tcPr>
                  <w:tcW w:w="426" w:type="pct"/>
                  <w:tcBorders>
                    <w:tl2br w:val="nil"/>
                    <w:tr2bl w:val="nil"/>
                  </w:tcBorders>
                  <w:noWrap w:val="0"/>
                  <w:vAlign w:val="center"/>
                </w:tcPr>
                <w:p w14:paraId="7822DED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40.5</w:t>
                  </w:r>
                </w:p>
              </w:tc>
              <w:tc>
                <w:tcPr>
                  <w:tcW w:w="496" w:type="pct"/>
                  <w:tcBorders>
                    <w:tl2br w:val="nil"/>
                    <w:tr2bl w:val="nil"/>
                  </w:tcBorders>
                  <w:noWrap w:val="0"/>
                  <w:vAlign w:val="center"/>
                </w:tcPr>
                <w:p w14:paraId="3FE2D3A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38.0</w:t>
                  </w:r>
                </w:p>
              </w:tc>
              <w:tc>
                <w:tcPr>
                  <w:tcW w:w="496" w:type="pct"/>
                  <w:tcBorders>
                    <w:tl2br w:val="nil"/>
                    <w:tr2bl w:val="nil"/>
                  </w:tcBorders>
                  <w:noWrap w:val="0"/>
                  <w:vAlign w:val="center"/>
                </w:tcPr>
                <w:p w14:paraId="3983016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35.9</w:t>
                  </w:r>
                </w:p>
              </w:tc>
              <w:tc>
                <w:tcPr>
                  <w:tcW w:w="504" w:type="pct"/>
                  <w:tcBorders>
                    <w:tl2br w:val="nil"/>
                    <w:tr2bl w:val="nil"/>
                  </w:tcBorders>
                  <w:noWrap w:val="0"/>
                  <w:vAlign w:val="center"/>
                </w:tcPr>
                <w:p w14:paraId="1925EAA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32.7</w:t>
                  </w:r>
                </w:p>
              </w:tc>
              <w:tc>
                <w:tcPr>
                  <w:tcW w:w="496" w:type="pct"/>
                  <w:tcBorders>
                    <w:tl2br w:val="nil"/>
                    <w:tr2bl w:val="nil"/>
                  </w:tcBorders>
                  <w:noWrap w:val="0"/>
                  <w:vAlign w:val="center"/>
                </w:tcPr>
                <w:p w14:paraId="7400AE3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30.2</w:t>
                  </w:r>
                </w:p>
              </w:tc>
            </w:tr>
            <w:tr w14:paraId="0A0DC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continue"/>
                  <w:tcBorders>
                    <w:tl2br w:val="nil"/>
                    <w:tr2bl w:val="nil"/>
                  </w:tcBorders>
                  <w:noWrap w:val="0"/>
                  <w:vAlign w:val="center"/>
                </w:tcPr>
                <w:p w14:paraId="07C7EC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p>
              </w:tc>
              <w:tc>
                <w:tcPr>
                  <w:tcW w:w="426" w:type="pct"/>
                  <w:tcBorders>
                    <w:tl2br w:val="nil"/>
                    <w:tr2bl w:val="nil"/>
                  </w:tcBorders>
                  <w:noWrap w:val="0"/>
                  <w:vAlign w:val="center"/>
                </w:tcPr>
                <w:p w14:paraId="224022A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50.3</w:t>
                  </w:r>
                </w:p>
              </w:tc>
              <w:tc>
                <w:tcPr>
                  <w:tcW w:w="426" w:type="pct"/>
                  <w:tcBorders>
                    <w:tl2br w:val="nil"/>
                    <w:tr2bl w:val="nil"/>
                  </w:tcBorders>
                  <w:noWrap w:val="0"/>
                  <w:vAlign w:val="center"/>
                </w:tcPr>
                <w:p w14:paraId="0ADD9A2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45.0</w:t>
                  </w:r>
                </w:p>
              </w:tc>
              <w:tc>
                <w:tcPr>
                  <w:tcW w:w="426" w:type="pct"/>
                  <w:tcBorders>
                    <w:tl2br w:val="nil"/>
                    <w:tr2bl w:val="nil"/>
                  </w:tcBorders>
                  <w:noWrap w:val="0"/>
                  <w:vAlign w:val="center"/>
                </w:tcPr>
                <w:p w14:paraId="4708453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41.6</w:t>
                  </w:r>
                </w:p>
              </w:tc>
              <w:tc>
                <w:tcPr>
                  <w:tcW w:w="426" w:type="pct"/>
                  <w:tcBorders>
                    <w:tl2br w:val="nil"/>
                    <w:tr2bl w:val="nil"/>
                  </w:tcBorders>
                  <w:noWrap w:val="0"/>
                  <w:vAlign w:val="center"/>
                </w:tcPr>
                <w:p w14:paraId="064D52D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38.9</w:t>
                  </w:r>
                </w:p>
              </w:tc>
              <w:tc>
                <w:tcPr>
                  <w:tcW w:w="426" w:type="pct"/>
                  <w:tcBorders>
                    <w:tl2br w:val="nil"/>
                    <w:tr2bl w:val="nil"/>
                  </w:tcBorders>
                  <w:noWrap w:val="0"/>
                  <w:vAlign w:val="center"/>
                </w:tcPr>
                <w:p w14:paraId="4621A44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36.9</w:t>
                  </w:r>
                </w:p>
              </w:tc>
              <w:tc>
                <w:tcPr>
                  <w:tcW w:w="426" w:type="pct"/>
                  <w:tcBorders>
                    <w:tl2br w:val="nil"/>
                    <w:tr2bl w:val="nil"/>
                  </w:tcBorders>
                  <w:noWrap w:val="0"/>
                  <w:vAlign w:val="center"/>
                </w:tcPr>
                <w:p w14:paraId="7524FED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33.6</w:t>
                  </w:r>
                </w:p>
              </w:tc>
              <w:tc>
                <w:tcPr>
                  <w:tcW w:w="496" w:type="pct"/>
                  <w:tcBorders>
                    <w:tl2br w:val="nil"/>
                    <w:tr2bl w:val="nil"/>
                  </w:tcBorders>
                  <w:noWrap w:val="0"/>
                  <w:vAlign w:val="center"/>
                </w:tcPr>
                <w:p w14:paraId="6F29197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31.1</w:t>
                  </w:r>
                </w:p>
              </w:tc>
              <w:tc>
                <w:tcPr>
                  <w:tcW w:w="496" w:type="pct"/>
                  <w:tcBorders>
                    <w:tl2br w:val="nil"/>
                    <w:tr2bl w:val="nil"/>
                  </w:tcBorders>
                  <w:noWrap w:val="0"/>
                  <w:vAlign w:val="center"/>
                </w:tcPr>
                <w:p w14:paraId="246B01A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29.0</w:t>
                  </w:r>
                </w:p>
              </w:tc>
              <w:tc>
                <w:tcPr>
                  <w:tcW w:w="504" w:type="pct"/>
                  <w:tcBorders>
                    <w:tl2br w:val="nil"/>
                    <w:tr2bl w:val="nil"/>
                  </w:tcBorders>
                  <w:noWrap w:val="0"/>
                  <w:vAlign w:val="center"/>
                </w:tcPr>
                <w:p w14:paraId="6123537C">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25.8</w:t>
                  </w:r>
                </w:p>
              </w:tc>
              <w:tc>
                <w:tcPr>
                  <w:tcW w:w="496" w:type="pct"/>
                  <w:tcBorders>
                    <w:tl2br w:val="nil"/>
                    <w:tr2bl w:val="nil"/>
                  </w:tcBorders>
                  <w:noWrap w:val="0"/>
                  <w:vAlign w:val="center"/>
                </w:tcPr>
                <w:p w14:paraId="338F37E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23.4</w:t>
                  </w:r>
                </w:p>
              </w:tc>
            </w:tr>
            <w:tr w14:paraId="5BC88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restart"/>
                  <w:tcBorders>
                    <w:tl2br w:val="nil"/>
                    <w:tr2bl w:val="nil"/>
                  </w:tcBorders>
                  <w:noWrap w:val="0"/>
                  <w:vAlign w:val="center"/>
                </w:tcPr>
                <w:p w14:paraId="092ECE4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中期</w:t>
                  </w:r>
                </w:p>
              </w:tc>
              <w:tc>
                <w:tcPr>
                  <w:tcW w:w="426" w:type="pct"/>
                  <w:tcBorders>
                    <w:tl2br w:val="nil"/>
                    <w:tr2bl w:val="nil"/>
                  </w:tcBorders>
                  <w:noWrap w:val="0"/>
                  <w:vAlign w:val="center"/>
                </w:tcPr>
                <w:p w14:paraId="4B95414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58.3</w:t>
                  </w:r>
                </w:p>
              </w:tc>
              <w:tc>
                <w:tcPr>
                  <w:tcW w:w="426" w:type="pct"/>
                  <w:tcBorders>
                    <w:tl2br w:val="nil"/>
                    <w:tr2bl w:val="nil"/>
                  </w:tcBorders>
                  <w:noWrap w:val="0"/>
                  <w:vAlign w:val="center"/>
                </w:tcPr>
                <w:p w14:paraId="11998C0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53.0</w:t>
                  </w:r>
                </w:p>
              </w:tc>
              <w:tc>
                <w:tcPr>
                  <w:tcW w:w="426" w:type="pct"/>
                  <w:tcBorders>
                    <w:tl2br w:val="nil"/>
                    <w:tr2bl w:val="nil"/>
                  </w:tcBorders>
                  <w:noWrap w:val="0"/>
                  <w:vAlign w:val="center"/>
                </w:tcPr>
                <w:p w14:paraId="11E7E24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49.5</w:t>
                  </w:r>
                </w:p>
              </w:tc>
              <w:tc>
                <w:tcPr>
                  <w:tcW w:w="426" w:type="pct"/>
                  <w:tcBorders>
                    <w:tl2br w:val="nil"/>
                    <w:tr2bl w:val="nil"/>
                  </w:tcBorders>
                  <w:noWrap w:val="0"/>
                  <w:vAlign w:val="center"/>
                </w:tcPr>
                <w:p w14:paraId="67C5890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46.9</w:t>
                  </w:r>
                </w:p>
              </w:tc>
              <w:tc>
                <w:tcPr>
                  <w:tcW w:w="426" w:type="pct"/>
                  <w:tcBorders>
                    <w:tl2br w:val="nil"/>
                    <w:tr2bl w:val="nil"/>
                  </w:tcBorders>
                  <w:noWrap w:val="0"/>
                  <w:vAlign w:val="center"/>
                </w:tcPr>
                <w:p w14:paraId="5B30944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44.8</w:t>
                  </w:r>
                </w:p>
              </w:tc>
              <w:tc>
                <w:tcPr>
                  <w:tcW w:w="426" w:type="pct"/>
                  <w:tcBorders>
                    <w:tl2br w:val="nil"/>
                    <w:tr2bl w:val="nil"/>
                  </w:tcBorders>
                  <w:noWrap w:val="0"/>
                  <w:vAlign w:val="center"/>
                </w:tcPr>
                <w:p w14:paraId="19F1E8A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41.6</w:t>
                  </w:r>
                </w:p>
              </w:tc>
              <w:tc>
                <w:tcPr>
                  <w:tcW w:w="496" w:type="pct"/>
                  <w:tcBorders>
                    <w:tl2br w:val="nil"/>
                    <w:tr2bl w:val="nil"/>
                  </w:tcBorders>
                  <w:noWrap w:val="0"/>
                  <w:vAlign w:val="center"/>
                </w:tcPr>
                <w:p w14:paraId="50E6CC8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39.0</w:t>
                  </w:r>
                </w:p>
              </w:tc>
              <w:tc>
                <w:tcPr>
                  <w:tcW w:w="496" w:type="pct"/>
                  <w:tcBorders>
                    <w:tl2br w:val="nil"/>
                    <w:tr2bl w:val="nil"/>
                  </w:tcBorders>
                  <w:noWrap w:val="0"/>
                  <w:vAlign w:val="center"/>
                </w:tcPr>
                <w:p w14:paraId="61F6D17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37.0</w:t>
                  </w:r>
                </w:p>
              </w:tc>
              <w:tc>
                <w:tcPr>
                  <w:tcW w:w="504" w:type="pct"/>
                  <w:tcBorders>
                    <w:tl2br w:val="nil"/>
                    <w:tr2bl w:val="nil"/>
                  </w:tcBorders>
                  <w:noWrap w:val="0"/>
                  <w:vAlign w:val="center"/>
                </w:tcPr>
                <w:p w14:paraId="4521437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33.8</w:t>
                  </w:r>
                </w:p>
              </w:tc>
              <w:tc>
                <w:tcPr>
                  <w:tcW w:w="496" w:type="pct"/>
                  <w:tcBorders>
                    <w:tl2br w:val="nil"/>
                    <w:tr2bl w:val="nil"/>
                  </w:tcBorders>
                  <w:noWrap w:val="0"/>
                  <w:vAlign w:val="center"/>
                </w:tcPr>
                <w:p w14:paraId="7C28033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31.3</w:t>
                  </w:r>
                </w:p>
              </w:tc>
            </w:tr>
            <w:tr w14:paraId="4C6A3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continue"/>
                  <w:tcBorders>
                    <w:tl2br w:val="nil"/>
                    <w:tr2bl w:val="nil"/>
                  </w:tcBorders>
                  <w:noWrap w:val="0"/>
                  <w:vAlign w:val="center"/>
                </w:tcPr>
                <w:p w14:paraId="2215A87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eastAsia="zh-CN"/>
                    </w:rPr>
                  </w:pPr>
                </w:p>
              </w:tc>
              <w:tc>
                <w:tcPr>
                  <w:tcW w:w="426" w:type="pct"/>
                  <w:tcBorders>
                    <w:tl2br w:val="nil"/>
                    <w:tr2bl w:val="nil"/>
                  </w:tcBorders>
                  <w:noWrap w:val="0"/>
                  <w:vAlign w:val="center"/>
                </w:tcPr>
                <w:p w14:paraId="33E0680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51.7</w:t>
                  </w:r>
                </w:p>
              </w:tc>
              <w:tc>
                <w:tcPr>
                  <w:tcW w:w="426" w:type="pct"/>
                  <w:tcBorders>
                    <w:tl2br w:val="nil"/>
                    <w:tr2bl w:val="nil"/>
                  </w:tcBorders>
                  <w:noWrap w:val="0"/>
                  <w:vAlign w:val="center"/>
                </w:tcPr>
                <w:p w14:paraId="2BC85C7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46.4</w:t>
                  </w:r>
                </w:p>
              </w:tc>
              <w:tc>
                <w:tcPr>
                  <w:tcW w:w="426" w:type="pct"/>
                  <w:tcBorders>
                    <w:tl2br w:val="nil"/>
                    <w:tr2bl w:val="nil"/>
                  </w:tcBorders>
                  <w:noWrap w:val="0"/>
                  <w:vAlign w:val="center"/>
                </w:tcPr>
                <w:p w14:paraId="2840BB3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42.9</w:t>
                  </w:r>
                </w:p>
              </w:tc>
              <w:tc>
                <w:tcPr>
                  <w:tcW w:w="426" w:type="pct"/>
                  <w:tcBorders>
                    <w:tl2br w:val="nil"/>
                    <w:tr2bl w:val="nil"/>
                  </w:tcBorders>
                  <w:noWrap w:val="0"/>
                  <w:vAlign w:val="center"/>
                </w:tcPr>
                <w:p w14:paraId="1DBBF2E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40.3</w:t>
                  </w:r>
                </w:p>
              </w:tc>
              <w:tc>
                <w:tcPr>
                  <w:tcW w:w="426" w:type="pct"/>
                  <w:tcBorders>
                    <w:tl2br w:val="nil"/>
                    <w:tr2bl w:val="nil"/>
                  </w:tcBorders>
                  <w:noWrap w:val="0"/>
                  <w:vAlign w:val="center"/>
                </w:tcPr>
                <w:p w14:paraId="5DF7C2F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38.2</w:t>
                  </w:r>
                </w:p>
              </w:tc>
              <w:tc>
                <w:tcPr>
                  <w:tcW w:w="426" w:type="pct"/>
                  <w:tcBorders>
                    <w:tl2br w:val="nil"/>
                    <w:tr2bl w:val="nil"/>
                  </w:tcBorders>
                  <w:noWrap w:val="0"/>
                  <w:vAlign w:val="center"/>
                </w:tcPr>
                <w:p w14:paraId="7D2BA60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34.9</w:t>
                  </w:r>
                </w:p>
              </w:tc>
              <w:tc>
                <w:tcPr>
                  <w:tcW w:w="496" w:type="pct"/>
                  <w:tcBorders>
                    <w:tl2br w:val="nil"/>
                    <w:tr2bl w:val="nil"/>
                  </w:tcBorders>
                  <w:noWrap w:val="0"/>
                  <w:vAlign w:val="center"/>
                </w:tcPr>
                <w:p w14:paraId="3E2C6A0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32.4</w:t>
                  </w:r>
                </w:p>
              </w:tc>
              <w:tc>
                <w:tcPr>
                  <w:tcW w:w="496" w:type="pct"/>
                  <w:tcBorders>
                    <w:tl2br w:val="nil"/>
                    <w:tr2bl w:val="nil"/>
                  </w:tcBorders>
                  <w:noWrap w:val="0"/>
                  <w:vAlign w:val="center"/>
                </w:tcPr>
                <w:p w14:paraId="720F786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30.4</w:t>
                  </w:r>
                </w:p>
              </w:tc>
              <w:tc>
                <w:tcPr>
                  <w:tcW w:w="504" w:type="pct"/>
                  <w:tcBorders>
                    <w:tl2br w:val="nil"/>
                    <w:tr2bl w:val="nil"/>
                  </w:tcBorders>
                  <w:noWrap w:val="0"/>
                  <w:vAlign w:val="center"/>
                </w:tcPr>
                <w:p w14:paraId="5E8C4E1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27.2</w:t>
                  </w:r>
                </w:p>
              </w:tc>
              <w:tc>
                <w:tcPr>
                  <w:tcW w:w="496" w:type="pct"/>
                  <w:tcBorders>
                    <w:tl2br w:val="nil"/>
                    <w:tr2bl w:val="nil"/>
                  </w:tcBorders>
                  <w:noWrap w:val="0"/>
                  <w:vAlign w:val="center"/>
                </w:tcPr>
                <w:p w14:paraId="20F7F59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24.7</w:t>
                  </w:r>
                </w:p>
              </w:tc>
            </w:tr>
            <w:tr w14:paraId="574D8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restart"/>
                  <w:tcBorders>
                    <w:tl2br w:val="nil"/>
                    <w:tr2bl w:val="nil"/>
                  </w:tcBorders>
                  <w:noWrap w:val="0"/>
                  <w:vAlign w:val="center"/>
                </w:tcPr>
                <w:p w14:paraId="1F68C5D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302116"/>
                      <w:sz w:val="21"/>
                      <w:szCs w:val="21"/>
                      <w:lang w:val="en-US" w:eastAsia="zh-CN"/>
                    </w:rPr>
                  </w:pPr>
                  <w:r>
                    <w:rPr>
                      <w:rFonts w:hint="default" w:ascii="Times New Roman" w:hAnsi="Times New Roman" w:eastAsia="宋体" w:cs="Times New Roman"/>
                      <w:b w:val="0"/>
                      <w:bCs w:val="0"/>
                      <w:color w:val="302116"/>
                      <w:sz w:val="21"/>
                      <w:szCs w:val="21"/>
                      <w:lang w:val="en-US" w:eastAsia="zh-CN"/>
                    </w:rPr>
                    <w:t>远期</w:t>
                  </w:r>
                </w:p>
              </w:tc>
              <w:tc>
                <w:tcPr>
                  <w:tcW w:w="426" w:type="pct"/>
                  <w:tcBorders>
                    <w:tl2br w:val="nil"/>
                    <w:tr2bl w:val="nil"/>
                  </w:tcBorders>
                  <w:noWrap w:val="0"/>
                  <w:vAlign w:val="center"/>
                </w:tcPr>
                <w:p w14:paraId="6C8C7F5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60.5</w:t>
                  </w:r>
                </w:p>
              </w:tc>
              <w:tc>
                <w:tcPr>
                  <w:tcW w:w="426" w:type="pct"/>
                  <w:tcBorders>
                    <w:tl2br w:val="nil"/>
                    <w:tr2bl w:val="nil"/>
                  </w:tcBorders>
                  <w:noWrap w:val="0"/>
                  <w:vAlign w:val="center"/>
                </w:tcPr>
                <w:p w14:paraId="452E5F9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55.2</w:t>
                  </w:r>
                </w:p>
              </w:tc>
              <w:tc>
                <w:tcPr>
                  <w:tcW w:w="426" w:type="pct"/>
                  <w:tcBorders>
                    <w:tl2br w:val="nil"/>
                    <w:tr2bl w:val="nil"/>
                  </w:tcBorders>
                  <w:noWrap w:val="0"/>
                  <w:vAlign w:val="center"/>
                </w:tcPr>
                <w:p w14:paraId="69D7949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51.7</w:t>
                  </w:r>
                </w:p>
              </w:tc>
              <w:tc>
                <w:tcPr>
                  <w:tcW w:w="426" w:type="pct"/>
                  <w:tcBorders>
                    <w:tl2br w:val="nil"/>
                    <w:tr2bl w:val="nil"/>
                  </w:tcBorders>
                  <w:noWrap w:val="0"/>
                  <w:vAlign w:val="center"/>
                </w:tcPr>
                <w:p w14:paraId="132D87F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49.1</w:t>
                  </w:r>
                </w:p>
              </w:tc>
              <w:tc>
                <w:tcPr>
                  <w:tcW w:w="426" w:type="pct"/>
                  <w:tcBorders>
                    <w:tl2br w:val="nil"/>
                    <w:tr2bl w:val="nil"/>
                  </w:tcBorders>
                  <w:noWrap w:val="0"/>
                  <w:vAlign w:val="center"/>
                </w:tcPr>
                <w:p w14:paraId="60BB2BF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47.0</w:t>
                  </w:r>
                </w:p>
              </w:tc>
              <w:tc>
                <w:tcPr>
                  <w:tcW w:w="426" w:type="pct"/>
                  <w:tcBorders>
                    <w:tl2br w:val="nil"/>
                    <w:tr2bl w:val="nil"/>
                  </w:tcBorders>
                  <w:noWrap w:val="0"/>
                  <w:vAlign w:val="center"/>
                </w:tcPr>
                <w:p w14:paraId="7B39483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43.7</w:t>
                  </w:r>
                </w:p>
              </w:tc>
              <w:tc>
                <w:tcPr>
                  <w:tcW w:w="496" w:type="pct"/>
                  <w:tcBorders>
                    <w:tl2br w:val="nil"/>
                    <w:tr2bl w:val="nil"/>
                  </w:tcBorders>
                  <w:noWrap w:val="0"/>
                  <w:vAlign w:val="center"/>
                </w:tcPr>
                <w:p w14:paraId="4467799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41.2</w:t>
                  </w:r>
                </w:p>
              </w:tc>
              <w:tc>
                <w:tcPr>
                  <w:tcW w:w="496" w:type="pct"/>
                  <w:tcBorders>
                    <w:tl2br w:val="nil"/>
                    <w:tr2bl w:val="nil"/>
                  </w:tcBorders>
                  <w:noWrap w:val="0"/>
                  <w:vAlign w:val="center"/>
                </w:tcPr>
                <w:p w14:paraId="33D0847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39.2</w:t>
                  </w:r>
                </w:p>
              </w:tc>
              <w:tc>
                <w:tcPr>
                  <w:tcW w:w="504" w:type="pct"/>
                  <w:tcBorders>
                    <w:tl2br w:val="nil"/>
                    <w:tr2bl w:val="nil"/>
                  </w:tcBorders>
                  <w:noWrap w:val="0"/>
                  <w:vAlign w:val="center"/>
                </w:tcPr>
                <w:p w14:paraId="6172FE8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36.0</w:t>
                  </w:r>
                </w:p>
              </w:tc>
              <w:tc>
                <w:tcPr>
                  <w:tcW w:w="496" w:type="pct"/>
                  <w:tcBorders>
                    <w:tl2br w:val="nil"/>
                    <w:tr2bl w:val="nil"/>
                  </w:tcBorders>
                  <w:noWrap w:val="0"/>
                  <w:vAlign w:val="center"/>
                </w:tcPr>
                <w:p w14:paraId="691D4C1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33.5</w:t>
                  </w:r>
                </w:p>
              </w:tc>
            </w:tr>
            <w:tr w14:paraId="71574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48" w:type="pct"/>
                  <w:vMerge w:val="continue"/>
                  <w:tcBorders>
                    <w:tl2br w:val="nil"/>
                    <w:tr2bl w:val="nil"/>
                  </w:tcBorders>
                  <w:noWrap w:val="0"/>
                  <w:vAlign w:val="center"/>
                </w:tcPr>
                <w:p w14:paraId="559C721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z w:val="21"/>
                      <w:szCs w:val="21"/>
                    </w:rPr>
                  </w:pPr>
                </w:p>
              </w:tc>
              <w:tc>
                <w:tcPr>
                  <w:tcW w:w="426" w:type="pct"/>
                  <w:tcBorders>
                    <w:tl2br w:val="nil"/>
                    <w:tr2bl w:val="nil"/>
                  </w:tcBorders>
                  <w:noWrap w:val="0"/>
                  <w:vAlign w:val="center"/>
                </w:tcPr>
                <w:p w14:paraId="1A1CFD6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54.0</w:t>
                  </w:r>
                </w:p>
              </w:tc>
              <w:tc>
                <w:tcPr>
                  <w:tcW w:w="426" w:type="pct"/>
                  <w:tcBorders>
                    <w:tl2br w:val="nil"/>
                    <w:tr2bl w:val="nil"/>
                  </w:tcBorders>
                  <w:noWrap w:val="0"/>
                  <w:vAlign w:val="center"/>
                </w:tcPr>
                <w:p w14:paraId="4BAFB56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48.7</w:t>
                  </w:r>
                </w:p>
              </w:tc>
              <w:tc>
                <w:tcPr>
                  <w:tcW w:w="426" w:type="pct"/>
                  <w:tcBorders>
                    <w:tl2br w:val="nil"/>
                    <w:tr2bl w:val="nil"/>
                  </w:tcBorders>
                  <w:noWrap w:val="0"/>
                  <w:vAlign w:val="center"/>
                </w:tcPr>
                <w:p w14:paraId="08EE2E7C">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45.2</w:t>
                  </w:r>
                </w:p>
              </w:tc>
              <w:tc>
                <w:tcPr>
                  <w:tcW w:w="426" w:type="pct"/>
                  <w:tcBorders>
                    <w:tl2br w:val="nil"/>
                    <w:tr2bl w:val="nil"/>
                  </w:tcBorders>
                  <w:noWrap w:val="0"/>
                  <w:vAlign w:val="center"/>
                </w:tcPr>
                <w:p w14:paraId="118143A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42.6</w:t>
                  </w:r>
                </w:p>
              </w:tc>
              <w:tc>
                <w:tcPr>
                  <w:tcW w:w="426" w:type="pct"/>
                  <w:tcBorders>
                    <w:tl2br w:val="nil"/>
                    <w:tr2bl w:val="nil"/>
                  </w:tcBorders>
                  <w:noWrap w:val="0"/>
                  <w:vAlign w:val="center"/>
                </w:tcPr>
                <w:p w14:paraId="5BD1F7F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40.5</w:t>
                  </w:r>
                </w:p>
              </w:tc>
              <w:tc>
                <w:tcPr>
                  <w:tcW w:w="426" w:type="pct"/>
                  <w:tcBorders>
                    <w:tl2br w:val="nil"/>
                    <w:tr2bl w:val="nil"/>
                  </w:tcBorders>
                  <w:noWrap w:val="0"/>
                  <w:vAlign w:val="center"/>
                </w:tcPr>
                <w:p w14:paraId="1E1C9B8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37.2</w:t>
                  </w:r>
                </w:p>
              </w:tc>
              <w:tc>
                <w:tcPr>
                  <w:tcW w:w="496" w:type="pct"/>
                  <w:tcBorders>
                    <w:tl2br w:val="nil"/>
                    <w:tr2bl w:val="nil"/>
                  </w:tcBorders>
                  <w:noWrap w:val="0"/>
                  <w:vAlign w:val="center"/>
                </w:tcPr>
                <w:p w14:paraId="759811F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34.7</w:t>
                  </w:r>
                </w:p>
              </w:tc>
              <w:tc>
                <w:tcPr>
                  <w:tcW w:w="496" w:type="pct"/>
                  <w:tcBorders>
                    <w:tl2br w:val="nil"/>
                    <w:tr2bl w:val="nil"/>
                  </w:tcBorders>
                  <w:noWrap w:val="0"/>
                  <w:vAlign w:val="center"/>
                </w:tcPr>
                <w:p w14:paraId="6C1587E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32.7</w:t>
                  </w:r>
                </w:p>
              </w:tc>
              <w:tc>
                <w:tcPr>
                  <w:tcW w:w="504" w:type="pct"/>
                  <w:tcBorders>
                    <w:tl2br w:val="nil"/>
                    <w:tr2bl w:val="nil"/>
                  </w:tcBorders>
                  <w:noWrap w:val="0"/>
                  <w:vAlign w:val="center"/>
                </w:tcPr>
                <w:p w14:paraId="1D3B413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29.5</w:t>
                  </w:r>
                </w:p>
              </w:tc>
              <w:tc>
                <w:tcPr>
                  <w:tcW w:w="496" w:type="pct"/>
                  <w:tcBorders>
                    <w:tl2br w:val="nil"/>
                    <w:tr2bl w:val="nil"/>
                  </w:tcBorders>
                  <w:noWrap w:val="0"/>
                  <w:vAlign w:val="center"/>
                </w:tcPr>
                <w:p w14:paraId="3234B1B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27.0</w:t>
                  </w:r>
                </w:p>
              </w:tc>
            </w:tr>
          </w:tbl>
          <w:p w14:paraId="360DB2D2">
            <w:pPr>
              <w:keepNext w:val="0"/>
              <w:keepLines w:val="0"/>
              <w:pageBreakBefore w:val="0"/>
              <w:widowControl w:val="0"/>
              <w:kinsoku/>
              <w:wordWrap/>
              <w:overflowPunct/>
              <w:topLinePunct w:val="0"/>
              <w:autoSpaceDE/>
              <w:autoSpaceDN/>
              <w:bidi w:val="0"/>
              <w:adjustRightInd w:val="0"/>
              <w:snapToGrid w:val="0"/>
              <w:spacing w:before="157" w:beforeLines="50"/>
              <w:ind w:firstLine="482" w:firstLineChars="200"/>
              <w:jc w:val="both"/>
              <w:textAlignment w:val="auto"/>
              <w:rPr>
                <w:rFonts w:hint="eastAsia" w:ascii="Times New Roman" w:hAnsi="Times New Roman" w:cs="Times New Roman"/>
                <w:b/>
                <w:sz w:val="24"/>
                <w:szCs w:val="24"/>
                <w:lang w:val="en-US" w:eastAsia="zh-CN"/>
              </w:rPr>
            </w:pPr>
            <w:r>
              <w:rPr>
                <w:rFonts w:hint="eastAsia" w:ascii="Times New Roman" w:hAnsi="Times New Roman" w:cs="Times New Roman"/>
                <w:b/>
                <w:sz w:val="24"/>
                <w:szCs w:val="24"/>
                <w:lang w:val="en-US" w:eastAsia="zh-CN"/>
              </w:rPr>
              <w:t>表4-10                                       交通噪声的达标距离（距中心线）                             单位：m</w:t>
            </w:r>
          </w:p>
          <w:tbl>
            <w:tblPr>
              <w:tblStyle w:val="30"/>
              <w:tblW w:w="4999"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33"/>
              <w:gridCol w:w="3434"/>
              <w:gridCol w:w="3434"/>
              <w:gridCol w:w="3654"/>
            </w:tblGrid>
            <w:tr w14:paraId="1D00A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60" w:type="pct"/>
                  <w:gridSpan w:val="2"/>
                  <w:vMerge w:val="restart"/>
                  <w:tcBorders>
                    <w:tl2br w:val="nil"/>
                    <w:tr2bl w:val="nil"/>
                  </w:tcBorders>
                  <w:noWrap w:val="0"/>
                  <w:vAlign w:val="center"/>
                </w:tcPr>
                <w:p w14:paraId="6ADF8A1F">
                  <w:pPr>
                    <w:pStyle w:val="85"/>
                    <w:shd w:val="clear" w:color="auto" w:fill="auto"/>
                    <w:adjustRightInd w:val="0"/>
                    <w:snapToGrid w:val="0"/>
                    <w:spacing w:line="240" w:lineRule="auto"/>
                    <w:ind w:firstLine="0" w:firstLineChars="0"/>
                    <w:jc w:val="center"/>
                    <w:rPr>
                      <w:color w:val="auto"/>
                      <w:sz w:val="21"/>
                    </w:rPr>
                  </w:pPr>
                  <w:r>
                    <w:rPr>
                      <w:rFonts w:hint="eastAsia"/>
                      <w:color w:val="auto"/>
                      <w:sz w:val="21"/>
                    </w:rPr>
                    <w:t>运营时期</w:t>
                  </w:r>
                </w:p>
              </w:tc>
              <w:tc>
                <w:tcPr>
                  <w:tcW w:w="2539" w:type="pct"/>
                  <w:gridSpan w:val="2"/>
                  <w:tcBorders>
                    <w:tl2br w:val="nil"/>
                    <w:tr2bl w:val="nil"/>
                  </w:tcBorders>
                  <w:noWrap w:val="0"/>
                  <w:vAlign w:val="center"/>
                </w:tcPr>
                <w:p w14:paraId="707F5D03">
                  <w:pPr>
                    <w:pStyle w:val="85"/>
                    <w:shd w:val="clear" w:color="auto" w:fill="auto"/>
                    <w:adjustRightInd w:val="0"/>
                    <w:snapToGrid w:val="0"/>
                    <w:spacing w:line="240" w:lineRule="auto"/>
                    <w:ind w:firstLine="0" w:firstLineChars="0"/>
                    <w:jc w:val="center"/>
                    <w:rPr>
                      <w:color w:val="auto"/>
                      <w:sz w:val="21"/>
                    </w:rPr>
                  </w:pPr>
                  <w:r>
                    <w:rPr>
                      <w:rFonts w:hint="eastAsia"/>
                      <w:color w:val="auto"/>
                      <w:sz w:val="21"/>
                    </w:rPr>
                    <w:t>达标距离</w:t>
                  </w:r>
                </w:p>
              </w:tc>
            </w:tr>
            <w:tr w14:paraId="47EF13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60" w:type="pct"/>
                  <w:gridSpan w:val="2"/>
                  <w:vMerge w:val="continue"/>
                  <w:tcBorders>
                    <w:tl2br w:val="nil"/>
                    <w:tr2bl w:val="nil"/>
                  </w:tcBorders>
                  <w:noWrap w:val="0"/>
                  <w:vAlign w:val="center"/>
                </w:tcPr>
                <w:p w14:paraId="682EAD53">
                  <w:pPr>
                    <w:pStyle w:val="85"/>
                    <w:shd w:val="clear" w:color="auto" w:fill="auto"/>
                    <w:adjustRightInd w:val="0"/>
                    <w:snapToGrid w:val="0"/>
                    <w:spacing w:line="240" w:lineRule="auto"/>
                    <w:ind w:firstLine="0" w:firstLineChars="0"/>
                    <w:jc w:val="center"/>
                    <w:rPr>
                      <w:color w:val="auto"/>
                      <w:sz w:val="21"/>
                    </w:rPr>
                  </w:pPr>
                </w:p>
              </w:tc>
              <w:tc>
                <w:tcPr>
                  <w:tcW w:w="1230" w:type="pct"/>
                  <w:tcBorders>
                    <w:tl2br w:val="nil"/>
                    <w:tr2bl w:val="nil"/>
                  </w:tcBorders>
                  <w:noWrap w:val="0"/>
                  <w:vAlign w:val="center"/>
                </w:tcPr>
                <w:p w14:paraId="35B54AA8">
                  <w:pPr>
                    <w:pStyle w:val="85"/>
                    <w:shd w:val="clear" w:color="auto" w:fill="auto"/>
                    <w:adjustRightInd w:val="0"/>
                    <w:snapToGrid w:val="0"/>
                    <w:spacing w:line="240" w:lineRule="auto"/>
                    <w:ind w:firstLine="0" w:firstLineChars="0"/>
                    <w:jc w:val="center"/>
                    <w:rPr>
                      <w:color w:val="auto"/>
                      <w:sz w:val="21"/>
                    </w:rPr>
                  </w:pPr>
                  <w:r>
                    <w:rPr>
                      <w:rFonts w:hint="eastAsia"/>
                      <w:color w:val="auto"/>
                      <w:sz w:val="21"/>
                    </w:rPr>
                    <w:t>2类</w:t>
                  </w:r>
                </w:p>
              </w:tc>
              <w:tc>
                <w:tcPr>
                  <w:tcW w:w="1309" w:type="pct"/>
                  <w:tcBorders>
                    <w:tl2br w:val="nil"/>
                    <w:tr2bl w:val="nil"/>
                  </w:tcBorders>
                  <w:noWrap w:val="0"/>
                  <w:vAlign w:val="center"/>
                </w:tcPr>
                <w:p w14:paraId="0CE73256">
                  <w:pPr>
                    <w:pStyle w:val="85"/>
                    <w:shd w:val="clear" w:color="auto" w:fill="auto"/>
                    <w:adjustRightInd w:val="0"/>
                    <w:snapToGrid w:val="0"/>
                    <w:spacing w:line="240" w:lineRule="auto"/>
                    <w:ind w:firstLine="0" w:firstLineChars="0"/>
                    <w:jc w:val="center"/>
                    <w:rPr>
                      <w:color w:val="auto"/>
                      <w:sz w:val="21"/>
                    </w:rPr>
                  </w:pPr>
                  <w:r>
                    <w:rPr>
                      <w:rFonts w:hint="eastAsia"/>
                      <w:color w:val="auto"/>
                      <w:sz w:val="21"/>
                    </w:rPr>
                    <w:t>4a类</w:t>
                  </w:r>
                </w:p>
              </w:tc>
            </w:tr>
            <w:tr w14:paraId="448CC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pct"/>
                  <w:vMerge w:val="restart"/>
                  <w:tcBorders>
                    <w:tl2br w:val="nil"/>
                    <w:tr2bl w:val="nil"/>
                  </w:tcBorders>
                  <w:noWrap w:val="0"/>
                  <w:vAlign w:val="center"/>
                </w:tcPr>
                <w:p w14:paraId="2A6821ED">
                  <w:pPr>
                    <w:pStyle w:val="85"/>
                    <w:shd w:val="clear" w:color="auto" w:fill="auto"/>
                    <w:adjustRightInd w:val="0"/>
                    <w:snapToGrid w:val="0"/>
                    <w:spacing w:line="240" w:lineRule="auto"/>
                    <w:ind w:firstLine="0" w:firstLineChars="0"/>
                    <w:jc w:val="center"/>
                    <w:rPr>
                      <w:color w:val="auto"/>
                      <w:sz w:val="21"/>
                    </w:rPr>
                  </w:pPr>
                  <w:r>
                    <w:rPr>
                      <w:rFonts w:hint="eastAsia"/>
                      <w:color w:val="auto"/>
                      <w:sz w:val="21"/>
                    </w:rPr>
                    <w:t>202</w:t>
                  </w:r>
                  <w:r>
                    <w:rPr>
                      <w:rFonts w:hint="eastAsia"/>
                      <w:color w:val="auto"/>
                      <w:sz w:val="21"/>
                      <w:lang w:val="en-US" w:eastAsia="zh-CN"/>
                    </w:rPr>
                    <w:t>6</w:t>
                  </w:r>
                </w:p>
              </w:tc>
              <w:tc>
                <w:tcPr>
                  <w:tcW w:w="1230" w:type="pct"/>
                  <w:tcBorders>
                    <w:tl2br w:val="nil"/>
                    <w:tr2bl w:val="nil"/>
                  </w:tcBorders>
                  <w:noWrap w:val="0"/>
                  <w:vAlign w:val="center"/>
                </w:tcPr>
                <w:p w14:paraId="150400F8">
                  <w:pPr>
                    <w:pStyle w:val="85"/>
                    <w:shd w:val="clear" w:color="auto" w:fill="auto"/>
                    <w:adjustRightInd w:val="0"/>
                    <w:snapToGrid w:val="0"/>
                    <w:spacing w:line="240" w:lineRule="auto"/>
                    <w:ind w:firstLine="0" w:firstLineChars="0"/>
                    <w:jc w:val="center"/>
                    <w:rPr>
                      <w:rFonts w:hint="eastAsia" w:eastAsia="宋体"/>
                      <w:color w:val="auto"/>
                      <w:sz w:val="21"/>
                      <w:lang w:val="en-US" w:eastAsia="zh-CN"/>
                    </w:rPr>
                  </w:pPr>
                  <w:r>
                    <w:rPr>
                      <w:rFonts w:hint="eastAsia"/>
                      <w:color w:val="auto"/>
                      <w:sz w:val="21"/>
                      <w:lang w:val="en-US" w:eastAsia="zh-CN"/>
                    </w:rPr>
                    <w:t>昼间</w:t>
                  </w:r>
                </w:p>
              </w:tc>
              <w:tc>
                <w:tcPr>
                  <w:tcW w:w="1230" w:type="pct"/>
                  <w:tcBorders>
                    <w:tl2br w:val="nil"/>
                    <w:tr2bl w:val="nil"/>
                  </w:tcBorders>
                  <w:noWrap w:val="0"/>
                  <w:vAlign w:val="center"/>
                </w:tcPr>
                <w:p w14:paraId="518779EB">
                  <w:pPr>
                    <w:shd w:val="clear" w:color="auto" w:fill="auto"/>
                    <w:adjustRightInd w:val="0"/>
                    <w:snapToGrid w:val="0"/>
                    <w:spacing w:line="240" w:lineRule="auto"/>
                    <w:ind w:firstLine="0" w:firstLineChars="0"/>
                    <w:jc w:val="center"/>
                    <w:rPr>
                      <w:rFonts w:hint="default" w:eastAsia="宋体"/>
                      <w:b w:val="0"/>
                      <w:bCs w:val="0"/>
                      <w:color w:val="auto"/>
                      <w:sz w:val="21"/>
                      <w:lang w:val="en-US" w:eastAsia="zh-CN"/>
                    </w:rPr>
                  </w:pPr>
                  <w:r>
                    <w:rPr>
                      <w:rFonts w:hint="eastAsia"/>
                      <w:b w:val="0"/>
                      <w:bCs w:val="0"/>
                      <w:color w:val="auto"/>
                      <w:sz w:val="21"/>
                    </w:rPr>
                    <w:t>＜</w:t>
                  </w:r>
                  <w:r>
                    <w:rPr>
                      <w:rFonts w:hint="eastAsia"/>
                      <w:b w:val="0"/>
                      <w:bCs w:val="0"/>
                      <w:color w:val="auto"/>
                      <w:sz w:val="21"/>
                      <w:lang w:val="en-US" w:eastAsia="zh-CN"/>
                    </w:rPr>
                    <w:t>35</w:t>
                  </w:r>
                </w:p>
              </w:tc>
              <w:tc>
                <w:tcPr>
                  <w:tcW w:w="1309" w:type="pct"/>
                  <w:tcBorders>
                    <w:tl2br w:val="nil"/>
                    <w:tr2bl w:val="nil"/>
                  </w:tcBorders>
                  <w:noWrap w:val="0"/>
                  <w:vAlign w:val="center"/>
                </w:tcPr>
                <w:p w14:paraId="57CB3203">
                  <w:pPr>
                    <w:shd w:val="clear" w:color="auto" w:fill="auto"/>
                    <w:adjustRightInd w:val="0"/>
                    <w:snapToGrid w:val="0"/>
                    <w:spacing w:line="240" w:lineRule="auto"/>
                    <w:ind w:firstLine="0" w:firstLineChars="0"/>
                    <w:jc w:val="center"/>
                    <w:rPr>
                      <w:rFonts w:hint="default" w:eastAsia="宋体"/>
                      <w:b w:val="0"/>
                      <w:bCs w:val="0"/>
                      <w:color w:val="auto"/>
                      <w:sz w:val="21"/>
                      <w:lang w:val="en-US" w:eastAsia="zh-CN"/>
                    </w:rPr>
                  </w:pPr>
                  <w:r>
                    <w:rPr>
                      <w:rFonts w:hint="eastAsia"/>
                      <w:b w:val="0"/>
                      <w:bCs w:val="0"/>
                      <w:color w:val="auto"/>
                      <w:sz w:val="21"/>
                    </w:rPr>
                    <w:t>＜20</w:t>
                  </w:r>
                </w:p>
              </w:tc>
            </w:tr>
            <w:tr w14:paraId="66451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pct"/>
                  <w:vMerge w:val="continue"/>
                  <w:tcBorders>
                    <w:tl2br w:val="nil"/>
                    <w:tr2bl w:val="nil"/>
                  </w:tcBorders>
                  <w:noWrap w:val="0"/>
                  <w:vAlign w:val="center"/>
                </w:tcPr>
                <w:p w14:paraId="6F930721">
                  <w:pPr>
                    <w:pStyle w:val="85"/>
                    <w:shd w:val="clear" w:color="auto" w:fill="auto"/>
                    <w:adjustRightInd w:val="0"/>
                    <w:snapToGrid w:val="0"/>
                    <w:spacing w:line="240" w:lineRule="auto"/>
                    <w:ind w:firstLine="0" w:firstLineChars="0"/>
                    <w:jc w:val="center"/>
                    <w:rPr>
                      <w:rFonts w:hint="eastAsia"/>
                      <w:color w:val="auto"/>
                      <w:sz w:val="21"/>
                    </w:rPr>
                  </w:pPr>
                </w:p>
              </w:tc>
              <w:tc>
                <w:tcPr>
                  <w:tcW w:w="1230" w:type="pct"/>
                  <w:tcBorders>
                    <w:tl2br w:val="nil"/>
                    <w:tr2bl w:val="nil"/>
                  </w:tcBorders>
                  <w:noWrap w:val="0"/>
                  <w:vAlign w:val="center"/>
                </w:tcPr>
                <w:p w14:paraId="0096E182">
                  <w:pPr>
                    <w:pStyle w:val="85"/>
                    <w:shd w:val="clear" w:color="auto" w:fill="auto"/>
                    <w:adjustRightInd w:val="0"/>
                    <w:snapToGrid w:val="0"/>
                    <w:spacing w:line="240" w:lineRule="auto"/>
                    <w:ind w:firstLine="0" w:firstLineChars="0"/>
                    <w:jc w:val="center"/>
                    <w:rPr>
                      <w:rFonts w:hint="eastAsia" w:eastAsia="宋体"/>
                      <w:color w:val="auto"/>
                      <w:sz w:val="21"/>
                      <w:lang w:val="en-US" w:eastAsia="zh-CN"/>
                    </w:rPr>
                  </w:pPr>
                  <w:r>
                    <w:rPr>
                      <w:rFonts w:hint="eastAsia"/>
                      <w:color w:val="auto"/>
                      <w:sz w:val="21"/>
                      <w:lang w:val="en-US" w:eastAsia="zh-CN"/>
                    </w:rPr>
                    <w:t>夜间</w:t>
                  </w:r>
                </w:p>
              </w:tc>
              <w:tc>
                <w:tcPr>
                  <w:tcW w:w="1230" w:type="pct"/>
                  <w:tcBorders>
                    <w:tl2br w:val="nil"/>
                    <w:tr2bl w:val="nil"/>
                  </w:tcBorders>
                  <w:noWrap w:val="0"/>
                  <w:vAlign w:val="center"/>
                </w:tcPr>
                <w:p w14:paraId="2BBF40E9">
                  <w:pPr>
                    <w:shd w:val="clear" w:color="auto" w:fill="auto"/>
                    <w:adjustRightInd w:val="0"/>
                    <w:snapToGrid w:val="0"/>
                    <w:spacing w:line="240" w:lineRule="auto"/>
                    <w:ind w:firstLine="0" w:firstLineChars="0"/>
                    <w:jc w:val="center"/>
                    <w:rPr>
                      <w:rFonts w:hint="default"/>
                      <w:b w:val="0"/>
                      <w:bCs w:val="0"/>
                      <w:color w:val="auto"/>
                      <w:sz w:val="21"/>
                      <w:lang w:val="en-US" w:eastAsia="zh-CN"/>
                    </w:rPr>
                  </w:pPr>
                  <w:r>
                    <w:rPr>
                      <w:rFonts w:hint="eastAsia"/>
                      <w:b w:val="0"/>
                      <w:bCs w:val="0"/>
                      <w:color w:val="auto"/>
                      <w:sz w:val="21"/>
                    </w:rPr>
                    <w:t>＜</w:t>
                  </w:r>
                  <w:r>
                    <w:rPr>
                      <w:rFonts w:hint="eastAsia"/>
                      <w:b w:val="0"/>
                      <w:bCs w:val="0"/>
                      <w:color w:val="auto"/>
                      <w:sz w:val="21"/>
                      <w:lang w:val="en-US" w:eastAsia="zh-CN"/>
                    </w:rPr>
                    <w:t>35</w:t>
                  </w:r>
                </w:p>
              </w:tc>
              <w:tc>
                <w:tcPr>
                  <w:tcW w:w="1309" w:type="pct"/>
                  <w:tcBorders>
                    <w:tl2br w:val="nil"/>
                    <w:tr2bl w:val="nil"/>
                  </w:tcBorders>
                  <w:noWrap w:val="0"/>
                  <w:vAlign w:val="center"/>
                </w:tcPr>
                <w:p w14:paraId="6F710B09">
                  <w:pPr>
                    <w:shd w:val="clear" w:color="auto" w:fill="auto"/>
                    <w:adjustRightInd w:val="0"/>
                    <w:snapToGrid w:val="0"/>
                    <w:spacing w:line="240" w:lineRule="auto"/>
                    <w:ind w:firstLine="0" w:firstLineChars="0"/>
                    <w:jc w:val="center"/>
                    <w:rPr>
                      <w:rFonts w:hint="default"/>
                      <w:b w:val="0"/>
                      <w:bCs w:val="0"/>
                      <w:color w:val="auto"/>
                      <w:sz w:val="21"/>
                      <w:lang w:val="en-US" w:eastAsia="zh-CN"/>
                    </w:rPr>
                  </w:pPr>
                  <w:r>
                    <w:rPr>
                      <w:rFonts w:hint="eastAsia"/>
                      <w:b w:val="0"/>
                      <w:bCs w:val="0"/>
                      <w:color w:val="auto"/>
                      <w:sz w:val="21"/>
                    </w:rPr>
                    <w:t>＜20</w:t>
                  </w:r>
                </w:p>
              </w:tc>
            </w:tr>
            <w:tr w14:paraId="36E326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pct"/>
                  <w:vMerge w:val="restart"/>
                  <w:tcBorders>
                    <w:tl2br w:val="nil"/>
                    <w:tr2bl w:val="nil"/>
                  </w:tcBorders>
                  <w:noWrap w:val="0"/>
                  <w:vAlign w:val="center"/>
                </w:tcPr>
                <w:p w14:paraId="725C136C">
                  <w:pPr>
                    <w:pStyle w:val="85"/>
                    <w:shd w:val="clear" w:color="auto" w:fill="auto"/>
                    <w:adjustRightInd w:val="0"/>
                    <w:snapToGrid w:val="0"/>
                    <w:spacing w:line="240" w:lineRule="auto"/>
                    <w:ind w:firstLine="0" w:firstLineChars="0"/>
                    <w:jc w:val="center"/>
                    <w:rPr>
                      <w:color w:val="auto"/>
                      <w:sz w:val="21"/>
                    </w:rPr>
                  </w:pPr>
                  <w:r>
                    <w:rPr>
                      <w:rFonts w:hint="eastAsia"/>
                      <w:color w:val="auto"/>
                      <w:sz w:val="21"/>
                    </w:rPr>
                    <w:t>2032</w:t>
                  </w:r>
                </w:p>
              </w:tc>
              <w:tc>
                <w:tcPr>
                  <w:tcW w:w="1230" w:type="pct"/>
                  <w:tcBorders>
                    <w:tl2br w:val="nil"/>
                    <w:tr2bl w:val="nil"/>
                  </w:tcBorders>
                  <w:noWrap w:val="0"/>
                  <w:vAlign w:val="center"/>
                </w:tcPr>
                <w:p w14:paraId="5BE5B8AA">
                  <w:pPr>
                    <w:pStyle w:val="85"/>
                    <w:shd w:val="clear" w:color="auto" w:fill="auto"/>
                    <w:adjustRightInd w:val="0"/>
                    <w:snapToGrid w:val="0"/>
                    <w:spacing w:line="240" w:lineRule="auto"/>
                    <w:ind w:firstLine="0" w:firstLineChars="0"/>
                    <w:jc w:val="center"/>
                    <w:rPr>
                      <w:rFonts w:hint="eastAsia" w:eastAsia="宋体"/>
                      <w:color w:val="auto"/>
                      <w:sz w:val="21"/>
                      <w:lang w:val="en-US" w:eastAsia="zh-CN"/>
                    </w:rPr>
                  </w:pPr>
                  <w:r>
                    <w:rPr>
                      <w:rFonts w:hint="eastAsia"/>
                      <w:color w:val="auto"/>
                      <w:sz w:val="21"/>
                      <w:lang w:val="en-US" w:eastAsia="zh-CN"/>
                    </w:rPr>
                    <w:t>昼间</w:t>
                  </w:r>
                </w:p>
              </w:tc>
              <w:tc>
                <w:tcPr>
                  <w:tcW w:w="1230" w:type="pct"/>
                  <w:tcBorders>
                    <w:tl2br w:val="nil"/>
                    <w:tr2bl w:val="nil"/>
                  </w:tcBorders>
                  <w:noWrap w:val="0"/>
                  <w:vAlign w:val="center"/>
                </w:tcPr>
                <w:p w14:paraId="7F9CC221">
                  <w:pPr>
                    <w:shd w:val="clear" w:color="auto" w:fill="auto"/>
                    <w:adjustRightInd w:val="0"/>
                    <w:snapToGrid w:val="0"/>
                    <w:spacing w:line="240" w:lineRule="auto"/>
                    <w:ind w:firstLine="0" w:firstLineChars="0"/>
                    <w:jc w:val="center"/>
                    <w:rPr>
                      <w:rFonts w:hint="default" w:eastAsia="宋体"/>
                      <w:b w:val="0"/>
                      <w:bCs w:val="0"/>
                      <w:color w:val="auto"/>
                      <w:sz w:val="21"/>
                      <w:lang w:val="en-US" w:eastAsia="zh-CN"/>
                    </w:rPr>
                  </w:pPr>
                  <w:r>
                    <w:rPr>
                      <w:rFonts w:hint="eastAsia"/>
                      <w:b w:val="0"/>
                      <w:bCs w:val="0"/>
                      <w:color w:val="auto"/>
                      <w:sz w:val="21"/>
                    </w:rPr>
                    <w:t>＜</w:t>
                  </w:r>
                  <w:r>
                    <w:rPr>
                      <w:rFonts w:hint="eastAsia"/>
                      <w:b w:val="0"/>
                      <w:bCs w:val="0"/>
                      <w:color w:val="auto"/>
                      <w:sz w:val="21"/>
                      <w:lang w:val="en-US" w:eastAsia="zh-CN"/>
                    </w:rPr>
                    <w:t>35</w:t>
                  </w:r>
                </w:p>
              </w:tc>
              <w:tc>
                <w:tcPr>
                  <w:tcW w:w="1309" w:type="pct"/>
                  <w:tcBorders>
                    <w:tl2br w:val="nil"/>
                    <w:tr2bl w:val="nil"/>
                  </w:tcBorders>
                  <w:noWrap w:val="0"/>
                  <w:vAlign w:val="center"/>
                </w:tcPr>
                <w:p w14:paraId="77752428">
                  <w:pPr>
                    <w:shd w:val="clear" w:color="auto" w:fill="auto"/>
                    <w:adjustRightInd w:val="0"/>
                    <w:snapToGrid w:val="0"/>
                    <w:spacing w:line="240" w:lineRule="auto"/>
                    <w:ind w:firstLine="0" w:firstLineChars="0"/>
                    <w:jc w:val="center"/>
                    <w:rPr>
                      <w:rFonts w:hint="default" w:eastAsia="宋体"/>
                      <w:b w:val="0"/>
                      <w:bCs w:val="0"/>
                      <w:color w:val="auto"/>
                      <w:sz w:val="21"/>
                      <w:lang w:val="en-US" w:eastAsia="zh-CN"/>
                    </w:rPr>
                  </w:pPr>
                  <w:r>
                    <w:rPr>
                      <w:rFonts w:hint="eastAsia"/>
                      <w:b w:val="0"/>
                      <w:bCs w:val="0"/>
                      <w:color w:val="auto"/>
                      <w:sz w:val="21"/>
                    </w:rPr>
                    <w:t>＜20</w:t>
                  </w:r>
                </w:p>
              </w:tc>
            </w:tr>
            <w:tr w14:paraId="1C0727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30" w:type="pct"/>
                  <w:vMerge w:val="continue"/>
                  <w:tcBorders>
                    <w:tl2br w:val="nil"/>
                    <w:tr2bl w:val="nil"/>
                  </w:tcBorders>
                  <w:noWrap w:val="0"/>
                  <w:vAlign w:val="center"/>
                </w:tcPr>
                <w:p w14:paraId="784B4BFD">
                  <w:pPr>
                    <w:pStyle w:val="85"/>
                    <w:shd w:val="clear" w:color="auto" w:fill="auto"/>
                    <w:adjustRightInd w:val="0"/>
                    <w:snapToGrid w:val="0"/>
                    <w:spacing w:line="240" w:lineRule="auto"/>
                    <w:ind w:firstLine="0" w:firstLineChars="0"/>
                    <w:jc w:val="center"/>
                    <w:rPr>
                      <w:rFonts w:hint="eastAsia"/>
                      <w:color w:val="auto"/>
                      <w:sz w:val="21"/>
                    </w:rPr>
                  </w:pPr>
                </w:p>
              </w:tc>
              <w:tc>
                <w:tcPr>
                  <w:tcW w:w="1230" w:type="pct"/>
                  <w:tcBorders>
                    <w:tl2br w:val="nil"/>
                    <w:tr2bl w:val="nil"/>
                  </w:tcBorders>
                  <w:noWrap w:val="0"/>
                  <w:vAlign w:val="center"/>
                </w:tcPr>
                <w:p w14:paraId="73682772">
                  <w:pPr>
                    <w:pStyle w:val="85"/>
                    <w:shd w:val="clear" w:color="auto" w:fill="auto"/>
                    <w:adjustRightInd w:val="0"/>
                    <w:snapToGrid w:val="0"/>
                    <w:spacing w:line="240" w:lineRule="auto"/>
                    <w:ind w:firstLine="0" w:firstLineChars="0"/>
                    <w:jc w:val="center"/>
                    <w:rPr>
                      <w:rFonts w:hint="eastAsia" w:eastAsia="宋体"/>
                      <w:color w:val="auto"/>
                      <w:sz w:val="21"/>
                      <w:lang w:val="en-US" w:eastAsia="zh-CN"/>
                    </w:rPr>
                  </w:pPr>
                  <w:r>
                    <w:rPr>
                      <w:rFonts w:hint="eastAsia"/>
                      <w:color w:val="auto"/>
                      <w:sz w:val="21"/>
                      <w:lang w:val="en-US" w:eastAsia="zh-CN"/>
                    </w:rPr>
                    <w:t>夜间</w:t>
                  </w:r>
                </w:p>
              </w:tc>
              <w:tc>
                <w:tcPr>
                  <w:tcW w:w="1230" w:type="pct"/>
                  <w:tcBorders>
                    <w:tl2br w:val="nil"/>
                    <w:tr2bl w:val="nil"/>
                  </w:tcBorders>
                  <w:noWrap w:val="0"/>
                  <w:vAlign w:val="center"/>
                </w:tcPr>
                <w:p w14:paraId="4C00048C">
                  <w:pPr>
                    <w:shd w:val="clear" w:color="auto" w:fill="auto"/>
                    <w:adjustRightInd w:val="0"/>
                    <w:snapToGrid w:val="0"/>
                    <w:spacing w:line="240" w:lineRule="auto"/>
                    <w:ind w:firstLine="0" w:firstLineChars="0"/>
                    <w:jc w:val="center"/>
                    <w:rPr>
                      <w:rFonts w:hint="default"/>
                      <w:b w:val="0"/>
                      <w:bCs w:val="0"/>
                      <w:color w:val="auto"/>
                      <w:sz w:val="21"/>
                      <w:lang w:val="en-US" w:eastAsia="zh-CN"/>
                    </w:rPr>
                  </w:pPr>
                  <w:r>
                    <w:rPr>
                      <w:rFonts w:hint="eastAsia"/>
                      <w:b w:val="0"/>
                      <w:bCs w:val="0"/>
                      <w:color w:val="auto"/>
                      <w:sz w:val="21"/>
                    </w:rPr>
                    <w:t>＜</w:t>
                  </w:r>
                  <w:r>
                    <w:rPr>
                      <w:rFonts w:hint="eastAsia"/>
                      <w:b w:val="0"/>
                      <w:bCs w:val="0"/>
                      <w:color w:val="auto"/>
                      <w:sz w:val="21"/>
                      <w:lang w:val="en-US" w:eastAsia="zh-CN"/>
                    </w:rPr>
                    <w:t>35</w:t>
                  </w:r>
                </w:p>
              </w:tc>
              <w:tc>
                <w:tcPr>
                  <w:tcW w:w="1309" w:type="pct"/>
                  <w:tcBorders>
                    <w:tl2br w:val="nil"/>
                    <w:tr2bl w:val="nil"/>
                  </w:tcBorders>
                  <w:noWrap w:val="0"/>
                  <w:vAlign w:val="center"/>
                </w:tcPr>
                <w:p w14:paraId="21E594AB">
                  <w:pPr>
                    <w:shd w:val="clear" w:color="auto" w:fill="auto"/>
                    <w:adjustRightInd w:val="0"/>
                    <w:snapToGrid w:val="0"/>
                    <w:spacing w:line="240" w:lineRule="auto"/>
                    <w:ind w:firstLine="0" w:firstLineChars="0"/>
                    <w:jc w:val="center"/>
                    <w:rPr>
                      <w:rFonts w:hint="eastAsia"/>
                      <w:b w:val="0"/>
                      <w:bCs w:val="0"/>
                      <w:color w:val="auto"/>
                      <w:sz w:val="21"/>
                      <w:lang w:val="en-US" w:eastAsia="zh-CN"/>
                    </w:rPr>
                  </w:pPr>
                  <w:r>
                    <w:rPr>
                      <w:rFonts w:hint="eastAsia"/>
                      <w:b w:val="0"/>
                      <w:bCs w:val="0"/>
                      <w:color w:val="auto"/>
                      <w:sz w:val="21"/>
                    </w:rPr>
                    <w:t>＜20</w:t>
                  </w:r>
                </w:p>
              </w:tc>
            </w:tr>
            <w:tr w14:paraId="33CB3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pct"/>
                  <w:vMerge w:val="restart"/>
                  <w:tcBorders>
                    <w:tl2br w:val="nil"/>
                    <w:tr2bl w:val="nil"/>
                  </w:tcBorders>
                  <w:noWrap w:val="0"/>
                  <w:vAlign w:val="center"/>
                </w:tcPr>
                <w:p w14:paraId="48350800">
                  <w:pPr>
                    <w:pStyle w:val="85"/>
                    <w:shd w:val="clear" w:color="auto" w:fill="auto"/>
                    <w:adjustRightInd w:val="0"/>
                    <w:snapToGrid w:val="0"/>
                    <w:spacing w:line="240" w:lineRule="auto"/>
                    <w:ind w:firstLine="0" w:firstLineChars="0"/>
                    <w:jc w:val="center"/>
                    <w:rPr>
                      <w:color w:val="auto"/>
                      <w:sz w:val="21"/>
                    </w:rPr>
                  </w:pPr>
                  <w:r>
                    <w:rPr>
                      <w:rFonts w:hint="eastAsia"/>
                      <w:color w:val="auto"/>
                      <w:sz w:val="21"/>
                    </w:rPr>
                    <w:t>2040</w:t>
                  </w:r>
                </w:p>
              </w:tc>
              <w:tc>
                <w:tcPr>
                  <w:tcW w:w="1230" w:type="pct"/>
                  <w:tcBorders>
                    <w:tl2br w:val="nil"/>
                    <w:tr2bl w:val="nil"/>
                  </w:tcBorders>
                  <w:noWrap w:val="0"/>
                  <w:vAlign w:val="center"/>
                </w:tcPr>
                <w:p w14:paraId="3433A065">
                  <w:pPr>
                    <w:pStyle w:val="85"/>
                    <w:shd w:val="clear" w:color="auto" w:fill="auto"/>
                    <w:adjustRightInd w:val="0"/>
                    <w:snapToGrid w:val="0"/>
                    <w:spacing w:line="240" w:lineRule="auto"/>
                    <w:ind w:firstLine="0" w:firstLineChars="0"/>
                    <w:jc w:val="center"/>
                    <w:rPr>
                      <w:rFonts w:hint="eastAsia" w:eastAsia="宋体"/>
                      <w:color w:val="auto"/>
                      <w:sz w:val="21"/>
                      <w:lang w:val="en-US" w:eastAsia="zh-CN"/>
                    </w:rPr>
                  </w:pPr>
                  <w:r>
                    <w:rPr>
                      <w:rFonts w:hint="eastAsia"/>
                      <w:color w:val="auto"/>
                      <w:sz w:val="21"/>
                      <w:lang w:val="en-US" w:eastAsia="zh-CN"/>
                    </w:rPr>
                    <w:t>昼间</w:t>
                  </w:r>
                </w:p>
              </w:tc>
              <w:tc>
                <w:tcPr>
                  <w:tcW w:w="1230" w:type="pct"/>
                  <w:tcBorders>
                    <w:tl2br w:val="nil"/>
                    <w:tr2bl w:val="nil"/>
                  </w:tcBorders>
                  <w:noWrap w:val="0"/>
                  <w:vAlign w:val="center"/>
                </w:tcPr>
                <w:p w14:paraId="21285974">
                  <w:pPr>
                    <w:shd w:val="clear" w:color="auto" w:fill="auto"/>
                    <w:adjustRightInd w:val="0"/>
                    <w:snapToGrid w:val="0"/>
                    <w:spacing w:line="240" w:lineRule="auto"/>
                    <w:ind w:firstLine="0" w:firstLineChars="0"/>
                    <w:jc w:val="center"/>
                    <w:rPr>
                      <w:rFonts w:hint="default" w:eastAsia="宋体"/>
                      <w:b w:val="0"/>
                      <w:bCs w:val="0"/>
                      <w:color w:val="auto"/>
                      <w:sz w:val="21"/>
                      <w:lang w:val="en-US" w:eastAsia="zh-CN"/>
                    </w:rPr>
                  </w:pPr>
                  <w:r>
                    <w:rPr>
                      <w:rFonts w:hint="eastAsia"/>
                      <w:b w:val="0"/>
                      <w:bCs w:val="0"/>
                      <w:color w:val="auto"/>
                      <w:sz w:val="21"/>
                    </w:rPr>
                    <w:t>＜</w:t>
                  </w:r>
                  <w:r>
                    <w:rPr>
                      <w:rFonts w:hint="eastAsia"/>
                      <w:b w:val="0"/>
                      <w:bCs w:val="0"/>
                      <w:color w:val="auto"/>
                      <w:sz w:val="21"/>
                      <w:lang w:val="en-US" w:eastAsia="zh-CN"/>
                    </w:rPr>
                    <w:t>35</w:t>
                  </w:r>
                </w:p>
              </w:tc>
              <w:tc>
                <w:tcPr>
                  <w:tcW w:w="1309" w:type="pct"/>
                  <w:tcBorders>
                    <w:tl2br w:val="nil"/>
                    <w:tr2bl w:val="nil"/>
                  </w:tcBorders>
                  <w:noWrap w:val="0"/>
                  <w:vAlign w:val="center"/>
                </w:tcPr>
                <w:p w14:paraId="17DDE129">
                  <w:pPr>
                    <w:shd w:val="clear" w:color="auto" w:fill="auto"/>
                    <w:adjustRightInd w:val="0"/>
                    <w:snapToGrid w:val="0"/>
                    <w:spacing w:line="240" w:lineRule="auto"/>
                    <w:ind w:firstLine="0" w:firstLineChars="0"/>
                    <w:jc w:val="center"/>
                    <w:rPr>
                      <w:rFonts w:hint="default" w:eastAsia="宋体"/>
                      <w:b w:val="0"/>
                      <w:bCs w:val="0"/>
                      <w:color w:val="auto"/>
                      <w:sz w:val="21"/>
                      <w:lang w:val="en-US" w:eastAsia="zh-CN"/>
                    </w:rPr>
                  </w:pPr>
                  <w:r>
                    <w:rPr>
                      <w:rFonts w:hint="eastAsia"/>
                      <w:b w:val="0"/>
                      <w:bCs w:val="0"/>
                      <w:color w:val="auto"/>
                      <w:sz w:val="21"/>
                    </w:rPr>
                    <w:t>＜20</w:t>
                  </w:r>
                </w:p>
              </w:tc>
            </w:tr>
            <w:tr w14:paraId="7DD46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pct"/>
                  <w:vMerge w:val="continue"/>
                  <w:tcBorders>
                    <w:tl2br w:val="nil"/>
                    <w:tr2bl w:val="nil"/>
                  </w:tcBorders>
                  <w:noWrap w:val="0"/>
                  <w:vAlign w:val="center"/>
                </w:tcPr>
                <w:p w14:paraId="2EDAFE4A">
                  <w:pPr>
                    <w:pStyle w:val="85"/>
                    <w:shd w:val="clear" w:color="auto" w:fill="auto"/>
                    <w:adjustRightInd w:val="0"/>
                    <w:snapToGrid w:val="0"/>
                    <w:spacing w:line="240" w:lineRule="auto"/>
                    <w:ind w:firstLine="0" w:firstLineChars="0"/>
                    <w:jc w:val="center"/>
                    <w:rPr>
                      <w:rFonts w:hint="eastAsia"/>
                      <w:color w:val="auto"/>
                      <w:sz w:val="21"/>
                    </w:rPr>
                  </w:pPr>
                </w:p>
              </w:tc>
              <w:tc>
                <w:tcPr>
                  <w:tcW w:w="1230" w:type="pct"/>
                  <w:tcBorders>
                    <w:tl2br w:val="nil"/>
                    <w:tr2bl w:val="nil"/>
                  </w:tcBorders>
                  <w:noWrap w:val="0"/>
                  <w:vAlign w:val="center"/>
                </w:tcPr>
                <w:p w14:paraId="410FE1F9">
                  <w:pPr>
                    <w:pStyle w:val="85"/>
                    <w:shd w:val="clear" w:color="auto" w:fill="auto"/>
                    <w:adjustRightInd w:val="0"/>
                    <w:snapToGrid w:val="0"/>
                    <w:spacing w:line="240" w:lineRule="auto"/>
                    <w:ind w:firstLine="0" w:firstLineChars="0"/>
                    <w:jc w:val="center"/>
                    <w:rPr>
                      <w:rFonts w:hint="eastAsia" w:eastAsia="宋体"/>
                      <w:color w:val="auto"/>
                      <w:sz w:val="21"/>
                      <w:lang w:val="en-US" w:eastAsia="zh-CN"/>
                    </w:rPr>
                  </w:pPr>
                  <w:r>
                    <w:rPr>
                      <w:rFonts w:hint="eastAsia"/>
                      <w:color w:val="auto"/>
                      <w:sz w:val="21"/>
                      <w:lang w:val="en-US" w:eastAsia="zh-CN"/>
                    </w:rPr>
                    <w:t>夜间</w:t>
                  </w:r>
                </w:p>
              </w:tc>
              <w:tc>
                <w:tcPr>
                  <w:tcW w:w="1230" w:type="pct"/>
                  <w:tcBorders>
                    <w:tl2br w:val="nil"/>
                    <w:tr2bl w:val="nil"/>
                  </w:tcBorders>
                  <w:noWrap w:val="0"/>
                  <w:vAlign w:val="center"/>
                </w:tcPr>
                <w:p w14:paraId="6EBB2617">
                  <w:pPr>
                    <w:shd w:val="clear" w:color="auto" w:fill="auto"/>
                    <w:adjustRightInd w:val="0"/>
                    <w:snapToGrid w:val="0"/>
                    <w:spacing w:line="240" w:lineRule="auto"/>
                    <w:ind w:firstLine="0" w:firstLineChars="0"/>
                    <w:jc w:val="center"/>
                    <w:rPr>
                      <w:rFonts w:hint="default"/>
                      <w:b w:val="0"/>
                      <w:bCs w:val="0"/>
                      <w:color w:val="auto"/>
                      <w:sz w:val="21"/>
                      <w:lang w:val="en-US" w:eastAsia="zh-CN"/>
                    </w:rPr>
                  </w:pPr>
                  <w:r>
                    <w:rPr>
                      <w:rFonts w:hint="eastAsia"/>
                      <w:b w:val="0"/>
                      <w:bCs w:val="0"/>
                      <w:color w:val="auto"/>
                      <w:sz w:val="21"/>
                    </w:rPr>
                    <w:t>＜</w:t>
                  </w:r>
                  <w:r>
                    <w:rPr>
                      <w:rFonts w:hint="eastAsia"/>
                      <w:b w:val="0"/>
                      <w:bCs w:val="0"/>
                      <w:color w:val="auto"/>
                      <w:sz w:val="21"/>
                      <w:lang w:val="en-US" w:eastAsia="zh-CN"/>
                    </w:rPr>
                    <w:t>35</w:t>
                  </w:r>
                </w:p>
              </w:tc>
              <w:tc>
                <w:tcPr>
                  <w:tcW w:w="1309" w:type="pct"/>
                  <w:tcBorders>
                    <w:tl2br w:val="nil"/>
                    <w:tr2bl w:val="nil"/>
                  </w:tcBorders>
                  <w:noWrap w:val="0"/>
                  <w:vAlign w:val="center"/>
                </w:tcPr>
                <w:p w14:paraId="7C8BD59B">
                  <w:pPr>
                    <w:shd w:val="clear" w:color="auto" w:fill="auto"/>
                    <w:adjustRightInd w:val="0"/>
                    <w:snapToGrid w:val="0"/>
                    <w:spacing w:line="240" w:lineRule="auto"/>
                    <w:ind w:firstLine="0" w:firstLineChars="0"/>
                    <w:jc w:val="center"/>
                    <w:rPr>
                      <w:rFonts w:hint="eastAsia"/>
                      <w:b w:val="0"/>
                      <w:bCs w:val="0"/>
                      <w:color w:val="auto"/>
                      <w:sz w:val="21"/>
                      <w:lang w:val="en-US" w:eastAsia="zh-CN"/>
                    </w:rPr>
                  </w:pPr>
                  <w:r>
                    <w:rPr>
                      <w:rFonts w:hint="eastAsia"/>
                      <w:b w:val="0"/>
                      <w:bCs w:val="0"/>
                      <w:color w:val="auto"/>
                      <w:sz w:val="21"/>
                    </w:rPr>
                    <w:t>＜20</w:t>
                  </w:r>
                </w:p>
              </w:tc>
            </w:tr>
            <w:tr w14:paraId="7B80A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0" w:type="pct"/>
                  <w:vMerge w:val="continue"/>
                  <w:tcBorders>
                    <w:tl2br w:val="nil"/>
                    <w:tr2bl w:val="nil"/>
                  </w:tcBorders>
                  <w:noWrap w:val="0"/>
                  <w:vAlign w:val="center"/>
                </w:tcPr>
                <w:p w14:paraId="71E92AB0">
                  <w:pPr>
                    <w:pStyle w:val="85"/>
                    <w:shd w:val="clear" w:color="auto" w:fill="auto"/>
                    <w:adjustRightInd w:val="0"/>
                    <w:snapToGrid w:val="0"/>
                    <w:spacing w:line="240" w:lineRule="auto"/>
                    <w:ind w:firstLine="0" w:firstLineChars="0"/>
                    <w:jc w:val="center"/>
                    <w:rPr>
                      <w:rFonts w:hint="eastAsia"/>
                      <w:color w:val="auto"/>
                      <w:sz w:val="21"/>
                    </w:rPr>
                  </w:pPr>
                </w:p>
              </w:tc>
              <w:tc>
                <w:tcPr>
                  <w:tcW w:w="1230" w:type="pct"/>
                  <w:tcBorders>
                    <w:tl2br w:val="nil"/>
                    <w:tr2bl w:val="nil"/>
                  </w:tcBorders>
                  <w:noWrap w:val="0"/>
                  <w:vAlign w:val="center"/>
                </w:tcPr>
                <w:p w14:paraId="4FD99E5B">
                  <w:pPr>
                    <w:pStyle w:val="85"/>
                    <w:shd w:val="clear" w:color="auto" w:fill="auto"/>
                    <w:adjustRightInd w:val="0"/>
                    <w:snapToGrid w:val="0"/>
                    <w:spacing w:line="240" w:lineRule="auto"/>
                    <w:ind w:firstLine="0" w:firstLineChars="0"/>
                    <w:jc w:val="center"/>
                    <w:rPr>
                      <w:rFonts w:hint="eastAsia"/>
                      <w:color w:val="auto"/>
                      <w:sz w:val="21"/>
                      <w:lang w:val="en-US" w:eastAsia="zh-CN"/>
                    </w:rPr>
                  </w:pPr>
                  <w:r>
                    <w:rPr>
                      <w:rFonts w:hint="eastAsia"/>
                      <w:color w:val="auto"/>
                      <w:sz w:val="21"/>
                      <w:lang w:val="en-US" w:eastAsia="zh-CN"/>
                    </w:rPr>
                    <w:t>夜间</w:t>
                  </w:r>
                </w:p>
              </w:tc>
              <w:tc>
                <w:tcPr>
                  <w:tcW w:w="1230" w:type="pct"/>
                  <w:tcBorders>
                    <w:tl2br w:val="nil"/>
                    <w:tr2bl w:val="nil"/>
                  </w:tcBorders>
                  <w:noWrap w:val="0"/>
                  <w:vAlign w:val="center"/>
                </w:tcPr>
                <w:p w14:paraId="191A309F">
                  <w:pPr>
                    <w:shd w:val="clear" w:color="auto" w:fill="auto"/>
                    <w:adjustRightInd w:val="0"/>
                    <w:snapToGrid w:val="0"/>
                    <w:spacing w:line="240" w:lineRule="auto"/>
                    <w:ind w:firstLine="0" w:firstLineChars="0"/>
                    <w:jc w:val="center"/>
                    <w:rPr>
                      <w:rFonts w:hint="eastAsia"/>
                      <w:b w:val="0"/>
                      <w:bCs w:val="0"/>
                      <w:color w:val="auto"/>
                      <w:sz w:val="21"/>
                    </w:rPr>
                  </w:pPr>
                  <w:r>
                    <w:rPr>
                      <w:rFonts w:hint="eastAsia"/>
                      <w:b w:val="0"/>
                      <w:bCs w:val="0"/>
                      <w:color w:val="auto"/>
                      <w:sz w:val="21"/>
                    </w:rPr>
                    <w:t>＜</w:t>
                  </w:r>
                  <w:r>
                    <w:rPr>
                      <w:rFonts w:hint="eastAsia"/>
                      <w:b w:val="0"/>
                      <w:bCs w:val="0"/>
                      <w:color w:val="auto"/>
                      <w:sz w:val="21"/>
                      <w:lang w:val="en-US" w:eastAsia="zh-CN"/>
                    </w:rPr>
                    <w:t>35</w:t>
                  </w:r>
                </w:p>
              </w:tc>
              <w:tc>
                <w:tcPr>
                  <w:tcW w:w="1309" w:type="pct"/>
                  <w:tcBorders>
                    <w:tl2br w:val="nil"/>
                    <w:tr2bl w:val="nil"/>
                  </w:tcBorders>
                  <w:noWrap w:val="0"/>
                  <w:vAlign w:val="center"/>
                </w:tcPr>
                <w:p w14:paraId="56188043">
                  <w:pPr>
                    <w:shd w:val="clear" w:color="auto" w:fill="auto"/>
                    <w:adjustRightInd w:val="0"/>
                    <w:snapToGrid w:val="0"/>
                    <w:spacing w:line="240" w:lineRule="auto"/>
                    <w:ind w:firstLine="0" w:firstLineChars="0"/>
                    <w:jc w:val="center"/>
                    <w:rPr>
                      <w:rFonts w:hint="eastAsia"/>
                      <w:b w:val="0"/>
                      <w:bCs w:val="0"/>
                      <w:color w:val="auto"/>
                      <w:sz w:val="21"/>
                    </w:rPr>
                  </w:pPr>
                  <w:r>
                    <w:rPr>
                      <w:rFonts w:hint="eastAsia"/>
                      <w:b w:val="0"/>
                      <w:bCs w:val="0"/>
                      <w:color w:val="auto"/>
                      <w:sz w:val="21"/>
                    </w:rPr>
                    <w:t>＜20</w:t>
                  </w:r>
                </w:p>
              </w:tc>
            </w:tr>
          </w:tbl>
          <w:p w14:paraId="443F1B42">
            <w:pPr>
              <w:pStyle w:val="86"/>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firstLine="480" w:firstLineChars="200"/>
              <w:textAlignment w:val="baseline"/>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项目运营期近期、中期、远期噪声预测结果汇总结果见噪声专项评价。</w:t>
            </w:r>
          </w:p>
          <w:p w14:paraId="5CAF61DD">
            <w:pPr>
              <w:pStyle w:val="25"/>
              <w:pageBreakBefore w:val="0"/>
              <w:wordWrap/>
              <w:topLinePunct w:val="0"/>
              <w:bidi w:val="0"/>
              <w:spacing w:before="0" w:beforeAutospacing="0" w:after="0" w:afterAutospacing="0"/>
              <w:ind w:right="0"/>
              <w:jc w:val="both"/>
              <w:rPr>
                <w:rFonts w:hint="default" w:ascii="Times New Roman" w:hAnsi="Times New Roman" w:eastAsia="黑体" w:cs="Times New Roman"/>
                <w:caps w:val="0"/>
                <w:smallCaps w:val="0"/>
                <w:snapToGrid w:val="0"/>
                <w:color w:val="auto"/>
                <w:spacing w:val="0"/>
                <w:w w:val="100"/>
                <w:kern w:val="2"/>
                <w:position w:val="0"/>
                <w:sz w:val="36"/>
                <w:szCs w:val="36"/>
                <w:highlight w:val="none"/>
                <w:vertAlign w:val="baseline"/>
              </w:rPr>
            </w:pPr>
          </w:p>
        </w:tc>
      </w:tr>
    </w:tbl>
    <w:p w14:paraId="6EBE439B">
      <w:pPr>
        <w:pStyle w:val="25"/>
        <w:pageBreakBefore w:val="0"/>
        <w:wordWrap/>
        <w:topLinePunct w:val="0"/>
        <w:bidi w:val="0"/>
        <w:spacing w:before="0" w:beforeAutospacing="0" w:after="0" w:afterAutospacing="0"/>
        <w:ind w:left="0" w:leftChars="0" w:right="0"/>
        <w:jc w:val="center"/>
        <w:rPr>
          <w:rFonts w:hint="default" w:ascii="Times New Roman" w:hAnsi="Times New Roman" w:eastAsia="黑体" w:cs="Times New Roman"/>
          <w:caps w:val="0"/>
          <w:smallCaps w:val="0"/>
          <w:snapToGrid w:val="0"/>
          <w:color w:val="auto"/>
          <w:spacing w:val="0"/>
          <w:w w:val="100"/>
          <w:kern w:val="2"/>
          <w:position w:val="0"/>
          <w:sz w:val="36"/>
          <w:szCs w:val="36"/>
          <w:highlight w:val="none"/>
        </w:rPr>
        <w:sectPr>
          <w:pgSz w:w="16838" w:h="11906" w:orient="landscape"/>
          <w:pgMar w:top="1800" w:right="1440" w:bottom="1800" w:left="1440"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30"/>
        <w:tblW w:w="5078" w:type="pct"/>
        <w:tblInd w:w="-58" w:type="dxa"/>
        <w:tblBorders>
          <w:top w:val="single" w:color="auto" w:sz="12" w:space="0"/>
          <w:left w:val="single" w:color="auto" w:sz="12" w:space="0"/>
          <w:bottom w:val="single" w:color="auto" w:sz="12" w:space="0"/>
          <w:right w:val="single" w:color="auto" w:sz="12" w:space="0"/>
          <w:insideH w:val="single" w:color="auto" w:sz="12" w:space="0"/>
          <w:insideV w:val="single" w:color="auto" w:sz="8" w:space="0"/>
        </w:tblBorders>
        <w:tblLayout w:type="fixed"/>
        <w:tblCellMar>
          <w:top w:w="0" w:type="dxa"/>
          <w:left w:w="108" w:type="dxa"/>
          <w:bottom w:w="0" w:type="dxa"/>
          <w:right w:w="108" w:type="dxa"/>
        </w:tblCellMar>
      </w:tblPr>
      <w:tblGrid>
        <w:gridCol w:w="748"/>
        <w:gridCol w:w="7907"/>
      </w:tblGrid>
      <w:tr w14:paraId="62F6629B">
        <w:tblPrEx>
          <w:tblBorders>
            <w:top w:val="single" w:color="auto" w:sz="12" w:space="0"/>
            <w:left w:val="single" w:color="auto" w:sz="12" w:space="0"/>
            <w:bottom w:val="single" w:color="auto" w:sz="12" w:space="0"/>
            <w:right w:val="single" w:color="auto" w:sz="12" w:space="0"/>
            <w:insideH w:val="single" w:color="auto" w:sz="12" w:space="0"/>
            <w:insideV w:val="single" w:color="auto" w:sz="8" w:space="0"/>
          </w:tblBorders>
        </w:tblPrEx>
        <w:tc>
          <w:tcPr>
            <w:tcW w:w="432" w:type="pct"/>
            <w:tcBorders>
              <w:tl2br w:val="nil"/>
              <w:tr2bl w:val="nil"/>
            </w:tcBorders>
            <w:noWrap w:val="0"/>
            <w:vAlign w:val="top"/>
          </w:tcPr>
          <w:p w14:paraId="65D5F9F0">
            <w:pPr>
              <w:pStyle w:val="25"/>
              <w:pageBreakBefore w:val="0"/>
              <w:wordWrap/>
              <w:topLinePunct w:val="0"/>
              <w:bidi w:val="0"/>
              <w:spacing w:before="0" w:beforeAutospacing="0" w:after="0" w:afterAutospacing="0"/>
              <w:ind w:right="0"/>
              <w:jc w:val="center"/>
              <w:rPr>
                <w:rFonts w:hint="default" w:ascii="Times New Roman" w:hAnsi="Times New Roman" w:eastAsia="黑体" w:cs="Times New Roman"/>
                <w:caps w:val="0"/>
                <w:smallCaps w:val="0"/>
                <w:snapToGrid w:val="0"/>
                <w:color w:val="auto"/>
                <w:spacing w:val="0"/>
                <w:w w:val="100"/>
                <w:kern w:val="2"/>
                <w:position w:val="0"/>
                <w:sz w:val="36"/>
                <w:szCs w:val="36"/>
                <w:highlight w:val="none"/>
                <w:vertAlign w:val="baseline"/>
              </w:rPr>
            </w:pPr>
          </w:p>
        </w:tc>
        <w:tc>
          <w:tcPr>
            <w:tcW w:w="4567" w:type="pct"/>
            <w:tcBorders>
              <w:tl2br w:val="nil"/>
              <w:tr2bl w:val="nil"/>
            </w:tcBorders>
            <w:noWrap w:val="0"/>
            <w:vAlign w:val="top"/>
          </w:tcPr>
          <w:p w14:paraId="666A79CA">
            <w:pPr>
              <w:pStyle w:val="11"/>
              <w:keepNext w:val="0"/>
              <w:keepLines w:val="0"/>
              <w:pageBreakBefore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t>5</w:t>
            </w:r>
            <w:r>
              <w:rPr>
                <w:rFonts w:hint="default" w:ascii="Times New Roman" w:hAnsi="Times New Roman" w:cs="Times New Roman"/>
                <w:b/>
                <w:bCs/>
                <w:caps w:val="0"/>
                <w:smallCaps w:val="0"/>
                <w:color w:val="auto"/>
                <w:spacing w:val="0"/>
                <w:w w:val="100"/>
                <w:kern w:val="2"/>
                <w:position w:val="0"/>
                <w:sz w:val="24"/>
                <w:highlight w:val="none"/>
              </w:rPr>
              <w:t>运营期固废环境影响分析</w:t>
            </w:r>
          </w:p>
          <w:p w14:paraId="6CBE1D5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caps w:val="0"/>
                <w:smallCaps w:val="0"/>
                <w:color w:val="auto"/>
                <w:spacing w:val="0"/>
                <w:w w:val="100"/>
                <w:kern w:val="2"/>
                <w:position w:val="0"/>
                <w:sz w:val="24"/>
                <w:szCs w:val="24"/>
                <w:highlight w:val="none"/>
                <w:lang w:val="en-US" w:eastAsia="zh-CN"/>
              </w:rPr>
              <w:t>营运期固体废物主要为道路养护废沥青渣，行驶车辆抛洒的垃圾等，数量较少，成分较单一，公路维护人员将其收集后定期运至附近生活垃圾填埋场填埋处置。</w:t>
            </w:r>
          </w:p>
          <w:p w14:paraId="4ABC085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left"/>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t>6环境风险分析</w:t>
            </w:r>
          </w:p>
          <w:p w14:paraId="455B341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left"/>
              <w:textAlignment w:val="auto"/>
              <w:rPr>
                <w:rFonts w:hint="default" w:ascii="Times New Roman" w:hAnsi="Times New Roman" w:eastAsia="宋体" w:cs="Times New Roman"/>
                <w:b/>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bCs w:val="0"/>
                <w:caps w:val="0"/>
                <w:smallCaps w:val="0"/>
                <w:color w:val="auto"/>
                <w:spacing w:val="0"/>
                <w:w w:val="100"/>
                <w:kern w:val="2"/>
                <w:position w:val="0"/>
                <w:sz w:val="24"/>
                <w:szCs w:val="24"/>
                <w:highlight w:val="none"/>
                <w:lang w:val="en-US" w:eastAsia="zh-CN"/>
              </w:rPr>
              <w:t>6.1环境风险识别</w:t>
            </w:r>
          </w:p>
          <w:p w14:paraId="1014954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Cs/>
                <w:caps w:val="0"/>
                <w:smallCaps w:val="0"/>
                <w:color w:val="auto"/>
                <w:spacing w:val="0"/>
                <w:w w:val="100"/>
                <w:kern w:val="2"/>
                <w:position w:val="0"/>
                <w:sz w:val="24"/>
                <w:szCs w:val="24"/>
                <w:highlight w:val="none"/>
              </w:rPr>
            </w:pPr>
            <w:r>
              <w:rPr>
                <w:rFonts w:hint="default" w:ascii="Times New Roman" w:hAnsi="Times New Roman" w:eastAsia="宋体" w:cs="Times New Roman"/>
                <w:bCs/>
                <w:caps w:val="0"/>
                <w:smallCaps w:val="0"/>
                <w:color w:val="auto"/>
                <w:spacing w:val="0"/>
                <w:w w:val="100"/>
                <w:kern w:val="2"/>
                <w:position w:val="0"/>
                <w:sz w:val="24"/>
                <w:szCs w:val="24"/>
                <w:highlight w:val="none"/>
                <w:lang w:val="en-US" w:eastAsia="zh-CN"/>
              </w:rPr>
              <w:t>危险品运输对沿线环境造成严重污染的可能性很小，但不能排除重大交通事故等意外事件发生。一旦发生车辆侧翻、严重车祸等重大事故将导致汽油等危险品泄漏。若易燃、易爆危险品发生火灾、爆炸事故，将引发次生环境风险。主要可能的环境风险如下：</w:t>
            </w:r>
          </w:p>
          <w:p w14:paraId="14D1AB9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Cs/>
                <w:caps w:val="0"/>
                <w:smallCaps w:val="0"/>
                <w:color w:val="auto"/>
                <w:spacing w:val="0"/>
                <w:w w:val="100"/>
                <w:kern w:val="2"/>
                <w:position w:val="0"/>
                <w:sz w:val="24"/>
                <w:szCs w:val="24"/>
                <w:highlight w:val="none"/>
              </w:rPr>
            </w:pPr>
            <w:r>
              <w:rPr>
                <w:rFonts w:hint="default" w:ascii="Times New Roman" w:hAnsi="Times New Roman" w:eastAsia="宋体" w:cs="Times New Roman"/>
                <w:bCs/>
                <w:caps w:val="0"/>
                <w:smallCaps w:val="0"/>
                <w:color w:val="auto"/>
                <w:spacing w:val="0"/>
                <w:w w:val="100"/>
                <w:kern w:val="2"/>
                <w:position w:val="0"/>
                <w:sz w:val="24"/>
                <w:szCs w:val="24"/>
                <w:highlight w:val="none"/>
                <w:lang w:val="en-US" w:eastAsia="zh-CN"/>
              </w:rPr>
              <w:t>（1）车辆撞击罐体破损导致汽油等液态危险品泄漏到路面，沿道路护坡流入周边地表，导致车辆本身油品及运输的汽油等液态危险品直接进入地表</w:t>
            </w:r>
            <w:r>
              <w:rPr>
                <w:rFonts w:hint="eastAsia" w:ascii="Times New Roman" w:hAnsi="Times New Roman" w:eastAsia="宋体" w:cs="Times New Roman"/>
                <w:bCs/>
                <w:caps w:val="0"/>
                <w:smallCaps w:val="0"/>
                <w:color w:val="auto"/>
                <w:spacing w:val="0"/>
                <w:w w:val="100"/>
                <w:kern w:val="2"/>
                <w:position w:val="0"/>
                <w:sz w:val="24"/>
                <w:szCs w:val="24"/>
                <w:highlight w:val="none"/>
                <w:lang w:val="en-US" w:eastAsia="zh-CN"/>
              </w:rPr>
              <w:t>水</w:t>
            </w:r>
            <w:r>
              <w:rPr>
                <w:rFonts w:hint="default" w:ascii="Times New Roman" w:hAnsi="Times New Roman" w:eastAsia="宋体" w:cs="Times New Roman"/>
                <w:bCs/>
                <w:caps w:val="0"/>
                <w:smallCaps w:val="0"/>
                <w:color w:val="auto"/>
                <w:spacing w:val="0"/>
                <w:w w:val="100"/>
                <w:kern w:val="2"/>
                <w:position w:val="0"/>
                <w:sz w:val="24"/>
                <w:szCs w:val="24"/>
                <w:highlight w:val="none"/>
                <w:lang w:val="en-US" w:eastAsia="zh-CN"/>
              </w:rPr>
              <w:t>，将严重污染</w:t>
            </w:r>
            <w:r>
              <w:rPr>
                <w:rFonts w:hint="eastAsia" w:ascii="Times New Roman" w:hAnsi="Times New Roman" w:eastAsia="宋体" w:cs="Times New Roman"/>
                <w:bCs/>
                <w:caps w:val="0"/>
                <w:smallCaps w:val="0"/>
                <w:color w:val="auto"/>
                <w:spacing w:val="0"/>
                <w:w w:val="100"/>
                <w:kern w:val="2"/>
                <w:position w:val="0"/>
                <w:sz w:val="24"/>
                <w:szCs w:val="24"/>
                <w:highlight w:val="none"/>
                <w:lang w:val="en-US" w:eastAsia="zh-CN"/>
              </w:rPr>
              <w:t>地表水</w:t>
            </w:r>
            <w:r>
              <w:rPr>
                <w:rFonts w:hint="default" w:ascii="Times New Roman" w:hAnsi="Times New Roman" w:eastAsia="宋体" w:cs="Times New Roman"/>
                <w:bCs/>
                <w:caps w:val="0"/>
                <w:smallCaps w:val="0"/>
                <w:color w:val="auto"/>
                <w:spacing w:val="0"/>
                <w:w w:val="100"/>
                <w:kern w:val="2"/>
                <w:position w:val="0"/>
                <w:sz w:val="24"/>
                <w:szCs w:val="24"/>
                <w:highlight w:val="none"/>
                <w:lang w:val="en-US" w:eastAsia="zh-CN"/>
              </w:rPr>
              <w:t>及下游水体水质，影响农田灌溉用水及沿线野生动物饮水。</w:t>
            </w:r>
          </w:p>
          <w:p w14:paraId="78A468A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Cs/>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Cs/>
                <w:caps w:val="0"/>
                <w:smallCaps w:val="0"/>
                <w:color w:val="auto"/>
                <w:spacing w:val="0"/>
                <w:w w:val="100"/>
                <w:kern w:val="2"/>
                <w:position w:val="0"/>
                <w:sz w:val="24"/>
                <w:szCs w:val="24"/>
                <w:highlight w:val="none"/>
                <w:lang w:val="en-US" w:eastAsia="zh-CN"/>
              </w:rPr>
              <w:t>（2）另外汽油等物质易挥发，泄漏情况下挥发到大气中，污染大气环境；泄漏油品进入周边土壤，影响土壤环境质量。火灾、爆炸过程产生CO、SO2等物质，污染大气环境。火灾爆炸事故产生的消防废水进入土壤，影响周边土壤环境质量。</w:t>
            </w:r>
          </w:p>
          <w:p w14:paraId="58602CE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left"/>
              <w:textAlignment w:val="auto"/>
              <w:rPr>
                <w:rFonts w:hint="default" w:ascii="Times New Roman" w:hAnsi="Times New Roman" w:eastAsia="宋体" w:cs="Times New Roman"/>
                <w:b/>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bCs w:val="0"/>
                <w:caps w:val="0"/>
                <w:smallCaps w:val="0"/>
                <w:color w:val="auto"/>
                <w:spacing w:val="0"/>
                <w:w w:val="100"/>
                <w:kern w:val="2"/>
                <w:position w:val="0"/>
                <w:sz w:val="24"/>
                <w:szCs w:val="24"/>
                <w:highlight w:val="none"/>
                <w:lang w:val="en-US" w:eastAsia="zh-CN"/>
              </w:rPr>
              <w:t>6.2环境风险防范措施</w:t>
            </w:r>
          </w:p>
          <w:p w14:paraId="2526209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left"/>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rPr>
            </w:pPr>
            <w:r>
              <w:rPr>
                <w:rFonts w:hint="eastAsia" w:cs="Times New Roman"/>
                <w:b/>
                <w:bCs/>
                <w:caps w:val="0"/>
                <w:smallCaps w:val="0"/>
                <w:color w:val="auto"/>
                <w:spacing w:val="0"/>
                <w:w w:val="100"/>
                <w:kern w:val="2"/>
                <w:position w:val="0"/>
                <w:sz w:val="24"/>
                <w:szCs w:val="24"/>
                <w:highlight w:val="none"/>
                <w:lang w:val="en-US" w:eastAsia="zh-CN" w:bidi="ar"/>
              </w:rPr>
              <w:t>6.2.</w:t>
            </w: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t>1危险品运输车辆环境风险防范措施</w:t>
            </w:r>
          </w:p>
          <w:p w14:paraId="067B2ED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1）加强车辆管理，加强车检工作，保证上路车辆车况良好；运输危险品须持有公安部门颁发的三张证书，即运输许可证、驾驶员执照及保安员证书。所有从事危险品运输的车辆，必须在车前醒目位置悬挂黄底黑字</w:t>
            </w:r>
            <w:r>
              <w:rPr>
                <w:rFonts w:hint="eastAsia" w:ascii="宋体" w:hAnsi="宋体" w:eastAsia="宋体" w:cs="宋体"/>
                <w:b w:val="0"/>
                <w:bCs w:val="0"/>
                <w:caps w:val="0"/>
                <w:smallCaps w:val="0"/>
                <w:color w:val="auto"/>
                <w:spacing w:val="0"/>
                <w:w w:val="100"/>
                <w:kern w:val="2"/>
                <w:position w:val="0"/>
                <w:sz w:val="24"/>
                <w:szCs w:val="24"/>
                <w:highlight w:val="none"/>
                <w:lang w:val="en-US" w:eastAsia="zh-CN"/>
              </w:rPr>
              <w:t>“危险品”</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字样的三角旗，严格禁止车辆超载。严禁超载超限车辆上路，尤其是运输危险物质的车辆需严加管控，严格审查车辆运输资质，仔细排查车辆可能存在</w:t>
            </w:r>
            <w:r>
              <w:rPr>
                <w:rFonts w:hint="eastAsia" w:ascii="宋体" w:hAnsi="宋体" w:eastAsia="宋体" w:cs="宋体"/>
                <w:b w:val="0"/>
                <w:bCs w:val="0"/>
                <w:caps w:val="0"/>
                <w:smallCaps w:val="0"/>
                <w:color w:val="auto"/>
                <w:spacing w:val="0"/>
                <w:w w:val="100"/>
                <w:kern w:val="2"/>
                <w:position w:val="0"/>
                <w:sz w:val="24"/>
                <w:szCs w:val="24"/>
                <w:highlight w:val="none"/>
                <w:lang w:val="en-US" w:eastAsia="zh-CN"/>
              </w:rPr>
              <w:t>的“跑、冒、滴、漏”现</w:t>
            </w: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象，检验不合格的一律不准进入本公路。</w:t>
            </w:r>
          </w:p>
          <w:p w14:paraId="404AFA6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rPr>
              <w:t>（2）建立道路运输在线监控系统，直接与公路管理单位相连，并与项目沿线地方环保部门相连，危险品车辆一旦发生事故，第一时间启动应急措施。</w:t>
            </w:r>
          </w:p>
          <w:p w14:paraId="7CA0271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3）加强危险品运输管理登记制度，运输汽油等危险品的车辆进入本公路前，应当向相关管理部门通报，经批准后方可驶入。加强运输危险品车辆的质量及运行状态检查，特别是安全防范措施的检查，消灭事故隐患。危险品运输车辆一般应安排在交通量较少时段通行，恶劣天气条件下，严禁运输危险品车辆通过桥梁，危险品车辆严禁在0:00-6:00行驶。</w:t>
            </w:r>
          </w:p>
          <w:p w14:paraId="075566E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（4）环境风险重点防控路段控制危险品运输车辆的行车速度，降低危险品事故的发生。</w:t>
            </w:r>
          </w:p>
          <w:p w14:paraId="3AB87D0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left"/>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rPr>
            </w:pPr>
            <w:r>
              <w:rPr>
                <w:rFonts w:hint="eastAsia" w:cs="Times New Roman"/>
                <w:b/>
                <w:bCs/>
                <w:caps w:val="0"/>
                <w:smallCaps w:val="0"/>
                <w:color w:val="auto"/>
                <w:spacing w:val="0"/>
                <w:w w:val="100"/>
                <w:kern w:val="2"/>
                <w:position w:val="0"/>
                <w:sz w:val="24"/>
                <w:szCs w:val="24"/>
                <w:highlight w:val="none"/>
                <w:lang w:val="en-US" w:eastAsia="zh-CN" w:bidi="ar"/>
              </w:rPr>
              <w:t>6.2.</w:t>
            </w: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bidi="ar"/>
              </w:rPr>
              <w:t>2大气环境风险防范措施</w:t>
            </w:r>
          </w:p>
          <w:p w14:paraId="39FBB7F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（1）公路管理部门应制定具体的突发环境事件应急预案，配备相应的应急物资和设备，以便能及时采取相应的应急措施，将环境污染减小到最低程度。</w:t>
            </w:r>
          </w:p>
          <w:p w14:paraId="428676B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2）加强消防安全意识，尤其是对运输易燃可燃危险物品的车辆驾驶人员要加强宣传教育，培养谨慎驾驶意识，养成车辆检修习惯，提高风险防范意识，从源头预防因交通事故或泄漏事故引发的火灾或爆炸事故的发生。</w:t>
            </w:r>
          </w:p>
          <w:p w14:paraId="2C1F9F8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jc w:val="left"/>
              <w:textAlignment w:val="auto"/>
              <w:rPr>
                <w:rFonts w:hint="eastAsia"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pPr>
            <w:r>
              <w:rPr>
                <w:rFonts w:hint="eastAsia" w:ascii="Times New Roman" w:hAnsi="Times New Roman" w:eastAsia="宋体" w:cs="Times New Roman"/>
                <w:b/>
                <w:bCs/>
                <w:caps w:val="0"/>
                <w:smallCaps w:val="0"/>
                <w:color w:val="auto"/>
                <w:spacing w:val="0"/>
                <w:w w:val="100"/>
                <w:kern w:val="2"/>
                <w:position w:val="0"/>
                <w:sz w:val="24"/>
                <w:szCs w:val="24"/>
                <w:highlight w:val="none"/>
                <w:lang w:val="en-US" w:eastAsia="zh-CN" w:bidi="ar"/>
              </w:rPr>
              <w:t>6.2.3地表水风险防范措施</w:t>
            </w:r>
          </w:p>
          <w:p w14:paraId="047ED12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为强化运营期路面径流及废水污染防控，规避人为因素及车辆通行对地表水敏感区域的影响，在桥梁运营区域增设专项标识牌，明确通行要求及环保警示，具体设置如下：</w:t>
            </w:r>
          </w:p>
          <w:p w14:paraId="543FCDF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减速标识牌：在桥梁两端入口处各设置1块反光减速标识牌，尺寸为120cm×80cm，安装高度不低于2.5m，清晰标注“前方桥面，减速慢行（限速30km/h）”，引导过往车辆减速通行，减少车辆颠簸产生的废水飞溅、径流紊乱，降低废水漫溢风险。</w:t>
            </w:r>
          </w:p>
          <w:p w14:paraId="2322F2C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地表水敏感区域标识牌：在桥梁两端入口及桥面中间位置，各设置1块地表水敏感区域提示标识牌，采用反光材质，标注“进入地表水敏感区域，严禁违规排放、严禁倾倒污染物”，明确告知过往车辆及人员该区域环保要求，强化环保意识。</w:t>
            </w:r>
          </w:p>
          <w:p w14:paraId="24BC07E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辅助提示标识：在桥面两侧护栏每隔10m张贴1块小型提示标识，标注“保护地表水环境，请勿破坏废水收集设施”，提醒桥梁维护人员及过往人员规范操作，严禁损坏集水槽、集水井、导流管道等设施，防范人为破坏导致的废水泄漏污染。</w:t>
            </w:r>
          </w:p>
          <w:p w14:paraId="68A2460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rPr>
            </w:pPr>
            <w:r>
              <w:rPr>
                <w:rFonts w:hint="default" w:ascii="Times New Roman" w:hAnsi="Times New Roman" w:eastAsia="宋体" w:cs="Times New Roman"/>
                <w:b w:val="0"/>
                <w:bCs w:val="0"/>
                <w:caps w:val="0"/>
                <w:smallCaps w:val="0"/>
                <w:color w:val="auto"/>
                <w:spacing w:val="0"/>
                <w:w w:val="100"/>
                <w:kern w:val="2"/>
                <w:position w:val="0"/>
                <w:sz w:val="24"/>
                <w:szCs w:val="24"/>
                <w:highlight w:val="none"/>
                <w:lang w:val="en-US" w:eastAsia="zh-CN" w:bidi="ar"/>
              </w:rPr>
              <w:t>所有标识牌需定期检查，每半年清理表面污渍、检查反光效果，及时更换破损、模糊的标识牌，确保标识清晰、醒目，切实发挥警示、引导作用，配合废水收集系统，全面防范运营期桥面废水对地表水环境的影响，保障阳霞艾肯河水体质量符合相关标准要求。</w:t>
            </w:r>
          </w:p>
        </w:tc>
      </w:tr>
      <w:tr w14:paraId="596C8C8B">
        <w:tblPrEx>
          <w:tblBorders>
            <w:top w:val="single" w:color="auto" w:sz="12" w:space="0"/>
            <w:left w:val="single" w:color="auto" w:sz="12" w:space="0"/>
            <w:bottom w:val="single" w:color="auto" w:sz="12" w:space="0"/>
            <w:right w:val="single" w:color="auto" w:sz="12" w:space="0"/>
            <w:insideH w:val="single" w:color="auto" w:sz="12" w:space="0"/>
            <w:insideV w:val="single" w:color="auto" w:sz="8" w:space="0"/>
          </w:tblBorders>
          <w:tblCellMar>
            <w:top w:w="0" w:type="dxa"/>
            <w:left w:w="108" w:type="dxa"/>
            <w:bottom w:w="0" w:type="dxa"/>
            <w:right w:w="108" w:type="dxa"/>
          </w:tblCellMar>
        </w:tblPrEx>
        <w:tc>
          <w:tcPr>
            <w:tcW w:w="432" w:type="pct"/>
            <w:tcBorders>
              <w:tl2br w:val="nil"/>
              <w:tr2bl w:val="nil"/>
            </w:tcBorders>
            <w:noWrap w:val="0"/>
            <w:vAlign w:val="top"/>
          </w:tcPr>
          <w:p w14:paraId="4C16D1F0">
            <w:pPr>
              <w:pStyle w:val="25"/>
              <w:pageBreakBefore w:val="0"/>
              <w:wordWrap/>
              <w:topLinePunct w:val="0"/>
              <w:bidi w:val="0"/>
              <w:spacing w:before="0" w:beforeAutospacing="0" w:after="0" w:afterAutospacing="0"/>
              <w:ind w:right="0"/>
              <w:jc w:val="center"/>
              <w:rPr>
                <w:rFonts w:hint="default" w:ascii="Times New Roman" w:hAnsi="Times New Roman" w:eastAsia="黑体" w:cs="Times New Roman"/>
                <w:caps w:val="0"/>
                <w:smallCaps w:val="0"/>
                <w:snapToGrid w:val="0"/>
                <w:color w:val="auto"/>
                <w:spacing w:val="0"/>
                <w:w w:val="100"/>
                <w:kern w:val="2"/>
                <w:position w:val="0"/>
                <w:sz w:val="36"/>
                <w:szCs w:val="36"/>
                <w:highlight w:val="none"/>
                <w:vertAlign w:val="baseline"/>
              </w:rPr>
            </w:pPr>
            <w:r>
              <w:rPr>
                <w:rFonts w:hint="default" w:ascii="Times New Roman" w:hAnsi="Times New Roman" w:eastAsia="宋体" w:cs="Times New Roman"/>
                <w:bCs/>
                <w:caps w:val="0"/>
                <w:smallCaps w:val="0"/>
                <w:color w:val="auto"/>
                <w:spacing w:val="0"/>
                <w:w w:val="100"/>
                <w:kern w:val="2"/>
                <w:position w:val="0"/>
                <w:sz w:val="24"/>
                <w:szCs w:val="24"/>
                <w:highlight w:val="none"/>
              </w:rPr>
              <w:t>选址选线环境合理性分析</w:t>
            </w:r>
          </w:p>
        </w:tc>
        <w:tc>
          <w:tcPr>
            <w:tcW w:w="4567" w:type="pct"/>
            <w:tcBorders>
              <w:tl2br w:val="nil"/>
              <w:tr2bl w:val="nil"/>
            </w:tcBorders>
            <w:noWrap w:val="0"/>
            <w:vAlign w:val="top"/>
          </w:tcPr>
          <w:p w14:paraId="243FC904">
            <w:pPr>
              <w:shd w:val="clear" w:color="auto" w:fill="auto"/>
              <w:spacing w:line="440" w:lineRule="exact"/>
              <w:ind w:firstLine="482" w:firstLineChars="200"/>
              <w:rPr>
                <w:rFonts w:hint="default" w:eastAsia="宋体"/>
                <w:b/>
                <w:bCs/>
                <w:color w:val="auto"/>
                <w:sz w:val="24"/>
                <w:lang w:val="en-US" w:eastAsia="zh-CN"/>
              </w:rPr>
            </w:pPr>
            <w:r>
              <w:rPr>
                <w:rFonts w:hint="eastAsia"/>
                <w:b/>
                <w:bCs/>
                <w:color w:val="auto"/>
                <w:sz w:val="24"/>
                <w:lang w:val="en-US" w:eastAsia="zh-CN"/>
              </w:rPr>
              <w:t>1、选址政策符合性分析</w:t>
            </w:r>
          </w:p>
          <w:p w14:paraId="2F3A8BBF">
            <w:pPr>
              <w:shd w:val="clear" w:color="auto" w:fill="auto"/>
              <w:spacing w:line="440" w:lineRule="exact"/>
              <w:ind w:firstLine="480" w:firstLineChars="200"/>
              <w:rPr>
                <w:rFonts w:hint="default"/>
                <w:b w:val="0"/>
                <w:bCs w:val="0"/>
                <w:color w:val="auto"/>
                <w:sz w:val="24"/>
                <w:lang w:val="en-US" w:eastAsia="zh-CN"/>
              </w:rPr>
            </w:pPr>
            <w:r>
              <w:rPr>
                <w:rFonts w:hint="eastAsia"/>
                <w:b w:val="0"/>
                <w:bCs w:val="0"/>
                <w:color w:val="auto"/>
                <w:sz w:val="24"/>
                <w:lang w:val="en-US" w:eastAsia="zh-CN"/>
              </w:rPr>
              <w:t>本项目选址政府符合性分析汇总如下：</w:t>
            </w:r>
          </w:p>
          <w:p w14:paraId="291AE270">
            <w:pPr>
              <w:shd w:val="clear" w:color="auto" w:fill="auto"/>
              <w:spacing w:line="440" w:lineRule="exact"/>
              <w:ind w:firstLine="482" w:firstLineChars="200"/>
              <w:rPr>
                <w:rFonts w:hint="default"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表4-1</w:t>
            </w:r>
            <w:r>
              <w:rPr>
                <w:rFonts w:hint="eastAsia" w:cs="Times New Roman"/>
                <w:b/>
                <w:color w:val="auto"/>
                <w:kern w:val="2"/>
                <w:sz w:val="24"/>
                <w:szCs w:val="24"/>
                <w:lang w:val="en-US" w:eastAsia="zh-CN" w:bidi="ar-SA"/>
              </w:rPr>
              <w:t>1</w:t>
            </w:r>
            <w:r>
              <w:rPr>
                <w:rFonts w:hint="eastAsia" w:ascii="Times New Roman" w:hAnsi="Times New Roman" w:eastAsia="宋体" w:cs="Times New Roman"/>
                <w:b/>
                <w:color w:val="auto"/>
                <w:kern w:val="2"/>
                <w:sz w:val="24"/>
                <w:szCs w:val="24"/>
                <w:lang w:val="en-US" w:eastAsia="zh-CN" w:bidi="ar-SA"/>
              </w:rPr>
              <w:t xml:space="preserve">            选址合理性政策符合性汇总表</w:t>
            </w:r>
          </w:p>
          <w:tbl>
            <w:tblPr>
              <w:tblStyle w:val="30"/>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522"/>
              <w:gridCol w:w="2663"/>
              <w:gridCol w:w="2087"/>
              <w:gridCol w:w="942"/>
            </w:tblGrid>
            <w:tr w14:paraId="46FAA2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7" w:type="dxa"/>
                  <w:tcBorders>
                    <w:tl2br w:val="nil"/>
                    <w:tr2bl w:val="nil"/>
                  </w:tcBorders>
                  <w:noWrap w:val="0"/>
                  <w:vAlign w:val="center"/>
                </w:tcPr>
                <w:p w14:paraId="370C0E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序号</w:t>
                  </w:r>
                </w:p>
              </w:tc>
              <w:tc>
                <w:tcPr>
                  <w:tcW w:w="4185" w:type="dxa"/>
                  <w:gridSpan w:val="2"/>
                  <w:tcBorders>
                    <w:tl2br w:val="nil"/>
                    <w:tr2bl w:val="nil"/>
                  </w:tcBorders>
                  <w:noWrap w:val="0"/>
                  <w:vAlign w:val="center"/>
                </w:tcPr>
                <w:p w14:paraId="498B86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管理要求</w:t>
                  </w:r>
                </w:p>
              </w:tc>
              <w:tc>
                <w:tcPr>
                  <w:tcW w:w="2087" w:type="dxa"/>
                  <w:tcBorders>
                    <w:tl2br w:val="nil"/>
                    <w:tr2bl w:val="nil"/>
                  </w:tcBorders>
                  <w:noWrap w:val="0"/>
                  <w:vAlign w:val="center"/>
                </w:tcPr>
                <w:p w14:paraId="2456A2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本项目</w:t>
                  </w:r>
                </w:p>
              </w:tc>
              <w:tc>
                <w:tcPr>
                  <w:tcW w:w="942" w:type="dxa"/>
                  <w:tcBorders>
                    <w:tl2br w:val="nil"/>
                    <w:tr2bl w:val="nil"/>
                  </w:tcBorders>
                  <w:noWrap w:val="0"/>
                  <w:vAlign w:val="center"/>
                </w:tcPr>
                <w:p w14:paraId="7C3634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符合性</w:t>
                  </w:r>
                </w:p>
              </w:tc>
            </w:tr>
            <w:tr w14:paraId="21382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7" w:type="dxa"/>
                  <w:tcBorders>
                    <w:tl2br w:val="nil"/>
                    <w:tr2bl w:val="nil"/>
                  </w:tcBorders>
                  <w:noWrap w:val="0"/>
                  <w:vAlign w:val="center"/>
                </w:tcPr>
                <w:p w14:paraId="3A335F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w:t>
                  </w:r>
                </w:p>
              </w:tc>
              <w:tc>
                <w:tcPr>
                  <w:tcW w:w="1522" w:type="dxa"/>
                  <w:tcBorders>
                    <w:tl2br w:val="nil"/>
                    <w:tr2bl w:val="nil"/>
                  </w:tcBorders>
                  <w:noWrap w:val="0"/>
                  <w:vAlign w:val="center"/>
                </w:tcPr>
                <w:p w14:paraId="3A5F74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《关于加强用地审批前期工作积极推进基础设施项目建设的通知》（自然资发〔2022〕130号）</w:t>
                  </w:r>
                </w:p>
              </w:tc>
              <w:tc>
                <w:tcPr>
                  <w:tcW w:w="2663" w:type="dxa"/>
                  <w:tcBorders>
                    <w:tl2br w:val="nil"/>
                    <w:tr2bl w:val="nil"/>
                  </w:tcBorders>
                  <w:noWrap w:val="0"/>
                  <w:vAlign w:val="center"/>
                </w:tcPr>
                <w:p w14:paraId="720F23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办理用地预审时，涉及占用耕地的，原则上项目所在区域补充耕地储备库指标应当充足，储备指标不足的地方自然资源主管部门应明确补充耕地落实方式，符合条件的可申请跨省域补充耕地国家统筹，并承诺在农用地转用报批时能够落实占补平衡要求，建设单位应承诺将补充耕地费用纳入工程概算；涉及占用永久基本农田的，需落实永久基本农田补划，明确永久基本农田补划地块。</w:t>
                  </w:r>
                </w:p>
              </w:tc>
              <w:tc>
                <w:tcPr>
                  <w:tcW w:w="2087" w:type="dxa"/>
                  <w:tcBorders>
                    <w:tl2br w:val="nil"/>
                    <w:tr2bl w:val="nil"/>
                  </w:tcBorders>
                  <w:noWrap w:val="0"/>
                  <w:vAlign w:val="center"/>
                </w:tcPr>
                <w:p w14:paraId="27E2C2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本</w:t>
                  </w:r>
                  <w:r>
                    <w:rPr>
                      <w:rFonts w:ascii="宋体" w:hAnsi="宋体" w:eastAsia="宋体" w:cs="宋体"/>
                      <w:spacing w:val="8"/>
                      <w:sz w:val="21"/>
                      <w:szCs w:val="21"/>
                      <w:highlight w:val="none"/>
                    </w:rPr>
                    <w:t>工程</w:t>
                  </w:r>
                  <w:r>
                    <w:rPr>
                      <w:rFonts w:hint="eastAsia" w:ascii="宋体" w:hAnsi="宋体" w:eastAsia="宋体" w:cs="宋体"/>
                      <w:spacing w:val="8"/>
                      <w:sz w:val="21"/>
                      <w:szCs w:val="21"/>
                      <w:highlight w:val="none"/>
                      <w:lang w:val="en-US" w:eastAsia="zh-CN"/>
                    </w:rPr>
                    <w:t>未占用耕地及基本农田。</w:t>
                  </w:r>
                </w:p>
              </w:tc>
              <w:tc>
                <w:tcPr>
                  <w:tcW w:w="942" w:type="dxa"/>
                  <w:tcBorders>
                    <w:tl2br w:val="nil"/>
                    <w:tr2bl w:val="nil"/>
                  </w:tcBorders>
                  <w:noWrap w:val="0"/>
                  <w:vAlign w:val="center"/>
                </w:tcPr>
                <w:p w14:paraId="19745D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符合</w:t>
                  </w:r>
                </w:p>
              </w:tc>
            </w:tr>
            <w:tr w14:paraId="72EB3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7" w:type="dxa"/>
                  <w:tcBorders>
                    <w:tl2br w:val="nil"/>
                    <w:tr2bl w:val="nil"/>
                  </w:tcBorders>
                  <w:noWrap w:val="0"/>
                  <w:vAlign w:val="center"/>
                </w:tcPr>
                <w:p w14:paraId="5EFD60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w:t>
                  </w:r>
                </w:p>
              </w:tc>
              <w:tc>
                <w:tcPr>
                  <w:tcW w:w="1522" w:type="dxa"/>
                  <w:tcBorders>
                    <w:tl2br w:val="nil"/>
                    <w:tr2bl w:val="nil"/>
                  </w:tcBorders>
                  <w:noWrap w:val="0"/>
                  <w:vAlign w:val="center"/>
                </w:tcPr>
                <w:p w14:paraId="3AED29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《自然资源部 农业农村部 国家林业和草原局 〈关于严格耕地用途管制有关问题的通知〉》（自然资发〔2021〕166号）</w:t>
                  </w:r>
                </w:p>
              </w:tc>
              <w:tc>
                <w:tcPr>
                  <w:tcW w:w="2663" w:type="dxa"/>
                  <w:tcBorders>
                    <w:tl2br w:val="nil"/>
                    <w:tr2bl w:val="nil"/>
                  </w:tcBorders>
                  <w:noWrap w:val="0"/>
                  <w:vAlign w:val="center"/>
                </w:tcPr>
                <w:p w14:paraId="2AA1B5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已划定的永久基本农田，任何单位和个人不得擅自占用或者改变用途。非农业建设不得“未批先建”。能源、交通、水利、军事设施等重大建设项目选址确实难以避让永久基本农田的，经依法批准，应在落实耕地占补平衡基础上，按照数量不减、质量不降原则，在可以长期稳定利用的耕地上落实永久基本农田补划任务。</w:t>
                  </w:r>
                </w:p>
              </w:tc>
              <w:tc>
                <w:tcPr>
                  <w:tcW w:w="2087" w:type="dxa"/>
                  <w:tcBorders>
                    <w:tl2br w:val="nil"/>
                    <w:tr2bl w:val="nil"/>
                  </w:tcBorders>
                  <w:noWrap w:val="0"/>
                  <w:vAlign w:val="center"/>
                </w:tcPr>
                <w:p w14:paraId="60ADC5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ascii="宋体" w:hAnsi="宋体" w:eastAsia="宋体" w:cs="宋体"/>
                      <w:spacing w:val="8"/>
                      <w:sz w:val="21"/>
                      <w:szCs w:val="21"/>
                      <w:highlight w:val="none"/>
                      <w:lang w:val="en-US" w:eastAsia="zh-CN"/>
                    </w:rPr>
                    <w:t>本</w:t>
                  </w:r>
                  <w:r>
                    <w:rPr>
                      <w:rFonts w:ascii="宋体" w:hAnsi="宋体" w:eastAsia="宋体" w:cs="宋体"/>
                      <w:spacing w:val="8"/>
                      <w:sz w:val="21"/>
                      <w:szCs w:val="21"/>
                      <w:highlight w:val="none"/>
                    </w:rPr>
                    <w:t>工程</w:t>
                  </w:r>
                  <w:r>
                    <w:rPr>
                      <w:rFonts w:hint="eastAsia" w:ascii="宋体" w:hAnsi="宋体" w:eastAsia="宋体" w:cs="宋体"/>
                      <w:spacing w:val="8"/>
                      <w:sz w:val="21"/>
                      <w:szCs w:val="21"/>
                      <w:highlight w:val="none"/>
                      <w:lang w:val="en-US" w:eastAsia="zh-CN"/>
                    </w:rPr>
                    <w:t>未占用基本农田。</w:t>
                  </w:r>
                </w:p>
              </w:tc>
              <w:tc>
                <w:tcPr>
                  <w:tcW w:w="942" w:type="dxa"/>
                  <w:tcBorders>
                    <w:tl2br w:val="nil"/>
                    <w:tr2bl w:val="nil"/>
                  </w:tcBorders>
                  <w:noWrap w:val="0"/>
                  <w:vAlign w:val="center"/>
                </w:tcPr>
                <w:p w14:paraId="1092A1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符合</w:t>
                  </w:r>
                </w:p>
              </w:tc>
            </w:tr>
            <w:tr w14:paraId="42CEB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7" w:type="dxa"/>
                  <w:tcBorders>
                    <w:tl2br w:val="nil"/>
                    <w:tr2bl w:val="nil"/>
                  </w:tcBorders>
                  <w:noWrap w:val="0"/>
                  <w:vAlign w:val="center"/>
                </w:tcPr>
                <w:p w14:paraId="1D38F3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3</w:t>
                  </w:r>
                </w:p>
              </w:tc>
              <w:tc>
                <w:tcPr>
                  <w:tcW w:w="1522" w:type="dxa"/>
                  <w:tcBorders>
                    <w:tl2br w:val="nil"/>
                    <w:tr2bl w:val="nil"/>
                  </w:tcBorders>
                  <w:noWrap w:val="0"/>
                  <w:vAlign w:val="center"/>
                </w:tcPr>
                <w:p w14:paraId="75A916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《自然资源部 〈关于积极做好用地用海要素保障的通知〉》（自然资发〔2022〕129号）</w:t>
                  </w:r>
                </w:p>
              </w:tc>
              <w:tc>
                <w:tcPr>
                  <w:tcW w:w="2663" w:type="dxa"/>
                  <w:tcBorders>
                    <w:tl2br w:val="nil"/>
                    <w:tr2bl w:val="nil"/>
                  </w:tcBorders>
                  <w:noWrap w:val="0"/>
                  <w:vAlign w:val="center"/>
                </w:tcPr>
                <w:p w14:paraId="0BFB1F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落实临时用地政策。建设周期较长的能源、交通、水利等基础设施建设项目施工使用的临时用地，期限不超过四年。直接服务于铁路工程施工的制梁场、拌和站，需临时使用土地的，其土地复垦方案通过论证，业主单位签订承诺书，明确了复垦完成时限和恢复责任，确保能恢复种植条件的，可以占用耕地，不得占用永久基本农田。</w:t>
                  </w:r>
                </w:p>
              </w:tc>
              <w:tc>
                <w:tcPr>
                  <w:tcW w:w="2087" w:type="dxa"/>
                  <w:tcBorders>
                    <w:tl2br w:val="nil"/>
                    <w:tr2bl w:val="nil"/>
                  </w:tcBorders>
                  <w:noWrap w:val="0"/>
                  <w:vAlign w:val="center"/>
                </w:tcPr>
                <w:p w14:paraId="31FC49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本项目为交通工程建设，施工期较短仅4个月，施工期不涉及施工营地，施工便道等临时工程建设，不占用永久基本农田。</w:t>
                  </w:r>
                </w:p>
              </w:tc>
              <w:tc>
                <w:tcPr>
                  <w:tcW w:w="942" w:type="dxa"/>
                  <w:tcBorders>
                    <w:tl2br w:val="nil"/>
                    <w:tr2bl w:val="nil"/>
                  </w:tcBorders>
                  <w:noWrap w:val="0"/>
                  <w:vAlign w:val="center"/>
                </w:tcPr>
                <w:p w14:paraId="7A07B8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符合</w:t>
                  </w:r>
                </w:p>
              </w:tc>
            </w:tr>
            <w:tr w14:paraId="18BEB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7" w:type="dxa"/>
                  <w:tcBorders>
                    <w:tl2br w:val="nil"/>
                    <w:tr2bl w:val="nil"/>
                  </w:tcBorders>
                  <w:noWrap w:val="0"/>
                  <w:vAlign w:val="center"/>
                </w:tcPr>
                <w:p w14:paraId="330183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4</w:t>
                  </w:r>
                </w:p>
              </w:tc>
              <w:tc>
                <w:tcPr>
                  <w:tcW w:w="1522" w:type="dxa"/>
                  <w:tcBorders>
                    <w:tl2br w:val="nil"/>
                    <w:tr2bl w:val="nil"/>
                  </w:tcBorders>
                  <w:noWrap w:val="0"/>
                  <w:vAlign w:val="center"/>
                </w:tcPr>
                <w:p w14:paraId="60B870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《关于规范临时用地管理的通知》（自然资规〔2021〕2号）</w:t>
                  </w:r>
                </w:p>
              </w:tc>
              <w:tc>
                <w:tcPr>
                  <w:tcW w:w="2663" w:type="dxa"/>
                  <w:tcBorders>
                    <w:tl2br w:val="nil"/>
                    <w:tr2bl w:val="nil"/>
                  </w:tcBorders>
                  <w:noWrap w:val="0"/>
                  <w:vAlign w:val="center"/>
                </w:tcPr>
                <w:p w14:paraId="6A15B9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铁路、公路等单独选址建设项目，应科学组织施工，节约集约使用临时用地。制梁场、拌和站等难以恢复原种植条件的不得以临时用地方式占用耕地和永久基本农田，可以建设用地方式或者临时占用未利用地方式使用土地。临时用地确需占用永久基本农田的，必须能够恢复原种植条件，并符合《自然资源部农业农村部关于加强和改进永久基本农田保护工作的通知》（自然资规〔2019〕1号）中申请条件、土壤剥离、复垦验收等有关规定。</w:t>
                  </w:r>
                </w:p>
              </w:tc>
              <w:tc>
                <w:tcPr>
                  <w:tcW w:w="2087" w:type="dxa"/>
                  <w:tcBorders>
                    <w:tl2br w:val="nil"/>
                    <w:tr2bl w:val="nil"/>
                  </w:tcBorders>
                  <w:noWrap w:val="0"/>
                  <w:vAlign w:val="center"/>
                </w:tcPr>
                <w:p w14:paraId="3036F2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本项目为交通工程建设，施工期较短仅4个月，施工期不涉及施工营地，施工便道等临时工程建设。</w:t>
                  </w:r>
                </w:p>
              </w:tc>
              <w:tc>
                <w:tcPr>
                  <w:tcW w:w="942" w:type="dxa"/>
                  <w:tcBorders>
                    <w:tl2br w:val="nil"/>
                    <w:tr2bl w:val="nil"/>
                  </w:tcBorders>
                  <w:noWrap w:val="0"/>
                  <w:vAlign w:val="center"/>
                </w:tcPr>
                <w:p w14:paraId="73AC44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符合</w:t>
                  </w:r>
                </w:p>
              </w:tc>
            </w:tr>
          </w:tbl>
          <w:p w14:paraId="41B83CE9">
            <w:pPr>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eastAsia="宋体"/>
                <w:b w:val="0"/>
                <w:bCs w:val="0"/>
                <w:color w:val="auto"/>
                <w:sz w:val="24"/>
                <w:lang w:val="en-US" w:eastAsia="zh-CN"/>
              </w:rPr>
            </w:pPr>
            <w:r>
              <w:rPr>
                <w:rFonts w:hint="eastAsia"/>
                <w:b w:val="0"/>
                <w:bCs w:val="0"/>
                <w:color w:val="auto"/>
                <w:sz w:val="24"/>
                <w:lang w:val="en-US" w:eastAsia="zh-CN"/>
              </w:rPr>
              <w:t>综上，本项目施工期及运营期做好占地范围内及周边生态环境保护，符合《中华人民共和国土地管理法》相关法律法规要求，综合考虑本项目选址符合要求。</w:t>
            </w:r>
          </w:p>
          <w:p w14:paraId="4A8A30D7">
            <w:pPr>
              <w:pageBreakBefore w:val="0"/>
              <w:shd w:val="clear" w:color="auto" w:fill="auto"/>
              <w:kinsoku/>
              <w:wordWrap/>
              <w:overflowPunct/>
              <w:topLinePunct w:val="0"/>
              <w:autoSpaceDE/>
              <w:autoSpaceDN/>
              <w:bidi w:val="0"/>
              <w:adjustRightInd/>
              <w:snapToGrid/>
              <w:spacing w:line="360" w:lineRule="auto"/>
              <w:ind w:firstLine="482" w:firstLineChars="200"/>
              <w:textAlignment w:val="auto"/>
              <w:rPr>
                <w:b/>
                <w:bCs/>
                <w:color w:val="auto"/>
                <w:sz w:val="24"/>
              </w:rPr>
            </w:pPr>
            <w:r>
              <w:rPr>
                <w:rFonts w:hint="eastAsia"/>
                <w:b/>
                <w:bCs/>
                <w:color w:val="auto"/>
                <w:sz w:val="24"/>
                <w:lang w:val="en-US" w:eastAsia="zh-CN"/>
              </w:rPr>
              <w:t>2</w:t>
            </w:r>
            <w:r>
              <w:rPr>
                <w:b/>
                <w:bCs/>
                <w:color w:val="auto"/>
                <w:sz w:val="24"/>
              </w:rPr>
              <w:t>、选址的环境可行性：</w:t>
            </w:r>
          </w:p>
          <w:p w14:paraId="7C3E707C">
            <w:pPr>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bCs/>
                <w:color w:val="auto"/>
                <w:sz w:val="24"/>
              </w:rPr>
              <w:t>项目位于</w:t>
            </w:r>
            <w:r>
              <w:rPr>
                <w:rFonts w:hint="eastAsia"/>
                <w:bCs/>
                <w:color w:val="auto"/>
                <w:sz w:val="24"/>
              </w:rPr>
              <w:t>新疆</w:t>
            </w:r>
            <w:r>
              <w:rPr>
                <w:rFonts w:hint="eastAsia"/>
                <w:bCs/>
                <w:color w:val="auto"/>
                <w:sz w:val="24"/>
                <w:lang w:val="en-US" w:eastAsia="zh-CN"/>
              </w:rPr>
              <w:t>巴州轮台县G216线K1336+358处附近</w:t>
            </w:r>
            <w:r>
              <w:rPr>
                <w:color w:val="auto"/>
                <w:sz w:val="24"/>
              </w:rPr>
              <w:t>，工程线路附近无活动断裂分布，也无泥石流、崩塌、滑坡等不良地质现象存在。</w:t>
            </w:r>
            <w:r>
              <w:rPr>
                <w:rFonts w:hint="eastAsia"/>
                <w:color w:val="auto"/>
                <w:sz w:val="24"/>
              </w:rPr>
              <w:t>现有</w:t>
            </w:r>
            <w:r>
              <w:rPr>
                <w:color w:val="auto"/>
                <w:sz w:val="24"/>
              </w:rPr>
              <w:t>场地稳定性尚好，适宜线路工程的建设。</w:t>
            </w:r>
          </w:p>
          <w:p w14:paraId="772AA933">
            <w:pPr>
              <w:pageBreakBefore w:val="0"/>
              <w:shd w:val="clear" w:color="auto" w:fill="auto"/>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项目占地不涉及基本农田等，</w:t>
            </w:r>
            <w:r>
              <w:rPr>
                <w:rFonts w:hint="eastAsia"/>
                <w:color w:val="auto"/>
                <w:sz w:val="24"/>
                <w:lang w:val="en-US" w:eastAsia="zh-CN"/>
              </w:rPr>
              <w:t>工程方案</w:t>
            </w:r>
            <w:r>
              <w:rPr>
                <w:rFonts w:hint="eastAsia"/>
                <w:color w:val="auto"/>
                <w:sz w:val="24"/>
                <w:lang w:eastAsia="zh-CN"/>
              </w:rPr>
              <w:t>选择已充分考虑了环境保护要素，</w:t>
            </w:r>
            <w:r>
              <w:rPr>
                <w:color w:val="auto"/>
                <w:sz w:val="24"/>
              </w:rPr>
              <w:t>建成后对完善</w:t>
            </w:r>
            <w:r>
              <w:rPr>
                <w:rFonts w:hint="eastAsia"/>
                <w:color w:val="auto"/>
                <w:sz w:val="24"/>
                <w:lang w:val="en-US" w:eastAsia="zh-CN"/>
              </w:rPr>
              <w:t>轮台县</w:t>
            </w:r>
            <w:r>
              <w:rPr>
                <w:color w:val="auto"/>
                <w:sz w:val="24"/>
              </w:rPr>
              <w:t>道路基础设施，推动</w:t>
            </w:r>
            <w:r>
              <w:rPr>
                <w:rFonts w:hint="eastAsia"/>
                <w:color w:val="auto"/>
                <w:sz w:val="24"/>
                <w:lang w:val="en-US" w:eastAsia="zh-CN"/>
              </w:rPr>
              <w:t>区域交通</w:t>
            </w:r>
            <w:r>
              <w:rPr>
                <w:color w:val="auto"/>
                <w:sz w:val="24"/>
              </w:rPr>
              <w:t>经济发展起到重要作用</w:t>
            </w:r>
            <w:r>
              <w:rPr>
                <w:rFonts w:hint="eastAsia"/>
                <w:color w:val="auto"/>
                <w:sz w:val="24"/>
                <w:lang w:eastAsia="zh-CN"/>
              </w:rPr>
              <w:t>。</w:t>
            </w:r>
            <w:r>
              <w:rPr>
                <w:color w:val="auto"/>
                <w:sz w:val="24"/>
              </w:rPr>
              <w:t>项目</w:t>
            </w:r>
            <w:r>
              <w:rPr>
                <w:bCs/>
                <w:color w:val="auto"/>
                <w:sz w:val="24"/>
              </w:rPr>
              <w:t>选线与区域土地利用规划、城市总体规划、城市综合交通规划、</w:t>
            </w:r>
            <w:r>
              <w:rPr>
                <w:rFonts w:hint="eastAsia"/>
                <w:bCs/>
                <w:color w:val="auto"/>
                <w:sz w:val="24"/>
                <w:lang w:eastAsia="zh-CN"/>
              </w:rPr>
              <w:t>轮台县</w:t>
            </w:r>
            <w:r>
              <w:rPr>
                <w:bCs/>
                <w:color w:val="auto"/>
                <w:sz w:val="24"/>
              </w:rPr>
              <w:t>规划相协调，评价范围内不涉及自然保护区、风景名胜区、世界文化与自然遗产地、森林公园、地质公园等重要生态保护区域。</w:t>
            </w:r>
          </w:p>
          <w:p w14:paraId="6B756B5A">
            <w:pPr>
              <w:pageBreakBefore w:val="0"/>
              <w:widowControl/>
              <w:shd w:val="clear" w:color="auto" w:fill="auto"/>
              <w:kinsoku/>
              <w:wordWrap/>
              <w:overflowPunct/>
              <w:topLinePunct w:val="0"/>
              <w:autoSpaceDE/>
              <w:autoSpaceDN/>
              <w:bidi w:val="0"/>
              <w:adjustRightInd/>
              <w:snapToGrid/>
              <w:spacing w:line="360" w:lineRule="auto"/>
              <w:ind w:firstLine="480" w:firstLineChars="200"/>
              <w:jc w:val="left"/>
              <w:textAlignment w:val="auto"/>
              <w:rPr>
                <w:bCs/>
                <w:color w:val="auto"/>
                <w:kern w:val="0"/>
                <w:sz w:val="24"/>
                <w:szCs w:val="22"/>
              </w:rPr>
            </w:pPr>
            <w:r>
              <w:rPr>
                <w:bCs/>
                <w:color w:val="auto"/>
                <w:kern w:val="0"/>
                <w:sz w:val="24"/>
                <w:szCs w:val="22"/>
              </w:rPr>
              <w:t>综上分析，本项目</w:t>
            </w:r>
            <w:r>
              <w:rPr>
                <w:rFonts w:hint="eastAsia"/>
                <w:bCs/>
                <w:color w:val="auto"/>
                <w:kern w:val="0"/>
                <w:sz w:val="24"/>
                <w:szCs w:val="22"/>
              </w:rPr>
              <w:t>从</w:t>
            </w:r>
            <w:r>
              <w:rPr>
                <w:bCs/>
                <w:color w:val="auto"/>
                <w:kern w:val="0"/>
                <w:sz w:val="24"/>
                <w:szCs w:val="22"/>
              </w:rPr>
              <w:t>环境</w:t>
            </w:r>
            <w:r>
              <w:rPr>
                <w:rFonts w:hint="eastAsia"/>
                <w:bCs/>
                <w:color w:val="auto"/>
                <w:kern w:val="0"/>
                <w:sz w:val="24"/>
                <w:szCs w:val="22"/>
              </w:rPr>
              <w:t>保护角度考虑，在各项环保措施落实到位的前提下，</w:t>
            </w:r>
            <w:r>
              <w:rPr>
                <w:bCs/>
                <w:color w:val="auto"/>
                <w:kern w:val="0"/>
                <w:sz w:val="24"/>
                <w:szCs w:val="22"/>
              </w:rPr>
              <w:t>选址选线合理</w:t>
            </w:r>
            <w:r>
              <w:rPr>
                <w:rFonts w:hint="eastAsia"/>
                <w:bCs/>
                <w:color w:val="auto"/>
                <w:kern w:val="0"/>
                <w:sz w:val="24"/>
                <w:szCs w:val="22"/>
              </w:rPr>
              <w:t>可行</w:t>
            </w:r>
            <w:r>
              <w:rPr>
                <w:bCs/>
                <w:color w:val="auto"/>
                <w:kern w:val="0"/>
                <w:sz w:val="24"/>
                <w:szCs w:val="22"/>
              </w:rPr>
              <w:t>。</w:t>
            </w:r>
          </w:p>
          <w:p w14:paraId="532C2017">
            <w:pPr>
              <w:keepNext/>
              <w:keepLines/>
              <w:pageBreakBefore w:val="0"/>
              <w:shd w:val="clear" w:color="auto" w:fill="auto"/>
              <w:kinsoku/>
              <w:wordWrap/>
              <w:overflowPunct/>
              <w:topLinePunct w:val="0"/>
              <w:autoSpaceDE/>
              <w:autoSpaceDN/>
              <w:bidi w:val="0"/>
              <w:adjustRightInd/>
              <w:snapToGrid/>
              <w:spacing w:line="360" w:lineRule="auto"/>
              <w:ind w:firstLine="482" w:firstLineChars="200"/>
              <w:textAlignment w:val="auto"/>
              <w:rPr>
                <w:b/>
                <w:color w:val="auto"/>
                <w:sz w:val="24"/>
              </w:rPr>
            </w:pPr>
            <w:r>
              <w:rPr>
                <w:rFonts w:hint="eastAsia"/>
                <w:b/>
                <w:color w:val="auto"/>
                <w:sz w:val="24"/>
                <w:lang w:val="en-US" w:eastAsia="zh-CN"/>
              </w:rPr>
              <w:t>3</w:t>
            </w:r>
            <w:r>
              <w:rPr>
                <w:b/>
                <w:color w:val="auto"/>
                <w:sz w:val="24"/>
              </w:rPr>
              <w:t>、对</w:t>
            </w:r>
            <w:r>
              <w:rPr>
                <w:rFonts w:hint="eastAsia"/>
                <w:b/>
                <w:color w:val="auto"/>
                <w:sz w:val="24"/>
                <w:lang w:val="en-US" w:eastAsia="zh-CN"/>
              </w:rPr>
              <w:t>周边</w:t>
            </w:r>
            <w:r>
              <w:rPr>
                <w:b/>
                <w:color w:val="auto"/>
                <w:sz w:val="24"/>
              </w:rPr>
              <w:t>环境质量的影响分析</w:t>
            </w:r>
          </w:p>
          <w:p w14:paraId="63DC5D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r>
              <w:rPr>
                <w:color w:val="auto"/>
                <w:kern w:val="0"/>
                <w:sz w:val="24"/>
              </w:rPr>
              <w:t>由工程分析和影响预测可知，工程实施后通过采取有效</w:t>
            </w:r>
            <w:r>
              <w:rPr>
                <w:color w:val="auto"/>
                <w:sz w:val="24"/>
                <w:szCs w:val="20"/>
              </w:rPr>
              <w:t>防治措施，</w:t>
            </w:r>
            <w:r>
              <w:rPr>
                <w:color w:val="auto"/>
                <w:kern w:val="0"/>
                <w:sz w:val="24"/>
              </w:rPr>
              <w:t>不会对</w:t>
            </w:r>
            <w:r>
              <w:rPr>
                <w:rFonts w:hint="eastAsia"/>
                <w:color w:val="auto"/>
                <w:kern w:val="0"/>
                <w:sz w:val="24"/>
                <w:lang w:val="en-US" w:eastAsia="zh-CN"/>
              </w:rPr>
              <w:t>周边</w:t>
            </w:r>
            <w:r>
              <w:rPr>
                <w:color w:val="auto"/>
                <w:kern w:val="0"/>
                <w:sz w:val="24"/>
              </w:rPr>
              <w:t>声环境、大气环境、生态环境、水环境产生明显影响。</w:t>
            </w:r>
            <w:r>
              <w:rPr>
                <w:rFonts w:hint="eastAsia"/>
                <w:color w:val="auto"/>
                <w:kern w:val="0"/>
                <w:sz w:val="24"/>
                <w:lang w:val="en-US" w:eastAsia="zh-CN"/>
              </w:rPr>
              <w:t>项目工程周边无环境敏感目标，且</w:t>
            </w:r>
            <w:r>
              <w:rPr>
                <w:color w:val="auto"/>
                <w:kern w:val="0"/>
                <w:sz w:val="24"/>
              </w:rPr>
              <w:t>施工期</w:t>
            </w:r>
            <w:r>
              <w:rPr>
                <w:rFonts w:hint="eastAsia"/>
                <w:color w:val="auto"/>
                <w:kern w:val="0"/>
                <w:sz w:val="24"/>
                <w:lang w:val="en-US" w:eastAsia="zh-CN"/>
              </w:rPr>
              <w:t>不长</w:t>
            </w:r>
            <w:r>
              <w:rPr>
                <w:color w:val="auto"/>
                <w:kern w:val="0"/>
                <w:sz w:val="24"/>
              </w:rPr>
              <w:t>，随着施工的结束，影响也就消除，同时通过采取生态恢复措施，也可以在一定程度上弥补工程建设造成的水土流失；运营期通过采取有效</w:t>
            </w:r>
            <w:r>
              <w:rPr>
                <w:color w:val="auto"/>
                <w:sz w:val="24"/>
                <w:szCs w:val="20"/>
              </w:rPr>
              <w:t>防治措施后，</w:t>
            </w:r>
            <w:r>
              <w:rPr>
                <w:color w:val="auto"/>
                <w:kern w:val="0"/>
                <w:sz w:val="24"/>
              </w:rPr>
              <w:t>不会对周边声环境、大气环境、生态环境、水环境产生明显影响</w:t>
            </w:r>
            <w:r>
              <w:rPr>
                <w:rFonts w:hint="default" w:ascii="Times New Roman" w:hAnsi="Times New Roman" w:eastAsia="宋体" w:cs="Times New Roman"/>
                <w:caps w:val="0"/>
                <w:smallCaps w:val="0"/>
                <w:color w:val="auto"/>
                <w:spacing w:val="0"/>
                <w:w w:val="100"/>
                <w:kern w:val="2"/>
                <w:position w:val="0"/>
                <w:sz w:val="24"/>
                <w:szCs w:val="24"/>
                <w:highlight w:val="none"/>
                <w:u w:val="none"/>
                <w:lang w:val="en-US" w:eastAsia="zh-CN"/>
              </w:rPr>
              <w:t>。</w:t>
            </w:r>
          </w:p>
          <w:p w14:paraId="044F32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324592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54FC93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5ED616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6A300C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419C06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0116E2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53EE0D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065013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4A4304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4653C6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528E30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78708E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626CC5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2FEDCB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29B7AA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1DCD03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2D107C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544A62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590571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6B8CCA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2C91DA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596FDE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34A0EB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color w:val="auto"/>
                <w:kern w:val="0"/>
                <w:sz w:val="24"/>
              </w:rPr>
            </w:pPr>
          </w:p>
          <w:p w14:paraId="1109D9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720" w:firstLineChars="200"/>
              <w:textAlignment w:val="auto"/>
              <w:rPr>
                <w:rFonts w:hint="default" w:ascii="Times New Roman" w:hAnsi="Times New Roman" w:eastAsia="黑体" w:cs="Times New Roman"/>
                <w:caps w:val="0"/>
                <w:smallCaps w:val="0"/>
                <w:snapToGrid w:val="0"/>
                <w:color w:val="auto"/>
                <w:spacing w:val="0"/>
                <w:w w:val="100"/>
                <w:kern w:val="2"/>
                <w:position w:val="0"/>
                <w:sz w:val="36"/>
                <w:szCs w:val="36"/>
                <w:highlight w:val="none"/>
                <w:vertAlign w:val="baseline"/>
              </w:rPr>
            </w:pPr>
          </w:p>
        </w:tc>
      </w:tr>
    </w:tbl>
    <w:p w14:paraId="06443B67">
      <w:pPr>
        <w:pStyle w:val="25"/>
        <w:pageBreakBefore w:val="0"/>
        <w:wordWrap/>
        <w:topLinePunct w:val="0"/>
        <w:bidi w:val="0"/>
        <w:spacing w:before="0" w:beforeAutospacing="0" w:after="0" w:afterAutospacing="0"/>
        <w:ind w:left="0" w:leftChars="0" w:right="0"/>
        <w:jc w:val="center"/>
        <w:rPr>
          <w:rFonts w:hint="default" w:ascii="Times New Roman" w:hAnsi="Times New Roman" w:eastAsia="黑体" w:cs="Times New Roman"/>
          <w:caps w:val="0"/>
          <w:smallCaps w:val="0"/>
          <w:snapToGrid w:val="0"/>
          <w:color w:val="auto"/>
          <w:spacing w:val="0"/>
          <w:w w:val="100"/>
          <w:kern w:val="2"/>
          <w:position w:val="0"/>
          <w:sz w:val="36"/>
          <w:szCs w:val="36"/>
          <w:highlight w:val="none"/>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14:paraId="4472A0C2">
      <w:pPr>
        <w:pStyle w:val="25"/>
        <w:pageBreakBefore w:val="0"/>
        <w:wordWrap/>
        <w:topLinePunct w:val="0"/>
        <w:bidi w:val="0"/>
        <w:adjustRightInd w:val="0"/>
        <w:snapToGrid w:val="0"/>
        <w:spacing w:before="0" w:beforeAutospacing="0" w:after="0" w:afterAutospacing="0" w:line="14" w:lineRule="auto"/>
        <w:ind w:left="0" w:leftChars="0" w:right="0"/>
        <w:jc w:val="center"/>
        <w:outlineLvl w:val="9"/>
        <w:rPr>
          <w:rFonts w:hint="default" w:ascii="Times New Roman" w:hAnsi="Times New Roman" w:eastAsia="黑体" w:cs="Times New Roman"/>
          <w:caps w:val="0"/>
          <w:smallCaps w:val="0"/>
          <w:snapToGrid w:val="0"/>
          <w:color w:val="auto"/>
          <w:spacing w:val="0"/>
          <w:w w:val="100"/>
          <w:kern w:val="2"/>
          <w:position w:val="0"/>
          <w:sz w:val="30"/>
          <w:szCs w:val="30"/>
          <w:highlight w:val="none"/>
        </w:rPr>
      </w:pPr>
    </w:p>
    <w:p w14:paraId="4C05021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outlineLvl w:val="0"/>
        <w:rPr>
          <w:rFonts w:hint="default" w:ascii="Times New Roman" w:hAnsi="Times New Roman" w:eastAsia="黑体" w:cs="Times New Roman"/>
          <w:caps w:val="0"/>
          <w:smallCaps w:val="0"/>
          <w:snapToGrid w:val="0"/>
          <w:color w:val="auto"/>
          <w:spacing w:val="0"/>
          <w:w w:val="100"/>
          <w:kern w:val="2"/>
          <w:position w:val="0"/>
          <w:sz w:val="30"/>
          <w:szCs w:val="30"/>
          <w:highlight w:val="none"/>
        </w:rPr>
      </w:pPr>
      <w:bookmarkStart w:id="20" w:name="_Toc4073"/>
      <w:r>
        <w:rPr>
          <w:rFonts w:hint="default" w:ascii="Times New Roman" w:hAnsi="Times New Roman" w:eastAsia="黑体" w:cs="Times New Roman"/>
          <w:caps w:val="0"/>
          <w:smallCaps w:val="0"/>
          <w:snapToGrid w:val="0"/>
          <w:color w:val="auto"/>
          <w:spacing w:val="0"/>
          <w:w w:val="100"/>
          <w:kern w:val="2"/>
          <w:position w:val="0"/>
          <w:sz w:val="30"/>
          <w:szCs w:val="30"/>
          <w:highlight w:val="none"/>
        </w:rPr>
        <w:t>五、主要生态环境保护措施</w:t>
      </w:r>
      <w:bookmarkEnd w:id="20"/>
    </w:p>
    <w:tbl>
      <w:tblPr>
        <w:tblStyle w:val="29"/>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7669"/>
      </w:tblGrid>
      <w:tr w14:paraId="661BC5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dxa"/>
            <w:tcBorders>
              <w:tl2br w:val="nil"/>
              <w:tr2bl w:val="nil"/>
            </w:tcBorders>
            <w:noWrap w:val="0"/>
            <w:tcMar>
              <w:left w:w="28" w:type="dxa"/>
              <w:right w:w="28" w:type="dxa"/>
            </w:tcMar>
            <w:vAlign w:val="center"/>
          </w:tcPr>
          <w:p w14:paraId="687754B8">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bCs/>
                <w:caps w:val="0"/>
                <w:smallCaps w:val="0"/>
                <w:color w:val="auto"/>
                <w:spacing w:val="0"/>
                <w:w w:val="100"/>
                <w:kern w:val="2"/>
                <w:position w:val="0"/>
                <w:sz w:val="24"/>
                <w:szCs w:val="24"/>
                <w:highlight w:val="none"/>
              </w:rPr>
            </w:pPr>
            <w:r>
              <w:rPr>
                <w:rFonts w:hint="default" w:ascii="Times New Roman" w:hAnsi="Times New Roman" w:cs="Times New Roman"/>
                <w:bCs/>
                <w:caps w:val="0"/>
                <w:smallCaps w:val="0"/>
                <w:color w:val="auto"/>
                <w:spacing w:val="0"/>
                <w:w w:val="100"/>
                <w:kern w:val="2"/>
                <w:position w:val="0"/>
                <w:sz w:val="24"/>
                <w:szCs w:val="24"/>
                <w:highlight w:val="none"/>
              </w:rPr>
              <w:t>施工期生态环境保护措施</w:t>
            </w:r>
          </w:p>
        </w:tc>
        <w:tc>
          <w:tcPr>
            <w:tcW w:w="9098" w:type="dxa"/>
            <w:tcBorders>
              <w:tl2br w:val="nil"/>
              <w:tr2bl w:val="nil"/>
            </w:tcBorders>
            <w:noWrap w:val="0"/>
            <w:vAlign w:val="top"/>
          </w:tcPr>
          <w:p w14:paraId="4E4667E0">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2" w:firstLineChars="200"/>
              <w:textAlignment w:val="auto"/>
              <w:rPr>
                <w:rFonts w:hint="default" w:ascii="Times New Roman" w:hAnsi="Times New Roman" w:eastAsia="宋体" w:cs="Times New Roman"/>
                <w:b/>
                <w:bCs/>
                <w:caps w:val="0"/>
                <w:smallCaps w:val="0"/>
                <w:color w:val="auto"/>
                <w:spacing w:val="0"/>
                <w:w w:val="100"/>
                <w:kern w:val="2"/>
                <w:position w:val="0"/>
                <w:sz w:val="24"/>
                <w:szCs w:val="24"/>
                <w:highlight w:val="none"/>
              </w:rPr>
            </w:pPr>
            <w:r>
              <w:rPr>
                <w:rFonts w:hint="default" w:ascii="Times New Roman" w:hAnsi="Times New Roman" w:eastAsia="宋体" w:cs="Times New Roman"/>
                <w:b/>
                <w:bCs/>
                <w:caps w:val="0"/>
                <w:smallCaps w:val="0"/>
                <w:color w:val="auto"/>
                <w:spacing w:val="0"/>
                <w:w w:val="100"/>
                <w:kern w:val="2"/>
                <w:position w:val="0"/>
                <w:sz w:val="24"/>
                <w:szCs w:val="24"/>
                <w:highlight w:val="none"/>
                <w:lang w:val="en-US" w:eastAsia="zh-CN"/>
              </w:rPr>
              <w:t>1</w:t>
            </w:r>
            <w:r>
              <w:rPr>
                <w:rFonts w:hint="default" w:ascii="Times New Roman" w:hAnsi="Times New Roman" w:eastAsia="宋体" w:cs="Times New Roman"/>
                <w:b/>
                <w:bCs/>
                <w:caps w:val="0"/>
                <w:smallCaps w:val="0"/>
                <w:color w:val="auto"/>
                <w:spacing w:val="0"/>
                <w:w w:val="100"/>
                <w:kern w:val="2"/>
                <w:position w:val="0"/>
                <w:sz w:val="24"/>
                <w:szCs w:val="24"/>
                <w:highlight w:val="none"/>
              </w:rPr>
              <w:t>施工期生态环境保护措施</w:t>
            </w:r>
          </w:p>
          <w:p w14:paraId="45D98C1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2" w:firstLineChars="200"/>
              <w:textAlignment w:val="auto"/>
              <w:rPr>
                <w:rFonts w:hint="eastAsia" w:ascii="Times New Roman" w:hAnsi="Times New Roman" w:cs="Times New Roman"/>
                <w:b/>
                <w:bCs/>
                <w:color w:val="auto"/>
                <w:kern w:val="0"/>
                <w:sz w:val="24"/>
                <w:lang w:val="en-US" w:eastAsia="zh-CN"/>
              </w:rPr>
            </w:pPr>
            <w:r>
              <w:rPr>
                <w:rFonts w:hint="eastAsia" w:ascii="Times New Roman" w:hAnsi="Times New Roman" w:cs="Times New Roman"/>
                <w:b/>
                <w:bCs/>
                <w:color w:val="auto"/>
                <w:kern w:val="0"/>
                <w:sz w:val="24"/>
                <w:lang w:val="en-US" w:eastAsia="zh-CN"/>
              </w:rPr>
              <w:t>1.1陆生生态保护措施</w:t>
            </w:r>
          </w:p>
          <w:p w14:paraId="4F9DEF6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针对施工期场地平整、机械作业、便道铺设等活动造成的植被覆盖率下降、土壤理化性质改变、陆生动物惊扰、景观协调性破坏等影响，采取以下分级保护措施：</w:t>
            </w:r>
          </w:p>
          <w:p w14:paraId="6423764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（1）严格管控施工扰动范围，减少植被破坏</w:t>
            </w:r>
          </w:p>
          <w:p w14:paraId="6D45A88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①划定明确的施工红线，施工机械、物料堆放、作业活动均限制在红线范围内，严禁超范围碾压周边植被；临时用地优先选用原有公路用地、闲置空地，确需占用林草用地的，需履行审批手续，且施工结束后恢复面积不低于占用面积。②施工前清理地表植被时，对杨树、柳树等本土乔木及假木贼、苦豆子等可移植草本/灌木，采取带土移栽方式迁至项目周边适宜区域，移栽后安排专人养护，提高存活率；对无法移植的植被，留存根系土壤，施工结束后用于场地植被恢复。③施工便道、作业区周边设置绿色围挡，围挡高度不低于2.0m，防止施工机械、人员随意进入非施工区域，避免对周边果园、人工植被区造成二次扰动。</w:t>
            </w:r>
          </w:p>
          <w:p w14:paraId="7D04EF6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（2）减轻施工对土壤的扰动与污染，恢复土壤功能</w:t>
            </w:r>
          </w:p>
          <w:p w14:paraId="1105C2A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①施工机械行驶设置固定路线，避免随意碾压；物料堆放区、机械停放区铺设防渗土工布和钢板，防止土壤被压实、油污污染；对施工中被压实的表层土壤，施工结束后及时进行翻松处理，恢复土壤孔隙结构。②施工过程中产生的建筑垃圾（碎砖块、混凝土残渣）、施工废料（废弃包装、建材边角料）实行分类收集，设置专用密闭堆放点，做到“日产日清”，严禁随意堆放、掩埋；废钢材等可回收物外售综合利用，不可回收建筑垃圾清运至政府指定地点处置，防止土壤局部污染。③路基开挖、老桥拆除产生的弃土临时堆存于道路红线内，采取篷布覆盖、周边设置挡土埂等防护措施，防止雨水冲刷造成土壤流失，弃土最终清运至指定弃土坑，堆存区表层覆土后及时补植植被。</w:t>
            </w:r>
          </w:p>
          <w:p w14:paraId="14293AD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（3）减少施工活动对陆生动物的惊扰，保护动物栖息环境</w:t>
            </w:r>
          </w:p>
          <w:p w14:paraId="0E99918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①合理安排施工时间，避开鸟类（麻雀、乌鸦）、小型兽类（田鼠、灰仓鼠）的觅食（清晨、傍晚）和繁殖期，严禁在繁殖期进行大规模爆破、切割等强噪声作业；夜间（24:00-8:00）停止露天施工作业，减少灯光、噪声对动物的惊扰。②施工区域设置“禁止捕杀、惊扰野生动物”警示标识，加强对施工人员的宣传教育，严禁捕捉、伤害周边动物；施工过程中若发现动物巢穴，及时采取避让措施，不得随意破坏。③施工期做好扬尘、噪声防控（配套雾炮机降尘、选用低噪声机械），减少粉尘、噪声对动物觅食、栖息行为的影响；施工结束后，及时清理施工场地，恢复周边植被，为动物回归创造适宜环境。</w:t>
            </w:r>
          </w:p>
          <w:p w14:paraId="463DE39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（4）及时恢复施工区域景观，改善视觉影响</w:t>
            </w:r>
          </w:p>
          <w:p w14:paraId="0C35D82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①施工期间，对裸露场地、物料堆放区采用绿色防尘网覆盖，临时围挡进行绿化装饰（张贴绿植图案、悬挂盆栽），减少施工场景与周边人居、自然景观的反差。②施工结束后，拆除临时围挡、临时设施，对施工扰动区域进行场地平整，按照“本土适生、景观协调”原则补植植被，优先选用杨树、柳树、芦苇等项目区原有植被类型，兼顾生态恢复与景观效果；对施工便道等临时用地，恢复为原有土地利用类型（村庄用地、河流水面周边恢复草本植被）。</w:t>
            </w:r>
          </w:p>
          <w:p w14:paraId="317C280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2" w:firstLineChars="200"/>
              <w:textAlignment w:val="auto"/>
              <w:rPr>
                <w:rFonts w:hint="eastAsia" w:ascii="Times New Roman" w:hAnsi="Times New Roman" w:cs="Times New Roman"/>
                <w:b/>
                <w:bCs/>
                <w:color w:val="auto"/>
                <w:kern w:val="0"/>
                <w:sz w:val="24"/>
                <w:lang w:val="en-US" w:eastAsia="zh-CN"/>
              </w:rPr>
            </w:pPr>
            <w:r>
              <w:rPr>
                <w:rFonts w:hint="eastAsia" w:ascii="Times New Roman" w:hAnsi="Times New Roman" w:cs="Times New Roman"/>
                <w:b/>
                <w:bCs/>
                <w:color w:val="auto"/>
                <w:kern w:val="0"/>
                <w:sz w:val="24"/>
                <w:lang w:val="en-US" w:eastAsia="zh-CN"/>
              </w:rPr>
              <w:t>1.2水生生态保护措施</w:t>
            </w:r>
          </w:p>
          <w:p w14:paraId="77D1AD6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针对项目跨河道建设，施工期老桥拆除、基础施工造成的河道悬浮物增加、水生生物栖息地扰动、施工废水污染水体等影响，采取全程防控、源头治理的保护措施，重点保护阳霞艾肯河支流的叶尔羌高原鳅、长身高原鳅等土著鱼类及水生生态系统：</w:t>
            </w:r>
          </w:p>
          <w:p w14:paraId="386C038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（1）老桥拆除全过程防控，减少河道扰动与建筑垃圾入河</w:t>
            </w:r>
          </w:p>
          <w:p w14:paraId="3D081E9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①拆除前，在桥梁上下游各50m处设置双层拦污网（网眼尺寸不大于5cm），拦污网底部固定至河底，顶部高出水面1.0m，防止拆除过程中混凝土块、钢筋、碎石等建筑垃圾坠入河道；同时在桥底铺设防坠土工布，收集切割、破碎产生的碎渣，做到“边拆除、边清理”。②严格遵循“竖向分层、横向分条、纵向分段、对称拆除、平衡受力”原则，采用分段切割+架桥机吊运工艺替代传统机械破碎，避免大块建筑垃圾坠入河道；对拱肋、拱波等关键部位拆除时，分段长度控制在1.5-4m，切割后及时吊运至岸边，严禁在河道上方悬空堆放建筑垃圾。③拆除过程中安排专人值守河道，及时清理不慎落入水中的杂物、碎渣；拆除完成后，对河道进行全面清淤，清除河底沉积的建筑垃圾、泥沙，恢复河道原有水流形态和河床平整度。</w:t>
            </w:r>
          </w:p>
          <w:p w14:paraId="5EB0363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（2）桥梁基础施工源头管控，防止泥浆、废水污染水体</w:t>
            </w:r>
          </w:p>
          <w:p w14:paraId="1A1BBAB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①钻孔灌注桩、基坑开挖等基础施工时，在施工区域周边设置泥浆沉淀池+防渗围堰，沉淀池采用三级沉淀设计，施工产生的泥浆全部排入沉淀池处理，严禁直接排入河道；泥浆经沉淀后，上清液回用于施工场地洒水降尘，沉淀的泥沙脱水后作为建筑垃圾清运，不得随意倾倒至河道。②基础施工采用套管防护工艺，套管深入河底以下0.5m，防止施工过程中河道泥沙扰动、泥浆泄漏，减少水体悬浮物浓度升高对水生生物的影响；施工过程中控制作业速度，避免快速开挖造成河床垮塌、泥沙入河。③严禁在河道内进行施工机械清洗、车辆冲洗等作业；施工机械停放区设置隔油沉淀池，施工机械跑冒滴漏的油污、清洗废水全部收集至隔油沉淀池，经隔油、沉淀处理后回用，尾水用于施工场地降尘，严禁排入河道。</w:t>
            </w:r>
          </w:p>
          <w:p w14:paraId="666C106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（3）施工废水全程管控，杜绝污染物入河</w:t>
            </w:r>
          </w:p>
          <w:p w14:paraId="2C276EA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①施工场地设置环形排水沟、集水井，收集施工场地雨水冲刷产生的污水、运输车辆轮胎冲洗废水，所有废水经沉淀池（SS去除）+隔油池处理后循环回用，实现施工废水“零外排”。②施工材料严禁堆放在河道周边50m范围内，物料堆放区铺设防渗土工布，设置防雨棚和截水沟，防止雨水冲刷造成物料流失、污染水体；油料储存采用密闭储罐，储罐下方设置防渗围堰和集油坑，防止油料泄漏入河。③施工人员生活污水依托周边村庄既有污水处理设施处置，不设置独立施工营地，严禁在河道周边随意排放生活污水。</w:t>
            </w:r>
          </w:p>
          <w:p w14:paraId="121FC52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（4）保护水生生物生存环境，减少施工对水生生物的影响</w:t>
            </w:r>
          </w:p>
          <w:p w14:paraId="15D69C8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①基础施工、河道清理作业避开土著鱼类的繁殖期，若施工周期与繁殖期重叠，采取暂停水下作业、设置生物庇护区等措施，保护鱼类亲体和幼体。②施工过程中减少对河道水流的阻断，严禁在河道内设置临时围堰等阻水设施，保证河道水体的连通性和流动性，满足水生生物的生存、洄游需求（虽项目区鱼类无洄游习性，但需保证其栖息环境的稳定性）。③施工结束后，对河道周边的施工扰动区域进行生态修复，在河道岸边补植芦苇等水生植物，恢复水生植物群落，为水生生物提供栖息、觅食场所；同时清理河道内的施工设施，恢复河道自然生态风貌。</w:t>
            </w:r>
          </w:p>
          <w:p w14:paraId="4C9B613A">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加强施工期水生生态监控，及时处置环境问题施工期安排专人对河道水质、水生生物活动情况进行定期监控，每周监测1次河道悬浮物浓度，若发现水体浑浊、建筑垃圾入河等问题，立即停工并采取清理、整改措施；若发现水生生物异常死亡情况，及时联系当地生态环境部门和水产部门，开展调查与处置。</w:t>
            </w:r>
          </w:p>
          <w:p w14:paraId="3AD7C305">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2" w:firstLineChars="200"/>
              <w:textAlignment w:val="auto"/>
              <w:rPr>
                <w:rFonts w:hint="default" w:ascii="Times New Roman" w:hAnsi="Times New Roman" w:eastAsia="宋体" w:cs="Times New Roman"/>
                <w:b/>
                <w:bCs/>
                <w:caps w:val="0"/>
                <w:smallCaps w:val="0"/>
                <w:color w:val="auto"/>
                <w:spacing w:val="0"/>
                <w:w w:val="100"/>
                <w:kern w:val="2"/>
                <w:position w:val="0"/>
                <w:sz w:val="24"/>
                <w:highlight w:val="none"/>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2</w:t>
            </w:r>
            <w:r>
              <w:rPr>
                <w:rFonts w:hint="default" w:ascii="Times New Roman" w:hAnsi="Times New Roman" w:eastAsia="宋体" w:cs="Times New Roman"/>
                <w:b/>
                <w:bCs/>
                <w:caps w:val="0"/>
                <w:smallCaps w:val="0"/>
                <w:color w:val="auto"/>
                <w:spacing w:val="0"/>
                <w:w w:val="100"/>
                <w:kern w:val="2"/>
                <w:position w:val="0"/>
                <w:sz w:val="24"/>
                <w:highlight w:val="none"/>
              </w:rPr>
              <w:t>大气环境保护措施</w:t>
            </w:r>
          </w:p>
          <w:p w14:paraId="76CB1E9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（1）项目采取分段施工，敏感目标附近，施工区域外侧需设置施工围挡等。</w:t>
            </w:r>
          </w:p>
          <w:p w14:paraId="4DFBD57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（2）开挖、拆迁过程中，洒水使作业区域保持一定的湿度：施工场地内松散、干涸的表土，也应经常洒水、篷布遮盖等措施防治粉尘；回填土方时，在表层土质干燥时应适当洒水，防止粉尘飞扬。</w:t>
            </w:r>
          </w:p>
          <w:p w14:paraId="774029E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（3）加强回填土方堆放场的管理，要制定土方表面压实、定期喷水、覆盖等措施；不需要的建筑材料、弃渣等应及时运走，不宜长时间堆积。</w:t>
            </w:r>
          </w:p>
          <w:p w14:paraId="6B0B4D3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4）运土卡车及建筑材料运输车应按规定配置防洒装备，装载不宜过满，并用篷布遮盖，保证运输过程中不散落；并规划好运输车辆的运行路线与时间，尽量避免在交通集中区和居民住宅等敏感区行驶；对环境要求高的路段，应根据实际情况选择在夜间运输，以减少粉尘对环境的影响。</w:t>
            </w:r>
          </w:p>
          <w:p w14:paraId="3BDE3FE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5）加强路面维护及施工运输车辆的运输管理，尽可能防止运输的物料洒落、装卸场地在装卸前冲洗干净，减少车轮、底盘等携带泥土散落路面。其他运输易产生扬尘污染物料的车辆，应当采用密闭或覆盖，装载的散装物料不得超过车厢挡板的高度；运输途中的散装物料不得沿途泄漏、散落或者飞扬。</w:t>
            </w:r>
          </w:p>
          <w:p w14:paraId="1F3A353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（6）对</w:t>
            </w:r>
            <w:r>
              <w:rPr>
                <w:rFonts w:hint="eastAsia" w:ascii="Times New Roman" w:hAnsi="Times New Roman" w:eastAsia="宋体" w:cs="Times New Roman"/>
                <w:caps w:val="0"/>
                <w:smallCaps w:val="0"/>
                <w:color w:val="auto"/>
                <w:spacing w:val="0"/>
                <w:w w:val="100"/>
                <w:kern w:val="2"/>
                <w:position w:val="0"/>
                <w:sz w:val="24"/>
                <w:szCs w:val="24"/>
                <w:highlight w:val="none"/>
                <w:lang w:val="en-US" w:eastAsia="zh-CN" w:bidi="ar"/>
              </w:rPr>
              <w:t>运输过程中洒落</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在路面上的泥土要及时清扫，以减少运行过程中的扬尘，并通过定时洒水等措施来抑尘。</w:t>
            </w:r>
          </w:p>
          <w:p w14:paraId="3622245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（7）为防止建材堆场在有风时产生扬尘，各建材堆场应采取遮蔽挡风措施，除需防水的物料外，在干燥有风时洒水保湿。</w:t>
            </w:r>
          </w:p>
          <w:p w14:paraId="40437A0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（8）施工过程中，各类建筑垃圾应及时清理，严禁将废弃的建筑材料作为燃料燃烧。</w:t>
            </w:r>
          </w:p>
          <w:p w14:paraId="275B0024">
            <w:pPr>
              <w:keepNext w:val="0"/>
              <w:keepLines w:val="0"/>
              <w:pageBreakBefore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position w:val="0"/>
                <w:sz w:val="24"/>
                <w:highlight w:val="none"/>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（9）</w:t>
            </w:r>
            <w:r>
              <w:rPr>
                <w:rFonts w:hint="default" w:ascii="Times New Roman" w:hAnsi="Times New Roman" w:eastAsia="宋体" w:cs="Times New Roman"/>
                <w:caps w:val="0"/>
                <w:smallCaps w:val="0"/>
                <w:color w:val="auto"/>
                <w:spacing w:val="0"/>
                <w:w w:val="100"/>
                <w:kern w:val="2"/>
                <w:position w:val="0"/>
                <w:sz w:val="24"/>
                <w:highlight w:val="none"/>
              </w:rPr>
              <w:t>采用无热源或高温容器将沥青</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混凝土</w:t>
            </w:r>
            <w:r>
              <w:rPr>
                <w:rFonts w:hint="default" w:ascii="Times New Roman" w:hAnsi="Times New Roman" w:eastAsia="宋体" w:cs="Times New Roman"/>
                <w:caps w:val="0"/>
                <w:smallCaps w:val="0"/>
                <w:color w:val="auto"/>
                <w:spacing w:val="0"/>
                <w:w w:val="100"/>
                <w:kern w:val="2"/>
                <w:position w:val="0"/>
                <w:sz w:val="24"/>
                <w:highlight w:val="none"/>
              </w:rPr>
              <w:t>运至铺浇工地，沥青采取全封闭沥青摊铺车进行作业，可以从根本上解决沥青烟污染的问题。沥青烟气的排放浓度较低，对周围环境影响较小。</w:t>
            </w:r>
          </w:p>
          <w:p w14:paraId="4560CB75">
            <w:pPr>
              <w:pStyle w:val="22"/>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aps w:val="0"/>
                <w:smallCaps w:val="0"/>
                <w:color w:val="auto"/>
                <w:spacing w:val="0"/>
                <w:w w:val="100"/>
                <w:kern w:val="2"/>
                <w:position w:val="0"/>
                <w:sz w:val="24"/>
                <w:highlight w:val="none"/>
                <w:lang w:val="en-US" w:eastAsia="zh-CN"/>
              </w:rPr>
            </w:pP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10</w:t>
            </w:r>
            <w:r>
              <w:rPr>
                <w:rFonts w:hint="eastAsia" w:ascii="Times New Roman" w:hAnsi="Times New Roman" w:eastAsia="宋体" w:cs="Times New Roman"/>
                <w:caps w:val="0"/>
                <w:smallCaps w:val="0"/>
                <w:color w:val="auto"/>
                <w:spacing w:val="0"/>
                <w:w w:val="100"/>
                <w:kern w:val="2"/>
                <w:position w:val="0"/>
                <w:sz w:val="24"/>
                <w:highlight w:val="none"/>
                <w:lang w:eastAsia="zh-CN"/>
              </w:rPr>
              <w:t>）</w:t>
            </w:r>
            <w:r>
              <w:rPr>
                <w:rFonts w:hint="eastAsia" w:ascii="Times New Roman" w:hAnsi="Times New Roman" w:eastAsia="宋体" w:cs="Times New Roman"/>
                <w:caps w:val="0"/>
                <w:smallCaps w:val="0"/>
                <w:color w:val="auto"/>
                <w:spacing w:val="0"/>
                <w:w w:val="100"/>
                <w:kern w:val="2"/>
                <w:position w:val="0"/>
                <w:sz w:val="24"/>
                <w:highlight w:val="none"/>
                <w:lang w:val="en-US" w:eastAsia="zh-CN"/>
              </w:rPr>
              <w:t>施工期临时混凝土拌和站做好筒仓及搅拌站封闭措施，安装除尘装置，确保临时搅拌站粉尘达标排放，减少对周边大气环境影响。</w:t>
            </w:r>
          </w:p>
          <w:p w14:paraId="382A661F">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2" w:firstLineChars="200"/>
              <w:textAlignment w:val="auto"/>
              <w:rPr>
                <w:rFonts w:hint="default" w:ascii="Times New Roman" w:hAnsi="Times New Roman" w:eastAsia="宋体" w:cs="Times New Roman"/>
                <w:b/>
                <w:bCs/>
                <w:caps w:val="0"/>
                <w:smallCaps w:val="0"/>
                <w:color w:val="auto"/>
                <w:spacing w:val="0"/>
                <w:w w:val="100"/>
                <w:kern w:val="2"/>
                <w:position w:val="0"/>
                <w:sz w:val="24"/>
                <w:highlight w:val="none"/>
                <w:lang w:eastAsia="zh-CN"/>
              </w:rPr>
            </w:pPr>
            <w:r>
              <w:rPr>
                <w:rFonts w:hint="default" w:ascii="Times New Roman" w:hAnsi="Times New Roman" w:eastAsia="宋体" w:cs="Times New Roman"/>
                <w:b/>
                <w:bCs/>
                <w:caps w:val="0"/>
                <w:smallCaps w:val="0"/>
                <w:color w:val="auto"/>
                <w:spacing w:val="0"/>
                <w:w w:val="100"/>
                <w:kern w:val="2"/>
                <w:position w:val="0"/>
                <w:sz w:val="24"/>
                <w:highlight w:val="none"/>
                <w:lang w:val="en-US" w:eastAsia="zh-CN"/>
              </w:rPr>
              <w:t>3</w:t>
            </w:r>
            <w:r>
              <w:rPr>
                <w:rFonts w:hint="default" w:ascii="Times New Roman" w:hAnsi="Times New Roman" w:eastAsia="宋体" w:cs="Times New Roman"/>
                <w:b/>
                <w:bCs/>
                <w:caps w:val="0"/>
                <w:smallCaps w:val="0"/>
                <w:color w:val="auto"/>
                <w:spacing w:val="0"/>
                <w:w w:val="100"/>
                <w:kern w:val="2"/>
                <w:position w:val="0"/>
                <w:sz w:val="24"/>
                <w:highlight w:val="none"/>
              </w:rPr>
              <w:t>地表水环境保护措施</w:t>
            </w:r>
          </w:p>
          <w:p w14:paraId="0285EBD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桥梁建设施工工艺不当或施工管理不强，产生的施工泥渣、机械漏油、施工物料受雨水冲刷入地表水将影响水质。环评要求尽量采用先进的设备、机械，以有效地减少跑、冒、滴、漏的数量及机械维修的次数，同时及时检修施工机械设备，避免跑、冒、滴、漏的发生，从而减少含油污水的产生量。注意检查维护施工机械，防止油料发生泄漏污染水体。施工材料如油料、化学品等禁止堆放在地表水体附近，并应备有临时遮挡的雨布。施工机械停放区设置隔油沉淀池，将施工机械冲洗废水收集至隔油沉淀池内统一处置，经过隔油隔渣处理后回用，尾水用于施工场地洒水降尘，严禁排入附近水体。严格落实以上地表水保护措施，从源头杜绝施工废水排入附近水体。</w:t>
            </w:r>
          </w:p>
          <w:p w14:paraId="09DC938E">
            <w:pPr>
              <w:pageBreakBefore w:val="0"/>
              <w:widowControl/>
              <w:kinsoku/>
              <w:wordWrap/>
              <w:overflowPunct/>
              <w:topLinePunct w:val="0"/>
              <w:autoSpaceDE/>
              <w:autoSpaceDN/>
              <w:bidi w:val="0"/>
              <w:adjustRightInd w:val="0"/>
              <w:snapToGrid w:val="0"/>
              <w:spacing w:beforeAutospacing="0" w:afterAutospacing="0" w:line="360" w:lineRule="auto"/>
              <w:ind w:right="0" w:firstLine="482" w:firstLineChars="200"/>
              <w:jc w:val="left"/>
              <w:textAlignment w:val="auto"/>
              <w:rPr>
                <w:rFonts w:hint="default" w:ascii="Times New Roman" w:hAnsi="Times New Roman" w:eastAsia="宋体" w:cs="Times New Roman"/>
                <w:b/>
                <w:bCs/>
                <w:caps w:val="0"/>
                <w:smallCaps w:val="0"/>
                <w:color w:val="auto"/>
                <w:spacing w:val="0"/>
                <w:w w:val="100"/>
                <w:kern w:val="2"/>
                <w:position w:val="0"/>
                <w:sz w:val="24"/>
                <w:highlight w:val="none"/>
                <w:lang w:bidi="ar"/>
              </w:rPr>
            </w:pPr>
            <w:r>
              <w:rPr>
                <w:rFonts w:hint="eastAsia" w:ascii="Times New Roman" w:hAnsi="Times New Roman" w:eastAsia="宋体" w:cs="Times New Roman"/>
                <w:b/>
                <w:bCs/>
                <w:caps w:val="0"/>
                <w:smallCaps w:val="0"/>
                <w:color w:val="auto"/>
                <w:spacing w:val="0"/>
                <w:w w:val="100"/>
                <w:kern w:val="2"/>
                <w:position w:val="0"/>
                <w:sz w:val="24"/>
                <w:highlight w:val="none"/>
                <w:lang w:val="en-US" w:eastAsia="zh-CN" w:bidi="ar"/>
              </w:rPr>
              <w:t>4</w:t>
            </w:r>
            <w:r>
              <w:rPr>
                <w:rFonts w:hint="default" w:ascii="Times New Roman" w:hAnsi="Times New Roman" w:eastAsia="宋体" w:cs="Times New Roman"/>
                <w:b/>
                <w:bCs/>
                <w:caps w:val="0"/>
                <w:smallCaps w:val="0"/>
                <w:color w:val="auto"/>
                <w:spacing w:val="0"/>
                <w:w w:val="100"/>
                <w:kern w:val="2"/>
                <w:position w:val="0"/>
                <w:sz w:val="24"/>
                <w:highlight w:val="none"/>
                <w:lang w:bidi="ar"/>
              </w:rPr>
              <w:t>声环境保护措施</w:t>
            </w:r>
          </w:p>
          <w:p w14:paraId="7C961E7F">
            <w:pPr>
              <w:pageBreakBefore w:val="0"/>
              <w:shd w:val="clear" w:color="auto" w:fill="auto"/>
              <w:kinsoku/>
              <w:wordWrap/>
              <w:overflowPunct/>
              <w:topLinePunct w:val="0"/>
              <w:autoSpaceDE/>
              <w:autoSpaceDN/>
              <w:bidi w:val="0"/>
              <w:adjustRightInd w:val="0"/>
              <w:snapToGrid w:val="0"/>
              <w:spacing w:line="360" w:lineRule="auto"/>
              <w:ind w:firstLine="480" w:firstLineChars="200"/>
              <w:textAlignment w:val="auto"/>
              <w:rPr>
                <w:color w:val="auto"/>
                <w:sz w:val="24"/>
                <w:szCs w:val="20"/>
              </w:rPr>
            </w:pPr>
            <w:r>
              <w:rPr>
                <w:color w:val="auto"/>
                <w:sz w:val="24"/>
                <w:szCs w:val="20"/>
              </w:rPr>
              <w:t>施工期的噪声主要来自道路施工等部分及施工机械和运输车辆。</w:t>
            </w:r>
          </w:p>
          <w:p w14:paraId="746794FD">
            <w:pPr>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（1）施工单位必须选用符合国家有关标准的施工设施和运输车辆，尽量选用低噪声的施工工艺。振动较大的固定机械设备应加装减振机座，同时加强各类施工设备的维护和保养，保持其更好</w:t>
            </w:r>
            <w:r>
              <w:rPr>
                <w:rFonts w:hint="eastAsia"/>
                <w:color w:val="auto"/>
                <w:kern w:val="0"/>
                <w:sz w:val="24"/>
                <w:lang w:eastAsia="zh-CN"/>
              </w:rPr>
              <w:t>地</w:t>
            </w:r>
            <w:r>
              <w:rPr>
                <w:color w:val="auto"/>
                <w:kern w:val="0"/>
                <w:sz w:val="24"/>
              </w:rPr>
              <w:t>运转，尽量降低噪声源强。</w:t>
            </w:r>
          </w:p>
          <w:p w14:paraId="10C0CEC1">
            <w:pPr>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（2</w:t>
            </w:r>
            <w:r>
              <w:rPr>
                <w:rFonts w:hint="eastAsia"/>
                <w:color w:val="auto"/>
                <w:kern w:val="0"/>
                <w:sz w:val="24"/>
                <w:lang w:eastAsia="zh-CN"/>
              </w:rPr>
              <w:t>）根</w:t>
            </w:r>
            <w:r>
              <w:rPr>
                <w:color w:val="auto"/>
                <w:kern w:val="0"/>
                <w:sz w:val="24"/>
              </w:rPr>
              <w:t>据调查，施工现场噪声有时超出噪声标准限值，一般可采取变动施工方法措施</w:t>
            </w:r>
            <w:r>
              <w:rPr>
                <w:bCs/>
                <w:color w:val="auto"/>
                <w:sz w:val="24"/>
                <w:szCs w:val="20"/>
              </w:rPr>
              <w:t>和控制施工时间</w:t>
            </w:r>
            <w:r>
              <w:rPr>
                <w:color w:val="auto"/>
                <w:kern w:val="0"/>
                <w:sz w:val="24"/>
              </w:rPr>
              <w:t>缓解。如噪声源强大的作业时间可放在昼间（</w:t>
            </w:r>
            <w:r>
              <w:rPr>
                <w:rFonts w:hint="eastAsia"/>
                <w:color w:val="auto"/>
                <w:kern w:val="0"/>
                <w:sz w:val="24"/>
              </w:rPr>
              <w:t>8</w:t>
            </w:r>
            <w:r>
              <w:rPr>
                <w:rFonts w:hint="eastAsia"/>
                <w:color w:val="auto"/>
                <w:kern w:val="0"/>
                <w:sz w:val="24"/>
                <w:lang w:eastAsia="zh-CN"/>
              </w:rPr>
              <w:t>:</w:t>
            </w:r>
            <w:r>
              <w:rPr>
                <w:color w:val="auto"/>
                <w:kern w:val="0"/>
                <w:sz w:val="24"/>
              </w:rPr>
              <w:t>00～</w:t>
            </w:r>
            <w:r>
              <w:rPr>
                <w:rFonts w:hint="eastAsia"/>
                <w:color w:val="auto"/>
                <w:kern w:val="0"/>
                <w:sz w:val="24"/>
              </w:rPr>
              <w:t>24</w:t>
            </w:r>
            <w:r>
              <w:rPr>
                <w:rFonts w:hint="eastAsia"/>
                <w:color w:val="auto"/>
                <w:kern w:val="0"/>
                <w:sz w:val="24"/>
                <w:lang w:eastAsia="zh-CN"/>
              </w:rPr>
              <w:t>:</w:t>
            </w:r>
            <w:r>
              <w:rPr>
                <w:color w:val="auto"/>
                <w:kern w:val="0"/>
                <w:sz w:val="24"/>
              </w:rPr>
              <w:t>00）进行或对各种施工机械操作时间</w:t>
            </w:r>
            <w:r>
              <w:rPr>
                <w:rFonts w:hint="eastAsia"/>
                <w:color w:val="auto"/>
                <w:kern w:val="0"/>
                <w:sz w:val="24"/>
                <w:lang w:eastAsia="zh-CN"/>
              </w:rPr>
              <w:t>做</w:t>
            </w:r>
            <w:r>
              <w:rPr>
                <w:rFonts w:hint="eastAsia"/>
                <w:color w:val="auto"/>
                <w:kern w:val="0"/>
                <w:sz w:val="24"/>
              </w:rPr>
              <w:t>适当调整</w:t>
            </w:r>
            <w:r>
              <w:rPr>
                <w:color w:val="auto"/>
                <w:kern w:val="0"/>
                <w:sz w:val="24"/>
              </w:rPr>
              <w:t>，并通过文明施工、加强有效管理加以缓解。</w:t>
            </w:r>
          </w:p>
          <w:p w14:paraId="64F1AD23">
            <w:pPr>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（3）合理安排施工活动，缩短工期，减少施工噪声影响时间，避免强噪声施工机械在同一区域内同时使用。</w:t>
            </w:r>
          </w:p>
          <w:p w14:paraId="73C2DE4A">
            <w:pPr>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（4）强声源噪声施工机械夜间（</w:t>
            </w:r>
            <w:r>
              <w:rPr>
                <w:rFonts w:hint="eastAsia"/>
                <w:color w:val="auto"/>
                <w:kern w:val="0"/>
                <w:sz w:val="24"/>
              </w:rPr>
              <w:t>24:00~8:00</w:t>
            </w:r>
            <w:r>
              <w:rPr>
                <w:color w:val="auto"/>
                <w:kern w:val="0"/>
                <w:sz w:val="24"/>
              </w:rPr>
              <w:t>）应停止施工作业。必须连续施工作业的工点，施工单位应视具体情况及时与当地政府部门取得联系，按规定申领夜间施工证，同时发布公告最大限度地争取民众支持。</w:t>
            </w:r>
          </w:p>
          <w:p w14:paraId="5A173492">
            <w:pPr>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（5）对必须进行夜间运输的，应设置禁鸣和限速标志牌，车辆夜间通过时速度应小于30km/h。</w:t>
            </w:r>
          </w:p>
          <w:p w14:paraId="0F9E3599">
            <w:pPr>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（6）做好宣传工作，倡导科学管理和文明施工。由于技术条件、施工现场客观环</w:t>
            </w:r>
            <w:r>
              <w:rPr>
                <w:rFonts w:hint="eastAsia"/>
                <w:color w:val="auto"/>
                <w:kern w:val="0"/>
                <w:sz w:val="24"/>
                <w:lang w:eastAsia="zh-CN"/>
              </w:rPr>
              <w:t>境的</w:t>
            </w:r>
            <w:r>
              <w:rPr>
                <w:color w:val="auto"/>
                <w:kern w:val="0"/>
                <w:sz w:val="24"/>
              </w:rPr>
              <w:t>限制，即使采用了相应的控制对策和措施，施工噪声、振动仍可能对周围环境产生一定的影响，为此要向施工车辆运输沿线受影响的居民和有关单位做好宣传工作，以提高人们对不利影响的心理承受力；加强施工现场的科学管理，做好施工人员的环境保护意识的教育；大力倡导文明施工的自觉性。</w:t>
            </w:r>
          </w:p>
          <w:p w14:paraId="00FA6046">
            <w:pPr>
              <w:keepNext/>
              <w:keepLines/>
              <w:pageBreakBefore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aps w:val="0"/>
                <w:smallCaps w:val="0"/>
                <w:color w:val="auto"/>
                <w:spacing w:val="0"/>
                <w:w w:val="100"/>
                <w:kern w:val="2"/>
                <w:position w:val="0"/>
                <w:sz w:val="24"/>
                <w:highlight w:val="none"/>
              </w:rPr>
            </w:pPr>
            <w:r>
              <w:rPr>
                <w:color w:val="auto"/>
                <w:kern w:val="0"/>
                <w:sz w:val="24"/>
              </w:rPr>
              <w:t>通过采取以上措施，可减少施工噪声对周围环境的影响，满足</w:t>
            </w:r>
            <w:r>
              <w:rPr>
                <w:rFonts w:hint="default"/>
                <w:color w:val="auto"/>
                <w:kern w:val="0"/>
                <w:sz w:val="24"/>
                <w:lang w:eastAsia="en-US"/>
              </w:rPr>
              <w:t>《建筑施工噪声排放标准》（GB12523-20</w:t>
            </w:r>
            <w:r>
              <w:rPr>
                <w:rFonts w:hint="default"/>
                <w:color w:val="auto"/>
                <w:kern w:val="0"/>
                <w:sz w:val="24"/>
                <w:lang w:val="en-US" w:eastAsia="en-US"/>
              </w:rPr>
              <w:t>25</w:t>
            </w:r>
            <w:r>
              <w:rPr>
                <w:rFonts w:hint="default"/>
                <w:color w:val="auto"/>
                <w:kern w:val="0"/>
                <w:sz w:val="24"/>
                <w:lang w:eastAsia="en-US"/>
              </w:rPr>
              <w:t>）</w:t>
            </w:r>
            <w:r>
              <w:rPr>
                <w:color w:val="auto"/>
                <w:kern w:val="0"/>
                <w:sz w:val="24"/>
              </w:rPr>
              <w:t>标准要求，保证周围声环境质量不被严重破坏</w:t>
            </w:r>
            <w:r>
              <w:rPr>
                <w:rFonts w:hint="default" w:ascii="Times New Roman" w:hAnsi="Times New Roman" w:eastAsia="宋体" w:cs="Times New Roman"/>
                <w:caps w:val="0"/>
                <w:smallCaps w:val="0"/>
                <w:color w:val="auto"/>
                <w:spacing w:val="0"/>
                <w:w w:val="100"/>
                <w:kern w:val="2"/>
                <w:position w:val="0"/>
                <w:sz w:val="24"/>
                <w:highlight w:val="none"/>
              </w:rPr>
              <w:t>。</w:t>
            </w:r>
          </w:p>
          <w:p w14:paraId="5021ACD7">
            <w:pPr>
              <w:keepNext w:val="0"/>
              <w:keepLines w:val="0"/>
              <w:pageBreakBefore w:val="0"/>
              <w:kinsoku/>
              <w:wordWrap/>
              <w:overflowPunct/>
              <w:topLinePunct w:val="0"/>
              <w:autoSpaceDE/>
              <w:autoSpaceDN/>
              <w:bidi w:val="0"/>
              <w:adjustRightInd w:val="0"/>
              <w:snapToGrid w:val="0"/>
              <w:spacing w:beforeAutospacing="0" w:afterAutospacing="0" w:line="360" w:lineRule="auto"/>
              <w:ind w:right="0" w:firstLine="482" w:firstLineChars="200"/>
              <w:textAlignment w:val="auto"/>
              <w:rPr>
                <w:rFonts w:hint="default" w:ascii="Times New Roman" w:hAnsi="Times New Roman" w:eastAsia="宋体" w:cs="Times New Roman"/>
                <w:b/>
                <w:bCs/>
                <w:caps w:val="0"/>
                <w:smallCaps w:val="0"/>
                <w:color w:val="auto"/>
                <w:spacing w:val="0"/>
                <w:w w:val="100"/>
                <w:kern w:val="2"/>
                <w:position w:val="0"/>
                <w:sz w:val="24"/>
                <w:highlight w:val="none"/>
              </w:rPr>
            </w:pPr>
            <w:r>
              <w:rPr>
                <w:rFonts w:hint="eastAsia" w:ascii="Times New Roman" w:hAnsi="Times New Roman" w:eastAsia="宋体" w:cs="Times New Roman"/>
                <w:b/>
                <w:bCs/>
                <w:caps w:val="0"/>
                <w:smallCaps w:val="0"/>
                <w:color w:val="auto"/>
                <w:spacing w:val="0"/>
                <w:w w:val="100"/>
                <w:kern w:val="2"/>
                <w:position w:val="0"/>
                <w:sz w:val="24"/>
                <w:highlight w:val="none"/>
                <w:lang w:val="en-US" w:eastAsia="zh-CN"/>
              </w:rPr>
              <w:t>5</w:t>
            </w:r>
            <w:r>
              <w:rPr>
                <w:rFonts w:hint="default" w:ascii="Times New Roman" w:hAnsi="Times New Roman" w:eastAsia="宋体" w:cs="Times New Roman"/>
                <w:b/>
                <w:bCs/>
                <w:caps w:val="0"/>
                <w:smallCaps w:val="0"/>
                <w:color w:val="auto"/>
                <w:spacing w:val="0"/>
                <w:w w:val="100"/>
                <w:kern w:val="2"/>
                <w:position w:val="0"/>
                <w:sz w:val="24"/>
                <w:highlight w:val="none"/>
              </w:rPr>
              <w:t>固体废物</w:t>
            </w:r>
          </w:p>
          <w:p w14:paraId="6E1094D7">
            <w:pPr>
              <w:keepNext w:val="0"/>
              <w:keepLines w:val="0"/>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为</w:t>
            </w:r>
            <w:r>
              <w:rPr>
                <w:color w:val="auto"/>
                <w:kern w:val="0"/>
                <w:sz w:val="24"/>
              </w:rPr>
              <w:t>施工期固体废物主要包括表土</w:t>
            </w:r>
            <w:r>
              <w:rPr>
                <w:rFonts w:hint="eastAsia"/>
                <w:color w:val="auto"/>
                <w:kern w:val="0"/>
                <w:sz w:val="24"/>
                <w:lang w:eastAsia="zh-CN"/>
              </w:rPr>
              <w:t>、</w:t>
            </w:r>
            <w:r>
              <w:rPr>
                <w:rFonts w:hint="eastAsia"/>
                <w:color w:val="auto"/>
                <w:kern w:val="0"/>
                <w:sz w:val="24"/>
                <w:lang w:val="en-US" w:eastAsia="zh-CN"/>
              </w:rPr>
              <w:t>基础开挖弃方</w:t>
            </w:r>
            <w:r>
              <w:rPr>
                <w:color w:val="auto"/>
                <w:kern w:val="0"/>
                <w:sz w:val="24"/>
              </w:rPr>
              <w:t>、废沥青路面、建筑垃圾和施工人员生活垃圾。</w:t>
            </w:r>
          </w:p>
          <w:p w14:paraId="3E09DA9B">
            <w:pPr>
              <w:keepNext w:val="0"/>
              <w:keepLines w:val="0"/>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bCs/>
                <w:color w:val="auto"/>
                <w:kern w:val="0"/>
                <w:sz w:val="24"/>
              </w:rPr>
            </w:pPr>
            <w:r>
              <w:rPr>
                <w:color w:val="auto"/>
                <w:sz w:val="24"/>
              </w:rPr>
              <w:t>路基工程清理地表产生的</w:t>
            </w:r>
            <w:r>
              <w:rPr>
                <w:rFonts w:hint="eastAsia"/>
                <w:color w:val="auto"/>
                <w:sz w:val="24"/>
                <w:lang w:val="en-US" w:eastAsia="zh-CN"/>
              </w:rPr>
              <w:t>表土</w:t>
            </w:r>
            <w:r>
              <w:rPr>
                <w:color w:val="auto"/>
                <w:sz w:val="24"/>
              </w:rPr>
              <w:t>临时堆存在道路红线范围内，并进行临时防护，待施工时作为路基边坡包边土使用</w:t>
            </w:r>
            <w:r>
              <w:rPr>
                <w:rFonts w:hint="eastAsia"/>
                <w:color w:val="auto"/>
                <w:sz w:val="24"/>
                <w:lang w:eastAsia="zh-CN"/>
              </w:rPr>
              <w:t>；</w:t>
            </w:r>
            <w:r>
              <w:rPr>
                <w:rFonts w:hint="eastAsia"/>
                <w:color w:val="auto"/>
                <w:sz w:val="24"/>
                <w:lang w:val="en-US" w:eastAsia="zh-CN"/>
              </w:rPr>
              <w:t>基础开挖产生的弃方以及施工期临时沉淀池泥沙清运至住建部门指定的既有社会弃土场处置</w:t>
            </w:r>
            <w:r>
              <w:rPr>
                <w:color w:val="auto"/>
                <w:sz w:val="24"/>
              </w:rPr>
              <w:t>；建筑垃圾运至政府指定地点堆存；废沥青路面集中收集后运至政府指定地点堆存</w:t>
            </w:r>
            <w:r>
              <w:rPr>
                <w:rFonts w:hint="eastAsia"/>
                <w:color w:val="auto"/>
                <w:sz w:val="24"/>
              </w:rPr>
              <w:t>；</w:t>
            </w:r>
            <w:r>
              <w:rPr>
                <w:bCs/>
                <w:color w:val="auto"/>
                <w:kern w:val="0"/>
                <w:sz w:val="24"/>
              </w:rPr>
              <w:t>本工程建设过程中产生的生活垃圾集中堆存，严格管理，定期清运，交环卫部门统一处理，不会对周围环境产生明显影响。</w:t>
            </w:r>
          </w:p>
          <w:p w14:paraId="38DAE953">
            <w:pPr>
              <w:keepNext w:val="0"/>
              <w:keepLines w:val="0"/>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建筑垃圾</w:t>
            </w:r>
            <w:r>
              <w:rPr>
                <w:rFonts w:hint="eastAsia"/>
                <w:color w:val="auto"/>
                <w:kern w:val="0"/>
                <w:sz w:val="24"/>
              </w:rPr>
              <w:t>及废沥青路面</w:t>
            </w:r>
            <w:r>
              <w:rPr>
                <w:color w:val="auto"/>
                <w:kern w:val="0"/>
                <w:sz w:val="24"/>
              </w:rPr>
              <w:t>由施工单位或承建单位外运，运输过程中严格按照如下规定执行：</w:t>
            </w:r>
          </w:p>
          <w:p w14:paraId="416CE031">
            <w:pPr>
              <w:keepNext w:val="0"/>
              <w:keepLines w:val="0"/>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①施工单位在开工前，应当与市容环境卫生行政主管部门签订市容环境卫生责任书，对施工过程中产生</w:t>
            </w:r>
            <w:r>
              <w:rPr>
                <w:rFonts w:hint="eastAsia"/>
                <w:color w:val="auto"/>
                <w:kern w:val="0"/>
                <w:sz w:val="24"/>
                <w:lang w:eastAsia="zh-CN"/>
              </w:rPr>
              <w:t>的</w:t>
            </w:r>
            <w:r>
              <w:rPr>
                <w:color w:val="auto"/>
                <w:kern w:val="0"/>
                <w:sz w:val="24"/>
              </w:rPr>
              <w:t>各类建筑垃圾应当及时清理，保持施工现场整洁；</w:t>
            </w:r>
          </w:p>
          <w:p w14:paraId="31BA1A48">
            <w:pPr>
              <w:keepNext w:val="0"/>
              <w:keepLines w:val="0"/>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②工程施工现场出入口的道路应当硬化，配置相应的冲洗设施，车辆冲洗干净后，方可驶离工地；</w:t>
            </w:r>
          </w:p>
          <w:p w14:paraId="187B9869">
            <w:pPr>
              <w:keepNext w:val="0"/>
              <w:keepLines w:val="0"/>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③按照市容环境卫生行政主管部门核定的时间、路线、地点运输和倾倒建筑垃圾，禁止偷倒、乱倒建筑垃圾；</w:t>
            </w:r>
          </w:p>
          <w:p w14:paraId="516D2C34">
            <w:pPr>
              <w:keepNext w:val="0"/>
              <w:keepLines w:val="0"/>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④建筑垃圾运输车辆应当采取密闭措施，不得超载运输，不得车轮带泥，不得遗撒、泄漏；</w:t>
            </w:r>
          </w:p>
          <w:p w14:paraId="1F2765C8">
            <w:pPr>
              <w:keepNext w:val="0"/>
              <w:keepLines w:val="0"/>
              <w:pageBreakBefore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rPr>
            </w:pPr>
            <w:r>
              <w:rPr>
                <w:color w:val="auto"/>
                <w:kern w:val="0"/>
                <w:sz w:val="24"/>
              </w:rPr>
              <w:t>⑤建筑垃圾运输作业时，建设单位应当督促运输单位在清运时间内组织人力、物力或委托专业市容环境卫生服务单位做好沿途的污染清理工作；清运过程中造成交通安全设施损坏的，应予以赔偿。</w:t>
            </w:r>
          </w:p>
          <w:p w14:paraId="1D79A69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Cs/>
                <w:caps w:val="0"/>
                <w:smallCaps w:val="0"/>
                <w:color w:val="auto"/>
                <w:spacing w:val="0"/>
                <w:w w:val="100"/>
                <w:kern w:val="2"/>
                <w:position w:val="0"/>
                <w:sz w:val="24"/>
                <w:szCs w:val="24"/>
                <w:highlight w:val="none"/>
              </w:rPr>
            </w:pPr>
            <w:r>
              <w:rPr>
                <w:color w:val="auto"/>
                <w:kern w:val="0"/>
                <w:sz w:val="24"/>
              </w:rPr>
              <w:t>综上，施工期固废在全部合理处置情况下，不会对周围环境产生影响</w:t>
            </w:r>
            <w:r>
              <w:rPr>
                <w:rFonts w:hint="default" w:ascii="Times New Roman" w:hAnsi="Times New Roman" w:eastAsia="宋体" w:cs="Times New Roman"/>
                <w:caps w:val="0"/>
                <w:smallCaps w:val="0"/>
                <w:color w:val="auto"/>
                <w:spacing w:val="0"/>
                <w:w w:val="100"/>
                <w:kern w:val="2"/>
                <w:position w:val="0"/>
                <w:sz w:val="24"/>
                <w:szCs w:val="24"/>
                <w:highlight w:val="none"/>
                <w:lang w:val="en-US" w:eastAsia="zh-CN" w:bidi="ar"/>
              </w:rPr>
              <w:t>。</w:t>
            </w:r>
          </w:p>
        </w:tc>
      </w:tr>
      <w:tr w14:paraId="0EE8A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dxa"/>
            <w:tcBorders>
              <w:tl2br w:val="nil"/>
              <w:tr2bl w:val="nil"/>
            </w:tcBorders>
            <w:noWrap w:val="0"/>
            <w:tcMar>
              <w:left w:w="28" w:type="dxa"/>
              <w:right w:w="28" w:type="dxa"/>
            </w:tcMar>
            <w:vAlign w:val="center"/>
          </w:tcPr>
          <w:p w14:paraId="502FE5C6">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bCs/>
                <w:caps w:val="0"/>
                <w:smallCaps w:val="0"/>
                <w:color w:val="auto"/>
                <w:spacing w:val="0"/>
                <w:w w:val="100"/>
                <w:kern w:val="2"/>
                <w:position w:val="0"/>
                <w:sz w:val="24"/>
                <w:szCs w:val="24"/>
                <w:highlight w:val="none"/>
              </w:rPr>
            </w:pPr>
            <w:r>
              <w:rPr>
                <w:rFonts w:hint="default" w:ascii="Times New Roman" w:hAnsi="Times New Roman" w:cs="Times New Roman"/>
                <w:bCs/>
                <w:caps w:val="0"/>
                <w:smallCaps w:val="0"/>
                <w:color w:val="auto"/>
                <w:spacing w:val="0"/>
                <w:w w:val="100"/>
                <w:kern w:val="2"/>
                <w:position w:val="0"/>
                <w:sz w:val="24"/>
                <w:szCs w:val="24"/>
                <w:highlight w:val="none"/>
              </w:rPr>
              <w:t>运营期生态环境保护措施</w:t>
            </w:r>
          </w:p>
        </w:tc>
        <w:tc>
          <w:tcPr>
            <w:tcW w:w="9098" w:type="dxa"/>
            <w:tcBorders>
              <w:tl2br w:val="nil"/>
              <w:tr2bl w:val="nil"/>
            </w:tcBorders>
            <w:noWrap w:val="0"/>
            <w:vAlign w:val="top"/>
          </w:tcPr>
          <w:p w14:paraId="0245969B">
            <w:pPr>
              <w:keepNext w:val="0"/>
              <w:keepLines w:val="0"/>
              <w:pageBreakBefore w:val="0"/>
              <w:widowControl w:val="0"/>
              <w:shd w:val="clear" w:color="auto" w:fill="auto"/>
              <w:kinsoku/>
              <w:wordWrap/>
              <w:overflowPunct/>
              <w:topLinePunct w:val="0"/>
              <w:bidi w:val="0"/>
              <w:adjustRightInd w:val="0"/>
              <w:snapToGrid w:val="0"/>
              <w:spacing w:line="360" w:lineRule="auto"/>
              <w:textAlignment w:val="auto"/>
              <w:rPr>
                <w:b/>
                <w:color w:val="auto"/>
                <w:sz w:val="24"/>
              </w:rPr>
            </w:pPr>
            <w:r>
              <w:rPr>
                <w:b/>
                <w:color w:val="auto"/>
                <w:sz w:val="24"/>
              </w:rPr>
              <w:t>1运营期大气污染防治措施</w:t>
            </w:r>
          </w:p>
          <w:p w14:paraId="672BF553">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color w:val="auto"/>
                <w:sz w:val="24"/>
              </w:rPr>
            </w:pPr>
            <w:r>
              <w:rPr>
                <w:rFonts w:hint="eastAsia"/>
                <w:color w:val="auto"/>
                <w:sz w:val="24"/>
                <w:lang w:val="en-US" w:eastAsia="zh-CN"/>
              </w:rPr>
              <w:t>本</w:t>
            </w:r>
            <w:r>
              <w:rPr>
                <w:color w:val="auto"/>
                <w:sz w:val="24"/>
              </w:rPr>
              <w:t>项目不设置服务设施，运营期大气污染源主要为汽车尾气及道路扬尘。项目运营期加强检查，禁止不符合排放标准要求的</w:t>
            </w:r>
            <w:r>
              <w:rPr>
                <w:rFonts w:hint="eastAsia"/>
                <w:color w:val="auto"/>
                <w:sz w:val="24"/>
                <w:lang w:eastAsia="zh-CN"/>
              </w:rPr>
              <w:t>车辆</w:t>
            </w:r>
            <w:r>
              <w:rPr>
                <w:color w:val="auto"/>
                <w:sz w:val="24"/>
              </w:rPr>
              <w:t>上路，同时加强路面洒水、清扫保洁等措施。</w:t>
            </w:r>
          </w:p>
          <w:p w14:paraId="3C907C8F">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color w:val="auto"/>
                <w:sz w:val="24"/>
              </w:rPr>
            </w:pPr>
            <w:r>
              <w:rPr>
                <w:color w:val="auto"/>
                <w:sz w:val="24"/>
              </w:rPr>
              <w:t>①环保、交通部门加强合作，对机动车尾气达标排放定期检测，对超标排放的机动车辆强制安装尾气净化装置。</w:t>
            </w:r>
          </w:p>
          <w:p w14:paraId="094DC852">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color w:val="auto"/>
                <w:sz w:val="24"/>
              </w:rPr>
            </w:pPr>
            <w:r>
              <w:rPr>
                <w:color w:val="auto"/>
                <w:sz w:val="24"/>
              </w:rPr>
              <w:t>②加强机动车的检修与维护，加强车检，严格车检规程，确保上路车况良好。</w:t>
            </w:r>
          </w:p>
          <w:p w14:paraId="11CB8C55">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color w:val="auto"/>
                <w:sz w:val="24"/>
              </w:rPr>
            </w:pPr>
            <w:r>
              <w:rPr>
                <w:color w:val="auto"/>
                <w:sz w:val="24"/>
              </w:rPr>
              <w:t>③加强对道路的养护，使道路保持良好的运营状态，减少塞车现象发生。</w:t>
            </w:r>
          </w:p>
          <w:p w14:paraId="274E6DDA">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color w:val="auto"/>
                <w:sz w:val="24"/>
              </w:rPr>
            </w:pPr>
            <w:r>
              <w:rPr>
                <w:color w:val="auto"/>
                <w:sz w:val="24"/>
              </w:rPr>
              <w:t>④鼓励和支持生产，</w:t>
            </w:r>
            <w:r>
              <w:rPr>
                <w:rFonts w:hint="eastAsia"/>
                <w:color w:val="auto"/>
                <w:sz w:val="24"/>
              </w:rPr>
              <w:t>使用</w:t>
            </w:r>
            <w:r>
              <w:rPr>
                <w:color w:val="auto"/>
                <w:sz w:val="24"/>
              </w:rPr>
              <w:t>优质燃料油，采取措施减少燃料油中有害物质对环境空气的污染。</w:t>
            </w:r>
          </w:p>
          <w:p w14:paraId="534F05BF">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color w:val="auto"/>
                <w:sz w:val="24"/>
              </w:rPr>
            </w:pPr>
            <w:r>
              <w:rPr>
                <w:color w:val="auto"/>
                <w:sz w:val="24"/>
              </w:rPr>
              <w:t>⑤加强道路两侧的绿化，这样既可以净化吸收车辆尾气中的污染物，又可以美化环境和改善公路沿线景观效果。</w:t>
            </w:r>
          </w:p>
          <w:p w14:paraId="4EAD1CCD">
            <w:pPr>
              <w:keepNext w:val="0"/>
              <w:keepLines w:val="0"/>
              <w:pageBreakBefore w:val="0"/>
              <w:widowControl w:val="0"/>
              <w:shd w:val="clear" w:color="auto" w:fill="auto"/>
              <w:kinsoku/>
              <w:wordWrap/>
              <w:overflowPunct/>
              <w:topLinePunct w:val="0"/>
              <w:bidi w:val="0"/>
              <w:adjustRightInd w:val="0"/>
              <w:snapToGrid w:val="0"/>
              <w:spacing w:line="360" w:lineRule="auto"/>
              <w:textAlignment w:val="auto"/>
              <w:rPr>
                <w:b/>
                <w:color w:val="auto"/>
                <w:sz w:val="24"/>
              </w:rPr>
            </w:pPr>
            <w:r>
              <w:rPr>
                <w:b/>
                <w:color w:val="auto"/>
                <w:sz w:val="24"/>
              </w:rPr>
              <w:t>2运营期水环境污染防治措施</w:t>
            </w:r>
          </w:p>
          <w:p w14:paraId="6DC07CC6">
            <w:pPr>
              <w:keepNext w:val="0"/>
              <w:keepLines w:val="0"/>
              <w:pageBreakBefore w:val="0"/>
              <w:widowControl w:val="0"/>
              <w:shd w:val="clear" w:color="auto" w:fill="auto"/>
              <w:kinsoku/>
              <w:wordWrap/>
              <w:overflowPunct/>
              <w:topLinePunct w:val="0"/>
              <w:bidi w:val="0"/>
              <w:adjustRightInd w:val="0"/>
              <w:snapToGrid w:val="0"/>
              <w:spacing w:line="360" w:lineRule="auto"/>
              <w:ind w:firstLine="472" w:firstLineChars="200"/>
              <w:textAlignment w:val="auto"/>
              <w:rPr>
                <w:rFonts w:hint="eastAsia"/>
                <w:color w:val="auto"/>
                <w:spacing w:val="-2"/>
                <w:sz w:val="24"/>
              </w:rPr>
            </w:pPr>
            <w:r>
              <w:rPr>
                <w:color w:val="auto"/>
                <w:spacing w:val="-2"/>
                <w:sz w:val="24"/>
              </w:rPr>
              <w:t>在公路建成投入运营后，废水主要为雨季路面产生的地表径流。</w:t>
            </w:r>
            <w:r>
              <w:rPr>
                <w:rFonts w:hint="eastAsia"/>
                <w:color w:val="auto"/>
                <w:spacing w:val="-2"/>
                <w:sz w:val="24"/>
              </w:rPr>
              <w:t>影响路面径流污染的因素众多，包括降雨量、降雨时间、与车流量有关的路面及大气污染程度、两场降雨之间的间隔时间、路面宽度、纳污路段长度等，一般随着降雨量的增加而增大，降雨一段时间后，污染会逐渐降低。路面径流在通过路面横坡自然散排、漫流到排水沟或边沟中，或通过边坡急流槽集中排入排水沟的过程中伴随着降水稀释、泥沙对污染物的吸附、径流水自净等才进入水体，从而使污染物浓度变得更低，并且这种影响将随降雨历时的延长而降低或随降雨的消失而消失。</w:t>
            </w:r>
          </w:p>
          <w:p w14:paraId="5842D910">
            <w:pPr>
              <w:keepNext w:val="0"/>
              <w:keepLines w:val="0"/>
              <w:pageBreakBefore w:val="0"/>
              <w:widowControl w:val="0"/>
              <w:shd w:val="clear" w:color="auto" w:fill="auto"/>
              <w:kinsoku/>
              <w:wordWrap/>
              <w:overflowPunct/>
              <w:topLinePunct w:val="0"/>
              <w:bidi w:val="0"/>
              <w:adjustRightInd w:val="0"/>
              <w:snapToGrid w:val="0"/>
              <w:spacing w:line="360" w:lineRule="auto"/>
              <w:ind w:firstLine="472" w:firstLineChars="200"/>
              <w:textAlignment w:val="auto"/>
              <w:rPr>
                <w:rFonts w:hint="eastAsia" w:eastAsia="宋体"/>
                <w:color w:val="auto"/>
                <w:spacing w:val="-2"/>
                <w:sz w:val="24"/>
                <w:lang w:eastAsia="zh-CN"/>
              </w:rPr>
            </w:pPr>
            <w:r>
              <w:rPr>
                <w:color w:val="auto"/>
                <w:spacing w:val="-2"/>
                <w:sz w:val="24"/>
              </w:rPr>
              <w:t>项目运营期</w:t>
            </w:r>
            <w:r>
              <w:rPr>
                <w:rFonts w:hint="eastAsia"/>
                <w:color w:val="auto"/>
                <w:spacing w:val="-2"/>
                <w:sz w:val="24"/>
                <w:lang w:val="en-US" w:eastAsia="zh-CN"/>
              </w:rPr>
              <w:t>为防止路面产生的地表径流对周边水环境造成污染，拟</w:t>
            </w:r>
            <w:r>
              <w:rPr>
                <w:color w:val="auto"/>
                <w:spacing w:val="-2"/>
                <w:sz w:val="24"/>
              </w:rPr>
              <w:t>采取</w:t>
            </w:r>
            <w:r>
              <w:rPr>
                <w:rFonts w:hint="eastAsia"/>
                <w:color w:val="auto"/>
                <w:spacing w:val="-2"/>
                <w:sz w:val="24"/>
                <w:lang w:val="en-US" w:eastAsia="zh-CN"/>
              </w:rPr>
              <w:t>以下</w:t>
            </w:r>
            <w:r>
              <w:rPr>
                <w:color w:val="auto"/>
                <w:spacing w:val="-2"/>
                <w:sz w:val="24"/>
              </w:rPr>
              <w:t>措施</w:t>
            </w:r>
            <w:r>
              <w:rPr>
                <w:rFonts w:hint="eastAsia"/>
                <w:color w:val="auto"/>
                <w:spacing w:val="-2"/>
                <w:sz w:val="24"/>
                <w:lang w:eastAsia="zh-CN"/>
              </w:rPr>
              <w:t>：</w:t>
            </w:r>
          </w:p>
          <w:p w14:paraId="1C746EC5">
            <w:pPr>
              <w:keepNext w:val="0"/>
              <w:keepLines w:val="0"/>
              <w:pageBreakBefore w:val="0"/>
              <w:widowControl w:val="0"/>
              <w:shd w:val="clear" w:color="auto" w:fill="auto"/>
              <w:kinsoku/>
              <w:wordWrap/>
              <w:overflowPunct/>
              <w:topLinePunct w:val="0"/>
              <w:bidi w:val="0"/>
              <w:adjustRightInd w:val="0"/>
              <w:snapToGrid w:val="0"/>
              <w:spacing w:line="360" w:lineRule="auto"/>
              <w:ind w:firstLine="472" w:firstLineChars="200"/>
              <w:textAlignment w:val="auto"/>
              <w:rPr>
                <w:color w:val="auto"/>
                <w:spacing w:val="-2"/>
                <w:sz w:val="24"/>
              </w:rPr>
            </w:pPr>
            <w:r>
              <w:rPr>
                <w:color w:val="auto"/>
                <w:spacing w:val="-2"/>
                <w:sz w:val="24"/>
              </w:rPr>
              <w:t>①应禁止漏油、不安装保护帆布的货车和超载车通过路面，以防止公路上车辆漏油和货物洒落在道路上，造成沿线地面及水体污染和安全事故隐患。</w:t>
            </w:r>
          </w:p>
          <w:p w14:paraId="1F52ADD6">
            <w:pPr>
              <w:keepNext w:val="0"/>
              <w:keepLines w:val="0"/>
              <w:pageBreakBefore w:val="0"/>
              <w:widowControl w:val="0"/>
              <w:shd w:val="clear" w:color="auto" w:fill="auto"/>
              <w:kinsoku/>
              <w:wordWrap/>
              <w:overflowPunct/>
              <w:topLinePunct w:val="0"/>
              <w:bidi w:val="0"/>
              <w:adjustRightInd w:val="0"/>
              <w:snapToGrid w:val="0"/>
              <w:spacing w:line="360" w:lineRule="auto"/>
              <w:ind w:firstLine="472" w:firstLineChars="200"/>
              <w:textAlignment w:val="auto"/>
              <w:rPr>
                <w:color w:val="auto"/>
                <w:spacing w:val="-2"/>
                <w:sz w:val="24"/>
              </w:rPr>
            </w:pPr>
            <w:r>
              <w:rPr>
                <w:color w:val="auto"/>
                <w:spacing w:val="-2"/>
                <w:sz w:val="24"/>
              </w:rPr>
              <w:t>②编制运输车辆事故应急预案，如发生事故应立即通知有关部门，采取应急行动。</w:t>
            </w:r>
          </w:p>
          <w:p w14:paraId="0A16B767">
            <w:pPr>
              <w:keepNext w:val="0"/>
              <w:keepLines w:val="0"/>
              <w:pageBreakBefore w:val="0"/>
              <w:widowControl w:val="0"/>
              <w:shd w:val="clear" w:color="auto" w:fill="auto"/>
              <w:kinsoku/>
              <w:wordWrap/>
              <w:overflowPunct/>
              <w:topLinePunct w:val="0"/>
              <w:bidi w:val="0"/>
              <w:adjustRightInd w:val="0"/>
              <w:snapToGrid w:val="0"/>
              <w:spacing w:line="360" w:lineRule="auto"/>
              <w:ind w:firstLine="472" w:firstLineChars="200"/>
              <w:textAlignment w:val="auto"/>
              <w:rPr>
                <w:color w:val="auto"/>
                <w:spacing w:val="-2"/>
                <w:sz w:val="24"/>
              </w:rPr>
            </w:pPr>
            <w:r>
              <w:rPr>
                <w:color w:val="auto"/>
                <w:spacing w:val="-2"/>
                <w:sz w:val="24"/>
              </w:rPr>
              <w:t>综上所述，项目实施后对区域水环境造成影响的可能性较小，防治措施可行。</w:t>
            </w:r>
          </w:p>
          <w:p w14:paraId="18D77FBE">
            <w:pPr>
              <w:keepNext w:val="0"/>
              <w:keepLines w:val="0"/>
              <w:pageBreakBefore w:val="0"/>
              <w:widowControl w:val="0"/>
              <w:shd w:val="clear" w:color="auto" w:fill="auto"/>
              <w:kinsoku/>
              <w:wordWrap/>
              <w:overflowPunct/>
              <w:topLinePunct w:val="0"/>
              <w:bidi w:val="0"/>
              <w:adjustRightInd w:val="0"/>
              <w:snapToGrid w:val="0"/>
              <w:spacing w:line="360" w:lineRule="auto"/>
              <w:textAlignment w:val="auto"/>
              <w:rPr>
                <w:b/>
                <w:color w:val="auto"/>
                <w:sz w:val="24"/>
              </w:rPr>
            </w:pPr>
            <w:r>
              <w:rPr>
                <w:b/>
                <w:color w:val="auto"/>
                <w:sz w:val="24"/>
              </w:rPr>
              <w:t>3运营期噪声污染防治措施</w:t>
            </w:r>
          </w:p>
          <w:p w14:paraId="526EAB58">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textAlignment w:val="auto"/>
              <w:rPr>
                <w:color w:val="auto"/>
                <w:sz w:val="24"/>
                <w:szCs w:val="20"/>
              </w:rPr>
            </w:pPr>
            <w:r>
              <w:rPr>
                <w:rFonts w:hint="eastAsia"/>
                <w:color w:val="auto"/>
                <w:sz w:val="24"/>
                <w:szCs w:val="20"/>
                <w:lang w:val="en-US" w:eastAsia="zh-CN"/>
              </w:rPr>
              <w:t>详见噪声专章</w:t>
            </w:r>
            <w:r>
              <w:rPr>
                <w:color w:val="auto"/>
                <w:sz w:val="24"/>
                <w:szCs w:val="20"/>
              </w:rPr>
              <w:t>。</w:t>
            </w:r>
          </w:p>
          <w:p w14:paraId="2FBC0456">
            <w:pPr>
              <w:keepNext w:val="0"/>
              <w:keepLines w:val="0"/>
              <w:pageBreakBefore w:val="0"/>
              <w:widowControl w:val="0"/>
              <w:shd w:val="clear" w:color="auto" w:fill="auto"/>
              <w:kinsoku/>
              <w:wordWrap/>
              <w:overflowPunct/>
              <w:topLinePunct w:val="0"/>
              <w:bidi w:val="0"/>
              <w:adjustRightInd w:val="0"/>
              <w:snapToGrid w:val="0"/>
              <w:spacing w:line="360" w:lineRule="auto"/>
              <w:textAlignment w:val="auto"/>
              <w:rPr>
                <w:b/>
                <w:bCs/>
                <w:color w:val="auto"/>
                <w:sz w:val="24"/>
              </w:rPr>
            </w:pPr>
            <w:r>
              <w:rPr>
                <w:b/>
                <w:bCs/>
                <w:color w:val="auto"/>
                <w:sz w:val="24"/>
              </w:rPr>
              <w:t>4</w:t>
            </w:r>
            <w:r>
              <w:rPr>
                <w:b/>
                <w:color w:val="auto"/>
                <w:sz w:val="24"/>
              </w:rPr>
              <w:t>固体废物污染防治措施</w:t>
            </w:r>
          </w:p>
          <w:p w14:paraId="12E170E3">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color w:val="auto"/>
                <w:sz w:val="24"/>
                <w:szCs w:val="20"/>
              </w:rPr>
            </w:pPr>
            <w:r>
              <w:rPr>
                <w:color w:val="auto"/>
                <w:sz w:val="24"/>
                <w:szCs w:val="20"/>
              </w:rPr>
              <w:t>项目运营期固体废物主要为日常养护过程中产生的零星筑路废料，</w:t>
            </w:r>
            <w:r>
              <w:rPr>
                <w:rFonts w:hint="eastAsia"/>
                <w:color w:val="auto"/>
                <w:sz w:val="24"/>
                <w:szCs w:val="20"/>
              </w:rPr>
              <w:t>集中收集清运至市政部门指定地点处理</w:t>
            </w:r>
            <w:r>
              <w:rPr>
                <w:color w:val="auto"/>
                <w:sz w:val="24"/>
                <w:szCs w:val="20"/>
              </w:rPr>
              <w:t>。</w:t>
            </w:r>
          </w:p>
          <w:p w14:paraId="2190C0C4">
            <w:pPr>
              <w:keepNext w:val="0"/>
              <w:keepLines w:val="0"/>
              <w:pageBreakBefore w:val="0"/>
              <w:widowControl w:val="0"/>
              <w:shd w:val="clear" w:color="auto" w:fill="auto"/>
              <w:kinsoku/>
              <w:wordWrap/>
              <w:overflowPunct/>
              <w:topLinePunct w:val="0"/>
              <w:bidi w:val="0"/>
              <w:adjustRightInd w:val="0"/>
              <w:snapToGrid w:val="0"/>
              <w:spacing w:line="360" w:lineRule="auto"/>
              <w:textAlignment w:val="auto"/>
              <w:rPr>
                <w:b/>
                <w:color w:val="auto"/>
                <w:sz w:val="24"/>
              </w:rPr>
            </w:pPr>
            <w:r>
              <w:rPr>
                <w:b/>
                <w:color w:val="auto"/>
                <w:sz w:val="24"/>
              </w:rPr>
              <w:t>5生态环境保护防治措施</w:t>
            </w:r>
          </w:p>
          <w:p w14:paraId="0FD4C001">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rFonts w:hint="eastAsia"/>
                <w:bCs/>
                <w:color w:val="auto"/>
                <w:sz w:val="24"/>
                <w:szCs w:val="20"/>
              </w:rPr>
            </w:pPr>
            <w:r>
              <w:rPr>
                <w:rFonts w:hint="eastAsia"/>
                <w:bCs/>
                <w:color w:val="auto"/>
                <w:sz w:val="24"/>
                <w:szCs w:val="20"/>
                <w:lang w:val="en-US" w:eastAsia="zh-CN"/>
              </w:rPr>
              <w:t>及时对植被进行养护，减少沿线植被破坏；加强对来往车辆的监测，禁止超标车辆上路行驶，限制行驶速度，降低车辆噪声和尾气对动植物带来的不良影响。</w:t>
            </w:r>
            <w:r>
              <w:rPr>
                <w:rFonts w:hint="eastAsia"/>
                <w:bCs/>
                <w:color w:val="auto"/>
                <w:sz w:val="24"/>
                <w:szCs w:val="20"/>
              </w:rPr>
              <w:t xml:space="preserve"> </w:t>
            </w:r>
          </w:p>
          <w:p w14:paraId="42DEA6F6">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auto"/>
              <w:textAlignment w:val="auto"/>
              <w:rPr>
                <w:b/>
                <w:color w:val="auto"/>
                <w:kern w:val="0"/>
                <w:sz w:val="24"/>
              </w:rPr>
            </w:pPr>
            <w:r>
              <w:rPr>
                <w:rFonts w:hint="eastAsia"/>
                <w:b/>
                <w:color w:val="auto"/>
                <w:sz w:val="24"/>
                <w:lang w:val="en-US" w:eastAsia="zh-CN"/>
              </w:rPr>
              <w:t>6</w:t>
            </w:r>
            <w:r>
              <w:rPr>
                <w:b/>
                <w:color w:val="auto"/>
                <w:kern w:val="0"/>
                <w:sz w:val="24"/>
              </w:rPr>
              <w:t>环境风险防范措施</w:t>
            </w:r>
          </w:p>
          <w:p w14:paraId="5F15A4C5">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rFonts w:hint="eastAsia"/>
                <w:bCs/>
                <w:color w:val="auto"/>
                <w:sz w:val="24"/>
                <w:szCs w:val="20"/>
              </w:rPr>
              <w:t>（</w:t>
            </w:r>
            <w:r>
              <w:rPr>
                <w:bCs/>
                <w:color w:val="auto"/>
                <w:sz w:val="24"/>
                <w:szCs w:val="20"/>
              </w:rPr>
              <w:t>1）预防管理措施</w:t>
            </w:r>
          </w:p>
          <w:p w14:paraId="11D8F272">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防范危险化学品运输风险事故的最主要措施是要严格执行国家和有关部门颁布的危险货物运输相关法规。</w:t>
            </w:r>
          </w:p>
          <w:p w14:paraId="1B45B574">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①加强对从事危险货物运输业主、驾驶员及押运员的安全教育和运输车辆的安全检查，使从业人员具有高度责任感，使车辆处于完好的技术状态。</w:t>
            </w:r>
          </w:p>
          <w:p w14:paraId="07046400">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②危险品运输车辆在进入公路前，应向当地公路运输管理部门领取申报表，在入口处接受公安或交通管理部门的抽查，并提交申报表。申报表主要报告项目有危险货物运输执照号码、货物品种、等级和编号、收发货人姓名、装卸地点、货物特性等。危险品运输车辆一般应安排在交通量较少时段通行，在气候不好的条件下应禁止其上路，从而加强对运输危险品的车辆进行有效管理。</w:t>
            </w:r>
          </w:p>
          <w:p w14:paraId="4B298B7A">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③实行危险品运输车辆的检查制度，在入口处的超宽车道</w:t>
            </w:r>
            <w:r>
              <w:rPr>
                <w:rFonts w:hint="eastAsia"/>
                <w:bCs/>
                <w:color w:val="auto"/>
                <w:sz w:val="24"/>
                <w:szCs w:val="20"/>
                <w:lang w:eastAsia="zh-CN"/>
              </w:rPr>
              <w:t>（</w:t>
            </w:r>
            <w:r>
              <w:rPr>
                <w:bCs/>
                <w:color w:val="auto"/>
                <w:sz w:val="24"/>
                <w:szCs w:val="20"/>
              </w:rPr>
              <w:t>一般为最外侧车道</w:t>
            </w:r>
            <w:r>
              <w:rPr>
                <w:rFonts w:hint="eastAsia"/>
                <w:bCs/>
                <w:color w:val="auto"/>
                <w:sz w:val="24"/>
                <w:szCs w:val="20"/>
                <w:lang w:eastAsia="zh-CN"/>
              </w:rPr>
              <w:t>）</w:t>
            </w:r>
            <w:r>
              <w:rPr>
                <w:bCs/>
                <w:color w:val="auto"/>
                <w:sz w:val="24"/>
                <w:szCs w:val="20"/>
              </w:rPr>
              <w:t>设置危险</w:t>
            </w:r>
            <w:r>
              <w:rPr>
                <w:rFonts w:hint="eastAsia" w:ascii="宋体" w:hAnsi="宋体" w:eastAsia="宋体" w:cs="宋体"/>
                <w:bCs/>
                <w:color w:val="auto"/>
                <w:sz w:val="24"/>
                <w:szCs w:val="20"/>
              </w:rPr>
              <w:t>品运输申报点。对申报运输危险品的车辆进行“准运证</w:t>
            </w:r>
            <w:r>
              <w:rPr>
                <w:rFonts w:hint="eastAsia" w:ascii="宋体" w:hAnsi="宋体" w:eastAsia="宋体" w:cs="宋体"/>
                <w:bCs/>
                <w:color w:val="auto"/>
                <w:sz w:val="24"/>
                <w:szCs w:val="20"/>
                <w:lang w:eastAsia="zh-CN"/>
              </w:rPr>
              <w:t>”“</w:t>
            </w:r>
            <w:r>
              <w:rPr>
                <w:rFonts w:hint="eastAsia" w:ascii="宋体" w:hAnsi="宋体" w:eastAsia="宋体" w:cs="宋体"/>
                <w:bCs/>
                <w:color w:val="auto"/>
                <w:sz w:val="24"/>
                <w:szCs w:val="20"/>
              </w:rPr>
              <w:t>驾驶员证</w:t>
            </w:r>
            <w:r>
              <w:rPr>
                <w:rFonts w:hint="eastAsia" w:ascii="宋体" w:hAnsi="宋体" w:eastAsia="宋体" w:cs="宋体"/>
                <w:bCs/>
                <w:color w:val="auto"/>
                <w:sz w:val="24"/>
                <w:szCs w:val="20"/>
                <w:lang w:eastAsia="zh-CN"/>
              </w:rPr>
              <w:t>”“</w:t>
            </w:r>
            <w:r>
              <w:rPr>
                <w:rFonts w:hint="eastAsia" w:ascii="宋体" w:hAnsi="宋体" w:eastAsia="宋体" w:cs="宋体"/>
                <w:bCs/>
                <w:color w:val="auto"/>
                <w:sz w:val="24"/>
                <w:szCs w:val="20"/>
              </w:rPr>
              <w:t>押运员证”和危险</w:t>
            </w:r>
            <w:r>
              <w:rPr>
                <w:bCs/>
                <w:color w:val="auto"/>
                <w:sz w:val="24"/>
                <w:szCs w:val="20"/>
              </w:rPr>
              <w:t>品运输行车路单</w:t>
            </w:r>
            <w:r>
              <w:rPr>
                <w:rFonts w:hint="eastAsia"/>
                <w:bCs/>
                <w:color w:val="auto"/>
                <w:sz w:val="24"/>
                <w:szCs w:val="20"/>
                <w:lang w:eastAsia="zh-CN"/>
              </w:rPr>
              <w:t>（</w:t>
            </w:r>
            <w:r>
              <w:rPr>
                <w:bCs/>
                <w:color w:val="auto"/>
                <w:sz w:val="24"/>
                <w:szCs w:val="20"/>
              </w:rPr>
              <w:t>以下简称</w:t>
            </w:r>
            <w:r>
              <w:rPr>
                <w:rFonts w:hint="eastAsia" w:ascii="宋体" w:hAnsi="宋体" w:eastAsia="宋体" w:cs="宋体"/>
                <w:bCs/>
                <w:color w:val="auto"/>
                <w:sz w:val="24"/>
                <w:szCs w:val="20"/>
              </w:rPr>
              <w:t>“三证一单”</w:t>
            </w:r>
            <w:r>
              <w:rPr>
                <w:rFonts w:hint="eastAsia"/>
                <w:bCs/>
                <w:color w:val="auto"/>
                <w:sz w:val="24"/>
                <w:szCs w:val="20"/>
                <w:lang w:eastAsia="zh-CN"/>
              </w:rPr>
              <w:t>）</w:t>
            </w:r>
            <w:r>
              <w:rPr>
                <w:bCs/>
                <w:color w:val="auto"/>
                <w:sz w:val="24"/>
                <w:szCs w:val="20"/>
              </w:rPr>
              <w:t>检查</w:t>
            </w:r>
            <w:r>
              <w:rPr>
                <w:rFonts w:hint="eastAsia" w:ascii="宋体" w:hAnsi="宋体" w:eastAsia="宋体" w:cs="宋体"/>
                <w:bCs/>
                <w:color w:val="auto"/>
                <w:sz w:val="24"/>
                <w:szCs w:val="20"/>
              </w:rPr>
              <w:t>，“三证一单”不</w:t>
            </w:r>
            <w:r>
              <w:rPr>
                <w:bCs/>
                <w:color w:val="auto"/>
                <w:sz w:val="24"/>
                <w:szCs w:val="20"/>
              </w:rPr>
              <w:t>全的车辆将不允许驶上公路。除证件检查外，必要时应对运输危险品的车辆进行安全检查。如《压力容器使用证》的有效性及检验合格证等，对有安全隐患的车辆进行安全检查，在未排除隐患前不允许进入公路。</w:t>
            </w:r>
          </w:p>
          <w:p w14:paraId="7370294E">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④设置警示牌，提请司机小心驾驶。</w:t>
            </w:r>
          </w:p>
          <w:p w14:paraId="3744ABE2">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⑤交通、公安、环保部门要相互配合，提高快速反应、处置能力，要改善和提高相应的装备水平。</w:t>
            </w:r>
          </w:p>
          <w:p w14:paraId="5EEC1055">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（2）交通事故预防措施</w:t>
            </w:r>
          </w:p>
          <w:p w14:paraId="1D42C76F">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①为保证车辆和行人的安全，降低交通事故发生率，应加强公路管理，在路旁还应设置雨雪天气的最高限速牌。在天气非常恶劣时应封闭公路，以确保公路安全运行。</w:t>
            </w:r>
          </w:p>
          <w:p w14:paraId="109C2FF5">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②完善公路管理制度，对超速行驶、酒后驾车、带病行驶及超载行驶的车辆和驾驶员要严加管理，一旦发现要立即制止，防止交通事故的发生。立一支能够处理突发性事故的消防队伍，以保证把事故产生的危害降低到</w:t>
            </w:r>
            <w:r>
              <w:rPr>
                <w:rFonts w:hint="eastAsia"/>
                <w:bCs/>
                <w:color w:val="auto"/>
                <w:sz w:val="24"/>
                <w:szCs w:val="20"/>
                <w:lang w:eastAsia="zh-CN"/>
              </w:rPr>
              <w:t>最低</w:t>
            </w:r>
            <w:r>
              <w:rPr>
                <w:bCs/>
                <w:color w:val="auto"/>
                <w:sz w:val="24"/>
                <w:szCs w:val="20"/>
              </w:rPr>
              <w:t>。</w:t>
            </w:r>
          </w:p>
          <w:p w14:paraId="62D57285">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（3）危险品运输预防和控制措施</w:t>
            </w:r>
          </w:p>
          <w:p w14:paraId="4FAC5FED">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①设立限速标志和要求，禁止超速行驶。</w:t>
            </w:r>
          </w:p>
          <w:p w14:paraId="730B702F">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②就本项目危险品运输管理而言，公路管理部门对运输危险品车辆实行申报管理制度。对“三证”不齐的车辆坚决不给上路，同时要避免在行车高峰期和不良气候条件下运输危险品。</w:t>
            </w:r>
          </w:p>
          <w:p w14:paraId="0A600F0E">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（4）加强道路交通管理，防范事故风险</w:t>
            </w:r>
          </w:p>
          <w:p w14:paraId="7D0DAF8A">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加强道路管理，完善交通标志，约束驾驶员，规范上路车辆的安全行驶，就能够大大降低事故发生概率。路</w:t>
            </w:r>
            <w:r>
              <w:rPr>
                <w:rFonts w:hint="eastAsia"/>
                <w:bCs/>
                <w:color w:val="auto"/>
                <w:sz w:val="24"/>
                <w:szCs w:val="20"/>
                <w:lang w:val="en-US" w:eastAsia="zh-CN"/>
              </w:rPr>
              <w:t>边</w:t>
            </w:r>
            <w:r>
              <w:rPr>
                <w:bCs/>
                <w:color w:val="auto"/>
                <w:sz w:val="24"/>
                <w:szCs w:val="20"/>
              </w:rPr>
              <w:t>设置限速警示牌，提醒司机进入敏感路段，谨慎驾驶，防止交通事故。</w:t>
            </w:r>
          </w:p>
          <w:p w14:paraId="6898359C">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rFonts w:hint="eastAsia"/>
                <w:bCs/>
                <w:color w:val="auto"/>
                <w:sz w:val="24"/>
                <w:szCs w:val="20"/>
              </w:rPr>
              <w:t>（5）</w:t>
            </w:r>
            <w:r>
              <w:rPr>
                <w:bCs/>
                <w:color w:val="auto"/>
                <w:sz w:val="24"/>
                <w:szCs w:val="20"/>
              </w:rPr>
              <w:t>风险事故控制措施</w:t>
            </w:r>
          </w:p>
          <w:p w14:paraId="64B37A1A">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①加强对车辆的管理，保证车况良好；禁止酒后开车、疲劳开车、强行超车。</w:t>
            </w:r>
          </w:p>
          <w:p w14:paraId="19F34D92">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②遇雪、雾、路面结冰等情况，应禁止运载危险品车辆通行。</w:t>
            </w:r>
          </w:p>
          <w:p w14:paraId="7314EEE1">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③公路管理处建立一支训练有素设备齐全的事故应急队伍，及时、科学</w:t>
            </w:r>
            <w:r>
              <w:rPr>
                <w:rFonts w:hint="eastAsia"/>
                <w:bCs/>
                <w:color w:val="auto"/>
                <w:sz w:val="24"/>
                <w:szCs w:val="20"/>
                <w:lang w:eastAsia="zh-CN"/>
              </w:rPr>
              <w:t>地</w:t>
            </w:r>
            <w:r>
              <w:rPr>
                <w:bCs/>
                <w:color w:val="auto"/>
                <w:sz w:val="24"/>
                <w:szCs w:val="20"/>
              </w:rPr>
              <w:t>处理交通运输事故。</w:t>
            </w:r>
          </w:p>
          <w:p w14:paraId="045CBA21">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④危险品运输一旦发生交通事故，在尽快处理的同时加强与沿线公路、公安和环保部门的联系，以便对</w:t>
            </w:r>
            <w:r>
              <w:rPr>
                <w:rFonts w:hint="eastAsia"/>
                <w:bCs/>
                <w:color w:val="auto"/>
                <w:sz w:val="24"/>
                <w:szCs w:val="20"/>
                <w:lang w:eastAsia="zh-CN"/>
              </w:rPr>
              <w:t>影响</w:t>
            </w:r>
            <w:r>
              <w:rPr>
                <w:bCs/>
                <w:color w:val="auto"/>
                <w:sz w:val="24"/>
                <w:szCs w:val="20"/>
              </w:rPr>
              <w:t>人员进行监控和善后处理。</w:t>
            </w:r>
          </w:p>
          <w:p w14:paraId="14DB4D4B">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⑤当事故发生时，如危险品为固态，可清扫处理，并对事故记录备案；如为气态且有剧毒，消防人员应戴防毒面具进行处理；在危险品</w:t>
            </w:r>
            <w:r>
              <w:rPr>
                <w:rFonts w:hint="eastAsia"/>
                <w:bCs/>
                <w:color w:val="auto"/>
                <w:sz w:val="24"/>
                <w:szCs w:val="20"/>
                <w:lang w:eastAsia="zh-CN"/>
              </w:rPr>
              <w:t>溢出</w:t>
            </w:r>
            <w:r>
              <w:rPr>
                <w:bCs/>
                <w:color w:val="auto"/>
                <w:sz w:val="24"/>
                <w:szCs w:val="20"/>
              </w:rPr>
              <w:t>无法避免的情况下，需立即通知生态环境部门、公安部门，必要时对沿线污染范围内的人员进行疏离，避免发生人员伤亡。如为液态出现</w:t>
            </w:r>
            <w:r>
              <w:rPr>
                <w:rFonts w:hint="eastAsia"/>
                <w:bCs/>
                <w:color w:val="auto"/>
                <w:sz w:val="24"/>
                <w:szCs w:val="20"/>
              </w:rPr>
              <w:t>化学品泄漏</w:t>
            </w:r>
            <w:r>
              <w:rPr>
                <w:bCs/>
                <w:color w:val="auto"/>
                <w:sz w:val="24"/>
                <w:szCs w:val="20"/>
              </w:rPr>
              <w:t>，应用砂子或锯末吸收清除并用水清洗，清洗废水及时收集于临时储罐装置中，根据污染性质妥善处理。如无法避免危险品已进入水体，应立即通知环保部门，及时打捞掉入水体中的危险品容器。派环保专家和监测人员到现场监测分析，可根据污染物性质选择适当的方法进行处理。</w:t>
            </w:r>
          </w:p>
          <w:p w14:paraId="6B02EBDD">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 xml:space="preserve">⑥制定危险品运输风险应急预案，建立一支处理突发性事故的消防队伍，当事故发生时，能尽快报警，使应急队伍尽快到达处理应急事故，保证把事故产生的危害降到最小。参加应急救援单位根据应急预案的职责分工制定相应的应急救援预案。 </w:t>
            </w:r>
          </w:p>
          <w:p w14:paraId="6763C3D2">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auto"/>
              <w:textAlignment w:val="auto"/>
              <w:rPr>
                <w:b/>
                <w:color w:val="auto"/>
                <w:kern w:val="0"/>
                <w:sz w:val="24"/>
              </w:rPr>
            </w:pPr>
            <w:r>
              <w:rPr>
                <w:rFonts w:hint="eastAsia"/>
                <w:b/>
                <w:color w:val="auto"/>
                <w:sz w:val="24"/>
                <w:lang w:val="en-US" w:eastAsia="zh-CN"/>
              </w:rPr>
              <w:t>7</w:t>
            </w:r>
            <w:r>
              <w:rPr>
                <w:b/>
                <w:color w:val="auto"/>
                <w:kern w:val="0"/>
                <w:sz w:val="24"/>
              </w:rPr>
              <w:t>环境管理</w:t>
            </w:r>
          </w:p>
          <w:p w14:paraId="30DCEA3F">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为保护本工程沿线环境质量，</w:t>
            </w:r>
            <w:r>
              <w:rPr>
                <w:rFonts w:hint="eastAsia"/>
                <w:bCs/>
                <w:color w:val="auto"/>
                <w:sz w:val="24"/>
                <w:szCs w:val="20"/>
                <w:lang w:eastAsia="zh-CN"/>
              </w:rPr>
              <w:t>确保</w:t>
            </w:r>
            <w:r>
              <w:rPr>
                <w:bCs/>
                <w:color w:val="auto"/>
                <w:sz w:val="24"/>
                <w:szCs w:val="20"/>
              </w:rPr>
              <w:t>工程的各种不良环境影响得到有效控制和缓解，必须对本工程实施的全过程进行严格、科学的环境管理与监控。</w:t>
            </w:r>
          </w:p>
          <w:p w14:paraId="2DD7ADDF">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通过制定系统的、科学的环境管理计划，使工程在建设过程中产生的环境问题，按照工程设计及本环评文件规定的防治或减缓措施，在项目的设计、施工、营运中逐步得到落实，促使工程建设与环境保护协调发展。</w:t>
            </w:r>
          </w:p>
          <w:p w14:paraId="28F8B722">
            <w:pPr>
              <w:keepNext w:val="0"/>
              <w:keepLines w:val="0"/>
              <w:pageBreakBefore w:val="0"/>
              <w:widowControl w:val="0"/>
              <w:shd w:val="clear" w:color="auto" w:fill="auto"/>
              <w:kinsoku/>
              <w:wordWrap/>
              <w:overflowPunct/>
              <w:topLinePunct w:val="0"/>
              <w:bidi w:val="0"/>
              <w:adjustRightInd w:val="0"/>
              <w:snapToGrid w:val="0"/>
              <w:spacing w:line="360" w:lineRule="auto"/>
              <w:ind w:firstLine="480" w:firstLineChars="200"/>
              <w:textAlignment w:val="auto"/>
              <w:rPr>
                <w:bCs/>
                <w:color w:val="auto"/>
                <w:sz w:val="24"/>
                <w:szCs w:val="20"/>
              </w:rPr>
            </w:pPr>
            <w:r>
              <w:rPr>
                <w:bCs/>
                <w:color w:val="auto"/>
                <w:sz w:val="24"/>
                <w:szCs w:val="20"/>
              </w:rPr>
              <w:t>具体环境管理机构人员设置及职责见表5-1。</w:t>
            </w:r>
          </w:p>
          <w:p w14:paraId="1E4545C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422" w:firstLineChars="200"/>
              <w:jc w:val="both"/>
              <w:textAlignment w:val="auto"/>
              <w:rPr>
                <w:b/>
                <w:bCs/>
                <w:color w:val="auto"/>
                <w:sz w:val="21"/>
                <w:szCs w:val="21"/>
              </w:rPr>
            </w:pPr>
            <w:r>
              <w:rPr>
                <w:b/>
                <w:bCs/>
                <w:color w:val="auto"/>
                <w:sz w:val="21"/>
                <w:szCs w:val="21"/>
              </w:rPr>
              <w:t xml:space="preserve">表5-1  </w:t>
            </w:r>
            <w:r>
              <w:rPr>
                <w:rFonts w:hint="eastAsia"/>
                <w:b/>
                <w:bCs/>
                <w:color w:val="auto"/>
                <w:sz w:val="21"/>
                <w:szCs w:val="21"/>
                <w:lang w:val="en-US" w:eastAsia="zh-CN"/>
              </w:rPr>
              <w:t xml:space="preserve">        </w:t>
            </w:r>
            <w:r>
              <w:rPr>
                <w:b/>
                <w:bCs/>
                <w:color w:val="auto"/>
                <w:sz w:val="21"/>
                <w:szCs w:val="21"/>
              </w:rPr>
              <w:t xml:space="preserve">  建设项目环境管理机构人员设置及职责</w:t>
            </w:r>
          </w:p>
          <w:tbl>
            <w:tblPr>
              <w:tblStyle w:val="29"/>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35"/>
              <w:gridCol w:w="759"/>
              <w:gridCol w:w="6259"/>
            </w:tblGrid>
            <w:tr w14:paraId="5F79F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01" w:type="pct"/>
                  <w:gridSpan w:val="2"/>
                  <w:tcBorders>
                    <w:tl2br w:val="nil"/>
                    <w:tr2bl w:val="nil"/>
                  </w:tcBorders>
                  <w:noWrap w:val="0"/>
                  <w:vAlign w:val="center"/>
                </w:tcPr>
                <w:p w14:paraId="3DAE7278">
                  <w:pPr>
                    <w:shd w:val="clear" w:color="auto" w:fill="auto"/>
                    <w:spacing w:line="240" w:lineRule="auto"/>
                    <w:jc w:val="center"/>
                    <w:rPr>
                      <w:color w:val="auto"/>
                      <w:szCs w:val="21"/>
                    </w:rPr>
                  </w:pPr>
                  <w:r>
                    <w:rPr>
                      <w:color w:val="auto"/>
                    </w:rPr>
                    <w:t>组成单位</w:t>
                  </w:r>
                </w:p>
              </w:tc>
              <w:tc>
                <w:tcPr>
                  <w:tcW w:w="4198" w:type="pct"/>
                  <w:tcBorders>
                    <w:tl2br w:val="nil"/>
                    <w:tr2bl w:val="nil"/>
                  </w:tcBorders>
                  <w:noWrap w:val="0"/>
                  <w:vAlign w:val="center"/>
                </w:tcPr>
                <w:p w14:paraId="505118C4">
                  <w:pPr>
                    <w:shd w:val="clear" w:color="auto" w:fill="auto"/>
                    <w:spacing w:line="240" w:lineRule="auto"/>
                    <w:jc w:val="center"/>
                    <w:rPr>
                      <w:color w:val="auto"/>
                      <w:szCs w:val="21"/>
                    </w:rPr>
                  </w:pPr>
                  <w:r>
                    <w:rPr>
                      <w:color w:val="auto"/>
                    </w:rPr>
                    <w:t>主要职责</w:t>
                  </w:r>
                </w:p>
              </w:tc>
            </w:tr>
            <w:tr w14:paraId="638F4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01" w:type="pct"/>
                  <w:gridSpan w:val="2"/>
                  <w:tcBorders>
                    <w:tl2br w:val="nil"/>
                    <w:tr2bl w:val="nil"/>
                  </w:tcBorders>
                  <w:noWrap w:val="0"/>
                  <w:vAlign w:val="center"/>
                </w:tcPr>
                <w:p w14:paraId="527A7909">
                  <w:pPr>
                    <w:shd w:val="clear" w:color="auto" w:fill="auto"/>
                    <w:spacing w:line="240" w:lineRule="auto"/>
                    <w:jc w:val="center"/>
                    <w:rPr>
                      <w:rFonts w:hint="default"/>
                      <w:color w:val="auto"/>
                      <w:szCs w:val="21"/>
                      <w:lang w:val="en-US"/>
                    </w:rPr>
                  </w:pPr>
                  <w:r>
                    <w:rPr>
                      <w:rFonts w:hint="eastAsia"/>
                      <w:color w:val="auto"/>
                      <w:szCs w:val="21"/>
                      <w:lang w:val="en-US" w:eastAsia="zh-CN"/>
                    </w:rPr>
                    <w:t>库尔勒公路事业发展中心</w:t>
                  </w:r>
                </w:p>
              </w:tc>
              <w:tc>
                <w:tcPr>
                  <w:tcW w:w="4198" w:type="pct"/>
                  <w:tcBorders>
                    <w:tl2br w:val="nil"/>
                    <w:tr2bl w:val="nil"/>
                  </w:tcBorders>
                  <w:noWrap w:val="0"/>
                  <w:vAlign w:val="center"/>
                </w:tcPr>
                <w:p w14:paraId="5A1FEFD0">
                  <w:pPr>
                    <w:shd w:val="clear" w:color="auto" w:fill="auto"/>
                    <w:spacing w:line="240" w:lineRule="auto"/>
                    <w:rPr>
                      <w:color w:val="auto"/>
                      <w:szCs w:val="21"/>
                    </w:rPr>
                  </w:pPr>
                  <w:r>
                    <w:rPr>
                      <w:color w:val="auto"/>
                    </w:rPr>
                    <w:t>①负责统一协调、管理交通的环境保护工作。</w:t>
                  </w:r>
                </w:p>
                <w:p w14:paraId="16BBE335">
                  <w:pPr>
                    <w:shd w:val="clear" w:color="auto" w:fill="auto"/>
                    <w:spacing w:line="240" w:lineRule="auto"/>
                    <w:rPr>
                      <w:color w:val="auto"/>
                    </w:rPr>
                  </w:pPr>
                  <w:r>
                    <w:rPr>
                      <w:color w:val="auto"/>
                    </w:rPr>
                    <w:t>②贯彻执行环保方针、政策和法规，负责管理全区的交通环保工作。</w:t>
                  </w:r>
                </w:p>
                <w:p w14:paraId="7A80A8A4">
                  <w:pPr>
                    <w:shd w:val="clear" w:color="auto" w:fill="auto"/>
                    <w:spacing w:line="240" w:lineRule="auto"/>
                    <w:rPr>
                      <w:color w:val="auto"/>
                    </w:rPr>
                  </w:pPr>
                  <w:r>
                    <w:rPr>
                      <w:color w:val="auto"/>
                    </w:rPr>
                    <w:t>③负责环保措施施工设计方案的审查工作。</w:t>
                  </w:r>
                </w:p>
                <w:p w14:paraId="64B74631">
                  <w:pPr>
                    <w:shd w:val="clear" w:color="auto" w:fill="auto"/>
                    <w:spacing w:line="240" w:lineRule="auto"/>
                    <w:rPr>
                      <w:color w:val="auto"/>
                      <w:szCs w:val="21"/>
                    </w:rPr>
                  </w:pPr>
                  <w:r>
                    <w:rPr>
                      <w:color w:val="auto"/>
                    </w:rPr>
                    <w:t>④检查环保设施的施工和维护。</w:t>
                  </w:r>
                </w:p>
              </w:tc>
            </w:tr>
            <w:tr w14:paraId="4E576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92" w:type="pct"/>
                  <w:tcBorders>
                    <w:tl2br w:val="nil"/>
                    <w:tr2bl w:val="nil"/>
                  </w:tcBorders>
                  <w:noWrap w:val="0"/>
                  <w:vAlign w:val="center"/>
                </w:tcPr>
                <w:p w14:paraId="668AEC16">
                  <w:pPr>
                    <w:shd w:val="clear" w:color="auto" w:fill="auto"/>
                    <w:spacing w:line="240" w:lineRule="auto"/>
                    <w:jc w:val="center"/>
                    <w:rPr>
                      <w:color w:val="auto"/>
                      <w:szCs w:val="21"/>
                    </w:rPr>
                  </w:pPr>
                  <w:r>
                    <w:rPr>
                      <w:color w:val="auto"/>
                    </w:rPr>
                    <w:t>施工期</w:t>
                  </w:r>
                </w:p>
              </w:tc>
              <w:tc>
                <w:tcPr>
                  <w:tcW w:w="509" w:type="pct"/>
                  <w:tcBorders>
                    <w:tl2br w:val="nil"/>
                    <w:tr2bl w:val="nil"/>
                  </w:tcBorders>
                  <w:noWrap w:val="0"/>
                  <w:vAlign w:val="center"/>
                </w:tcPr>
                <w:p w14:paraId="33DAFE5F">
                  <w:pPr>
                    <w:shd w:val="clear" w:color="auto" w:fill="auto"/>
                    <w:spacing w:line="240" w:lineRule="auto"/>
                    <w:jc w:val="center"/>
                    <w:rPr>
                      <w:color w:val="auto"/>
                      <w:szCs w:val="21"/>
                    </w:rPr>
                  </w:pPr>
                  <w:r>
                    <w:rPr>
                      <w:color w:val="auto"/>
                    </w:rPr>
                    <w:t>建设指挥部</w:t>
                  </w:r>
                </w:p>
              </w:tc>
              <w:tc>
                <w:tcPr>
                  <w:tcW w:w="4198" w:type="pct"/>
                  <w:tcBorders>
                    <w:tl2br w:val="nil"/>
                    <w:tr2bl w:val="nil"/>
                  </w:tcBorders>
                  <w:noWrap w:val="0"/>
                  <w:vAlign w:val="center"/>
                </w:tcPr>
                <w:p w14:paraId="5AA4BC69">
                  <w:pPr>
                    <w:shd w:val="clear" w:color="auto" w:fill="auto"/>
                    <w:spacing w:line="240" w:lineRule="auto"/>
                    <w:rPr>
                      <w:color w:val="auto"/>
                      <w:szCs w:val="21"/>
                    </w:rPr>
                  </w:pPr>
                  <w:r>
                    <w:rPr>
                      <w:color w:val="auto"/>
                    </w:rPr>
                    <w:t>①</w:t>
                  </w:r>
                  <w:r>
                    <w:rPr>
                      <w:rFonts w:hint="eastAsia"/>
                      <w:color w:val="auto"/>
                      <w:lang w:eastAsia="zh-CN"/>
                    </w:rPr>
                    <w:t>按照</w:t>
                  </w:r>
                  <w:r>
                    <w:rPr>
                      <w:color w:val="auto"/>
                    </w:rPr>
                    <w:t>环评报告提出的环保措施和建议制定施工期环保实施计划和管理办法，并将其编入招标文件和承包合同。</w:t>
                  </w:r>
                </w:p>
                <w:p w14:paraId="1F5BA64D">
                  <w:pPr>
                    <w:shd w:val="clear" w:color="auto" w:fill="auto"/>
                    <w:spacing w:line="240" w:lineRule="auto"/>
                    <w:rPr>
                      <w:color w:val="auto"/>
                    </w:rPr>
                  </w:pPr>
                  <w:r>
                    <w:rPr>
                      <w:color w:val="auto"/>
                    </w:rPr>
                    <w:t>②设置环境监理工程师，负责施工期的环境管理和监督，监理在招标文件中规定的环保措施的执行情况，检查对环境</w:t>
                  </w:r>
                  <w:r>
                    <w:rPr>
                      <w:rFonts w:hint="eastAsia"/>
                      <w:color w:val="auto"/>
                      <w:lang w:eastAsia="zh-CN"/>
                    </w:rPr>
                    <w:t>不良</w:t>
                  </w:r>
                  <w:r>
                    <w:rPr>
                      <w:color w:val="auto"/>
                    </w:rPr>
                    <w:t>行为。</w:t>
                  </w:r>
                </w:p>
                <w:p w14:paraId="72B7964E">
                  <w:pPr>
                    <w:shd w:val="clear" w:color="auto" w:fill="auto"/>
                    <w:spacing w:line="240" w:lineRule="auto"/>
                    <w:rPr>
                      <w:color w:val="auto"/>
                    </w:rPr>
                  </w:pPr>
                  <w:r>
                    <w:rPr>
                      <w:color w:val="auto"/>
                    </w:rPr>
                    <w:t>③开展环境保护宣传、教育和培训工作，</w:t>
                  </w:r>
                  <w:r>
                    <w:rPr>
                      <w:rFonts w:hint="eastAsia"/>
                      <w:color w:val="auto"/>
                    </w:rPr>
                    <w:t>增强</w:t>
                  </w:r>
                  <w:r>
                    <w:rPr>
                      <w:color w:val="auto"/>
                    </w:rPr>
                    <w:t>施工人员环保意识和文明施工素质。</w:t>
                  </w:r>
                </w:p>
                <w:p w14:paraId="24F3E79F">
                  <w:pPr>
                    <w:shd w:val="clear" w:color="auto" w:fill="auto"/>
                    <w:spacing w:line="240" w:lineRule="auto"/>
                    <w:rPr>
                      <w:color w:val="auto"/>
                      <w:spacing w:val="-8"/>
                    </w:rPr>
                  </w:pPr>
                  <w:r>
                    <w:rPr>
                      <w:color w:val="auto"/>
                      <w:spacing w:val="-8"/>
                    </w:rPr>
                    <w:t>④负责施工中突发性污染事故的处理，及时上报主管部门和其他有关单位。</w:t>
                  </w:r>
                </w:p>
                <w:p w14:paraId="1B12FC37">
                  <w:pPr>
                    <w:shd w:val="clear" w:color="auto" w:fill="auto"/>
                    <w:spacing w:line="240" w:lineRule="auto"/>
                    <w:rPr>
                      <w:color w:val="auto"/>
                    </w:rPr>
                  </w:pPr>
                  <w:r>
                    <w:rPr>
                      <w:color w:val="auto"/>
                    </w:rPr>
                    <w:t>⑤组织实施施工期环境监测计划。</w:t>
                  </w:r>
                </w:p>
                <w:p w14:paraId="2421AF32">
                  <w:pPr>
                    <w:shd w:val="clear" w:color="auto" w:fill="auto"/>
                    <w:spacing w:line="240" w:lineRule="auto"/>
                    <w:rPr>
                      <w:color w:val="auto"/>
                      <w:szCs w:val="21"/>
                    </w:rPr>
                  </w:pPr>
                  <w:r>
                    <w:rPr>
                      <w:color w:val="auto"/>
                    </w:rPr>
                    <w:t>⑥施工结束后，组织全面检查工程环保措施落实和施工现场的环境恢复情况。</w:t>
                  </w:r>
                </w:p>
              </w:tc>
            </w:tr>
            <w:tr w14:paraId="646C4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92" w:type="pct"/>
                  <w:tcBorders>
                    <w:tl2br w:val="nil"/>
                    <w:tr2bl w:val="nil"/>
                  </w:tcBorders>
                  <w:noWrap w:val="0"/>
                  <w:vAlign w:val="center"/>
                </w:tcPr>
                <w:p w14:paraId="5CCAFF27">
                  <w:pPr>
                    <w:shd w:val="clear" w:color="auto" w:fill="auto"/>
                    <w:spacing w:line="240" w:lineRule="auto"/>
                    <w:jc w:val="center"/>
                    <w:rPr>
                      <w:color w:val="auto"/>
                      <w:szCs w:val="21"/>
                    </w:rPr>
                  </w:pPr>
                  <w:r>
                    <w:rPr>
                      <w:color w:val="auto"/>
                    </w:rPr>
                    <w:t>运营期</w:t>
                  </w:r>
                </w:p>
              </w:tc>
              <w:tc>
                <w:tcPr>
                  <w:tcW w:w="509" w:type="pct"/>
                  <w:tcBorders>
                    <w:tl2br w:val="nil"/>
                    <w:tr2bl w:val="nil"/>
                  </w:tcBorders>
                  <w:noWrap w:val="0"/>
                  <w:vAlign w:val="center"/>
                </w:tcPr>
                <w:p w14:paraId="6EF3FC7F">
                  <w:pPr>
                    <w:shd w:val="clear" w:color="auto" w:fill="auto"/>
                    <w:spacing w:line="240" w:lineRule="auto"/>
                    <w:jc w:val="center"/>
                    <w:rPr>
                      <w:color w:val="auto"/>
                      <w:szCs w:val="21"/>
                    </w:rPr>
                  </w:pPr>
                  <w:r>
                    <w:rPr>
                      <w:color w:val="auto"/>
                    </w:rPr>
                    <w:t>运营管理单位</w:t>
                  </w:r>
                </w:p>
              </w:tc>
              <w:tc>
                <w:tcPr>
                  <w:tcW w:w="4198" w:type="pct"/>
                  <w:tcBorders>
                    <w:tl2br w:val="nil"/>
                    <w:tr2bl w:val="nil"/>
                  </w:tcBorders>
                  <w:noWrap w:val="0"/>
                  <w:vAlign w:val="center"/>
                </w:tcPr>
                <w:p w14:paraId="2A0C1549">
                  <w:pPr>
                    <w:shd w:val="clear" w:color="auto" w:fill="auto"/>
                    <w:spacing w:line="240" w:lineRule="auto"/>
                    <w:rPr>
                      <w:color w:val="auto"/>
                      <w:spacing w:val="-10"/>
                      <w:szCs w:val="21"/>
                    </w:rPr>
                  </w:pPr>
                  <w:r>
                    <w:rPr>
                      <w:color w:val="auto"/>
                      <w:spacing w:val="-10"/>
                    </w:rPr>
                    <w:t>①负责运营期的环境保护工作，配置1名环保专职人员负责环保管理工作。</w:t>
                  </w:r>
                </w:p>
                <w:p w14:paraId="4AA406FC">
                  <w:pPr>
                    <w:shd w:val="clear" w:color="auto" w:fill="auto"/>
                    <w:spacing w:line="240" w:lineRule="auto"/>
                    <w:rPr>
                      <w:color w:val="auto"/>
                    </w:rPr>
                  </w:pPr>
                  <w:r>
                    <w:rPr>
                      <w:color w:val="auto"/>
                    </w:rPr>
                    <w:t>②组织实施运营期环境监测计划。</w:t>
                  </w:r>
                </w:p>
                <w:p w14:paraId="6CE16250">
                  <w:pPr>
                    <w:shd w:val="clear" w:color="auto" w:fill="auto"/>
                    <w:spacing w:line="240" w:lineRule="auto"/>
                    <w:rPr>
                      <w:b/>
                      <w:bCs/>
                      <w:color w:val="auto"/>
                      <w:szCs w:val="21"/>
                    </w:rPr>
                  </w:pPr>
                  <w:r>
                    <w:rPr>
                      <w:color w:val="auto"/>
                    </w:rPr>
                    <w:t>③制定和实施污染事故应急计划，及时处理污染事故和污染纠纷。</w:t>
                  </w:r>
                </w:p>
              </w:tc>
            </w:tr>
          </w:tbl>
          <w:p w14:paraId="32475A35">
            <w:pPr>
              <w:keepNext w:val="0"/>
              <w:keepLines w:val="0"/>
              <w:pageBreakBefore w:val="0"/>
              <w:widowControl w:val="0"/>
              <w:shd w:val="clear" w:color="auto" w:fill="auto"/>
              <w:kinsoku/>
              <w:wordWrap/>
              <w:overflowPunct/>
              <w:topLinePunct w:val="0"/>
              <w:autoSpaceDE/>
              <w:autoSpaceDN/>
              <w:bidi w:val="0"/>
              <w:adjustRightInd w:val="0"/>
              <w:snapToGrid w:val="0"/>
              <w:spacing w:before="157" w:beforeLines="50" w:line="360" w:lineRule="auto"/>
              <w:ind w:firstLine="480" w:firstLineChars="200"/>
              <w:textAlignment w:val="auto"/>
              <w:rPr>
                <w:bCs/>
                <w:color w:val="auto"/>
                <w:sz w:val="24"/>
                <w:szCs w:val="20"/>
              </w:rPr>
            </w:pPr>
            <w:r>
              <w:rPr>
                <w:bCs/>
                <w:color w:val="auto"/>
                <w:sz w:val="24"/>
                <w:szCs w:val="20"/>
              </w:rPr>
              <w:t>本项目环境管理计划见下表。</w:t>
            </w:r>
          </w:p>
          <w:p w14:paraId="75D1E013">
            <w:pPr>
              <w:keepNext w:val="0"/>
              <w:keepLines w:val="0"/>
              <w:pageBreakBefore w:val="0"/>
              <w:widowControl w:val="0"/>
              <w:shd w:val="clear" w:color="auto" w:fill="auto"/>
              <w:kinsoku/>
              <w:wordWrap/>
              <w:overflowPunct/>
              <w:topLinePunct w:val="0"/>
              <w:autoSpaceDE/>
              <w:autoSpaceDN/>
              <w:bidi w:val="0"/>
              <w:adjustRightInd w:val="0"/>
              <w:snapToGrid w:val="0"/>
              <w:spacing w:before="157" w:beforeLines="50" w:line="240" w:lineRule="auto"/>
              <w:ind w:firstLine="422" w:firstLineChars="200"/>
              <w:jc w:val="both"/>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 xml:space="preserve">表5-2   </w:t>
            </w:r>
            <w:r>
              <w:rPr>
                <w:rFonts w:hint="eastAsia" w:cs="Times New Roman"/>
                <w:b/>
                <w:bCs/>
                <w:color w:val="auto"/>
                <w:sz w:val="21"/>
                <w:szCs w:val="21"/>
                <w:lang w:val="en-US" w:eastAsia="zh-CN"/>
              </w:rPr>
              <w:t xml:space="preserve">             </w:t>
            </w:r>
            <w:r>
              <w:rPr>
                <w:rFonts w:ascii="Times New Roman" w:hAnsi="Times New Roman" w:eastAsia="宋体" w:cs="Times New Roman"/>
                <w:b/>
                <w:bCs/>
                <w:color w:val="auto"/>
                <w:sz w:val="21"/>
                <w:szCs w:val="21"/>
              </w:rPr>
              <w:t xml:space="preserve"> 项目环境管理计划表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93"/>
              <w:gridCol w:w="5475"/>
              <w:gridCol w:w="693"/>
              <w:gridCol w:w="692"/>
            </w:tblGrid>
            <w:tr w14:paraId="55A9A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 w:hRule="atLeast"/>
                <w:jc w:val="center"/>
              </w:trPr>
              <w:tc>
                <w:tcPr>
                  <w:tcW w:w="398" w:type="pct"/>
                  <w:tcBorders>
                    <w:tl2br w:val="nil"/>
                    <w:tr2bl w:val="nil"/>
                  </w:tcBorders>
                  <w:noWrap w:val="0"/>
                  <w:vAlign w:val="center"/>
                </w:tcPr>
                <w:p w14:paraId="1AAB20C4">
                  <w:pPr>
                    <w:shd w:val="clear" w:color="auto" w:fill="auto"/>
                    <w:adjustRightInd w:val="0"/>
                    <w:snapToGrid w:val="0"/>
                    <w:spacing w:line="240" w:lineRule="auto"/>
                    <w:jc w:val="center"/>
                    <w:rPr>
                      <w:color w:val="auto"/>
                      <w:szCs w:val="21"/>
                    </w:rPr>
                  </w:pPr>
                  <w:r>
                    <w:rPr>
                      <w:color w:val="auto"/>
                      <w:szCs w:val="21"/>
                    </w:rPr>
                    <w:t>环境</w:t>
                  </w:r>
                </w:p>
                <w:p w14:paraId="2484481A">
                  <w:pPr>
                    <w:shd w:val="clear" w:color="auto" w:fill="auto"/>
                    <w:adjustRightInd w:val="0"/>
                    <w:snapToGrid w:val="0"/>
                    <w:spacing w:line="240" w:lineRule="auto"/>
                    <w:jc w:val="center"/>
                    <w:rPr>
                      <w:color w:val="auto"/>
                      <w:szCs w:val="21"/>
                    </w:rPr>
                  </w:pPr>
                  <w:r>
                    <w:rPr>
                      <w:color w:val="auto"/>
                      <w:szCs w:val="21"/>
                    </w:rPr>
                    <w:t>问题</w:t>
                  </w:r>
                </w:p>
              </w:tc>
              <w:tc>
                <w:tcPr>
                  <w:tcW w:w="3673" w:type="pct"/>
                  <w:tcBorders>
                    <w:tl2br w:val="nil"/>
                    <w:tr2bl w:val="nil"/>
                  </w:tcBorders>
                  <w:noWrap w:val="0"/>
                  <w:vAlign w:val="center"/>
                </w:tcPr>
                <w:p w14:paraId="7ECFD7D3">
                  <w:pPr>
                    <w:shd w:val="clear" w:color="auto" w:fill="auto"/>
                    <w:adjustRightInd w:val="0"/>
                    <w:snapToGrid w:val="0"/>
                    <w:spacing w:line="240" w:lineRule="auto"/>
                    <w:jc w:val="center"/>
                    <w:rPr>
                      <w:color w:val="auto"/>
                      <w:szCs w:val="21"/>
                    </w:rPr>
                  </w:pPr>
                  <w:r>
                    <w:rPr>
                      <w:color w:val="auto"/>
                      <w:szCs w:val="21"/>
                    </w:rPr>
                    <w:t>拟采取的环境影响减缓措施</w:t>
                  </w:r>
                </w:p>
              </w:tc>
              <w:tc>
                <w:tcPr>
                  <w:tcW w:w="465" w:type="pct"/>
                  <w:tcBorders>
                    <w:tl2br w:val="nil"/>
                    <w:tr2bl w:val="nil"/>
                  </w:tcBorders>
                  <w:noWrap w:val="0"/>
                  <w:vAlign w:val="center"/>
                </w:tcPr>
                <w:p w14:paraId="1ADE9870">
                  <w:pPr>
                    <w:shd w:val="clear" w:color="auto" w:fill="auto"/>
                    <w:adjustRightInd w:val="0"/>
                    <w:snapToGrid w:val="0"/>
                    <w:spacing w:line="240" w:lineRule="auto"/>
                    <w:jc w:val="center"/>
                    <w:rPr>
                      <w:color w:val="auto"/>
                      <w:szCs w:val="21"/>
                    </w:rPr>
                  </w:pPr>
                  <w:r>
                    <w:rPr>
                      <w:color w:val="auto"/>
                      <w:szCs w:val="21"/>
                    </w:rPr>
                    <w:t>责任</w:t>
                  </w:r>
                </w:p>
                <w:p w14:paraId="713C52C6">
                  <w:pPr>
                    <w:shd w:val="clear" w:color="auto" w:fill="auto"/>
                    <w:adjustRightInd w:val="0"/>
                    <w:snapToGrid w:val="0"/>
                    <w:spacing w:line="240" w:lineRule="auto"/>
                    <w:jc w:val="center"/>
                    <w:rPr>
                      <w:color w:val="auto"/>
                      <w:szCs w:val="21"/>
                    </w:rPr>
                  </w:pPr>
                  <w:r>
                    <w:rPr>
                      <w:color w:val="auto"/>
                      <w:szCs w:val="21"/>
                    </w:rPr>
                    <w:t>机构</w:t>
                  </w:r>
                </w:p>
              </w:tc>
              <w:tc>
                <w:tcPr>
                  <w:tcW w:w="462" w:type="pct"/>
                  <w:tcBorders>
                    <w:tl2br w:val="nil"/>
                    <w:tr2bl w:val="nil"/>
                  </w:tcBorders>
                  <w:noWrap w:val="0"/>
                  <w:vAlign w:val="center"/>
                </w:tcPr>
                <w:p w14:paraId="6EA63E50">
                  <w:pPr>
                    <w:shd w:val="clear" w:color="auto" w:fill="auto"/>
                    <w:adjustRightInd w:val="0"/>
                    <w:snapToGrid w:val="0"/>
                    <w:spacing w:line="240" w:lineRule="auto"/>
                    <w:jc w:val="center"/>
                    <w:rPr>
                      <w:color w:val="auto"/>
                      <w:szCs w:val="21"/>
                    </w:rPr>
                  </w:pPr>
                  <w:r>
                    <w:rPr>
                      <w:color w:val="auto"/>
                      <w:szCs w:val="21"/>
                    </w:rPr>
                    <w:t>实施</w:t>
                  </w:r>
                </w:p>
                <w:p w14:paraId="671B1475">
                  <w:pPr>
                    <w:shd w:val="clear" w:color="auto" w:fill="auto"/>
                    <w:adjustRightInd w:val="0"/>
                    <w:snapToGrid w:val="0"/>
                    <w:spacing w:line="240" w:lineRule="auto"/>
                    <w:jc w:val="center"/>
                    <w:rPr>
                      <w:color w:val="auto"/>
                      <w:szCs w:val="21"/>
                    </w:rPr>
                  </w:pPr>
                  <w:r>
                    <w:rPr>
                      <w:color w:val="auto"/>
                      <w:szCs w:val="21"/>
                    </w:rPr>
                    <w:t>机构</w:t>
                  </w:r>
                </w:p>
              </w:tc>
            </w:tr>
            <w:tr w14:paraId="3F907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 w:hRule="atLeast"/>
                <w:jc w:val="center"/>
              </w:trPr>
              <w:tc>
                <w:tcPr>
                  <w:tcW w:w="5000" w:type="pct"/>
                  <w:gridSpan w:val="4"/>
                  <w:tcBorders>
                    <w:tl2br w:val="nil"/>
                    <w:tr2bl w:val="nil"/>
                  </w:tcBorders>
                  <w:noWrap w:val="0"/>
                  <w:vAlign w:val="center"/>
                </w:tcPr>
                <w:p w14:paraId="772C78F1">
                  <w:pPr>
                    <w:shd w:val="clear" w:color="auto" w:fill="auto"/>
                    <w:adjustRightInd w:val="0"/>
                    <w:snapToGrid w:val="0"/>
                    <w:spacing w:line="240" w:lineRule="auto"/>
                    <w:rPr>
                      <w:color w:val="auto"/>
                      <w:szCs w:val="21"/>
                    </w:rPr>
                  </w:pPr>
                  <w:r>
                    <w:rPr>
                      <w:b/>
                      <w:bCs/>
                      <w:color w:val="auto"/>
                      <w:szCs w:val="21"/>
                    </w:rPr>
                    <w:t>A．施工期</w:t>
                  </w:r>
                </w:p>
              </w:tc>
            </w:tr>
            <w:tr w14:paraId="3B56B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98" w:type="pct"/>
                  <w:tcBorders>
                    <w:tl2br w:val="nil"/>
                    <w:tr2bl w:val="nil"/>
                  </w:tcBorders>
                  <w:noWrap w:val="0"/>
                  <w:vAlign w:val="center"/>
                </w:tcPr>
                <w:p w14:paraId="2F72F8EC">
                  <w:pPr>
                    <w:shd w:val="clear" w:color="auto" w:fill="auto"/>
                    <w:adjustRightInd w:val="0"/>
                    <w:snapToGrid w:val="0"/>
                    <w:spacing w:line="240" w:lineRule="auto"/>
                    <w:jc w:val="center"/>
                    <w:rPr>
                      <w:color w:val="auto"/>
                      <w:szCs w:val="21"/>
                    </w:rPr>
                  </w:pPr>
                  <w:r>
                    <w:rPr>
                      <w:color w:val="auto"/>
                      <w:szCs w:val="21"/>
                    </w:rPr>
                    <w:t>施工</w:t>
                  </w:r>
                </w:p>
                <w:p w14:paraId="02E418F0">
                  <w:pPr>
                    <w:shd w:val="clear" w:color="auto" w:fill="auto"/>
                    <w:adjustRightInd w:val="0"/>
                    <w:snapToGrid w:val="0"/>
                    <w:spacing w:line="240" w:lineRule="auto"/>
                    <w:jc w:val="center"/>
                    <w:rPr>
                      <w:color w:val="auto"/>
                      <w:szCs w:val="21"/>
                    </w:rPr>
                  </w:pPr>
                  <w:r>
                    <w:rPr>
                      <w:color w:val="auto"/>
                      <w:szCs w:val="21"/>
                    </w:rPr>
                    <w:t>噪声</w:t>
                  </w:r>
                </w:p>
              </w:tc>
              <w:tc>
                <w:tcPr>
                  <w:tcW w:w="3673" w:type="pct"/>
                  <w:tcBorders>
                    <w:tl2br w:val="nil"/>
                    <w:tr2bl w:val="nil"/>
                  </w:tcBorders>
                  <w:noWrap w:val="0"/>
                  <w:vAlign w:val="center"/>
                </w:tcPr>
                <w:p w14:paraId="46BB1250">
                  <w:pPr>
                    <w:shd w:val="clear" w:color="auto" w:fill="auto"/>
                    <w:adjustRightInd w:val="0"/>
                    <w:snapToGrid w:val="0"/>
                    <w:spacing w:line="240" w:lineRule="auto"/>
                    <w:rPr>
                      <w:color w:val="auto"/>
                      <w:szCs w:val="21"/>
                    </w:rPr>
                  </w:pPr>
                  <w:r>
                    <w:rPr>
                      <w:color w:val="auto"/>
                      <w:szCs w:val="21"/>
                    </w:rPr>
                    <w:t>①施工道路两侧采用不低于2.5m高施工围挡；</w:t>
                  </w:r>
                </w:p>
                <w:p w14:paraId="1D164267">
                  <w:pPr>
                    <w:shd w:val="clear" w:color="auto" w:fill="auto"/>
                    <w:adjustRightInd w:val="0"/>
                    <w:snapToGrid w:val="0"/>
                    <w:spacing w:line="240" w:lineRule="auto"/>
                    <w:rPr>
                      <w:color w:val="auto"/>
                      <w:szCs w:val="21"/>
                    </w:rPr>
                  </w:pPr>
                  <w:r>
                    <w:rPr>
                      <w:color w:val="auto"/>
                      <w:szCs w:val="21"/>
                    </w:rPr>
                    <w:t>②选用低噪声施工机械和工艺；</w:t>
                  </w:r>
                </w:p>
                <w:p w14:paraId="467FC306">
                  <w:pPr>
                    <w:shd w:val="clear" w:color="auto" w:fill="auto"/>
                    <w:adjustRightInd w:val="0"/>
                    <w:snapToGrid w:val="0"/>
                    <w:spacing w:line="240" w:lineRule="auto"/>
                    <w:rPr>
                      <w:color w:val="auto"/>
                      <w:szCs w:val="21"/>
                    </w:rPr>
                  </w:pPr>
                  <w:r>
                    <w:rPr>
                      <w:color w:val="auto"/>
                      <w:szCs w:val="21"/>
                    </w:rPr>
                    <w:t>③夜间不得不在敏感点附近进行施工作业的，要求张贴公告并采取措施降低噪声对敏感点的影响；</w:t>
                  </w:r>
                </w:p>
                <w:p w14:paraId="3FDCDB45">
                  <w:pPr>
                    <w:shd w:val="clear" w:color="auto" w:fill="auto"/>
                    <w:adjustRightInd w:val="0"/>
                    <w:snapToGrid w:val="0"/>
                    <w:spacing w:line="240" w:lineRule="auto"/>
                    <w:rPr>
                      <w:color w:val="auto"/>
                      <w:szCs w:val="21"/>
                    </w:rPr>
                  </w:pPr>
                  <w:r>
                    <w:rPr>
                      <w:color w:val="auto"/>
                      <w:szCs w:val="21"/>
                    </w:rPr>
                    <w:t>④施工运输避开休息时间，敏感路段减速禁鸣；</w:t>
                  </w:r>
                </w:p>
                <w:p w14:paraId="6C356F3A">
                  <w:pPr>
                    <w:shd w:val="clear" w:color="auto" w:fill="auto"/>
                    <w:adjustRightInd w:val="0"/>
                    <w:snapToGrid w:val="0"/>
                    <w:spacing w:line="240" w:lineRule="auto"/>
                    <w:rPr>
                      <w:color w:val="auto"/>
                      <w:szCs w:val="21"/>
                    </w:rPr>
                  </w:pPr>
                  <w:r>
                    <w:rPr>
                      <w:rFonts w:hint="eastAsia"/>
                      <w:color w:val="auto"/>
                      <w:szCs w:val="21"/>
                      <w:lang w:eastAsia="zh-CN"/>
                    </w:rPr>
                    <w:t>⑤</w:t>
                  </w:r>
                  <w:r>
                    <w:rPr>
                      <w:color w:val="auto"/>
                      <w:szCs w:val="21"/>
                    </w:rPr>
                    <w:t>合理安排施工时间和施工现场；</w:t>
                  </w:r>
                </w:p>
                <w:p w14:paraId="120C7A3B">
                  <w:pPr>
                    <w:shd w:val="clear" w:color="auto" w:fill="auto"/>
                    <w:adjustRightInd w:val="0"/>
                    <w:snapToGrid w:val="0"/>
                    <w:spacing w:line="240" w:lineRule="auto"/>
                    <w:rPr>
                      <w:color w:val="auto"/>
                      <w:szCs w:val="21"/>
                    </w:rPr>
                  </w:pPr>
                  <w:r>
                    <w:rPr>
                      <w:color w:val="auto"/>
                      <w:szCs w:val="21"/>
                    </w:rPr>
                    <w:t>⑥做好宣传教育工作，文明施工。</w:t>
                  </w:r>
                </w:p>
              </w:tc>
              <w:tc>
                <w:tcPr>
                  <w:tcW w:w="465" w:type="pct"/>
                  <w:tcBorders>
                    <w:tl2br w:val="nil"/>
                    <w:tr2bl w:val="nil"/>
                  </w:tcBorders>
                  <w:noWrap w:val="0"/>
                  <w:vAlign w:val="center"/>
                </w:tcPr>
                <w:p w14:paraId="59217333">
                  <w:pPr>
                    <w:shd w:val="clear" w:color="auto" w:fill="auto"/>
                    <w:adjustRightInd w:val="0"/>
                    <w:snapToGrid w:val="0"/>
                    <w:spacing w:line="240" w:lineRule="auto"/>
                    <w:jc w:val="center"/>
                    <w:rPr>
                      <w:color w:val="auto"/>
                      <w:szCs w:val="21"/>
                    </w:rPr>
                  </w:pPr>
                  <w:r>
                    <w:rPr>
                      <w:color w:val="auto"/>
                      <w:szCs w:val="21"/>
                    </w:rPr>
                    <w:t>建设方</w:t>
                  </w:r>
                </w:p>
              </w:tc>
              <w:tc>
                <w:tcPr>
                  <w:tcW w:w="462" w:type="pct"/>
                  <w:tcBorders>
                    <w:tl2br w:val="nil"/>
                    <w:tr2bl w:val="nil"/>
                  </w:tcBorders>
                  <w:noWrap w:val="0"/>
                  <w:vAlign w:val="center"/>
                </w:tcPr>
                <w:p w14:paraId="3A232D7D">
                  <w:pPr>
                    <w:shd w:val="clear" w:color="auto" w:fill="auto"/>
                    <w:adjustRightInd w:val="0"/>
                    <w:snapToGrid w:val="0"/>
                    <w:spacing w:line="240" w:lineRule="auto"/>
                    <w:jc w:val="center"/>
                    <w:rPr>
                      <w:color w:val="auto"/>
                      <w:szCs w:val="21"/>
                    </w:rPr>
                  </w:pPr>
                  <w:r>
                    <w:rPr>
                      <w:color w:val="auto"/>
                      <w:szCs w:val="21"/>
                    </w:rPr>
                    <w:t>承包商</w:t>
                  </w:r>
                </w:p>
              </w:tc>
            </w:tr>
            <w:tr w14:paraId="4781D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98" w:type="pct"/>
                  <w:tcBorders>
                    <w:tl2br w:val="nil"/>
                    <w:tr2bl w:val="nil"/>
                  </w:tcBorders>
                  <w:noWrap w:val="0"/>
                  <w:vAlign w:val="center"/>
                </w:tcPr>
                <w:p w14:paraId="408A2F5F">
                  <w:pPr>
                    <w:shd w:val="clear" w:color="auto" w:fill="auto"/>
                    <w:adjustRightInd w:val="0"/>
                    <w:snapToGrid w:val="0"/>
                    <w:spacing w:line="240" w:lineRule="auto"/>
                    <w:jc w:val="center"/>
                    <w:rPr>
                      <w:color w:val="auto"/>
                      <w:szCs w:val="21"/>
                    </w:rPr>
                  </w:pPr>
                  <w:r>
                    <w:rPr>
                      <w:color w:val="auto"/>
                      <w:szCs w:val="21"/>
                    </w:rPr>
                    <w:t>水环境污染</w:t>
                  </w:r>
                </w:p>
              </w:tc>
              <w:tc>
                <w:tcPr>
                  <w:tcW w:w="3673" w:type="pct"/>
                  <w:tcBorders>
                    <w:tl2br w:val="nil"/>
                    <w:tr2bl w:val="nil"/>
                  </w:tcBorders>
                  <w:noWrap w:val="0"/>
                  <w:vAlign w:val="center"/>
                </w:tcPr>
                <w:p w14:paraId="72869429">
                  <w:pPr>
                    <w:shd w:val="clear" w:color="auto" w:fill="auto"/>
                    <w:adjustRightInd w:val="0"/>
                    <w:snapToGrid w:val="0"/>
                    <w:spacing w:line="240" w:lineRule="auto"/>
                    <w:rPr>
                      <w:color w:val="auto"/>
                      <w:szCs w:val="21"/>
                    </w:rPr>
                  </w:pPr>
                  <w:r>
                    <w:rPr>
                      <w:color w:val="auto"/>
                      <w:szCs w:val="21"/>
                    </w:rPr>
                    <w:t>①固体废物不得随意倾倒或堆放，施工建材应设篷盖，各种固体废物应及时清运至当地允许堆置的地点或依有关规定处理；</w:t>
                  </w:r>
                </w:p>
                <w:p w14:paraId="7EC5F823">
                  <w:pPr>
                    <w:shd w:val="clear" w:color="auto" w:fill="auto"/>
                    <w:adjustRightInd w:val="0"/>
                    <w:snapToGrid w:val="0"/>
                    <w:spacing w:line="240" w:lineRule="auto"/>
                    <w:rPr>
                      <w:color w:val="auto"/>
                      <w:szCs w:val="21"/>
                    </w:rPr>
                  </w:pPr>
                  <w:r>
                    <w:rPr>
                      <w:color w:val="auto"/>
                      <w:szCs w:val="21"/>
                    </w:rPr>
                    <w:t>②</w:t>
                  </w:r>
                  <w:r>
                    <w:rPr>
                      <w:color w:val="auto"/>
                      <w:spacing w:val="-2"/>
                      <w:szCs w:val="21"/>
                    </w:rPr>
                    <w:t>施工废水沉淀处理后回用不外排；</w:t>
                  </w:r>
                </w:p>
                <w:p w14:paraId="1237B6C3">
                  <w:pPr>
                    <w:shd w:val="clear" w:color="auto" w:fill="auto"/>
                    <w:adjustRightInd w:val="0"/>
                    <w:snapToGrid w:val="0"/>
                    <w:spacing w:line="240" w:lineRule="auto"/>
                    <w:rPr>
                      <w:rFonts w:hint="default"/>
                      <w:color w:val="auto"/>
                      <w:szCs w:val="21"/>
                      <w:lang w:val="en-US" w:eastAsia="zh-CN"/>
                    </w:rPr>
                  </w:pPr>
                  <w:r>
                    <w:rPr>
                      <w:color w:val="auto"/>
                      <w:szCs w:val="21"/>
                    </w:rPr>
                    <w:t>③加强施工人员环境保护工作宣传教育工作不得向</w:t>
                  </w:r>
                  <w:r>
                    <w:rPr>
                      <w:rFonts w:hint="eastAsia"/>
                      <w:color w:val="auto"/>
                      <w:szCs w:val="21"/>
                      <w:lang w:val="en-US" w:eastAsia="zh-CN"/>
                    </w:rPr>
                    <w:t>道路</w:t>
                  </w:r>
                  <w:r>
                    <w:rPr>
                      <w:color w:val="auto"/>
                      <w:szCs w:val="21"/>
                    </w:rPr>
                    <w:t>沿线倾倒、排放各种废水和固体废物；</w:t>
                  </w:r>
                </w:p>
              </w:tc>
              <w:tc>
                <w:tcPr>
                  <w:tcW w:w="465" w:type="pct"/>
                  <w:tcBorders>
                    <w:tl2br w:val="nil"/>
                    <w:tr2bl w:val="nil"/>
                  </w:tcBorders>
                  <w:noWrap w:val="0"/>
                  <w:vAlign w:val="center"/>
                </w:tcPr>
                <w:p w14:paraId="389CF041">
                  <w:pPr>
                    <w:shd w:val="clear" w:color="auto" w:fill="auto"/>
                    <w:adjustRightInd w:val="0"/>
                    <w:snapToGrid w:val="0"/>
                    <w:spacing w:line="240" w:lineRule="auto"/>
                    <w:jc w:val="center"/>
                    <w:rPr>
                      <w:color w:val="auto"/>
                      <w:szCs w:val="21"/>
                    </w:rPr>
                  </w:pPr>
                  <w:r>
                    <w:rPr>
                      <w:color w:val="auto"/>
                      <w:szCs w:val="21"/>
                    </w:rPr>
                    <w:t>建设方</w:t>
                  </w:r>
                </w:p>
              </w:tc>
              <w:tc>
                <w:tcPr>
                  <w:tcW w:w="462" w:type="pct"/>
                  <w:tcBorders>
                    <w:tl2br w:val="nil"/>
                    <w:tr2bl w:val="nil"/>
                  </w:tcBorders>
                  <w:noWrap w:val="0"/>
                  <w:vAlign w:val="center"/>
                </w:tcPr>
                <w:p w14:paraId="134E31EE">
                  <w:pPr>
                    <w:shd w:val="clear" w:color="auto" w:fill="auto"/>
                    <w:adjustRightInd w:val="0"/>
                    <w:snapToGrid w:val="0"/>
                    <w:spacing w:line="240" w:lineRule="auto"/>
                    <w:jc w:val="center"/>
                    <w:rPr>
                      <w:color w:val="auto"/>
                      <w:szCs w:val="21"/>
                    </w:rPr>
                  </w:pPr>
                  <w:r>
                    <w:rPr>
                      <w:color w:val="auto"/>
                      <w:szCs w:val="21"/>
                    </w:rPr>
                    <w:t>承包商</w:t>
                  </w:r>
                </w:p>
              </w:tc>
            </w:tr>
            <w:tr w14:paraId="780CB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98" w:type="pct"/>
                  <w:tcBorders>
                    <w:tl2br w:val="nil"/>
                    <w:tr2bl w:val="nil"/>
                  </w:tcBorders>
                  <w:noWrap w:val="0"/>
                  <w:vAlign w:val="center"/>
                </w:tcPr>
                <w:p w14:paraId="175BCE9D">
                  <w:pPr>
                    <w:shd w:val="clear" w:color="auto" w:fill="auto"/>
                    <w:adjustRightInd w:val="0"/>
                    <w:snapToGrid w:val="0"/>
                    <w:spacing w:line="240" w:lineRule="auto"/>
                    <w:jc w:val="center"/>
                    <w:rPr>
                      <w:color w:val="auto"/>
                      <w:szCs w:val="21"/>
                    </w:rPr>
                  </w:pPr>
                  <w:r>
                    <w:rPr>
                      <w:color w:val="auto"/>
                      <w:szCs w:val="21"/>
                    </w:rPr>
                    <w:t>大气</w:t>
                  </w:r>
                </w:p>
                <w:p w14:paraId="576921E9">
                  <w:pPr>
                    <w:shd w:val="clear" w:color="auto" w:fill="auto"/>
                    <w:adjustRightInd w:val="0"/>
                    <w:snapToGrid w:val="0"/>
                    <w:spacing w:line="240" w:lineRule="auto"/>
                    <w:jc w:val="center"/>
                    <w:rPr>
                      <w:color w:val="auto"/>
                      <w:szCs w:val="21"/>
                    </w:rPr>
                  </w:pPr>
                  <w:r>
                    <w:rPr>
                      <w:color w:val="auto"/>
                      <w:szCs w:val="21"/>
                    </w:rPr>
                    <w:t>污染</w:t>
                  </w:r>
                </w:p>
              </w:tc>
              <w:tc>
                <w:tcPr>
                  <w:tcW w:w="3673" w:type="pct"/>
                  <w:tcBorders>
                    <w:tl2br w:val="nil"/>
                    <w:tr2bl w:val="nil"/>
                  </w:tcBorders>
                  <w:noWrap w:val="0"/>
                  <w:vAlign w:val="center"/>
                </w:tcPr>
                <w:p w14:paraId="14D2D494">
                  <w:pPr>
                    <w:shd w:val="clear" w:color="auto" w:fill="auto"/>
                    <w:adjustRightInd w:val="0"/>
                    <w:snapToGrid w:val="0"/>
                    <w:spacing w:line="240" w:lineRule="auto"/>
                    <w:rPr>
                      <w:color w:val="auto"/>
                      <w:szCs w:val="21"/>
                    </w:rPr>
                  </w:pPr>
                  <w:r>
                    <w:rPr>
                      <w:color w:val="auto"/>
                      <w:szCs w:val="21"/>
                    </w:rPr>
                    <w:t>①施工现场围挡封闭，敏感路段围挡高度不低于2.5m；</w:t>
                  </w:r>
                </w:p>
                <w:p w14:paraId="7D08A610">
                  <w:pPr>
                    <w:shd w:val="clear" w:color="auto" w:fill="auto"/>
                    <w:adjustRightInd w:val="0"/>
                    <w:snapToGrid w:val="0"/>
                    <w:spacing w:line="240" w:lineRule="auto"/>
                    <w:rPr>
                      <w:color w:val="auto"/>
                      <w:szCs w:val="21"/>
                    </w:rPr>
                  </w:pPr>
                  <w:r>
                    <w:rPr>
                      <w:color w:val="auto"/>
                      <w:szCs w:val="21"/>
                    </w:rPr>
                    <w:t>②施工现场设置洒水降尘措施；</w:t>
                  </w:r>
                </w:p>
                <w:p w14:paraId="12727C0C">
                  <w:pPr>
                    <w:shd w:val="clear" w:color="auto" w:fill="auto"/>
                    <w:adjustRightInd w:val="0"/>
                    <w:snapToGrid w:val="0"/>
                    <w:spacing w:line="240" w:lineRule="auto"/>
                    <w:rPr>
                      <w:color w:val="auto"/>
                      <w:szCs w:val="21"/>
                    </w:rPr>
                  </w:pPr>
                  <w:r>
                    <w:rPr>
                      <w:color w:val="auto"/>
                      <w:szCs w:val="21"/>
                    </w:rPr>
                    <w:t>③土方及砂石等散体物料集中堆放，严密覆盖；</w:t>
                  </w:r>
                </w:p>
                <w:p w14:paraId="7AE7349E">
                  <w:pPr>
                    <w:shd w:val="clear" w:color="auto" w:fill="auto"/>
                    <w:adjustRightInd w:val="0"/>
                    <w:snapToGrid w:val="0"/>
                    <w:spacing w:line="240" w:lineRule="auto"/>
                    <w:rPr>
                      <w:color w:val="auto"/>
                      <w:szCs w:val="21"/>
                    </w:rPr>
                  </w:pPr>
                  <w:r>
                    <w:rPr>
                      <w:color w:val="auto"/>
                      <w:szCs w:val="21"/>
                    </w:rPr>
                    <w:t>④施工现场禁止焚烧有毒有害物质；禁止搅拌混凝土及砂浆；</w:t>
                  </w:r>
                </w:p>
                <w:p w14:paraId="5CAF27D3">
                  <w:pPr>
                    <w:shd w:val="clear" w:color="auto" w:fill="auto"/>
                    <w:adjustRightInd w:val="0"/>
                    <w:snapToGrid w:val="0"/>
                    <w:spacing w:line="240" w:lineRule="auto"/>
                    <w:rPr>
                      <w:color w:val="auto"/>
                      <w:szCs w:val="21"/>
                    </w:rPr>
                  </w:pPr>
                  <w:r>
                    <w:rPr>
                      <w:color w:val="auto"/>
                      <w:szCs w:val="21"/>
                    </w:rPr>
                    <w:t>⑤4级以上大风或重度污染天气，严禁土方开挖、土方回填、房屋拆除；</w:t>
                  </w:r>
                </w:p>
                <w:p w14:paraId="44F3210E">
                  <w:pPr>
                    <w:shd w:val="clear" w:color="auto" w:fill="auto"/>
                    <w:adjustRightInd w:val="0"/>
                    <w:snapToGrid w:val="0"/>
                    <w:spacing w:line="240" w:lineRule="auto"/>
                    <w:rPr>
                      <w:color w:val="auto"/>
                      <w:szCs w:val="21"/>
                    </w:rPr>
                  </w:pPr>
                  <w:r>
                    <w:rPr>
                      <w:color w:val="auto"/>
                      <w:szCs w:val="21"/>
                    </w:rPr>
                    <w:t>⑥拆除建、构筑物不低于2.5m封闭围挡，采取边拆边洒水或喷淋等防尘措施；</w:t>
                  </w:r>
                </w:p>
                <w:p w14:paraId="0138348B">
                  <w:pPr>
                    <w:shd w:val="clear" w:color="auto" w:fill="auto"/>
                    <w:adjustRightInd w:val="0"/>
                    <w:snapToGrid w:val="0"/>
                    <w:spacing w:line="240" w:lineRule="auto"/>
                    <w:rPr>
                      <w:color w:val="auto"/>
                      <w:szCs w:val="21"/>
                    </w:rPr>
                  </w:pPr>
                  <w:r>
                    <w:rPr>
                      <w:color w:val="auto"/>
                      <w:szCs w:val="21"/>
                    </w:rPr>
                    <w:t>⑦路面沥青摊铺时应加强管理，避开重污染天气施工。</w:t>
                  </w:r>
                </w:p>
                <w:p w14:paraId="7B23D6F7">
                  <w:pPr>
                    <w:pStyle w:val="22"/>
                    <w:ind w:left="0" w:leftChars="0" w:firstLine="0" w:firstLineChars="0"/>
                    <w:rPr>
                      <w:rFonts w:hint="default" w:eastAsia="宋体"/>
                      <w:lang w:val="en-US" w:eastAsia="zh-CN"/>
                    </w:rPr>
                  </w:pPr>
                  <w:r>
                    <w:rPr>
                      <w:rFonts w:hint="eastAsia"/>
                    </w:rPr>
                    <w:t>⑧</w:t>
                  </w:r>
                  <w:r>
                    <w:rPr>
                      <w:rFonts w:hint="eastAsia"/>
                      <w:lang w:val="en-US" w:eastAsia="zh-CN"/>
                    </w:rPr>
                    <w:t>临时混凝土拌和站粉尘采取封闭拌和设施和安装除尘器等措施收集治理</w:t>
                  </w:r>
                </w:p>
              </w:tc>
              <w:tc>
                <w:tcPr>
                  <w:tcW w:w="465" w:type="pct"/>
                  <w:tcBorders>
                    <w:tl2br w:val="nil"/>
                    <w:tr2bl w:val="nil"/>
                  </w:tcBorders>
                  <w:noWrap w:val="0"/>
                  <w:vAlign w:val="center"/>
                </w:tcPr>
                <w:p w14:paraId="3F1428D4">
                  <w:pPr>
                    <w:shd w:val="clear" w:color="auto" w:fill="auto"/>
                    <w:adjustRightInd w:val="0"/>
                    <w:snapToGrid w:val="0"/>
                    <w:spacing w:line="240" w:lineRule="auto"/>
                    <w:jc w:val="center"/>
                    <w:rPr>
                      <w:color w:val="auto"/>
                      <w:szCs w:val="21"/>
                    </w:rPr>
                  </w:pPr>
                  <w:r>
                    <w:rPr>
                      <w:color w:val="auto"/>
                      <w:szCs w:val="21"/>
                    </w:rPr>
                    <w:t>建设方</w:t>
                  </w:r>
                </w:p>
              </w:tc>
              <w:tc>
                <w:tcPr>
                  <w:tcW w:w="462" w:type="pct"/>
                  <w:tcBorders>
                    <w:tl2br w:val="nil"/>
                    <w:tr2bl w:val="nil"/>
                  </w:tcBorders>
                  <w:noWrap w:val="0"/>
                  <w:vAlign w:val="center"/>
                </w:tcPr>
                <w:p w14:paraId="1F64222A">
                  <w:pPr>
                    <w:shd w:val="clear" w:color="auto" w:fill="auto"/>
                    <w:adjustRightInd w:val="0"/>
                    <w:snapToGrid w:val="0"/>
                    <w:spacing w:line="240" w:lineRule="auto"/>
                    <w:jc w:val="center"/>
                    <w:rPr>
                      <w:color w:val="auto"/>
                      <w:szCs w:val="21"/>
                    </w:rPr>
                  </w:pPr>
                  <w:r>
                    <w:rPr>
                      <w:color w:val="auto"/>
                      <w:szCs w:val="21"/>
                    </w:rPr>
                    <w:t>承包商</w:t>
                  </w:r>
                </w:p>
              </w:tc>
            </w:tr>
            <w:tr w14:paraId="6D986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98" w:type="pct"/>
                  <w:tcBorders>
                    <w:tl2br w:val="nil"/>
                    <w:tr2bl w:val="nil"/>
                  </w:tcBorders>
                  <w:noWrap w:val="0"/>
                  <w:vAlign w:val="center"/>
                </w:tcPr>
                <w:p w14:paraId="6AA4F9C4">
                  <w:pPr>
                    <w:shd w:val="clear" w:color="auto" w:fill="auto"/>
                    <w:adjustRightInd w:val="0"/>
                    <w:snapToGrid w:val="0"/>
                    <w:spacing w:line="240" w:lineRule="auto"/>
                    <w:jc w:val="center"/>
                    <w:rPr>
                      <w:color w:val="auto"/>
                      <w:szCs w:val="21"/>
                    </w:rPr>
                  </w:pPr>
                  <w:r>
                    <w:rPr>
                      <w:color w:val="auto"/>
                      <w:szCs w:val="21"/>
                    </w:rPr>
                    <w:t>固体废物</w:t>
                  </w:r>
                </w:p>
              </w:tc>
              <w:tc>
                <w:tcPr>
                  <w:tcW w:w="3673" w:type="pct"/>
                  <w:tcBorders>
                    <w:tl2br w:val="nil"/>
                    <w:tr2bl w:val="nil"/>
                  </w:tcBorders>
                  <w:noWrap w:val="0"/>
                  <w:vAlign w:val="center"/>
                </w:tcPr>
                <w:p w14:paraId="20AB1B6E">
                  <w:pPr>
                    <w:shd w:val="clear" w:color="auto" w:fill="auto"/>
                    <w:adjustRightInd w:val="0"/>
                    <w:snapToGrid w:val="0"/>
                    <w:spacing w:line="240" w:lineRule="auto"/>
                    <w:rPr>
                      <w:color w:val="auto"/>
                      <w:szCs w:val="21"/>
                    </w:rPr>
                  </w:pPr>
                  <w:r>
                    <w:rPr>
                      <w:color w:val="auto"/>
                      <w:szCs w:val="21"/>
                    </w:rPr>
                    <w:t>①施工现场设置垃圾存放点，集中堆放，及时清运；</w:t>
                  </w:r>
                </w:p>
                <w:p w14:paraId="34B78AE8">
                  <w:pPr>
                    <w:shd w:val="clear" w:color="auto" w:fill="auto"/>
                    <w:adjustRightInd w:val="0"/>
                    <w:snapToGrid w:val="0"/>
                    <w:spacing w:line="240" w:lineRule="auto"/>
                    <w:rPr>
                      <w:color w:val="auto"/>
                      <w:szCs w:val="21"/>
                    </w:rPr>
                  </w:pPr>
                  <w:r>
                    <w:rPr>
                      <w:color w:val="auto"/>
                      <w:szCs w:val="21"/>
                    </w:rPr>
                    <w:t>②生活垃圾集中收集后由环卫部门统一处理，日产日清；</w:t>
                  </w:r>
                </w:p>
                <w:p w14:paraId="15A8C9BF">
                  <w:pPr>
                    <w:shd w:val="clear" w:color="auto" w:fill="auto"/>
                    <w:adjustRightInd w:val="0"/>
                    <w:snapToGrid w:val="0"/>
                    <w:spacing w:line="240" w:lineRule="auto"/>
                    <w:rPr>
                      <w:color w:val="auto"/>
                      <w:szCs w:val="21"/>
                    </w:rPr>
                  </w:pPr>
                  <w:r>
                    <w:rPr>
                      <w:color w:val="auto"/>
                      <w:szCs w:val="21"/>
                    </w:rPr>
                    <w:t>③土方、渣土运输车辆采用GPS定位限时段密闭运输；</w:t>
                  </w:r>
                </w:p>
                <w:p w14:paraId="7D4317D4">
                  <w:pPr>
                    <w:shd w:val="clear" w:color="auto" w:fill="auto"/>
                    <w:adjustRightInd w:val="0"/>
                    <w:snapToGrid w:val="0"/>
                    <w:spacing w:line="240" w:lineRule="auto"/>
                    <w:rPr>
                      <w:color w:val="auto"/>
                      <w:szCs w:val="21"/>
                    </w:rPr>
                  </w:pPr>
                  <w:r>
                    <w:rPr>
                      <w:color w:val="auto"/>
                      <w:szCs w:val="21"/>
                    </w:rPr>
                    <w:t>④按照市容环境卫生行政主管部门核定的时间、路线、地点运输和倾倒建筑垃圾，禁止偷倒、乱倒。</w:t>
                  </w:r>
                </w:p>
              </w:tc>
              <w:tc>
                <w:tcPr>
                  <w:tcW w:w="465" w:type="pct"/>
                  <w:tcBorders>
                    <w:tl2br w:val="nil"/>
                    <w:tr2bl w:val="nil"/>
                  </w:tcBorders>
                  <w:noWrap w:val="0"/>
                  <w:vAlign w:val="center"/>
                </w:tcPr>
                <w:p w14:paraId="6D9F8C48">
                  <w:pPr>
                    <w:shd w:val="clear" w:color="auto" w:fill="auto"/>
                    <w:adjustRightInd w:val="0"/>
                    <w:snapToGrid w:val="0"/>
                    <w:spacing w:line="240" w:lineRule="auto"/>
                    <w:jc w:val="center"/>
                    <w:rPr>
                      <w:snapToGrid w:val="0"/>
                      <w:color w:val="auto"/>
                      <w:szCs w:val="21"/>
                    </w:rPr>
                  </w:pPr>
                  <w:r>
                    <w:rPr>
                      <w:snapToGrid w:val="0"/>
                      <w:color w:val="auto"/>
                      <w:szCs w:val="21"/>
                    </w:rPr>
                    <w:t>建设方</w:t>
                  </w:r>
                </w:p>
              </w:tc>
              <w:tc>
                <w:tcPr>
                  <w:tcW w:w="462" w:type="pct"/>
                  <w:tcBorders>
                    <w:tl2br w:val="nil"/>
                    <w:tr2bl w:val="nil"/>
                  </w:tcBorders>
                  <w:noWrap w:val="0"/>
                  <w:vAlign w:val="center"/>
                </w:tcPr>
                <w:p w14:paraId="1DEA3259">
                  <w:pPr>
                    <w:shd w:val="clear" w:color="auto" w:fill="auto"/>
                    <w:adjustRightInd w:val="0"/>
                    <w:snapToGrid w:val="0"/>
                    <w:spacing w:line="240" w:lineRule="auto"/>
                    <w:jc w:val="center"/>
                    <w:rPr>
                      <w:color w:val="auto"/>
                      <w:szCs w:val="21"/>
                    </w:rPr>
                  </w:pPr>
                  <w:r>
                    <w:rPr>
                      <w:color w:val="auto"/>
                      <w:szCs w:val="21"/>
                    </w:rPr>
                    <w:t>承包商</w:t>
                  </w:r>
                </w:p>
              </w:tc>
            </w:tr>
            <w:tr w14:paraId="4E52BD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00" w:type="pct"/>
                  <w:gridSpan w:val="4"/>
                  <w:tcBorders>
                    <w:tl2br w:val="nil"/>
                    <w:tr2bl w:val="nil"/>
                  </w:tcBorders>
                  <w:noWrap w:val="0"/>
                  <w:vAlign w:val="center"/>
                </w:tcPr>
                <w:p w14:paraId="02302FDB">
                  <w:pPr>
                    <w:shd w:val="clear" w:color="auto" w:fill="auto"/>
                    <w:adjustRightInd w:val="0"/>
                    <w:snapToGrid w:val="0"/>
                    <w:spacing w:line="240" w:lineRule="auto"/>
                    <w:rPr>
                      <w:color w:val="auto"/>
                      <w:szCs w:val="21"/>
                    </w:rPr>
                  </w:pPr>
                  <w:r>
                    <w:rPr>
                      <w:b/>
                      <w:bCs/>
                      <w:color w:val="auto"/>
                      <w:szCs w:val="21"/>
                    </w:rPr>
                    <w:t>B．运营期</w:t>
                  </w:r>
                </w:p>
              </w:tc>
            </w:tr>
            <w:tr w14:paraId="6FE724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98" w:type="pct"/>
                  <w:tcBorders>
                    <w:tl2br w:val="nil"/>
                    <w:tr2bl w:val="nil"/>
                  </w:tcBorders>
                  <w:noWrap w:val="0"/>
                  <w:vAlign w:val="center"/>
                </w:tcPr>
                <w:p w14:paraId="39DD93DB">
                  <w:pPr>
                    <w:shd w:val="clear" w:color="auto" w:fill="auto"/>
                    <w:adjustRightInd w:val="0"/>
                    <w:snapToGrid w:val="0"/>
                    <w:spacing w:line="240" w:lineRule="auto"/>
                    <w:jc w:val="center"/>
                    <w:rPr>
                      <w:color w:val="auto"/>
                      <w:szCs w:val="21"/>
                    </w:rPr>
                  </w:pPr>
                  <w:r>
                    <w:rPr>
                      <w:color w:val="auto"/>
                      <w:szCs w:val="21"/>
                    </w:rPr>
                    <w:t>噪声及空气</w:t>
                  </w:r>
                </w:p>
              </w:tc>
              <w:tc>
                <w:tcPr>
                  <w:tcW w:w="3673" w:type="pct"/>
                  <w:tcBorders>
                    <w:tl2br w:val="nil"/>
                    <w:tr2bl w:val="nil"/>
                  </w:tcBorders>
                  <w:noWrap w:val="0"/>
                  <w:vAlign w:val="center"/>
                </w:tcPr>
                <w:p w14:paraId="186E4EA7">
                  <w:pPr>
                    <w:shd w:val="clear" w:color="auto" w:fill="auto"/>
                    <w:adjustRightInd w:val="0"/>
                    <w:snapToGrid w:val="0"/>
                    <w:spacing w:line="240" w:lineRule="auto"/>
                    <w:rPr>
                      <w:color w:val="auto"/>
                      <w:szCs w:val="21"/>
                    </w:rPr>
                  </w:pPr>
                  <w:r>
                    <w:rPr>
                      <w:color w:val="auto"/>
                      <w:szCs w:val="21"/>
                    </w:rPr>
                    <w:t>①通过加强道路交通管理，限制性能差的车辆进入道路，经常维持道路路面的平整度；</w:t>
                  </w:r>
                </w:p>
                <w:p w14:paraId="6D55E81B">
                  <w:pPr>
                    <w:shd w:val="clear" w:color="auto" w:fill="auto"/>
                    <w:adjustRightInd w:val="0"/>
                    <w:snapToGrid w:val="0"/>
                    <w:spacing w:line="240" w:lineRule="auto"/>
                    <w:rPr>
                      <w:color w:val="auto"/>
                      <w:szCs w:val="21"/>
                    </w:rPr>
                  </w:pPr>
                  <w:r>
                    <w:rPr>
                      <w:color w:val="auto"/>
                      <w:szCs w:val="21"/>
                    </w:rPr>
                    <w:t>②实施报告表要求的噪声和大气污染防治措施；</w:t>
                  </w:r>
                </w:p>
                <w:p w14:paraId="6BC2AA52">
                  <w:pPr>
                    <w:shd w:val="clear" w:color="auto" w:fill="auto"/>
                    <w:adjustRightInd w:val="0"/>
                    <w:snapToGrid w:val="0"/>
                    <w:spacing w:line="240" w:lineRule="auto"/>
                    <w:rPr>
                      <w:color w:val="auto"/>
                      <w:szCs w:val="21"/>
                    </w:rPr>
                  </w:pPr>
                  <w:r>
                    <w:rPr>
                      <w:color w:val="auto"/>
                      <w:szCs w:val="21"/>
                    </w:rPr>
                    <w:t>③检查噪声防治措施的运行情况；</w:t>
                  </w:r>
                </w:p>
                <w:p w14:paraId="22F6D7BB">
                  <w:pPr>
                    <w:shd w:val="clear" w:color="auto" w:fill="auto"/>
                    <w:adjustRightInd w:val="0"/>
                    <w:snapToGrid w:val="0"/>
                    <w:spacing w:line="240" w:lineRule="auto"/>
                    <w:rPr>
                      <w:color w:val="auto"/>
                      <w:szCs w:val="21"/>
                    </w:rPr>
                  </w:pPr>
                  <w:r>
                    <w:rPr>
                      <w:color w:val="auto"/>
                      <w:szCs w:val="21"/>
                    </w:rPr>
                    <w:t xml:space="preserve">④执行汽车排放车检制度，禁止尾气超标车辆上路行驶； </w:t>
                  </w:r>
                </w:p>
                <w:p w14:paraId="2B9A9A8E">
                  <w:pPr>
                    <w:shd w:val="clear" w:color="auto" w:fill="auto"/>
                    <w:adjustRightInd w:val="0"/>
                    <w:snapToGrid w:val="0"/>
                    <w:spacing w:line="240" w:lineRule="auto"/>
                    <w:rPr>
                      <w:b/>
                      <w:color w:val="auto"/>
                      <w:szCs w:val="21"/>
                    </w:rPr>
                  </w:pPr>
                  <w:r>
                    <w:rPr>
                      <w:color w:val="auto"/>
                      <w:szCs w:val="21"/>
                    </w:rPr>
                    <w:t>⑤加强道路绿化和绿化养护。</w:t>
                  </w:r>
                </w:p>
              </w:tc>
              <w:tc>
                <w:tcPr>
                  <w:tcW w:w="465" w:type="pct"/>
                  <w:vMerge w:val="restart"/>
                  <w:tcBorders>
                    <w:tl2br w:val="nil"/>
                    <w:tr2bl w:val="nil"/>
                  </w:tcBorders>
                  <w:noWrap w:val="0"/>
                  <w:vAlign w:val="center"/>
                </w:tcPr>
                <w:p w14:paraId="0A768B85">
                  <w:pPr>
                    <w:shd w:val="clear" w:color="auto" w:fill="auto"/>
                    <w:adjustRightInd w:val="0"/>
                    <w:snapToGrid w:val="0"/>
                    <w:spacing w:line="240" w:lineRule="auto"/>
                    <w:jc w:val="center"/>
                    <w:rPr>
                      <w:color w:val="auto"/>
                      <w:szCs w:val="21"/>
                    </w:rPr>
                  </w:pPr>
                  <w:r>
                    <w:rPr>
                      <w:color w:val="auto"/>
                      <w:szCs w:val="21"/>
                    </w:rPr>
                    <w:t>运营管理单位</w:t>
                  </w:r>
                </w:p>
              </w:tc>
              <w:tc>
                <w:tcPr>
                  <w:tcW w:w="462" w:type="pct"/>
                  <w:vMerge w:val="restart"/>
                  <w:tcBorders>
                    <w:tl2br w:val="nil"/>
                    <w:tr2bl w:val="nil"/>
                  </w:tcBorders>
                  <w:noWrap w:val="0"/>
                  <w:vAlign w:val="center"/>
                </w:tcPr>
                <w:p w14:paraId="1D69EFC4">
                  <w:pPr>
                    <w:shd w:val="clear" w:color="auto" w:fill="auto"/>
                    <w:adjustRightInd w:val="0"/>
                    <w:snapToGrid w:val="0"/>
                    <w:spacing w:line="240" w:lineRule="auto"/>
                    <w:jc w:val="center"/>
                    <w:rPr>
                      <w:color w:val="auto"/>
                      <w:szCs w:val="21"/>
                    </w:rPr>
                  </w:pPr>
                  <w:r>
                    <w:rPr>
                      <w:color w:val="auto"/>
                      <w:szCs w:val="21"/>
                    </w:rPr>
                    <w:t>运营管理单位</w:t>
                  </w:r>
                </w:p>
              </w:tc>
            </w:tr>
            <w:tr w14:paraId="520DF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98" w:type="pct"/>
                  <w:tcBorders>
                    <w:tl2br w:val="nil"/>
                    <w:tr2bl w:val="nil"/>
                  </w:tcBorders>
                  <w:noWrap w:val="0"/>
                  <w:vAlign w:val="center"/>
                </w:tcPr>
                <w:p w14:paraId="3A3479E9">
                  <w:pPr>
                    <w:shd w:val="clear" w:color="auto" w:fill="auto"/>
                    <w:adjustRightInd w:val="0"/>
                    <w:snapToGrid w:val="0"/>
                    <w:spacing w:line="240" w:lineRule="auto"/>
                    <w:jc w:val="center"/>
                    <w:rPr>
                      <w:color w:val="auto"/>
                      <w:szCs w:val="21"/>
                    </w:rPr>
                  </w:pPr>
                  <w:r>
                    <w:rPr>
                      <w:color w:val="auto"/>
                      <w:szCs w:val="21"/>
                    </w:rPr>
                    <w:t>水环境</w:t>
                  </w:r>
                </w:p>
              </w:tc>
              <w:tc>
                <w:tcPr>
                  <w:tcW w:w="3673" w:type="pct"/>
                  <w:tcBorders>
                    <w:tl2br w:val="nil"/>
                    <w:tr2bl w:val="nil"/>
                  </w:tcBorders>
                  <w:noWrap w:val="0"/>
                  <w:vAlign w:val="center"/>
                </w:tcPr>
                <w:p w14:paraId="2C386741">
                  <w:pPr>
                    <w:shd w:val="clear" w:color="auto" w:fill="auto"/>
                    <w:adjustRightInd w:val="0"/>
                    <w:snapToGrid w:val="0"/>
                    <w:spacing w:line="240" w:lineRule="auto"/>
                    <w:rPr>
                      <w:color w:val="auto"/>
                      <w:szCs w:val="21"/>
                    </w:rPr>
                  </w:pPr>
                  <w:r>
                    <w:rPr>
                      <w:color w:val="auto"/>
                      <w:szCs w:val="21"/>
                    </w:rPr>
                    <w:t>①定期检查道路两侧的排水系统，确保排水系统畅通；</w:t>
                  </w:r>
                </w:p>
                <w:p w14:paraId="7022E729">
                  <w:pPr>
                    <w:shd w:val="clear" w:color="auto" w:fill="auto"/>
                    <w:adjustRightInd w:val="0"/>
                    <w:snapToGrid w:val="0"/>
                    <w:spacing w:line="240" w:lineRule="auto"/>
                    <w:rPr>
                      <w:rFonts w:hint="default" w:eastAsia="宋体"/>
                      <w:color w:val="auto"/>
                      <w:szCs w:val="21"/>
                      <w:lang w:val="en-US" w:eastAsia="zh-CN"/>
                    </w:rPr>
                  </w:pPr>
                  <w:r>
                    <w:rPr>
                      <w:color w:val="auto"/>
                      <w:szCs w:val="21"/>
                    </w:rPr>
                    <w:t>②应禁止漏油、不安装保护帆布的货车和超载车上路，以防止道路上车辆漏油和货物洒落在道路上，造成水体污染</w:t>
                  </w:r>
                  <w:r>
                    <w:rPr>
                      <w:rFonts w:hint="eastAsia"/>
                      <w:color w:val="auto"/>
                      <w:szCs w:val="21"/>
                      <w:lang w:eastAsia="zh-CN"/>
                    </w:rPr>
                    <w:t>；</w:t>
                  </w:r>
                </w:p>
              </w:tc>
              <w:tc>
                <w:tcPr>
                  <w:tcW w:w="465" w:type="pct"/>
                  <w:vMerge w:val="continue"/>
                  <w:tcBorders>
                    <w:tl2br w:val="nil"/>
                    <w:tr2bl w:val="nil"/>
                  </w:tcBorders>
                  <w:noWrap w:val="0"/>
                  <w:vAlign w:val="center"/>
                </w:tcPr>
                <w:p w14:paraId="279A6BA8">
                  <w:pPr>
                    <w:shd w:val="clear" w:color="auto" w:fill="auto"/>
                    <w:adjustRightInd w:val="0"/>
                    <w:snapToGrid w:val="0"/>
                    <w:spacing w:line="240" w:lineRule="auto"/>
                    <w:jc w:val="center"/>
                    <w:rPr>
                      <w:color w:val="auto"/>
                      <w:szCs w:val="21"/>
                    </w:rPr>
                  </w:pPr>
                </w:p>
              </w:tc>
              <w:tc>
                <w:tcPr>
                  <w:tcW w:w="462" w:type="pct"/>
                  <w:vMerge w:val="continue"/>
                  <w:tcBorders>
                    <w:tl2br w:val="nil"/>
                    <w:tr2bl w:val="nil"/>
                  </w:tcBorders>
                  <w:noWrap w:val="0"/>
                  <w:vAlign w:val="center"/>
                </w:tcPr>
                <w:p w14:paraId="1061AAF4">
                  <w:pPr>
                    <w:shd w:val="clear" w:color="auto" w:fill="auto"/>
                    <w:adjustRightInd w:val="0"/>
                    <w:snapToGrid w:val="0"/>
                    <w:spacing w:line="240" w:lineRule="auto"/>
                    <w:jc w:val="center"/>
                    <w:rPr>
                      <w:color w:val="auto"/>
                      <w:szCs w:val="21"/>
                    </w:rPr>
                  </w:pPr>
                </w:p>
              </w:tc>
            </w:tr>
            <w:tr w14:paraId="7F2D2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98" w:type="pct"/>
                  <w:tcBorders>
                    <w:tl2br w:val="nil"/>
                    <w:tr2bl w:val="nil"/>
                  </w:tcBorders>
                  <w:noWrap w:val="0"/>
                  <w:vAlign w:val="center"/>
                </w:tcPr>
                <w:p w14:paraId="3CB4069C">
                  <w:pPr>
                    <w:shd w:val="clear" w:color="auto" w:fill="auto"/>
                    <w:adjustRightInd w:val="0"/>
                    <w:snapToGrid w:val="0"/>
                    <w:spacing w:line="240" w:lineRule="auto"/>
                    <w:jc w:val="center"/>
                    <w:rPr>
                      <w:color w:val="auto"/>
                      <w:szCs w:val="21"/>
                    </w:rPr>
                  </w:pPr>
                  <w:r>
                    <w:rPr>
                      <w:color w:val="auto"/>
                      <w:szCs w:val="21"/>
                    </w:rPr>
                    <w:t>生态环境</w:t>
                  </w:r>
                </w:p>
              </w:tc>
              <w:tc>
                <w:tcPr>
                  <w:tcW w:w="3673" w:type="pct"/>
                  <w:tcBorders>
                    <w:tl2br w:val="nil"/>
                    <w:tr2bl w:val="nil"/>
                  </w:tcBorders>
                  <w:noWrap w:val="0"/>
                  <w:vAlign w:val="center"/>
                </w:tcPr>
                <w:p w14:paraId="642F6759">
                  <w:pPr>
                    <w:shd w:val="clear" w:color="auto" w:fill="auto"/>
                    <w:adjustRightInd w:val="0"/>
                    <w:snapToGrid w:val="0"/>
                    <w:spacing w:line="240" w:lineRule="auto"/>
                    <w:rPr>
                      <w:color w:val="auto"/>
                      <w:szCs w:val="21"/>
                    </w:rPr>
                  </w:pPr>
                  <w:r>
                    <w:rPr>
                      <w:color w:val="auto"/>
                      <w:szCs w:val="21"/>
                    </w:rPr>
                    <w:t>检查道路绿化工程，尽早恢复沿线景观；检查临时占地区域生态恢复情况，尽早恢复原有土地利用</w:t>
                  </w:r>
                  <w:r>
                    <w:rPr>
                      <w:rFonts w:hint="eastAsia"/>
                      <w:color w:val="auto"/>
                      <w:szCs w:val="21"/>
                    </w:rPr>
                    <w:t>功能</w:t>
                  </w:r>
                  <w:r>
                    <w:rPr>
                      <w:color w:val="auto"/>
                      <w:szCs w:val="21"/>
                    </w:rPr>
                    <w:t>。</w:t>
                  </w:r>
                </w:p>
              </w:tc>
              <w:tc>
                <w:tcPr>
                  <w:tcW w:w="465" w:type="pct"/>
                  <w:vMerge w:val="continue"/>
                  <w:tcBorders>
                    <w:tl2br w:val="nil"/>
                    <w:tr2bl w:val="nil"/>
                  </w:tcBorders>
                  <w:noWrap w:val="0"/>
                  <w:vAlign w:val="center"/>
                </w:tcPr>
                <w:p w14:paraId="4712CAFA">
                  <w:pPr>
                    <w:shd w:val="clear" w:color="auto" w:fill="auto"/>
                    <w:adjustRightInd w:val="0"/>
                    <w:snapToGrid w:val="0"/>
                    <w:spacing w:line="240" w:lineRule="auto"/>
                    <w:jc w:val="center"/>
                    <w:rPr>
                      <w:color w:val="auto"/>
                      <w:szCs w:val="21"/>
                    </w:rPr>
                  </w:pPr>
                </w:p>
              </w:tc>
              <w:tc>
                <w:tcPr>
                  <w:tcW w:w="462" w:type="pct"/>
                  <w:vMerge w:val="continue"/>
                  <w:tcBorders>
                    <w:tl2br w:val="nil"/>
                    <w:tr2bl w:val="nil"/>
                  </w:tcBorders>
                  <w:noWrap w:val="0"/>
                  <w:vAlign w:val="center"/>
                </w:tcPr>
                <w:p w14:paraId="57E810D5">
                  <w:pPr>
                    <w:shd w:val="clear" w:color="auto" w:fill="auto"/>
                    <w:adjustRightInd w:val="0"/>
                    <w:snapToGrid w:val="0"/>
                    <w:spacing w:line="240" w:lineRule="auto"/>
                    <w:jc w:val="center"/>
                    <w:rPr>
                      <w:color w:val="auto"/>
                      <w:szCs w:val="21"/>
                    </w:rPr>
                  </w:pPr>
                </w:p>
              </w:tc>
            </w:tr>
            <w:tr w14:paraId="4D829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98" w:type="pct"/>
                  <w:tcBorders>
                    <w:tl2br w:val="nil"/>
                    <w:tr2bl w:val="nil"/>
                  </w:tcBorders>
                  <w:noWrap w:val="0"/>
                  <w:vAlign w:val="center"/>
                </w:tcPr>
                <w:p w14:paraId="0E470F3B">
                  <w:pPr>
                    <w:shd w:val="clear" w:color="auto" w:fill="auto"/>
                    <w:adjustRightInd w:val="0"/>
                    <w:snapToGrid w:val="0"/>
                    <w:spacing w:line="240" w:lineRule="auto"/>
                    <w:jc w:val="center"/>
                    <w:rPr>
                      <w:color w:val="auto"/>
                      <w:szCs w:val="21"/>
                    </w:rPr>
                  </w:pPr>
                  <w:r>
                    <w:rPr>
                      <w:color w:val="auto"/>
                      <w:szCs w:val="21"/>
                    </w:rPr>
                    <w:t>环境监测</w:t>
                  </w:r>
                </w:p>
              </w:tc>
              <w:tc>
                <w:tcPr>
                  <w:tcW w:w="3673" w:type="pct"/>
                  <w:tcBorders>
                    <w:tl2br w:val="nil"/>
                    <w:tr2bl w:val="nil"/>
                  </w:tcBorders>
                  <w:noWrap w:val="0"/>
                  <w:vAlign w:val="center"/>
                </w:tcPr>
                <w:p w14:paraId="53D4F417">
                  <w:pPr>
                    <w:widowControl/>
                    <w:shd w:val="clear" w:color="auto" w:fill="auto"/>
                    <w:adjustRightInd w:val="0"/>
                    <w:snapToGrid w:val="0"/>
                    <w:spacing w:line="240" w:lineRule="auto"/>
                    <w:jc w:val="left"/>
                    <w:rPr>
                      <w:color w:val="auto"/>
                      <w:szCs w:val="21"/>
                    </w:rPr>
                  </w:pPr>
                  <w:r>
                    <w:rPr>
                      <w:color w:val="auto"/>
                      <w:kern w:val="0"/>
                      <w:szCs w:val="21"/>
                      <w:lang w:bidi="ar"/>
                    </w:rPr>
                    <w:t>按照国家和</w:t>
                  </w:r>
                  <w:r>
                    <w:rPr>
                      <w:rFonts w:hint="eastAsia"/>
                      <w:color w:val="auto"/>
                      <w:kern w:val="0"/>
                      <w:szCs w:val="21"/>
                      <w:lang w:eastAsia="zh-CN" w:bidi="ar"/>
                    </w:rPr>
                    <w:t>生态环境部</w:t>
                  </w:r>
                  <w:r>
                    <w:rPr>
                      <w:color w:val="auto"/>
                      <w:kern w:val="0"/>
                      <w:szCs w:val="21"/>
                      <w:lang w:bidi="ar"/>
                    </w:rPr>
                    <w:t>颁布的监测标准、方法执行，定期进行环境监测。</w:t>
                  </w:r>
                </w:p>
              </w:tc>
              <w:tc>
                <w:tcPr>
                  <w:tcW w:w="465" w:type="pct"/>
                  <w:vMerge w:val="continue"/>
                  <w:tcBorders>
                    <w:tl2br w:val="nil"/>
                    <w:tr2bl w:val="nil"/>
                  </w:tcBorders>
                  <w:noWrap w:val="0"/>
                  <w:vAlign w:val="center"/>
                </w:tcPr>
                <w:p w14:paraId="4AF895D1">
                  <w:pPr>
                    <w:shd w:val="clear" w:color="auto" w:fill="auto"/>
                    <w:adjustRightInd w:val="0"/>
                    <w:snapToGrid w:val="0"/>
                    <w:spacing w:line="240" w:lineRule="auto"/>
                    <w:jc w:val="center"/>
                    <w:rPr>
                      <w:color w:val="auto"/>
                      <w:szCs w:val="21"/>
                    </w:rPr>
                  </w:pPr>
                </w:p>
              </w:tc>
              <w:tc>
                <w:tcPr>
                  <w:tcW w:w="462" w:type="pct"/>
                  <w:tcBorders>
                    <w:tl2br w:val="nil"/>
                    <w:tr2bl w:val="nil"/>
                  </w:tcBorders>
                  <w:noWrap w:val="0"/>
                  <w:vAlign w:val="center"/>
                </w:tcPr>
                <w:p w14:paraId="22D51ED8">
                  <w:pPr>
                    <w:shd w:val="clear" w:color="auto" w:fill="auto"/>
                    <w:adjustRightInd w:val="0"/>
                    <w:snapToGrid w:val="0"/>
                    <w:spacing w:line="240" w:lineRule="auto"/>
                    <w:jc w:val="center"/>
                    <w:rPr>
                      <w:color w:val="auto"/>
                      <w:szCs w:val="21"/>
                    </w:rPr>
                  </w:pPr>
                  <w:r>
                    <w:rPr>
                      <w:color w:val="auto"/>
                      <w:szCs w:val="21"/>
                    </w:rPr>
                    <w:t>环境监测单位</w:t>
                  </w:r>
                </w:p>
              </w:tc>
            </w:tr>
          </w:tbl>
          <w:p w14:paraId="0DAE4D4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bCs/>
                <w:caps w:val="0"/>
                <w:smallCaps w:val="0"/>
                <w:color w:val="auto"/>
                <w:spacing w:val="0"/>
                <w:w w:val="100"/>
                <w:kern w:val="2"/>
                <w:position w:val="0"/>
                <w:sz w:val="24"/>
                <w:szCs w:val="24"/>
                <w:highlight w:val="none"/>
                <w:lang w:val="en-US" w:eastAsia="zh-CN"/>
              </w:rPr>
            </w:pPr>
          </w:p>
        </w:tc>
      </w:tr>
      <w:tr w14:paraId="6B084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dxa"/>
            <w:tcBorders>
              <w:tl2br w:val="nil"/>
              <w:tr2bl w:val="nil"/>
            </w:tcBorders>
            <w:noWrap w:val="0"/>
            <w:vAlign w:val="center"/>
          </w:tcPr>
          <w:p w14:paraId="762541FD">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bCs/>
                <w:caps w:val="0"/>
                <w:smallCaps w:val="0"/>
                <w:color w:val="auto"/>
                <w:spacing w:val="0"/>
                <w:w w:val="100"/>
                <w:kern w:val="2"/>
                <w:position w:val="0"/>
                <w:sz w:val="24"/>
                <w:szCs w:val="24"/>
                <w:highlight w:val="none"/>
              </w:rPr>
            </w:pPr>
            <w:r>
              <w:rPr>
                <w:rFonts w:hint="default" w:ascii="Times New Roman" w:hAnsi="Times New Roman" w:cs="Times New Roman"/>
                <w:bCs/>
                <w:caps w:val="0"/>
                <w:smallCaps w:val="0"/>
                <w:color w:val="auto"/>
                <w:spacing w:val="0"/>
                <w:w w:val="100"/>
                <w:kern w:val="2"/>
                <w:position w:val="0"/>
                <w:sz w:val="24"/>
                <w:szCs w:val="24"/>
                <w:highlight w:val="none"/>
              </w:rPr>
              <w:t>其他</w:t>
            </w:r>
          </w:p>
        </w:tc>
        <w:tc>
          <w:tcPr>
            <w:tcW w:w="9098" w:type="dxa"/>
            <w:tcBorders>
              <w:tl2br w:val="nil"/>
              <w:tr2bl w:val="nil"/>
            </w:tcBorders>
            <w:noWrap w:val="0"/>
            <w:vAlign w:val="center"/>
          </w:tcPr>
          <w:p w14:paraId="2C99163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jc w:val="center"/>
              <w:textAlignment w:val="auto"/>
              <w:rPr>
                <w:rFonts w:hint="eastAsia" w:ascii="Times New Roman" w:hAnsi="Times New Roman" w:eastAsia="宋体" w:cs="Times New Roman"/>
                <w:bCs/>
                <w:caps w:val="0"/>
                <w:smallCaps w:val="0"/>
                <w:color w:val="auto"/>
                <w:spacing w:val="0"/>
                <w:w w:val="100"/>
                <w:kern w:val="2"/>
                <w:position w:val="0"/>
                <w:sz w:val="24"/>
                <w:szCs w:val="24"/>
                <w:highlight w:val="none"/>
                <w:lang w:val="en-US" w:eastAsia="zh-CN"/>
              </w:rPr>
            </w:pPr>
            <w:r>
              <w:rPr>
                <w:rFonts w:hint="eastAsia" w:ascii="Times New Roman" w:hAnsi="Times New Roman" w:cs="Times New Roman"/>
                <w:bCs/>
                <w:caps w:val="0"/>
                <w:smallCaps w:val="0"/>
                <w:color w:val="auto"/>
                <w:spacing w:val="0"/>
                <w:w w:val="100"/>
                <w:kern w:val="2"/>
                <w:position w:val="0"/>
                <w:sz w:val="24"/>
                <w:szCs w:val="24"/>
                <w:highlight w:val="none"/>
                <w:lang w:val="en-US" w:eastAsia="zh-CN"/>
              </w:rPr>
              <w:t>无</w:t>
            </w:r>
          </w:p>
        </w:tc>
      </w:tr>
      <w:tr w14:paraId="05389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3" w:type="dxa"/>
            <w:tcBorders>
              <w:tl2br w:val="nil"/>
              <w:tr2bl w:val="nil"/>
            </w:tcBorders>
            <w:noWrap w:val="0"/>
            <w:vAlign w:val="center"/>
          </w:tcPr>
          <w:p w14:paraId="2A593148">
            <w:pPr>
              <w:pageBreakBefore w:val="0"/>
              <w:wordWrap/>
              <w:topLinePunct w:val="0"/>
              <w:bidi w:val="0"/>
              <w:adjustRightInd w:val="0"/>
              <w:snapToGrid w:val="0"/>
              <w:spacing w:beforeAutospacing="0" w:afterAutospacing="0"/>
              <w:ind w:left="0" w:leftChars="0" w:right="0"/>
              <w:jc w:val="center"/>
              <w:rPr>
                <w:rFonts w:hint="default" w:ascii="Times New Roman" w:hAnsi="Times New Roman" w:cs="Times New Roman"/>
                <w:bCs/>
                <w:caps w:val="0"/>
                <w:smallCaps w:val="0"/>
                <w:color w:val="auto"/>
                <w:spacing w:val="0"/>
                <w:w w:val="100"/>
                <w:kern w:val="2"/>
                <w:position w:val="0"/>
                <w:sz w:val="24"/>
                <w:szCs w:val="24"/>
                <w:highlight w:val="none"/>
              </w:rPr>
            </w:pPr>
            <w:r>
              <w:rPr>
                <w:rFonts w:hint="default" w:ascii="Times New Roman" w:hAnsi="Times New Roman" w:cs="Times New Roman"/>
                <w:bCs/>
                <w:caps w:val="0"/>
                <w:smallCaps w:val="0"/>
                <w:color w:val="auto"/>
                <w:spacing w:val="0"/>
                <w:w w:val="100"/>
                <w:kern w:val="2"/>
                <w:position w:val="0"/>
                <w:sz w:val="24"/>
                <w:szCs w:val="24"/>
                <w:highlight w:val="none"/>
              </w:rPr>
              <w:t>环保投资</w:t>
            </w:r>
          </w:p>
        </w:tc>
        <w:tc>
          <w:tcPr>
            <w:tcW w:w="9098" w:type="dxa"/>
            <w:tcBorders>
              <w:tl2br w:val="nil"/>
              <w:tr2bl w:val="nil"/>
            </w:tcBorders>
            <w:noWrap w:val="0"/>
            <w:vAlign w:val="top"/>
          </w:tcPr>
          <w:p w14:paraId="5DA5DB81">
            <w:pPr>
              <w:keepNext w:val="0"/>
              <w:keepLines w:val="0"/>
              <w:pageBreakBefore w:val="0"/>
              <w:widowControl w:val="0"/>
              <w:kinsoku/>
              <w:wordWrap w:val="0"/>
              <w:overflowPunct/>
              <w:topLinePunct w:val="0"/>
              <w:autoSpaceDE/>
              <w:autoSpaceDN/>
              <w:bidi w:val="0"/>
              <w:adjustRightInd/>
              <w:snapToGrid/>
              <w:spacing w:line="360" w:lineRule="auto"/>
              <w:ind w:firstLine="482"/>
              <w:jc w:val="left"/>
              <w:textAlignment w:val="auto"/>
              <w:rPr>
                <w:rFonts w:hint="default" w:ascii="Times New Roman" w:hAnsi="Times New Roman" w:eastAsia="宋体" w:cs="Times New Roman"/>
                <w:b/>
                <w:bCs/>
                <w:caps w:val="0"/>
                <w:smallCaps w:val="0"/>
                <w:color w:val="auto"/>
                <w:spacing w:val="0"/>
                <w:w w:val="100"/>
                <w:kern w:val="2"/>
                <w:position w:val="0"/>
                <w:sz w:val="24"/>
                <w:highlight w:val="none"/>
              </w:rPr>
            </w:pPr>
            <w:r>
              <w:rPr>
                <w:rFonts w:hint="default" w:ascii="Times New Roman" w:hAnsi="Times New Roman" w:cs="Times New Roman"/>
                <w:color w:val="auto"/>
                <w:sz w:val="24"/>
                <w:szCs w:val="32"/>
                <w:highlight w:val="none"/>
                <w:lang w:val="en-US" w:eastAsia="zh-CN"/>
              </w:rPr>
              <w:t>项目总投资为</w:t>
            </w:r>
            <w:r>
              <w:rPr>
                <w:rFonts w:hint="eastAsia" w:ascii="Times New Roman" w:hAnsi="Times New Roman" w:cs="Times New Roman"/>
                <w:color w:val="auto"/>
                <w:sz w:val="24"/>
                <w:szCs w:val="32"/>
                <w:highlight w:val="none"/>
                <w:lang w:val="en-US" w:eastAsia="zh-CN"/>
              </w:rPr>
              <w:t>952.9726</w:t>
            </w:r>
            <w:r>
              <w:rPr>
                <w:rFonts w:hint="default" w:ascii="Times New Roman" w:hAnsi="Times New Roman" w:cs="Times New Roman"/>
                <w:color w:val="auto"/>
                <w:sz w:val="24"/>
                <w:szCs w:val="32"/>
                <w:highlight w:val="none"/>
                <w:lang w:val="en-US" w:eastAsia="zh-CN"/>
              </w:rPr>
              <w:t>万元，其中环保</w:t>
            </w:r>
            <w:r>
              <w:rPr>
                <w:rFonts w:hint="default" w:ascii="Times New Roman" w:hAnsi="Times New Roman" w:eastAsia="宋体" w:cs="Times New Roman"/>
                <w:color w:val="auto"/>
                <w:sz w:val="24"/>
                <w:szCs w:val="32"/>
                <w:highlight w:val="none"/>
                <w:lang w:val="en-US" w:eastAsia="zh-CN"/>
              </w:rPr>
              <w:t>投资</w:t>
            </w:r>
            <w:r>
              <w:rPr>
                <w:rFonts w:hint="eastAsia" w:ascii="Times New Roman" w:hAnsi="Times New Roman" w:eastAsia="宋体" w:cs="Times New Roman"/>
                <w:color w:val="auto"/>
                <w:sz w:val="24"/>
                <w:szCs w:val="32"/>
                <w:highlight w:val="none"/>
                <w:lang w:val="en-US" w:eastAsia="zh-CN"/>
              </w:rPr>
              <w:t>41</w:t>
            </w:r>
            <w:r>
              <w:rPr>
                <w:rFonts w:hint="default" w:ascii="Times New Roman" w:hAnsi="Times New Roman" w:eastAsia="宋体" w:cs="Times New Roman"/>
                <w:color w:val="auto"/>
                <w:sz w:val="24"/>
                <w:szCs w:val="32"/>
                <w:highlight w:val="none"/>
                <w:lang w:val="en-US" w:eastAsia="zh-CN"/>
              </w:rPr>
              <w:t>万</w:t>
            </w:r>
            <w:r>
              <w:rPr>
                <w:rFonts w:hint="default" w:ascii="Times New Roman" w:hAnsi="Times New Roman" w:cs="Times New Roman"/>
                <w:color w:val="auto"/>
                <w:sz w:val="24"/>
                <w:szCs w:val="32"/>
                <w:highlight w:val="none"/>
                <w:lang w:val="en-US" w:eastAsia="zh-CN"/>
              </w:rPr>
              <w:t>元，占总投资的</w:t>
            </w:r>
            <w:r>
              <w:rPr>
                <w:rFonts w:hint="eastAsia" w:ascii="Times New Roman" w:hAnsi="Times New Roman" w:cs="Times New Roman"/>
                <w:color w:val="auto"/>
                <w:sz w:val="24"/>
                <w:szCs w:val="32"/>
                <w:highlight w:val="none"/>
                <w:lang w:val="en-US" w:eastAsia="zh-CN"/>
              </w:rPr>
              <w:t>4.30</w:t>
            </w:r>
            <w:r>
              <w:rPr>
                <w:rFonts w:hint="default" w:ascii="Times New Roman" w:hAnsi="Times New Roman" w:cs="Times New Roman"/>
                <w:color w:val="auto"/>
                <w:sz w:val="24"/>
                <w:szCs w:val="32"/>
                <w:highlight w:val="none"/>
                <w:lang w:val="en-US" w:eastAsia="zh-CN"/>
              </w:rPr>
              <w:t>%，项目环保投资见表5-</w:t>
            </w:r>
            <w:r>
              <w:rPr>
                <w:rFonts w:hint="eastAsia" w:cs="Times New Roman"/>
                <w:color w:val="auto"/>
                <w:sz w:val="24"/>
                <w:szCs w:val="32"/>
                <w:highlight w:val="none"/>
                <w:lang w:val="en-US" w:eastAsia="zh-CN"/>
              </w:rPr>
              <w:t>3</w:t>
            </w:r>
            <w:r>
              <w:rPr>
                <w:rFonts w:hint="default" w:ascii="Times New Roman" w:hAnsi="Times New Roman" w:cs="Times New Roman"/>
                <w:color w:val="auto"/>
                <w:sz w:val="24"/>
                <w:szCs w:val="32"/>
                <w:highlight w:val="none"/>
                <w:lang w:val="en-US" w:eastAsia="zh-CN"/>
              </w:rPr>
              <w:t>。</w:t>
            </w:r>
          </w:p>
          <w:p w14:paraId="2EB0138B">
            <w:pPr>
              <w:shd w:val="clear" w:color="auto" w:fill="auto"/>
              <w:adjustRightInd w:val="0"/>
              <w:snapToGrid w:val="0"/>
              <w:spacing w:line="240" w:lineRule="auto"/>
              <w:ind w:firstLine="422" w:firstLineChars="200"/>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表5</w:t>
            </w: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项目环保投资一览表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258"/>
              <w:gridCol w:w="4260"/>
              <w:gridCol w:w="1282"/>
            </w:tblGrid>
            <w:tr w14:paraId="0E133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84" w:hRule="atLeast"/>
                <w:jc w:val="center"/>
              </w:trPr>
              <w:tc>
                <w:tcPr>
                  <w:tcW w:w="436" w:type="pct"/>
                  <w:tcBorders>
                    <w:bottom w:val="single" w:color="auto" w:sz="12" w:space="0"/>
                  </w:tcBorders>
                  <w:noWrap w:val="0"/>
                  <w:vAlign w:val="center"/>
                </w:tcPr>
                <w:p w14:paraId="04EEE5A6">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
                      <w:bCs w:val="0"/>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bCs w:val="0"/>
                      <w:caps w:val="0"/>
                      <w:smallCaps w:val="0"/>
                      <w:color w:val="auto"/>
                      <w:spacing w:val="0"/>
                      <w:w w:val="100"/>
                      <w:kern w:val="2"/>
                      <w:position w:val="0"/>
                      <w:sz w:val="21"/>
                      <w:szCs w:val="21"/>
                      <w:highlight w:val="none"/>
                      <w:lang w:val="en-US" w:eastAsia="zh-CN" w:bidi="ar-SA"/>
                    </w:rPr>
                    <w:t>阶段</w:t>
                  </w:r>
                </w:p>
              </w:tc>
              <w:tc>
                <w:tcPr>
                  <w:tcW w:w="3703" w:type="pct"/>
                  <w:gridSpan w:val="2"/>
                  <w:tcBorders>
                    <w:bottom w:val="single" w:color="auto" w:sz="12" w:space="0"/>
                  </w:tcBorders>
                  <w:noWrap w:val="0"/>
                  <w:vAlign w:val="center"/>
                </w:tcPr>
                <w:p w14:paraId="325559F6">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
                      <w:bCs w:val="0"/>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bCs w:val="0"/>
                      <w:caps w:val="0"/>
                      <w:smallCaps w:val="0"/>
                      <w:color w:val="auto"/>
                      <w:spacing w:val="0"/>
                      <w:w w:val="100"/>
                      <w:kern w:val="2"/>
                      <w:position w:val="0"/>
                      <w:sz w:val="21"/>
                      <w:szCs w:val="21"/>
                      <w:highlight w:val="none"/>
                      <w:lang w:val="en-US" w:eastAsia="zh-CN" w:bidi="ar-SA"/>
                    </w:rPr>
                    <w:t>内容</w:t>
                  </w:r>
                </w:p>
              </w:tc>
              <w:tc>
                <w:tcPr>
                  <w:tcW w:w="860" w:type="pct"/>
                  <w:tcBorders>
                    <w:bottom w:val="single" w:color="auto" w:sz="12" w:space="0"/>
                  </w:tcBorders>
                  <w:noWrap w:val="0"/>
                  <w:vAlign w:val="center"/>
                </w:tcPr>
                <w:p w14:paraId="27A33109">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
                      <w:bCs w:val="0"/>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
                      <w:bCs w:val="0"/>
                      <w:caps w:val="0"/>
                      <w:smallCaps w:val="0"/>
                      <w:color w:val="auto"/>
                      <w:spacing w:val="0"/>
                      <w:w w:val="100"/>
                      <w:kern w:val="2"/>
                      <w:position w:val="0"/>
                      <w:sz w:val="21"/>
                      <w:szCs w:val="21"/>
                      <w:highlight w:val="none"/>
                      <w:lang w:val="en-US" w:eastAsia="zh-CN" w:bidi="ar-SA"/>
                    </w:rPr>
                    <w:t>投资（万元）</w:t>
                  </w:r>
                </w:p>
              </w:tc>
            </w:tr>
            <w:tr w14:paraId="1DA53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6" w:type="pct"/>
                  <w:vMerge w:val="restart"/>
                  <w:tcBorders>
                    <w:top w:val="single" w:color="auto" w:sz="12" w:space="0"/>
                    <w:tl2br w:val="nil"/>
                    <w:tr2bl w:val="nil"/>
                  </w:tcBorders>
                  <w:noWrap w:val="0"/>
                  <w:vAlign w:val="center"/>
                </w:tcPr>
                <w:p w14:paraId="5AF8898B">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施工期</w:t>
                  </w:r>
                </w:p>
              </w:tc>
              <w:tc>
                <w:tcPr>
                  <w:tcW w:w="844" w:type="pct"/>
                  <w:tcBorders>
                    <w:top w:val="single" w:color="auto" w:sz="12" w:space="0"/>
                    <w:tl2br w:val="nil"/>
                    <w:tr2bl w:val="nil"/>
                  </w:tcBorders>
                  <w:noWrap w:val="0"/>
                  <w:vAlign w:val="center"/>
                </w:tcPr>
                <w:p w14:paraId="19C47430">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废水</w:t>
                  </w:r>
                </w:p>
              </w:tc>
              <w:tc>
                <w:tcPr>
                  <w:tcW w:w="2859" w:type="pct"/>
                  <w:tcBorders>
                    <w:top w:val="single" w:color="auto" w:sz="12" w:space="0"/>
                    <w:tl2br w:val="nil"/>
                    <w:tr2bl w:val="nil"/>
                  </w:tcBorders>
                  <w:noWrap w:val="0"/>
                  <w:vAlign w:val="center"/>
                </w:tcPr>
                <w:p w14:paraId="3AB8E5FE">
                  <w:pPr>
                    <w:keepNext w:val="0"/>
                    <w:keepLines w:val="0"/>
                    <w:pageBreakBefore w:val="0"/>
                    <w:widowControl w:val="0"/>
                    <w:kinsoku/>
                    <w:wordWrap/>
                    <w:overflowPunct/>
                    <w:topLinePunct w:val="0"/>
                    <w:autoSpaceDE/>
                    <w:autoSpaceDN/>
                    <w:bidi w:val="0"/>
                    <w:adjustRightInd/>
                    <w:snapToGrid/>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设施沉淀池、隔油池、施工期截流措施等，</w:t>
                  </w:r>
                  <w:r>
                    <w:rPr>
                      <w:rFonts w:hint="default" w:ascii="Times New Roman" w:hAnsi="Times New Roman" w:eastAsia="宋体" w:cs="Times New Roman"/>
                      <w:bCs/>
                      <w:caps w:val="0"/>
                      <w:smallCaps w:val="0"/>
                      <w:color w:val="auto"/>
                      <w:spacing w:val="0"/>
                      <w:w w:val="100"/>
                      <w:kern w:val="2"/>
                      <w:position w:val="0"/>
                      <w:sz w:val="21"/>
                      <w:szCs w:val="24"/>
                      <w:highlight w:val="none"/>
                      <w:lang w:val="en-US" w:eastAsia="zh-CN" w:bidi="ar-SA"/>
                    </w:rPr>
                    <w:t>防雨、抑尘篷布等遮盖物品</w:t>
                  </w:r>
                </w:p>
              </w:tc>
              <w:tc>
                <w:tcPr>
                  <w:tcW w:w="860" w:type="pct"/>
                  <w:tcBorders>
                    <w:top w:val="single" w:color="auto" w:sz="12" w:space="0"/>
                    <w:tl2br w:val="nil"/>
                    <w:tr2bl w:val="nil"/>
                  </w:tcBorders>
                  <w:noWrap w:val="0"/>
                  <w:vAlign w:val="center"/>
                </w:tcPr>
                <w:p w14:paraId="3D292B79">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t>2</w:t>
                  </w:r>
                </w:p>
              </w:tc>
            </w:tr>
            <w:tr w14:paraId="4175D1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436" w:type="pct"/>
                  <w:vMerge w:val="continue"/>
                  <w:tcBorders>
                    <w:tl2br w:val="nil"/>
                    <w:tr2bl w:val="nil"/>
                  </w:tcBorders>
                  <w:noWrap w:val="0"/>
                  <w:vAlign w:val="center"/>
                </w:tcPr>
                <w:p w14:paraId="61EA8817">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p>
              </w:tc>
              <w:tc>
                <w:tcPr>
                  <w:tcW w:w="844" w:type="pct"/>
                  <w:tcBorders>
                    <w:tl2br w:val="nil"/>
                    <w:tr2bl w:val="nil"/>
                  </w:tcBorders>
                  <w:noWrap w:val="0"/>
                  <w:vAlign w:val="center"/>
                </w:tcPr>
                <w:p w14:paraId="0C07B3FB">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大气</w:t>
                  </w:r>
                </w:p>
              </w:tc>
              <w:tc>
                <w:tcPr>
                  <w:tcW w:w="2859" w:type="pct"/>
                  <w:tcBorders>
                    <w:tl2br w:val="nil"/>
                    <w:tr2bl w:val="nil"/>
                  </w:tcBorders>
                  <w:noWrap w:val="0"/>
                  <w:vAlign w:val="center"/>
                </w:tcPr>
                <w:p w14:paraId="117303B2">
                  <w:pPr>
                    <w:keepNext w:val="0"/>
                    <w:keepLines w:val="0"/>
                    <w:pageBreakBefore w:val="0"/>
                    <w:widowControl w:val="0"/>
                    <w:kinsoku/>
                    <w:wordWrap/>
                    <w:overflowPunct/>
                    <w:topLinePunct w:val="0"/>
                    <w:autoSpaceDE/>
                    <w:autoSpaceDN/>
                    <w:bidi w:val="0"/>
                    <w:adjustRightInd/>
                    <w:snapToGrid/>
                    <w:spacing w:before="0" w:beforeAutospacing="0" w:afterAutospacing="0" w:line="240" w:lineRule="auto"/>
                    <w:ind w:left="0" w:leftChars="0" w:right="0" w:firstLine="0" w:firstLineChars="0"/>
                    <w:jc w:val="center"/>
                    <w:textAlignment w:val="auto"/>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施工现场</w:t>
                  </w:r>
                  <w: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t>围挡</w:t>
                  </w: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、物料堆放时加盖</w:t>
                  </w:r>
                  <w: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t>篷布</w:t>
                  </w: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、现场地面硬化处理、洒水车等</w:t>
                  </w:r>
                </w:p>
              </w:tc>
              <w:tc>
                <w:tcPr>
                  <w:tcW w:w="860" w:type="pct"/>
                  <w:tcBorders>
                    <w:tl2br w:val="nil"/>
                    <w:tr2bl w:val="nil"/>
                  </w:tcBorders>
                  <w:noWrap w:val="0"/>
                  <w:vAlign w:val="center"/>
                </w:tcPr>
                <w:p w14:paraId="7322F711">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t>5</w:t>
                  </w:r>
                </w:p>
              </w:tc>
            </w:tr>
            <w:tr w14:paraId="2A8A0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6" w:type="pct"/>
                  <w:vMerge w:val="continue"/>
                  <w:tcBorders>
                    <w:tl2br w:val="nil"/>
                    <w:tr2bl w:val="nil"/>
                  </w:tcBorders>
                  <w:noWrap w:val="0"/>
                  <w:vAlign w:val="center"/>
                </w:tcPr>
                <w:p w14:paraId="109F435F">
                  <w:pPr>
                    <w:pageBreakBefore w:val="0"/>
                    <w:widowControl w:val="0"/>
                    <w:wordWrap/>
                    <w:topLinePunct w:val="0"/>
                    <w:bidi w:val="0"/>
                    <w:spacing w:before="0" w:beforeAutospacing="0" w:afterAutospacing="0" w:line="240" w:lineRule="exact"/>
                    <w:ind w:left="0" w:leftChars="0" w:right="0" w:firstLine="420" w:firstLineChars="20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p>
              </w:tc>
              <w:tc>
                <w:tcPr>
                  <w:tcW w:w="844" w:type="pct"/>
                  <w:tcBorders>
                    <w:tl2br w:val="nil"/>
                    <w:tr2bl w:val="nil"/>
                  </w:tcBorders>
                  <w:noWrap w:val="0"/>
                  <w:vAlign w:val="center"/>
                </w:tcPr>
                <w:p w14:paraId="70F3CC94">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噪声</w:t>
                  </w:r>
                </w:p>
              </w:tc>
              <w:tc>
                <w:tcPr>
                  <w:tcW w:w="2859" w:type="pct"/>
                  <w:tcBorders>
                    <w:tl2br w:val="nil"/>
                    <w:tr2bl w:val="nil"/>
                  </w:tcBorders>
                  <w:noWrap w:val="0"/>
                  <w:vAlign w:val="center"/>
                </w:tcPr>
                <w:p w14:paraId="0C9DF28D">
                  <w:pPr>
                    <w:keepNext w:val="0"/>
                    <w:keepLines w:val="0"/>
                    <w:pageBreakBefore w:val="0"/>
                    <w:widowControl w:val="0"/>
                    <w:kinsoku/>
                    <w:wordWrap/>
                    <w:overflowPunct/>
                    <w:topLinePunct w:val="0"/>
                    <w:autoSpaceDE/>
                    <w:autoSpaceDN/>
                    <w:bidi w:val="0"/>
                    <w:adjustRightInd/>
                    <w:snapToGrid/>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合理安排施工作业时间；选用低噪声、低</w:t>
                  </w:r>
                  <w: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t>振动</w:t>
                  </w: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的机械设备，注意施工机械的保养；施工机械操作人员现场监理人员防护</w:t>
                  </w:r>
                </w:p>
              </w:tc>
              <w:tc>
                <w:tcPr>
                  <w:tcW w:w="860" w:type="pct"/>
                  <w:tcBorders>
                    <w:tl2br w:val="nil"/>
                    <w:tr2bl w:val="nil"/>
                  </w:tcBorders>
                  <w:noWrap w:val="0"/>
                  <w:vAlign w:val="center"/>
                </w:tcPr>
                <w:p w14:paraId="18ABCE56">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t>2</w:t>
                  </w:r>
                </w:p>
              </w:tc>
            </w:tr>
            <w:tr w14:paraId="71EC5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6" w:type="pct"/>
                  <w:vMerge w:val="continue"/>
                  <w:tcBorders>
                    <w:tl2br w:val="nil"/>
                    <w:tr2bl w:val="nil"/>
                  </w:tcBorders>
                  <w:noWrap w:val="0"/>
                  <w:vAlign w:val="center"/>
                </w:tcPr>
                <w:p w14:paraId="76967E42">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p>
              </w:tc>
              <w:tc>
                <w:tcPr>
                  <w:tcW w:w="844" w:type="pct"/>
                  <w:tcBorders>
                    <w:tl2br w:val="nil"/>
                    <w:tr2bl w:val="nil"/>
                  </w:tcBorders>
                  <w:noWrap w:val="0"/>
                  <w:vAlign w:val="center"/>
                </w:tcPr>
                <w:p w14:paraId="52241568">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固体废弃物</w:t>
                  </w:r>
                </w:p>
              </w:tc>
              <w:tc>
                <w:tcPr>
                  <w:tcW w:w="2859" w:type="pct"/>
                  <w:tcBorders>
                    <w:tl2br w:val="nil"/>
                    <w:tr2bl w:val="nil"/>
                  </w:tcBorders>
                  <w:noWrap w:val="0"/>
                  <w:vAlign w:val="center"/>
                </w:tcPr>
                <w:p w14:paraId="757532D4">
                  <w:pPr>
                    <w:keepNext w:val="0"/>
                    <w:keepLines w:val="0"/>
                    <w:pageBreakBefore w:val="0"/>
                    <w:widowControl w:val="0"/>
                    <w:kinsoku/>
                    <w:wordWrap/>
                    <w:overflowPunct/>
                    <w:topLinePunct w:val="0"/>
                    <w:autoSpaceDE/>
                    <w:autoSpaceDN/>
                    <w:bidi w:val="0"/>
                    <w:adjustRightInd/>
                    <w:snapToGrid/>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
                    </w:rPr>
                    <w:t>施工期</w:t>
                  </w: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弃土</w:t>
                  </w:r>
                  <w: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t>就近回用，多余弃土和废弃沥青混凝土块一起运至主管部门指定弃土场处置</w:t>
                  </w: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
                    </w:rPr>
                    <w:t>；建筑垃圾运至附近建筑垃圾填埋场；项目施工期及运营期生活垃圾集中收集后交</w:t>
                  </w:r>
                  <w: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
                    </w:rPr>
                    <w:t>轮台县</w:t>
                  </w: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
                    </w:rPr>
                    <w:t>城生活垃圾填埋场填埋处置</w:t>
                  </w:r>
                </w:p>
              </w:tc>
              <w:tc>
                <w:tcPr>
                  <w:tcW w:w="860" w:type="pct"/>
                  <w:tcBorders>
                    <w:tl2br w:val="nil"/>
                    <w:tr2bl w:val="nil"/>
                  </w:tcBorders>
                  <w:noWrap w:val="0"/>
                  <w:vAlign w:val="center"/>
                </w:tcPr>
                <w:p w14:paraId="1DD1319D">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t>20</w:t>
                  </w:r>
                </w:p>
              </w:tc>
            </w:tr>
            <w:tr w14:paraId="5132B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436" w:type="pct"/>
                  <w:vMerge w:val="continue"/>
                  <w:tcBorders>
                    <w:tl2br w:val="nil"/>
                    <w:tr2bl w:val="nil"/>
                  </w:tcBorders>
                  <w:noWrap w:val="0"/>
                  <w:vAlign w:val="center"/>
                </w:tcPr>
                <w:p w14:paraId="14193D6A">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p>
              </w:tc>
              <w:tc>
                <w:tcPr>
                  <w:tcW w:w="844" w:type="pct"/>
                  <w:tcBorders>
                    <w:tl2br w:val="nil"/>
                    <w:tr2bl w:val="nil"/>
                  </w:tcBorders>
                  <w:noWrap w:val="0"/>
                  <w:vAlign w:val="center"/>
                </w:tcPr>
                <w:p w14:paraId="47EE64CE">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生态环境</w:t>
                  </w:r>
                </w:p>
              </w:tc>
              <w:tc>
                <w:tcPr>
                  <w:tcW w:w="2859" w:type="pct"/>
                  <w:tcBorders>
                    <w:tl2br w:val="nil"/>
                    <w:tr2bl w:val="nil"/>
                  </w:tcBorders>
                  <w:noWrap w:val="0"/>
                  <w:vAlign w:val="center"/>
                </w:tcPr>
                <w:p w14:paraId="1707CABA">
                  <w:pPr>
                    <w:keepNext w:val="0"/>
                    <w:keepLines w:val="0"/>
                    <w:pageBreakBefore w:val="0"/>
                    <w:widowControl w:val="0"/>
                    <w:kinsoku/>
                    <w:wordWrap/>
                    <w:overflowPunct/>
                    <w:topLinePunct w:val="0"/>
                    <w:autoSpaceDE/>
                    <w:autoSpaceDN/>
                    <w:bidi w:val="0"/>
                    <w:adjustRightInd/>
                    <w:snapToGrid/>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临时用地生态恢复费用、水土保持费用</w:t>
                  </w:r>
                </w:p>
              </w:tc>
              <w:tc>
                <w:tcPr>
                  <w:tcW w:w="860" w:type="pct"/>
                  <w:tcBorders>
                    <w:tl2br w:val="nil"/>
                    <w:tr2bl w:val="nil"/>
                  </w:tcBorders>
                  <w:noWrap w:val="0"/>
                  <w:vAlign w:val="center"/>
                </w:tcPr>
                <w:p w14:paraId="4B80EDB2">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t>2</w:t>
                  </w:r>
                </w:p>
              </w:tc>
            </w:tr>
            <w:tr w14:paraId="6393A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2" w:hRule="atLeast"/>
                <w:jc w:val="center"/>
              </w:trPr>
              <w:tc>
                <w:tcPr>
                  <w:tcW w:w="436" w:type="pct"/>
                  <w:vMerge w:val="continue"/>
                  <w:tcBorders>
                    <w:tl2br w:val="nil"/>
                    <w:tr2bl w:val="nil"/>
                  </w:tcBorders>
                  <w:noWrap w:val="0"/>
                  <w:vAlign w:val="center"/>
                </w:tcPr>
                <w:p w14:paraId="031D960C">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p>
              </w:tc>
              <w:tc>
                <w:tcPr>
                  <w:tcW w:w="844" w:type="pct"/>
                  <w:tcBorders>
                    <w:tl2br w:val="nil"/>
                    <w:tr2bl w:val="nil"/>
                  </w:tcBorders>
                  <w:noWrap w:val="0"/>
                  <w:vAlign w:val="center"/>
                </w:tcPr>
                <w:p w14:paraId="081DDBDC">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环境风险</w:t>
                  </w:r>
                </w:p>
              </w:tc>
              <w:tc>
                <w:tcPr>
                  <w:tcW w:w="2859" w:type="pct"/>
                  <w:tcBorders>
                    <w:tl2br w:val="nil"/>
                    <w:tr2bl w:val="nil"/>
                  </w:tcBorders>
                  <w:noWrap w:val="0"/>
                  <w:vAlign w:val="center"/>
                </w:tcPr>
                <w:p w14:paraId="5A7674A9">
                  <w:pPr>
                    <w:keepNext w:val="0"/>
                    <w:keepLines w:val="0"/>
                    <w:pageBreakBefore w:val="0"/>
                    <w:widowControl w:val="0"/>
                    <w:kinsoku/>
                    <w:wordWrap/>
                    <w:overflowPunct/>
                    <w:topLinePunct w:val="0"/>
                    <w:autoSpaceDE/>
                    <w:autoSpaceDN/>
                    <w:bidi w:val="0"/>
                    <w:adjustRightInd/>
                    <w:snapToGrid/>
                    <w:spacing w:before="0" w:beforeAutospacing="0" w:afterAutospacing="0" w:line="240" w:lineRule="auto"/>
                    <w:ind w:left="0" w:leftChars="0" w:right="0" w:firstLine="0" w:firstLineChars="0"/>
                    <w:jc w:val="center"/>
                    <w:textAlignment w:val="auto"/>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桥面径流导排系统及应急事故池、防撞护栏</w:t>
                  </w:r>
                </w:p>
              </w:tc>
              <w:tc>
                <w:tcPr>
                  <w:tcW w:w="860" w:type="pct"/>
                  <w:tcBorders>
                    <w:tl2br w:val="nil"/>
                    <w:tr2bl w:val="nil"/>
                  </w:tcBorders>
                  <w:noWrap w:val="0"/>
                  <w:vAlign w:val="center"/>
                </w:tcPr>
                <w:p w14:paraId="7F171E25">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3</w:t>
                  </w:r>
                </w:p>
              </w:tc>
            </w:tr>
            <w:tr w14:paraId="03BA7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6" w:type="pct"/>
                  <w:vMerge w:val="continue"/>
                  <w:tcBorders>
                    <w:tl2br w:val="nil"/>
                    <w:tr2bl w:val="nil"/>
                  </w:tcBorders>
                  <w:noWrap w:val="0"/>
                  <w:vAlign w:val="center"/>
                </w:tcPr>
                <w:p w14:paraId="6751CA15">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p>
              </w:tc>
              <w:tc>
                <w:tcPr>
                  <w:tcW w:w="844" w:type="pct"/>
                  <w:tcBorders>
                    <w:tl2br w:val="nil"/>
                    <w:tr2bl w:val="nil"/>
                  </w:tcBorders>
                  <w:noWrap w:val="0"/>
                  <w:vAlign w:val="center"/>
                </w:tcPr>
                <w:p w14:paraId="7C3B1BB3">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环境监测</w:t>
                  </w:r>
                </w:p>
              </w:tc>
              <w:tc>
                <w:tcPr>
                  <w:tcW w:w="2859" w:type="pct"/>
                  <w:tcBorders>
                    <w:tl2br w:val="nil"/>
                    <w:tr2bl w:val="nil"/>
                  </w:tcBorders>
                  <w:noWrap w:val="0"/>
                  <w:vAlign w:val="center"/>
                </w:tcPr>
                <w:p w14:paraId="5BA42855">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施工期环境监测</w:t>
                  </w:r>
                </w:p>
              </w:tc>
              <w:tc>
                <w:tcPr>
                  <w:tcW w:w="860" w:type="pct"/>
                  <w:tcBorders>
                    <w:tl2br w:val="nil"/>
                    <w:tr2bl w:val="nil"/>
                  </w:tcBorders>
                  <w:noWrap w:val="0"/>
                  <w:vAlign w:val="center"/>
                </w:tcPr>
                <w:p w14:paraId="1E631DD0">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t>2</w:t>
                  </w:r>
                </w:p>
              </w:tc>
            </w:tr>
            <w:tr w14:paraId="4F553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6" w:type="pct"/>
                  <w:vMerge w:val="restart"/>
                  <w:tcBorders>
                    <w:tl2br w:val="nil"/>
                    <w:tr2bl w:val="nil"/>
                  </w:tcBorders>
                  <w:noWrap w:val="0"/>
                  <w:vAlign w:val="center"/>
                </w:tcPr>
                <w:p w14:paraId="262D9CDB">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运营期</w:t>
                  </w:r>
                </w:p>
              </w:tc>
              <w:tc>
                <w:tcPr>
                  <w:tcW w:w="844" w:type="pct"/>
                  <w:tcBorders>
                    <w:tl2br w:val="nil"/>
                    <w:tr2bl w:val="nil"/>
                  </w:tcBorders>
                  <w:noWrap w:val="0"/>
                  <w:vAlign w:val="center"/>
                </w:tcPr>
                <w:p w14:paraId="4845D2FA">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大气</w:t>
                  </w:r>
                </w:p>
              </w:tc>
              <w:tc>
                <w:tcPr>
                  <w:tcW w:w="2859" w:type="pct"/>
                  <w:tcBorders>
                    <w:tl2br w:val="nil"/>
                    <w:tr2bl w:val="nil"/>
                  </w:tcBorders>
                  <w:noWrap w:val="0"/>
                  <w:vAlign w:val="center"/>
                </w:tcPr>
                <w:p w14:paraId="302805EE">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绿化、道路维护、保养等</w:t>
                  </w:r>
                </w:p>
              </w:tc>
              <w:tc>
                <w:tcPr>
                  <w:tcW w:w="860" w:type="pct"/>
                  <w:tcBorders>
                    <w:tl2br w:val="nil"/>
                    <w:tr2bl w:val="nil"/>
                  </w:tcBorders>
                  <w:noWrap w:val="0"/>
                  <w:vAlign w:val="center"/>
                </w:tcPr>
                <w:p w14:paraId="4166B444">
                  <w:pPr>
                    <w:pageBreakBefore w:val="0"/>
                    <w:widowControl w:val="0"/>
                    <w:wordWrap/>
                    <w:topLinePunct w:val="0"/>
                    <w:bidi w:val="0"/>
                    <w:spacing w:before="0" w:beforeAutospacing="0" w:afterAutospacing="0" w:line="240" w:lineRule="exact"/>
                    <w:ind w:left="0" w:leftChars="0" w:right="0" w:firstLine="0" w:firstLineChars="0"/>
                    <w:jc w:val="cente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t>2</w:t>
                  </w:r>
                </w:p>
              </w:tc>
            </w:tr>
            <w:tr w14:paraId="60736E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6" w:type="pct"/>
                  <w:vMerge w:val="continue"/>
                  <w:tcBorders>
                    <w:tl2br w:val="nil"/>
                    <w:tr2bl w:val="nil"/>
                  </w:tcBorders>
                  <w:noWrap w:val="0"/>
                  <w:vAlign w:val="center"/>
                </w:tcPr>
                <w:p w14:paraId="039EC1E6">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p>
              </w:tc>
              <w:tc>
                <w:tcPr>
                  <w:tcW w:w="844" w:type="pct"/>
                  <w:tcBorders>
                    <w:tl2br w:val="nil"/>
                    <w:tr2bl w:val="nil"/>
                  </w:tcBorders>
                  <w:noWrap w:val="0"/>
                  <w:vAlign w:val="center"/>
                </w:tcPr>
                <w:p w14:paraId="573310DC">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噪声</w:t>
                  </w:r>
                </w:p>
              </w:tc>
              <w:tc>
                <w:tcPr>
                  <w:tcW w:w="2859" w:type="pct"/>
                  <w:tcBorders>
                    <w:tl2br w:val="nil"/>
                    <w:tr2bl w:val="nil"/>
                  </w:tcBorders>
                  <w:noWrap w:val="0"/>
                  <w:vAlign w:val="center"/>
                </w:tcPr>
                <w:p w14:paraId="5DF4F86E">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加强路面维护保养，提高车辆通行能力和行车的平稳性、设置交通标志</w:t>
                  </w:r>
                </w:p>
              </w:tc>
              <w:tc>
                <w:tcPr>
                  <w:tcW w:w="860" w:type="pct"/>
                  <w:tcBorders>
                    <w:tl2br w:val="nil"/>
                    <w:tr2bl w:val="nil"/>
                  </w:tcBorders>
                  <w:noWrap w:val="0"/>
                  <w:vAlign w:val="center"/>
                </w:tcPr>
                <w:p w14:paraId="03F99EB5">
                  <w:pPr>
                    <w:pageBreakBefore w:val="0"/>
                    <w:widowControl w:val="0"/>
                    <w:wordWrap/>
                    <w:topLinePunct w:val="0"/>
                    <w:bidi w:val="0"/>
                    <w:spacing w:before="0" w:beforeAutospacing="0" w:afterAutospacing="0" w:line="240" w:lineRule="exact"/>
                    <w:ind w:left="0" w:leftChars="0" w:right="0" w:firstLine="0" w:firstLineChars="0"/>
                    <w:jc w:val="cente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t>1</w:t>
                  </w:r>
                </w:p>
              </w:tc>
            </w:tr>
            <w:tr w14:paraId="54B1C2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36" w:type="pct"/>
                  <w:vMerge w:val="continue"/>
                  <w:tcBorders>
                    <w:tl2br w:val="nil"/>
                    <w:tr2bl w:val="nil"/>
                  </w:tcBorders>
                  <w:noWrap w:val="0"/>
                  <w:vAlign w:val="center"/>
                </w:tcPr>
                <w:p w14:paraId="1794C4EB">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p>
              </w:tc>
              <w:tc>
                <w:tcPr>
                  <w:tcW w:w="844" w:type="pct"/>
                  <w:tcBorders>
                    <w:tl2br w:val="nil"/>
                    <w:tr2bl w:val="nil"/>
                  </w:tcBorders>
                  <w:noWrap w:val="0"/>
                  <w:vAlign w:val="center"/>
                </w:tcPr>
                <w:p w14:paraId="128D7014">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环境监测</w:t>
                  </w:r>
                </w:p>
              </w:tc>
              <w:tc>
                <w:tcPr>
                  <w:tcW w:w="2859" w:type="pct"/>
                  <w:tcBorders>
                    <w:tl2br w:val="nil"/>
                    <w:tr2bl w:val="nil"/>
                  </w:tcBorders>
                  <w:noWrap w:val="0"/>
                  <w:vAlign w:val="center"/>
                </w:tcPr>
                <w:p w14:paraId="328EBB8F">
                  <w:pPr>
                    <w:pageBreakBefore w:val="0"/>
                    <w:widowControl/>
                    <w:wordWrap/>
                    <w:topLinePunct w:val="0"/>
                    <w:bidi w:val="0"/>
                    <w:spacing w:before="0" w:beforeAutospacing="0" w:afterAutospacing="0" w:line="240" w:lineRule="exact"/>
                    <w:ind w:left="0" w:leftChars="0" w:right="0" w:firstLine="420" w:firstLineChars="20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运营期生态监测</w:t>
                  </w:r>
                </w:p>
              </w:tc>
              <w:tc>
                <w:tcPr>
                  <w:tcW w:w="860" w:type="pct"/>
                  <w:tcBorders>
                    <w:tl2br w:val="nil"/>
                    <w:tr2bl w:val="nil"/>
                  </w:tcBorders>
                  <w:noWrap w:val="0"/>
                  <w:vAlign w:val="center"/>
                </w:tcPr>
                <w:p w14:paraId="46E8ECAA">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t>2</w:t>
                  </w:r>
                </w:p>
              </w:tc>
            </w:tr>
            <w:tr w14:paraId="29F05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139" w:type="pct"/>
                  <w:gridSpan w:val="3"/>
                  <w:tcBorders>
                    <w:tl2br w:val="nil"/>
                    <w:tr2bl w:val="nil"/>
                  </w:tcBorders>
                  <w:noWrap w:val="0"/>
                  <w:vAlign w:val="center"/>
                </w:tcPr>
                <w:p w14:paraId="1FECB40D">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总计</w:t>
                  </w:r>
                </w:p>
              </w:tc>
              <w:tc>
                <w:tcPr>
                  <w:tcW w:w="860" w:type="pct"/>
                  <w:tcBorders>
                    <w:tl2br w:val="nil"/>
                    <w:tr2bl w:val="nil"/>
                  </w:tcBorders>
                  <w:noWrap w:val="0"/>
                  <w:vAlign w:val="center"/>
                </w:tcPr>
                <w:p w14:paraId="68A4AC96">
                  <w:pPr>
                    <w:pageBreakBefore w:val="0"/>
                    <w:widowControl w:val="0"/>
                    <w:wordWrap/>
                    <w:topLinePunct w:val="0"/>
                    <w:bidi w:val="0"/>
                    <w:spacing w:before="0" w:beforeAutospacing="0" w:afterAutospacing="0" w:line="240" w:lineRule="exact"/>
                    <w:ind w:left="0" w:leftChars="0" w:right="0" w:firstLine="0" w:firstLineChars="0"/>
                    <w:jc w:val="cente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pPr>
                  <w: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t>41</w:t>
                  </w:r>
                </w:p>
              </w:tc>
            </w:tr>
          </w:tbl>
          <w:p w14:paraId="21490617">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283DC2CA">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4DF40F1E">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33D01AA7">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749FBBEA">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41ACA1FC">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63C72A10">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122FC363">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7445D578">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1F2DCBBF">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6D3FF1B0">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3D1B2DD2">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71C43D88">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64CDACE7">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35B2AB24">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3A2C276E">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67CF0931">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1B189431">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46C24734">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2EF02B5F">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3EDF8669">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6FA8F046">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5DB2043F">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3F8FF86B">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50D21B77">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333C4916">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7FC0F38B">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72503493">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6CDA6F13">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41C07CB5">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29B9E310">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15B6CAAD">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0A101841">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7C61BE2D">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040D1079">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5A8FFC5B">
            <w:pPr>
              <w:shd w:val="clear" w:color="auto" w:fill="auto"/>
              <w:adjustRightInd w:val="0"/>
              <w:snapToGrid w:val="0"/>
              <w:spacing w:line="240" w:lineRule="auto"/>
              <w:ind w:firstLine="422" w:firstLineChars="200"/>
              <w:jc w:val="center"/>
              <w:rPr>
                <w:rFonts w:hint="default" w:ascii="Times New Roman" w:hAnsi="Times New Roman" w:eastAsia="宋体" w:cs="Times New Roman"/>
                <w:b/>
                <w:bCs/>
                <w:color w:val="auto"/>
                <w:sz w:val="21"/>
                <w:szCs w:val="21"/>
              </w:rPr>
            </w:pPr>
          </w:p>
          <w:p w14:paraId="7035F518">
            <w:pPr>
              <w:shd w:val="clear" w:color="auto" w:fill="auto"/>
              <w:adjustRightInd w:val="0"/>
              <w:snapToGrid w:val="0"/>
              <w:spacing w:line="240" w:lineRule="auto"/>
              <w:jc w:val="both"/>
              <w:rPr>
                <w:rFonts w:hint="default" w:ascii="Times New Roman" w:hAnsi="Times New Roman" w:eastAsia="宋体" w:cs="Times New Roman"/>
                <w:b/>
                <w:bCs/>
                <w:color w:val="auto"/>
                <w:sz w:val="21"/>
                <w:szCs w:val="21"/>
              </w:rPr>
            </w:pPr>
          </w:p>
          <w:p w14:paraId="5D5D736A">
            <w:pPr>
              <w:pageBreakBefore w:val="0"/>
              <w:wordWrap/>
              <w:topLinePunct w:val="0"/>
              <w:bidi w:val="0"/>
              <w:adjustRightInd w:val="0"/>
              <w:snapToGrid w:val="0"/>
              <w:spacing w:beforeAutospacing="0" w:afterAutospacing="0"/>
              <w:ind w:left="0" w:leftChars="0" w:right="0"/>
              <w:rPr>
                <w:rFonts w:hint="default" w:ascii="Times New Roman" w:hAnsi="Times New Roman" w:cs="Times New Roman"/>
                <w:bCs/>
                <w:caps w:val="0"/>
                <w:smallCaps w:val="0"/>
                <w:color w:val="auto"/>
                <w:spacing w:val="0"/>
                <w:w w:val="100"/>
                <w:kern w:val="2"/>
                <w:position w:val="0"/>
                <w:sz w:val="24"/>
                <w:szCs w:val="24"/>
                <w:highlight w:val="none"/>
              </w:rPr>
            </w:pPr>
          </w:p>
        </w:tc>
      </w:tr>
    </w:tbl>
    <w:p w14:paraId="02A92331">
      <w:pPr>
        <w:pageBreakBefore w:val="0"/>
        <w:wordWrap/>
        <w:topLinePunct w:val="0"/>
        <w:bidi w:val="0"/>
        <w:spacing w:beforeAutospacing="0" w:afterAutospacing="0"/>
        <w:ind w:left="0" w:leftChars="0" w:right="0"/>
        <w:rPr>
          <w:rFonts w:hint="default" w:ascii="Times New Roman" w:hAnsi="Times New Roman" w:cs="Times New Roman"/>
          <w:caps w:val="0"/>
          <w:smallCaps w:val="0"/>
          <w:color w:val="auto"/>
          <w:spacing w:val="0"/>
          <w:w w:val="100"/>
          <w:kern w:val="2"/>
          <w:position w:val="0"/>
          <w:highlight w:val="none"/>
        </w:rPr>
        <w:sectPr>
          <w:pgSz w:w="11907" w:h="16840"/>
          <w:pgMar w:top="1440" w:right="1797" w:bottom="1440" w:left="1797" w:header="851" w:footer="1077" w:gutter="0"/>
          <w:pgBorders>
            <w:top w:val="none" w:sz="0" w:space="0"/>
            <w:left w:val="none" w:sz="0" w:space="0"/>
            <w:bottom w:val="none" w:sz="0" w:space="0"/>
            <w:right w:val="none" w:sz="0" w:space="0"/>
          </w:pgBorders>
          <w:pgNumType w:fmt="decimal"/>
          <w:cols w:space="720" w:num="1"/>
          <w:docGrid w:linePitch="312" w:charSpace="0"/>
        </w:sectPr>
      </w:pPr>
    </w:p>
    <w:p w14:paraId="31FB453B">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outlineLvl w:val="0"/>
        <w:rPr>
          <w:rFonts w:hint="default" w:ascii="Times New Roman" w:hAnsi="Times New Roman" w:eastAsia="黑体" w:cs="Times New Roman"/>
          <w:caps w:val="0"/>
          <w:smallCaps w:val="0"/>
          <w:snapToGrid w:val="0"/>
          <w:color w:val="auto"/>
          <w:spacing w:val="0"/>
          <w:w w:val="100"/>
          <w:kern w:val="2"/>
          <w:position w:val="0"/>
          <w:sz w:val="30"/>
          <w:szCs w:val="30"/>
          <w:highlight w:val="none"/>
        </w:rPr>
      </w:pPr>
      <w:bookmarkStart w:id="21" w:name="_Toc25744"/>
      <w:r>
        <w:rPr>
          <w:rFonts w:hint="default" w:ascii="Times New Roman" w:hAnsi="Times New Roman" w:eastAsia="黑体" w:cs="Times New Roman"/>
          <w:caps w:val="0"/>
          <w:smallCaps w:val="0"/>
          <w:snapToGrid w:val="0"/>
          <w:color w:val="auto"/>
          <w:spacing w:val="0"/>
          <w:w w:val="100"/>
          <w:kern w:val="2"/>
          <w:position w:val="0"/>
          <w:sz w:val="30"/>
          <w:szCs w:val="30"/>
          <w:highlight w:val="none"/>
        </w:rPr>
        <w:t>六、生态环境保护措施监督检查清单</w:t>
      </w:r>
      <w:bookmarkEnd w:id="21"/>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889"/>
        <w:gridCol w:w="2426"/>
        <w:gridCol w:w="1701"/>
        <w:gridCol w:w="1836"/>
      </w:tblGrid>
      <w:tr w14:paraId="6641EB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93" w:type="pct"/>
            <w:vMerge w:val="restart"/>
            <w:tcBorders>
              <w:tl2br w:val="nil"/>
              <w:tr2bl w:val="nil"/>
            </w:tcBorders>
            <w:noWrap w:val="0"/>
            <w:vAlign w:val="center"/>
          </w:tcPr>
          <w:p w14:paraId="3D7906EF">
            <w:pPr>
              <w:pStyle w:val="2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ascii="Times New Roman" w:hAnsi="Times New Roman" w:eastAsia="宋体" w:cs="Times New Roman"/>
                <w:b/>
                <w:bCs/>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b/>
                <w:bCs/>
                <w:caps w:val="0"/>
                <w:smallCaps w:val="0"/>
                <w:color w:val="auto"/>
                <w:spacing w:val="0"/>
                <w:w w:val="100"/>
                <w:kern w:val="2"/>
                <w:position w:val="0"/>
                <w:sz w:val="21"/>
                <w:szCs w:val="21"/>
                <w:highlight w:val="none"/>
                <w:lang w:val="en-US" w:eastAsia="zh-CN"/>
              </w:rPr>
              <w:t>内容</w:t>
            </w:r>
          </w:p>
          <w:p w14:paraId="3FD6BFC0">
            <w:pPr>
              <w:pStyle w:val="2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要素</w:t>
            </w:r>
          </w:p>
        </w:tc>
        <w:tc>
          <w:tcPr>
            <w:tcW w:w="2531" w:type="pct"/>
            <w:gridSpan w:val="2"/>
            <w:tcBorders>
              <w:tl2br w:val="nil"/>
              <w:tr2bl w:val="nil"/>
            </w:tcBorders>
            <w:noWrap w:val="0"/>
            <w:vAlign w:val="center"/>
          </w:tcPr>
          <w:p w14:paraId="629536DB">
            <w:pPr>
              <w:pStyle w:val="2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施工期</w:t>
            </w:r>
          </w:p>
        </w:tc>
        <w:tc>
          <w:tcPr>
            <w:tcW w:w="2075" w:type="pct"/>
            <w:gridSpan w:val="2"/>
            <w:tcBorders>
              <w:tl2br w:val="nil"/>
              <w:tr2bl w:val="nil"/>
            </w:tcBorders>
            <w:noWrap w:val="0"/>
            <w:vAlign w:val="center"/>
          </w:tcPr>
          <w:p w14:paraId="6C0EAA46">
            <w:pPr>
              <w:pStyle w:val="2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运营期</w:t>
            </w:r>
          </w:p>
        </w:tc>
      </w:tr>
      <w:tr w14:paraId="50E33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393" w:type="pct"/>
            <w:vMerge w:val="continue"/>
            <w:tcBorders>
              <w:tl2br w:val="nil"/>
              <w:tr2bl w:val="nil"/>
            </w:tcBorders>
            <w:noWrap w:val="0"/>
            <w:vAlign w:val="center"/>
          </w:tcPr>
          <w:p w14:paraId="37DC4A59">
            <w:pPr>
              <w:pStyle w:val="2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firstLine="840"/>
              <w:jc w:val="center"/>
              <w:textAlignment w:val="auto"/>
              <w:outlineLvl w:val="9"/>
              <w:rPr>
                <w:rFonts w:hint="default" w:ascii="Times New Roman" w:hAnsi="Times New Roman" w:eastAsia="宋体" w:cs="Times New Roman"/>
                <w:b/>
                <w:bCs/>
                <w:caps w:val="0"/>
                <w:smallCaps w:val="0"/>
                <w:color w:val="auto"/>
                <w:spacing w:val="0"/>
                <w:w w:val="100"/>
                <w:kern w:val="2"/>
                <w:position w:val="0"/>
                <w:sz w:val="21"/>
                <w:szCs w:val="21"/>
                <w:highlight w:val="none"/>
              </w:rPr>
            </w:pPr>
          </w:p>
        </w:tc>
        <w:tc>
          <w:tcPr>
            <w:tcW w:w="1108" w:type="pct"/>
            <w:tcBorders>
              <w:tl2br w:val="nil"/>
              <w:tr2bl w:val="nil"/>
            </w:tcBorders>
            <w:noWrap w:val="0"/>
            <w:vAlign w:val="center"/>
          </w:tcPr>
          <w:p w14:paraId="42817E4E">
            <w:pPr>
              <w:pStyle w:val="2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环境保护措施</w:t>
            </w:r>
          </w:p>
        </w:tc>
        <w:tc>
          <w:tcPr>
            <w:tcW w:w="1423" w:type="pct"/>
            <w:tcBorders>
              <w:tl2br w:val="nil"/>
              <w:tr2bl w:val="nil"/>
            </w:tcBorders>
            <w:noWrap w:val="0"/>
            <w:vAlign w:val="center"/>
          </w:tcPr>
          <w:p w14:paraId="36E96A9F">
            <w:pPr>
              <w:pStyle w:val="2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验收要求</w:t>
            </w:r>
          </w:p>
        </w:tc>
        <w:tc>
          <w:tcPr>
            <w:tcW w:w="998" w:type="pct"/>
            <w:tcBorders>
              <w:tl2br w:val="nil"/>
              <w:tr2bl w:val="nil"/>
            </w:tcBorders>
            <w:noWrap w:val="0"/>
            <w:vAlign w:val="center"/>
          </w:tcPr>
          <w:p w14:paraId="3630362D">
            <w:pPr>
              <w:pStyle w:val="2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环境保护措施</w:t>
            </w:r>
          </w:p>
        </w:tc>
        <w:tc>
          <w:tcPr>
            <w:tcW w:w="1077" w:type="pct"/>
            <w:tcBorders>
              <w:tl2br w:val="nil"/>
              <w:tr2bl w:val="nil"/>
            </w:tcBorders>
            <w:noWrap w:val="0"/>
            <w:vAlign w:val="center"/>
          </w:tcPr>
          <w:p w14:paraId="368956FC">
            <w:pPr>
              <w:pStyle w:val="25"/>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bCs/>
                <w:caps w:val="0"/>
                <w:smallCaps w:val="0"/>
                <w:color w:val="auto"/>
                <w:spacing w:val="0"/>
                <w:w w:val="100"/>
                <w:kern w:val="2"/>
                <w:position w:val="0"/>
                <w:sz w:val="21"/>
                <w:szCs w:val="21"/>
                <w:highlight w:val="none"/>
              </w:rPr>
            </w:pPr>
            <w:r>
              <w:rPr>
                <w:rFonts w:hint="default" w:ascii="Times New Roman" w:hAnsi="Times New Roman" w:eastAsia="宋体" w:cs="Times New Roman"/>
                <w:b/>
                <w:bCs/>
                <w:caps w:val="0"/>
                <w:smallCaps w:val="0"/>
                <w:color w:val="auto"/>
                <w:spacing w:val="0"/>
                <w:w w:val="100"/>
                <w:kern w:val="2"/>
                <w:position w:val="0"/>
                <w:sz w:val="21"/>
                <w:szCs w:val="21"/>
                <w:highlight w:val="none"/>
              </w:rPr>
              <w:t>验收要求</w:t>
            </w:r>
          </w:p>
        </w:tc>
      </w:tr>
      <w:tr w14:paraId="639B4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3" w:type="pct"/>
            <w:tcBorders>
              <w:tl2br w:val="nil"/>
              <w:tr2bl w:val="nil"/>
            </w:tcBorders>
            <w:noWrap w:val="0"/>
            <w:vAlign w:val="center"/>
          </w:tcPr>
          <w:p w14:paraId="6DFD09A4">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陆生生态</w:t>
            </w:r>
          </w:p>
        </w:tc>
        <w:tc>
          <w:tcPr>
            <w:tcW w:w="1108" w:type="pct"/>
            <w:tcBorders>
              <w:tl2br w:val="nil"/>
              <w:tr2bl w:val="nil"/>
            </w:tcBorders>
            <w:noWrap w:val="0"/>
            <w:vAlign w:val="center"/>
          </w:tcPr>
          <w:p w14:paraId="4ACA6DD7">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路基、施工场地</w:t>
            </w:r>
            <w:r>
              <w:rPr>
                <w:rFonts w:hint="default" w:ascii="Times New Roman" w:hAnsi="Times New Roman" w:eastAsia="宋体" w:cs="Times New Roman"/>
                <w:caps w:val="0"/>
                <w:smallCaps w:val="0"/>
                <w:color w:val="auto"/>
                <w:spacing w:val="0"/>
                <w:w w:val="100"/>
                <w:kern w:val="2"/>
                <w:position w:val="0"/>
                <w:sz w:val="21"/>
                <w:szCs w:val="21"/>
                <w:highlight w:val="none"/>
                <w:lang w:eastAsia="zh-CN"/>
              </w:rPr>
              <w:t>、</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施工</w:t>
            </w: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便道</w:t>
            </w:r>
            <w:r>
              <w:rPr>
                <w:rFonts w:hint="default" w:ascii="Times New Roman" w:hAnsi="Times New Roman" w:eastAsia="宋体" w:cs="Times New Roman"/>
                <w:caps w:val="0"/>
                <w:smallCaps w:val="0"/>
                <w:color w:val="auto"/>
                <w:spacing w:val="0"/>
                <w:w w:val="100"/>
                <w:kern w:val="2"/>
                <w:position w:val="0"/>
                <w:sz w:val="21"/>
                <w:szCs w:val="21"/>
                <w:highlight w:val="none"/>
              </w:rPr>
              <w:t>、水土流失防治等生态恢复措施</w:t>
            </w:r>
          </w:p>
        </w:tc>
        <w:tc>
          <w:tcPr>
            <w:tcW w:w="1423" w:type="pct"/>
            <w:tcBorders>
              <w:tl2br w:val="nil"/>
              <w:tr2bl w:val="nil"/>
            </w:tcBorders>
            <w:noWrap w:val="0"/>
            <w:vAlign w:val="center"/>
          </w:tcPr>
          <w:p w14:paraId="77291C8E">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减少水土流失、植被破坏现象</w:t>
            </w:r>
          </w:p>
        </w:tc>
        <w:tc>
          <w:tcPr>
            <w:tcW w:w="998" w:type="pct"/>
            <w:tcBorders>
              <w:tl2br w:val="nil"/>
              <w:tr2bl w:val="nil"/>
            </w:tcBorders>
            <w:noWrap w:val="0"/>
            <w:vAlign w:val="center"/>
          </w:tcPr>
          <w:p w14:paraId="16F53CE2">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加强</w:t>
            </w: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生态</w:t>
            </w:r>
            <w:r>
              <w:rPr>
                <w:rFonts w:hint="default" w:ascii="Times New Roman" w:hAnsi="Times New Roman" w:eastAsia="宋体" w:cs="Times New Roman"/>
                <w:caps w:val="0"/>
                <w:smallCaps w:val="0"/>
                <w:color w:val="auto"/>
                <w:spacing w:val="0"/>
                <w:w w:val="100"/>
                <w:kern w:val="2"/>
                <w:position w:val="0"/>
                <w:sz w:val="21"/>
                <w:szCs w:val="21"/>
                <w:highlight w:val="none"/>
              </w:rPr>
              <w:t>保护工作</w:t>
            </w:r>
          </w:p>
        </w:tc>
        <w:tc>
          <w:tcPr>
            <w:tcW w:w="1077" w:type="pct"/>
            <w:tcBorders>
              <w:tl2br w:val="nil"/>
              <w:tr2bl w:val="nil"/>
            </w:tcBorders>
            <w:noWrap w:val="0"/>
            <w:vAlign w:val="center"/>
          </w:tcPr>
          <w:p w14:paraId="452ECDD9">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植被恢复情况良好</w:t>
            </w:r>
          </w:p>
        </w:tc>
      </w:tr>
      <w:tr w14:paraId="50320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3" w:type="pct"/>
            <w:tcBorders>
              <w:tl2br w:val="nil"/>
              <w:tr2bl w:val="nil"/>
            </w:tcBorders>
            <w:noWrap w:val="0"/>
            <w:vAlign w:val="center"/>
          </w:tcPr>
          <w:p w14:paraId="15E346C7">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水生生态</w:t>
            </w:r>
          </w:p>
        </w:tc>
        <w:tc>
          <w:tcPr>
            <w:tcW w:w="1108" w:type="pct"/>
            <w:tcBorders>
              <w:tl2br w:val="nil"/>
              <w:tr2bl w:val="nil"/>
            </w:tcBorders>
            <w:noWrap w:val="0"/>
            <w:vAlign w:val="center"/>
          </w:tcPr>
          <w:p w14:paraId="0B7ED570">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423" w:type="pct"/>
            <w:tcBorders>
              <w:tl2br w:val="nil"/>
              <w:tr2bl w:val="nil"/>
            </w:tcBorders>
            <w:noWrap w:val="0"/>
            <w:vAlign w:val="center"/>
          </w:tcPr>
          <w:p w14:paraId="5695AB1B">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998" w:type="pct"/>
            <w:tcBorders>
              <w:tl2br w:val="nil"/>
              <w:tr2bl w:val="nil"/>
            </w:tcBorders>
            <w:noWrap w:val="0"/>
            <w:vAlign w:val="center"/>
          </w:tcPr>
          <w:p w14:paraId="406CCE75">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077" w:type="pct"/>
            <w:tcBorders>
              <w:tl2br w:val="nil"/>
              <w:tr2bl w:val="nil"/>
            </w:tcBorders>
            <w:noWrap w:val="0"/>
            <w:vAlign w:val="center"/>
          </w:tcPr>
          <w:p w14:paraId="74820606">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r>
      <w:tr w14:paraId="35B782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 w:type="pct"/>
            <w:tcBorders>
              <w:tl2br w:val="nil"/>
              <w:tr2bl w:val="nil"/>
            </w:tcBorders>
            <w:noWrap w:val="0"/>
            <w:vAlign w:val="center"/>
          </w:tcPr>
          <w:p w14:paraId="4D57EEBF">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地表水环境</w:t>
            </w:r>
          </w:p>
        </w:tc>
        <w:tc>
          <w:tcPr>
            <w:tcW w:w="1108" w:type="pct"/>
            <w:tcBorders>
              <w:tl2br w:val="nil"/>
              <w:tr2bl w:val="nil"/>
            </w:tcBorders>
            <w:noWrap w:val="0"/>
            <w:vAlign w:val="center"/>
          </w:tcPr>
          <w:p w14:paraId="3F849ACA">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
              </w:rPr>
              <w:t>施工场地产生的生产废水沉淀后回用施工生产；</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项目区内不设置施工生产生活区</w:t>
            </w:r>
          </w:p>
        </w:tc>
        <w:tc>
          <w:tcPr>
            <w:tcW w:w="1423" w:type="pct"/>
            <w:tcBorders>
              <w:tl2br w:val="nil"/>
              <w:tr2bl w:val="nil"/>
            </w:tcBorders>
            <w:noWrap w:val="0"/>
            <w:vAlign w:val="center"/>
          </w:tcPr>
          <w:p w14:paraId="56DAD514">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废水妥善处置，禁止废水进入地表水体</w:t>
            </w:r>
          </w:p>
        </w:tc>
        <w:tc>
          <w:tcPr>
            <w:tcW w:w="998" w:type="pct"/>
            <w:tcBorders>
              <w:tl2br w:val="nil"/>
              <w:tr2bl w:val="nil"/>
            </w:tcBorders>
            <w:noWrap w:val="0"/>
            <w:vAlign w:val="center"/>
          </w:tcPr>
          <w:p w14:paraId="21DFBB3D">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
              </w:rPr>
              <w:t>路基两侧设置排水设施</w:t>
            </w:r>
          </w:p>
        </w:tc>
        <w:tc>
          <w:tcPr>
            <w:tcW w:w="1077" w:type="pct"/>
            <w:tcBorders>
              <w:tl2br w:val="nil"/>
              <w:tr2bl w:val="nil"/>
            </w:tcBorders>
            <w:noWrap w:val="0"/>
            <w:vAlign w:val="center"/>
          </w:tcPr>
          <w:p w14:paraId="04508A0C">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对周边水环境影响不大</w:t>
            </w:r>
          </w:p>
        </w:tc>
      </w:tr>
      <w:tr w14:paraId="0A184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 w:type="pct"/>
            <w:tcBorders>
              <w:tl2br w:val="nil"/>
              <w:tr2bl w:val="nil"/>
            </w:tcBorders>
            <w:noWrap w:val="0"/>
            <w:vAlign w:val="center"/>
          </w:tcPr>
          <w:p w14:paraId="039C9704">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地下水及土壤环境</w:t>
            </w:r>
          </w:p>
        </w:tc>
        <w:tc>
          <w:tcPr>
            <w:tcW w:w="1108" w:type="pct"/>
            <w:tcBorders>
              <w:tl2br w:val="nil"/>
              <w:tr2bl w:val="nil"/>
            </w:tcBorders>
            <w:noWrap w:val="0"/>
            <w:vAlign w:val="center"/>
          </w:tcPr>
          <w:p w14:paraId="43383EFE">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423" w:type="pct"/>
            <w:tcBorders>
              <w:tl2br w:val="nil"/>
              <w:tr2bl w:val="nil"/>
            </w:tcBorders>
            <w:noWrap w:val="0"/>
            <w:vAlign w:val="center"/>
          </w:tcPr>
          <w:p w14:paraId="7C0B4256">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998" w:type="pct"/>
            <w:tcBorders>
              <w:tl2br w:val="nil"/>
              <w:tr2bl w:val="nil"/>
            </w:tcBorders>
            <w:noWrap w:val="0"/>
            <w:vAlign w:val="center"/>
          </w:tcPr>
          <w:p w14:paraId="1B82EBE8">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077" w:type="pct"/>
            <w:tcBorders>
              <w:tl2br w:val="nil"/>
              <w:tr2bl w:val="nil"/>
            </w:tcBorders>
            <w:noWrap w:val="0"/>
            <w:vAlign w:val="center"/>
          </w:tcPr>
          <w:p w14:paraId="6A236945">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r>
      <w:tr w14:paraId="7928E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 w:type="pct"/>
            <w:tcBorders>
              <w:tl2br w:val="nil"/>
              <w:tr2bl w:val="nil"/>
            </w:tcBorders>
            <w:noWrap w:val="0"/>
            <w:vAlign w:val="center"/>
          </w:tcPr>
          <w:p w14:paraId="64508C99">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声环境</w:t>
            </w:r>
          </w:p>
        </w:tc>
        <w:tc>
          <w:tcPr>
            <w:tcW w:w="1108" w:type="pct"/>
            <w:tcBorders>
              <w:tl2br w:val="nil"/>
              <w:tr2bl w:val="nil"/>
            </w:tcBorders>
            <w:noWrap w:val="0"/>
            <w:vAlign w:val="center"/>
          </w:tcPr>
          <w:p w14:paraId="4E5507C2">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合理安排施工作业时间；选用低噪声、低</w:t>
            </w:r>
            <w:r>
              <w:rPr>
                <w:rFonts w:hint="eastAsia" w:ascii="Times New Roman" w:hAnsi="Times New Roman" w:eastAsia="宋体" w:cs="Times New Roman"/>
                <w:caps w:val="0"/>
                <w:smallCaps w:val="0"/>
                <w:color w:val="auto"/>
                <w:spacing w:val="0"/>
                <w:w w:val="100"/>
                <w:kern w:val="2"/>
                <w:position w:val="0"/>
                <w:sz w:val="21"/>
                <w:szCs w:val="21"/>
                <w:highlight w:val="none"/>
                <w:lang w:eastAsia="zh-CN"/>
              </w:rPr>
              <w:t>振动</w:t>
            </w:r>
            <w:r>
              <w:rPr>
                <w:rFonts w:hint="default" w:ascii="Times New Roman" w:hAnsi="Times New Roman" w:eastAsia="宋体" w:cs="Times New Roman"/>
                <w:caps w:val="0"/>
                <w:smallCaps w:val="0"/>
                <w:color w:val="auto"/>
                <w:spacing w:val="0"/>
                <w:w w:val="100"/>
                <w:kern w:val="2"/>
                <w:position w:val="0"/>
                <w:sz w:val="21"/>
                <w:szCs w:val="21"/>
                <w:highlight w:val="none"/>
              </w:rPr>
              <w:t>的机械设备，注意施工机械的保养；施工机械操作人员现场监理人员防护</w:t>
            </w:r>
          </w:p>
        </w:tc>
        <w:tc>
          <w:tcPr>
            <w:tcW w:w="1423" w:type="pct"/>
            <w:tcBorders>
              <w:tl2br w:val="nil"/>
              <w:tr2bl w:val="nil"/>
            </w:tcBorders>
            <w:noWrap w:val="0"/>
            <w:vAlign w:val="center"/>
          </w:tcPr>
          <w:p w14:paraId="65C28E1D">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aps w:val="0"/>
                <w:smallCaps w:val="0"/>
                <w:color w:val="auto"/>
                <w:spacing w:val="0"/>
                <w:w w:val="100"/>
                <w:kern w:val="2"/>
                <w:position w:val="0"/>
                <w:sz w:val="21"/>
                <w:szCs w:val="21"/>
                <w:highlight w:val="none"/>
                <w:lang w:eastAsia="zh-CN"/>
              </w:rPr>
            </w:pPr>
            <w:r>
              <w:rPr>
                <w:rFonts w:hint="default" w:ascii="Times New Roman" w:hAnsi="Times New Roman" w:eastAsia="宋体" w:cs="Times New Roman"/>
                <w:caps w:val="0"/>
                <w:smallCaps w:val="0"/>
                <w:color w:val="auto"/>
                <w:spacing w:val="0"/>
                <w:w w:val="100"/>
                <w:kern w:val="2"/>
                <w:position w:val="0"/>
                <w:sz w:val="21"/>
                <w:szCs w:val="21"/>
                <w:highlight w:val="none"/>
              </w:rPr>
              <w:t>满足</w:t>
            </w:r>
            <w:r>
              <w:rPr>
                <w:rFonts w:hint="eastAsia" w:ascii="Times New Roman" w:hAnsi="Times New Roman" w:eastAsia="宋体" w:cs="Times New Roman"/>
                <w:caps w:val="0"/>
                <w:smallCaps w:val="0"/>
                <w:color w:val="auto"/>
                <w:spacing w:val="0"/>
                <w:w w:val="100"/>
                <w:kern w:val="2"/>
                <w:position w:val="0"/>
                <w:sz w:val="21"/>
                <w:szCs w:val="21"/>
                <w:highlight w:val="none"/>
                <w:lang w:eastAsia="zh-CN"/>
              </w:rPr>
              <w:t>《建筑施工噪声排放标准》（GB12523-2025）</w:t>
            </w:r>
          </w:p>
        </w:tc>
        <w:tc>
          <w:tcPr>
            <w:tcW w:w="998" w:type="pct"/>
            <w:tcBorders>
              <w:tl2br w:val="nil"/>
              <w:tr2bl w:val="nil"/>
            </w:tcBorders>
            <w:noWrap w:val="0"/>
            <w:vAlign w:val="center"/>
          </w:tcPr>
          <w:p w14:paraId="4832F6CF">
            <w:pPr>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
              </w:rPr>
              <w:t>选用低噪声路面（沥青路面）；噪声敏感路段设置禁鸣、限速等标志牌；道路两侧敏感点环境噪声达标情况</w:t>
            </w:r>
          </w:p>
        </w:tc>
        <w:tc>
          <w:tcPr>
            <w:tcW w:w="1077" w:type="pct"/>
            <w:tcBorders>
              <w:tl2br w:val="nil"/>
              <w:tr2bl w:val="nil"/>
            </w:tcBorders>
            <w:noWrap w:val="0"/>
            <w:vAlign w:val="center"/>
          </w:tcPr>
          <w:p w14:paraId="29DF6C4F">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声环境保护目标处满足《声环境质量标准》（GB3096-2008）</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2类、4a</w:t>
            </w:r>
            <w:r>
              <w:rPr>
                <w:rFonts w:hint="default" w:ascii="Times New Roman" w:hAnsi="Times New Roman" w:eastAsia="宋体" w:cs="Times New Roman"/>
                <w:caps w:val="0"/>
                <w:smallCaps w:val="0"/>
                <w:color w:val="auto"/>
                <w:spacing w:val="0"/>
                <w:w w:val="100"/>
                <w:kern w:val="2"/>
                <w:position w:val="0"/>
                <w:sz w:val="21"/>
                <w:szCs w:val="21"/>
                <w:highlight w:val="none"/>
              </w:rPr>
              <w:t>类标准要求。</w:t>
            </w:r>
          </w:p>
        </w:tc>
      </w:tr>
      <w:tr w14:paraId="410A0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 w:type="pct"/>
            <w:tcBorders>
              <w:tl2br w:val="nil"/>
              <w:tr2bl w:val="nil"/>
            </w:tcBorders>
            <w:noWrap w:val="0"/>
            <w:vAlign w:val="center"/>
          </w:tcPr>
          <w:p w14:paraId="7715E143">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振动</w:t>
            </w:r>
          </w:p>
        </w:tc>
        <w:tc>
          <w:tcPr>
            <w:tcW w:w="1108" w:type="pct"/>
            <w:tcBorders>
              <w:tl2br w:val="nil"/>
              <w:tr2bl w:val="nil"/>
            </w:tcBorders>
            <w:noWrap w:val="0"/>
            <w:vAlign w:val="center"/>
          </w:tcPr>
          <w:p w14:paraId="3A918984">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423" w:type="pct"/>
            <w:tcBorders>
              <w:tl2br w:val="nil"/>
              <w:tr2bl w:val="nil"/>
            </w:tcBorders>
            <w:noWrap w:val="0"/>
            <w:vAlign w:val="center"/>
          </w:tcPr>
          <w:p w14:paraId="1ED25B7D">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998" w:type="pct"/>
            <w:tcBorders>
              <w:tl2br w:val="nil"/>
              <w:tr2bl w:val="nil"/>
            </w:tcBorders>
            <w:noWrap w:val="0"/>
            <w:vAlign w:val="center"/>
          </w:tcPr>
          <w:p w14:paraId="2555E041">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077" w:type="pct"/>
            <w:tcBorders>
              <w:tl2br w:val="nil"/>
              <w:tr2bl w:val="nil"/>
            </w:tcBorders>
            <w:noWrap w:val="0"/>
            <w:vAlign w:val="center"/>
          </w:tcPr>
          <w:p w14:paraId="42D48778">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r>
      <w:tr w14:paraId="621EA8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393" w:type="pct"/>
            <w:tcBorders>
              <w:tl2br w:val="nil"/>
              <w:tr2bl w:val="nil"/>
            </w:tcBorders>
            <w:noWrap w:val="0"/>
            <w:vAlign w:val="center"/>
          </w:tcPr>
          <w:p w14:paraId="48B3E65D">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大气环境</w:t>
            </w:r>
          </w:p>
        </w:tc>
        <w:tc>
          <w:tcPr>
            <w:tcW w:w="1108" w:type="pct"/>
            <w:tcBorders>
              <w:tl2br w:val="nil"/>
              <w:tr2bl w:val="nil"/>
            </w:tcBorders>
            <w:noWrap w:val="0"/>
            <w:vAlign w:val="center"/>
          </w:tcPr>
          <w:p w14:paraId="09B942C9">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lang w:val="en-US"/>
              </w:rPr>
            </w:pP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施工场地洒水降尘，密闭运输，料堆和土堆的覆盖和遮挡；大风天气暂停施工，使用商品混凝土；项目采取分段施工，敏感目标附近，拆迁场地、施工区域外侧需设置施工围挡等；洒水降尘，保持施工场地和未完工路面湿润；沥青摊铺</w:t>
            </w:r>
            <w: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t>时</w:t>
            </w:r>
            <w:r>
              <w:rPr>
                <w:rFonts w:hint="default" w:ascii="Times New Roman" w:hAnsi="Times New Roman" w:eastAsia="宋体" w:cs="Times New Roman"/>
                <w:bCs/>
                <w:caps w:val="0"/>
                <w:smallCaps w:val="0"/>
                <w:color w:val="auto"/>
                <w:spacing w:val="0"/>
                <w:w w:val="100"/>
                <w:kern w:val="2"/>
                <w:position w:val="0"/>
                <w:sz w:val="21"/>
                <w:szCs w:val="21"/>
                <w:highlight w:val="none"/>
                <w:lang w:val="en-US" w:eastAsia="zh-CN" w:bidi="ar-SA"/>
              </w:rPr>
              <w:t>采取密闭加热摊铺装置，减少沥青烟排放</w:t>
            </w:r>
            <w:r>
              <w:rPr>
                <w:rFonts w:hint="eastAsia" w:ascii="Times New Roman" w:hAnsi="Times New Roman" w:eastAsia="宋体" w:cs="Times New Roman"/>
                <w:bCs/>
                <w:caps w:val="0"/>
                <w:smallCaps w:val="0"/>
                <w:color w:val="auto"/>
                <w:spacing w:val="0"/>
                <w:w w:val="100"/>
                <w:kern w:val="2"/>
                <w:position w:val="0"/>
                <w:sz w:val="21"/>
                <w:szCs w:val="21"/>
                <w:highlight w:val="none"/>
                <w:lang w:val="en-US" w:eastAsia="zh-CN" w:bidi="ar-SA"/>
              </w:rPr>
              <w:t>。</w:t>
            </w:r>
          </w:p>
        </w:tc>
        <w:tc>
          <w:tcPr>
            <w:tcW w:w="1423" w:type="pct"/>
            <w:tcBorders>
              <w:tl2br w:val="nil"/>
              <w:tr2bl w:val="nil"/>
            </w:tcBorders>
            <w:noWrap w:val="0"/>
            <w:vAlign w:val="center"/>
          </w:tcPr>
          <w:p w14:paraId="75036E98">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施工现场废气满足</w:t>
            </w:r>
            <w:r>
              <w:rPr>
                <w:rFonts w:hint="default" w:ascii="Times New Roman" w:hAnsi="Times New Roman" w:eastAsia="宋体" w:cs="Times New Roman"/>
                <w:caps w:val="0"/>
                <w:smallCaps w:val="0"/>
                <w:color w:val="auto"/>
                <w:spacing w:val="0"/>
                <w:w w:val="100"/>
                <w:kern w:val="2"/>
                <w:position w:val="0"/>
                <w:sz w:val="21"/>
                <w:szCs w:val="21"/>
                <w:highlight w:val="none"/>
              </w:rPr>
              <w:t>《大气污染物综合排放标准》（GB16297-1996）表2中二级标准级无组织排放监控浓度限值</w:t>
            </w: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w:t>
            </w:r>
          </w:p>
        </w:tc>
        <w:tc>
          <w:tcPr>
            <w:tcW w:w="998" w:type="pct"/>
            <w:tcBorders>
              <w:tl2br w:val="nil"/>
              <w:tr2bl w:val="nil"/>
            </w:tcBorders>
            <w:noWrap w:val="0"/>
            <w:vAlign w:val="center"/>
          </w:tcPr>
          <w:p w14:paraId="33C75246">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道路维护、保养</w:t>
            </w:r>
          </w:p>
        </w:tc>
        <w:tc>
          <w:tcPr>
            <w:tcW w:w="1077" w:type="pct"/>
            <w:tcBorders>
              <w:tl2br w:val="nil"/>
              <w:tr2bl w:val="nil"/>
            </w:tcBorders>
            <w:noWrap w:val="0"/>
            <w:vAlign w:val="center"/>
          </w:tcPr>
          <w:p w14:paraId="2A344BD5">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《环境空气质量标准》（GB3095-20</w:t>
            </w: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rPr>
              <w:t>26</w:t>
            </w:r>
            <w:r>
              <w:rPr>
                <w:rFonts w:hint="default" w:ascii="Times New Roman" w:hAnsi="Times New Roman" w:eastAsia="宋体" w:cs="Times New Roman"/>
                <w:caps w:val="0"/>
                <w:smallCaps w:val="0"/>
                <w:color w:val="auto"/>
                <w:spacing w:val="0"/>
                <w:w w:val="100"/>
                <w:kern w:val="2"/>
                <w:position w:val="0"/>
                <w:sz w:val="21"/>
                <w:szCs w:val="21"/>
                <w:highlight w:val="none"/>
              </w:rPr>
              <w:t>）</w:t>
            </w:r>
          </w:p>
        </w:tc>
      </w:tr>
      <w:tr w14:paraId="49CD11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 w:type="pct"/>
            <w:tcBorders>
              <w:tl2br w:val="nil"/>
              <w:tr2bl w:val="nil"/>
            </w:tcBorders>
            <w:noWrap w:val="0"/>
            <w:vAlign w:val="center"/>
          </w:tcPr>
          <w:p w14:paraId="5F548722">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固体废物</w:t>
            </w:r>
          </w:p>
        </w:tc>
        <w:tc>
          <w:tcPr>
            <w:tcW w:w="1108" w:type="pct"/>
            <w:tcBorders>
              <w:tl2br w:val="nil"/>
              <w:tr2bl w:val="nil"/>
            </w:tcBorders>
            <w:noWrap w:val="0"/>
            <w:vAlign w:val="center"/>
          </w:tcPr>
          <w:p w14:paraId="7739AB06">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lang w:val="en-US"/>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
              </w:rPr>
              <w:t>建筑垃圾运至附近建筑垃圾填埋场；项目施工期</w:t>
            </w: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bidi="ar"/>
              </w:rPr>
              <w:t>施工人员生活垃圾依托租住村镇既有的</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bidi="ar"/>
              </w:rPr>
              <w:t>生活垃圾集中收集</w:t>
            </w:r>
            <w:r>
              <w:rPr>
                <w:rFonts w:hint="eastAsia" w:ascii="Times New Roman" w:hAnsi="Times New Roman" w:eastAsia="宋体" w:cs="Times New Roman"/>
                <w:caps w:val="0"/>
                <w:smallCaps w:val="0"/>
                <w:color w:val="auto"/>
                <w:spacing w:val="0"/>
                <w:w w:val="100"/>
                <w:kern w:val="2"/>
                <w:position w:val="0"/>
                <w:sz w:val="21"/>
                <w:szCs w:val="21"/>
                <w:highlight w:val="none"/>
                <w:lang w:val="en-US" w:eastAsia="zh-CN" w:bidi="ar"/>
              </w:rPr>
              <w:t>站收集，由环卫部门统一清运处置。</w:t>
            </w:r>
          </w:p>
        </w:tc>
        <w:tc>
          <w:tcPr>
            <w:tcW w:w="1423" w:type="pct"/>
            <w:tcBorders>
              <w:tl2br w:val="nil"/>
              <w:tr2bl w:val="nil"/>
            </w:tcBorders>
            <w:noWrap w:val="0"/>
            <w:vAlign w:val="center"/>
          </w:tcPr>
          <w:p w14:paraId="42226455">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合理处置</w:t>
            </w:r>
          </w:p>
        </w:tc>
        <w:tc>
          <w:tcPr>
            <w:tcW w:w="998" w:type="pct"/>
            <w:tcBorders>
              <w:tl2br w:val="nil"/>
              <w:tr2bl w:val="nil"/>
            </w:tcBorders>
            <w:noWrap w:val="0"/>
            <w:vAlign w:val="center"/>
          </w:tcPr>
          <w:p w14:paraId="337837F6">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过往行人产生的垃圾由环卫部门统一收集后清运</w:t>
            </w:r>
          </w:p>
        </w:tc>
        <w:tc>
          <w:tcPr>
            <w:tcW w:w="1077" w:type="pct"/>
            <w:tcBorders>
              <w:tl2br w:val="nil"/>
              <w:tr2bl w:val="nil"/>
            </w:tcBorders>
            <w:noWrap w:val="0"/>
            <w:vAlign w:val="center"/>
          </w:tcPr>
          <w:p w14:paraId="66664DC9">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路面干净整洁</w:t>
            </w:r>
          </w:p>
        </w:tc>
      </w:tr>
      <w:tr w14:paraId="067B0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 w:type="pct"/>
            <w:tcBorders>
              <w:tl2br w:val="nil"/>
              <w:tr2bl w:val="nil"/>
            </w:tcBorders>
            <w:noWrap w:val="0"/>
            <w:vAlign w:val="center"/>
          </w:tcPr>
          <w:p w14:paraId="3832F1E7">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电磁环境</w:t>
            </w:r>
          </w:p>
        </w:tc>
        <w:tc>
          <w:tcPr>
            <w:tcW w:w="1108" w:type="pct"/>
            <w:tcBorders>
              <w:tl2br w:val="nil"/>
              <w:tr2bl w:val="nil"/>
            </w:tcBorders>
            <w:noWrap w:val="0"/>
            <w:vAlign w:val="center"/>
          </w:tcPr>
          <w:p w14:paraId="1EDA1C83">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423" w:type="pct"/>
            <w:tcBorders>
              <w:tl2br w:val="nil"/>
              <w:tr2bl w:val="nil"/>
            </w:tcBorders>
            <w:noWrap w:val="0"/>
            <w:vAlign w:val="center"/>
          </w:tcPr>
          <w:p w14:paraId="3CC85097">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998" w:type="pct"/>
            <w:tcBorders>
              <w:tl2br w:val="nil"/>
              <w:tr2bl w:val="nil"/>
            </w:tcBorders>
            <w:noWrap w:val="0"/>
            <w:vAlign w:val="center"/>
          </w:tcPr>
          <w:p w14:paraId="658ED830">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077" w:type="pct"/>
            <w:tcBorders>
              <w:tl2br w:val="nil"/>
              <w:tr2bl w:val="nil"/>
            </w:tcBorders>
            <w:noWrap w:val="0"/>
            <w:vAlign w:val="center"/>
          </w:tcPr>
          <w:p w14:paraId="64327700">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r>
      <w:tr w14:paraId="42F09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 w:type="pct"/>
            <w:tcBorders>
              <w:tl2br w:val="nil"/>
              <w:tr2bl w:val="nil"/>
            </w:tcBorders>
            <w:noWrap w:val="0"/>
            <w:vAlign w:val="center"/>
          </w:tcPr>
          <w:p w14:paraId="2C70E35E">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环境风险</w:t>
            </w:r>
          </w:p>
        </w:tc>
        <w:tc>
          <w:tcPr>
            <w:tcW w:w="1108" w:type="pct"/>
            <w:tcBorders>
              <w:tl2br w:val="nil"/>
              <w:tr2bl w:val="nil"/>
            </w:tcBorders>
            <w:noWrap w:val="0"/>
            <w:vAlign w:val="center"/>
          </w:tcPr>
          <w:p w14:paraId="74A77E1B">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423" w:type="pct"/>
            <w:tcBorders>
              <w:tl2br w:val="nil"/>
              <w:tr2bl w:val="nil"/>
            </w:tcBorders>
            <w:noWrap w:val="0"/>
            <w:vAlign w:val="center"/>
          </w:tcPr>
          <w:p w14:paraId="52907548">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998" w:type="pct"/>
            <w:tcBorders>
              <w:tl2br w:val="nil"/>
              <w:tr2bl w:val="nil"/>
            </w:tcBorders>
            <w:noWrap w:val="0"/>
            <w:vAlign w:val="center"/>
          </w:tcPr>
          <w:p w14:paraId="25E04348">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077" w:type="pct"/>
            <w:tcBorders>
              <w:tl2br w:val="nil"/>
              <w:tr2bl w:val="nil"/>
            </w:tcBorders>
            <w:noWrap w:val="0"/>
            <w:vAlign w:val="center"/>
          </w:tcPr>
          <w:p w14:paraId="7555745B">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r>
      <w:tr w14:paraId="21656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 w:type="pct"/>
            <w:tcBorders>
              <w:tl2br w:val="nil"/>
              <w:tr2bl w:val="nil"/>
            </w:tcBorders>
            <w:noWrap w:val="0"/>
            <w:vAlign w:val="center"/>
          </w:tcPr>
          <w:p w14:paraId="683A2D3F">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环境监测</w:t>
            </w:r>
          </w:p>
        </w:tc>
        <w:tc>
          <w:tcPr>
            <w:tcW w:w="1108" w:type="pct"/>
            <w:tcBorders>
              <w:tl2br w:val="nil"/>
              <w:tr2bl w:val="nil"/>
            </w:tcBorders>
            <w:noWrap w:val="0"/>
            <w:vAlign w:val="center"/>
          </w:tcPr>
          <w:p w14:paraId="23FED529">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pP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施工期噪声、大气环境</w:t>
            </w:r>
          </w:p>
        </w:tc>
        <w:tc>
          <w:tcPr>
            <w:tcW w:w="1423" w:type="pct"/>
            <w:tcBorders>
              <w:tl2br w:val="nil"/>
              <w:tr2bl w:val="nil"/>
            </w:tcBorders>
            <w:noWrap w:val="0"/>
            <w:vAlign w:val="center"/>
          </w:tcPr>
          <w:p w14:paraId="07BE033D">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998" w:type="pct"/>
            <w:tcBorders>
              <w:tl2br w:val="nil"/>
              <w:tr2bl w:val="nil"/>
            </w:tcBorders>
            <w:noWrap w:val="0"/>
            <w:vAlign w:val="center"/>
          </w:tcPr>
          <w:p w14:paraId="389B83F0">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运营期</w:t>
            </w:r>
            <w:r>
              <w:rPr>
                <w:rFonts w:hint="default" w:ascii="Times New Roman" w:hAnsi="Times New Roman" w:eastAsia="宋体" w:cs="Times New Roman"/>
                <w:caps w:val="0"/>
                <w:smallCaps w:val="0"/>
                <w:color w:val="auto"/>
                <w:spacing w:val="0"/>
                <w:w w:val="100"/>
                <w:kern w:val="2"/>
                <w:position w:val="0"/>
                <w:sz w:val="21"/>
                <w:szCs w:val="21"/>
                <w:highlight w:val="none"/>
                <w:lang w:val="en-US" w:eastAsia="zh-CN"/>
              </w:rPr>
              <w:t>生态</w:t>
            </w:r>
            <w:r>
              <w:rPr>
                <w:rFonts w:hint="default" w:ascii="Times New Roman" w:hAnsi="Times New Roman" w:eastAsia="宋体" w:cs="Times New Roman"/>
                <w:caps w:val="0"/>
                <w:smallCaps w:val="0"/>
                <w:color w:val="auto"/>
                <w:spacing w:val="0"/>
                <w:w w:val="100"/>
                <w:kern w:val="2"/>
                <w:position w:val="0"/>
                <w:sz w:val="21"/>
                <w:szCs w:val="21"/>
                <w:highlight w:val="none"/>
              </w:rPr>
              <w:t>环境</w:t>
            </w:r>
          </w:p>
        </w:tc>
        <w:tc>
          <w:tcPr>
            <w:tcW w:w="1077" w:type="pct"/>
            <w:tcBorders>
              <w:tl2br w:val="nil"/>
              <w:tr2bl w:val="nil"/>
            </w:tcBorders>
            <w:noWrap w:val="0"/>
            <w:vAlign w:val="center"/>
          </w:tcPr>
          <w:p w14:paraId="4D97E6A3">
            <w:pPr>
              <w:keepNext w:val="0"/>
              <w:keepLines w:val="0"/>
              <w:pageBreakBefore w:val="0"/>
              <w:kinsoku/>
              <w:wordWrap/>
              <w:overflowPunct/>
              <w:topLinePunct w:val="0"/>
              <w:autoSpaceDE/>
              <w:autoSpaceDN/>
              <w:bidi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r>
      <w:tr w14:paraId="6EC0F2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 w:type="pct"/>
            <w:tcBorders>
              <w:tl2br w:val="nil"/>
              <w:tr2bl w:val="nil"/>
            </w:tcBorders>
            <w:noWrap w:val="0"/>
            <w:vAlign w:val="center"/>
          </w:tcPr>
          <w:p w14:paraId="66368BA4">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其他</w:t>
            </w:r>
          </w:p>
        </w:tc>
        <w:tc>
          <w:tcPr>
            <w:tcW w:w="1108" w:type="pct"/>
            <w:tcBorders>
              <w:tl2br w:val="nil"/>
              <w:tr2bl w:val="nil"/>
            </w:tcBorders>
            <w:noWrap w:val="0"/>
            <w:vAlign w:val="center"/>
          </w:tcPr>
          <w:p w14:paraId="144D1D25">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423" w:type="pct"/>
            <w:tcBorders>
              <w:tl2br w:val="nil"/>
              <w:tr2bl w:val="nil"/>
            </w:tcBorders>
            <w:noWrap w:val="0"/>
            <w:vAlign w:val="center"/>
          </w:tcPr>
          <w:p w14:paraId="2C4F0A1B">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998" w:type="pct"/>
            <w:tcBorders>
              <w:tl2br w:val="nil"/>
              <w:tr2bl w:val="nil"/>
            </w:tcBorders>
            <w:noWrap w:val="0"/>
            <w:vAlign w:val="center"/>
          </w:tcPr>
          <w:p w14:paraId="20D934AA">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c>
          <w:tcPr>
            <w:tcW w:w="1077" w:type="pct"/>
            <w:tcBorders>
              <w:tl2br w:val="nil"/>
              <w:tr2bl w:val="nil"/>
            </w:tcBorders>
            <w:noWrap w:val="0"/>
            <w:vAlign w:val="center"/>
          </w:tcPr>
          <w:p w14:paraId="0A27B2DD">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aps w:val="0"/>
                <w:smallCaps w:val="0"/>
                <w:color w:val="auto"/>
                <w:spacing w:val="0"/>
                <w:w w:val="100"/>
                <w:kern w:val="2"/>
                <w:position w:val="0"/>
                <w:sz w:val="21"/>
                <w:szCs w:val="21"/>
                <w:highlight w:val="none"/>
              </w:rPr>
            </w:pPr>
            <w:r>
              <w:rPr>
                <w:rFonts w:hint="default" w:ascii="Times New Roman" w:hAnsi="Times New Roman" w:eastAsia="宋体" w:cs="Times New Roman"/>
                <w:caps w:val="0"/>
                <w:smallCaps w:val="0"/>
                <w:color w:val="auto"/>
                <w:spacing w:val="0"/>
                <w:w w:val="100"/>
                <w:kern w:val="2"/>
                <w:position w:val="0"/>
                <w:sz w:val="21"/>
                <w:szCs w:val="21"/>
                <w:highlight w:val="none"/>
              </w:rPr>
              <w:t>/</w:t>
            </w:r>
          </w:p>
        </w:tc>
      </w:tr>
    </w:tbl>
    <w:p w14:paraId="698A98CB">
      <w:pPr>
        <w:pStyle w:val="25"/>
        <w:pageBreakBefore w:val="0"/>
        <w:wordWrap/>
        <w:topLinePunct w:val="0"/>
        <w:bidi w:val="0"/>
        <w:spacing w:before="0" w:beforeAutospacing="0" w:after="0" w:afterAutospacing="0"/>
        <w:ind w:left="0" w:leftChars="0" w:right="0"/>
        <w:jc w:val="center"/>
        <w:outlineLvl w:val="9"/>
        <w:rPr>
          <w:rFonts w:hint="default" w:ascii="Times New Roman" w:hAnsi="Times New Roman" w:eastAsia="黑体" w:cs="Times New Roman"/>
          <w:caps w:val="0"/>
          <w:smallCaps w:val="0"/>
          <w:snapToGrid w:val="0"/>
          <w:color w:val="auto"/>
          <w:spacing w:val="0"/>
          <w:w w:val="100"/>
          <w:kern w:val="2"/>
          <w:position w:val="0"/>
          <w:sz w:val="30"/>
          <w:szCs w:val="30"/>
          <w:highlight w:val="none"/>
        </w:rPr>
      </w:pPr>
    </w:p>
    <w:p w14:paraId="5B5234F6">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outlineLvl w:val="0"/>
        <w:rPr>
          <w:rFonts w:hint="default" w:ascii="Times New Roman" w:hAnsi="Times New Roman" w:cs="Times New Roman"/>
          <w:caps w:val="0"/>
          <w:smallCaps w:val="0"/>
          <w:color w:val="auto"/>
          <w:spacing w:val="0"/>
          <w:w w:val="100"/>
          <w:kern w:val="2"/>
          <w:position w:val="0"/>
          <w:highlight w:val="none"/>
        </w:rPr>
      </w:pPr>
      <w:r>
        <w:rPr>
          <w:rFonts w:hint="default" w:ascii="Times New Roman" w:hAnsi="Times New Roman" w:eastAsia="黑体" w:cs="Times New Roman"/>
          <w:caps w:val="0"/>
          <w:smallCaps w:val="0"/>
          <w:snapToGrid w:val="0"/>
          <w:color w:val="auto"/>
          <w:spacing w:val="0"/>
          <w:w w:val="100"/>
          <w:kern w:val="2"/>
          <w:position w:val="0"/>
          <w:sz w:val="30"/>
          <w:szCs w:val="30"/>
          <w:highlight w:val="none"/>
        </w:rPr>
        <w:br w:type="page"/>
      </w:r>
      <w:bookmarkStart w:id="22" w:name="_Toc17574"/>
      <w:r>
        <w:rPr>
          <w:rFonts w:hint="default" w:ascii="Times New Roman" w:hAnsi="Times New Roman" w:eastAsia="黑体" w:cs="Times New Roman"/>
          <w:caps w:val="0"/>
          <w:smallCaps w:val="0"/>
          <w:snapToGrid w:val="0"/>
          <w:color w:val="auto"/>
          <w:spacing w:val="0"/>
          <w:w w:val="100"/>
          <w:kern w:val="2"/>
          <w:position w:val="0"/>
          <w:sz w:val="30"/>
          <w:szCs w:val="30"/>
          <w:highlight w:val="none"/>
        </w:rPr>
        <w:t>七、结论</w:t>
      </w:r>
      <w:bookmarkEnd w:id="22"/>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522"/>
      </w:tblGrid>
      <w:tr w14:paraId="5E2FACE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2551" w:hRule="atLeast"/>
        </w:trPr>
        <w:tc>
          <w:tcPr>
            <w:tcW w:w="8522" w:type="dxa"/>
            <w:tcBorders>
              <w:tl2br w:val="nil"/>
              <w:tr2bl w:val="nil"/>
            </w:tcBorders>
            <w:noWrap w:val="0"/>
            <w:vAlign w:val="top"/>
          </w:tcPr>
          <w:p w14:paraId="083240B1">
            <w:pPr>
              <w:pageBreakBefore w:val="0"/>
              <w:wordWrap/>
              <w:topLinePunct w:val="0"/>
              <w:autoSpaceDE w:val="0"/>
              <w:autoSpaceDN w:val="0"/>
              <w:bidi w:val="0"/>
              <w:adjustRightInd w:val="0"/>
              <w:spacing w:beforeAutospacing="0" w:afterAutospacing="0" w:line="520" w:lineRule="exact"/>
              <w:ind w:left="0" w:leftChars="0" w:right="0" w:firstLine="480" w:firstLineChars="200"/>
              <w:jc w:val="both"/>
              <w:rPr>
                <w:rFonts w:hint="default" w:ascii="Times New Roman" w:hAnsi="Times New Roman" w:cs="Times New Roman"/>
                <w:caps w:val="0"/>
                <w:smallCaps w:val="0"/>
                <w:color w:val="auto"/>
                <w:spacing w:val="0"/>
                <w:w w:val="100"/>
                <w:kern w:val="2"/>
                <w:position w:val="0"/>
                <w:highlight w:val="none"/>
                <w:vertAlign w:val="baseline"/>
              </w:rPr>
            </w:pPr>
            <w:r>
              <w:rPr>
                <w:rFonts w:hint="default" w:ascii="Times New Roman" w:hAnsi="Times New Roman" w:eastAsia="宋体" w:cs="Times New Roman"/>
                <w:caps w:val="0"/>
                <w:smallCaps w:val="0"/>
                <w:color w:val="auto"/>
                <w:spacing w:val="0"/>
                <w:w w:val="100"/>
                <w:kern w:val="2"/>
                <w:position w:val="0"/>
                <w:sz w:val="24"/>
                <w:highlight w:val="none"/>
              </w:rPr>
              <w:t>综合上述，建设单位应严格实施环境影响报告提出的各项环保措施和建议，做到污染物达标排放，做好</w:t>
            </w:r>
            <w:r>
              <w:rPr>
                <w:rFonts w:hint="eastAsia" w:ascii="Times New Roman" w:hAnsi="Times New Roman" w:eastAsia="宋体" w:cs="Times New Roman"/>
                <w:caps w:val="0"/>
                <w:smallCaps w:val="0"/>
                <w:color w:val="auto"/>
                <w:spacing w:val="0"/>
                <w:w w:val="100"/>
                <w:kern w:val="2"/>
                <w:position w:val="0"/>
                <w:sz w:val="24"/>
                <w:highlight w:val="none"/>
                <w:lang w:eastAsia="zh-CN"/>
              </w:rPr>
              <w:t>生态环境保护</w:t>
            </w:r>
            <w:r>
              <w:rPr>
                <w:rFonts w:hint="default" w:ascii="Times New Roman" w:hAnsi="Times New Roman" w:eastAsia="宋体" w:cs="Times New Roman"/>
                <w:caps w:val="0"/>
                <w:smallCaps w:val="0"/>
                <w:color w:val="auto"/>
                <w:spacing w:val="0"/>
                <w:w w:val="100"/>
                <w:kern w:val="2"/>
                <w:position w:val="0"/>
                <w:sz w:val="24"/>
                <w:highlight w:val="none"/>
              </w:rPr>
              <w:t>与生态恢复。在严格落实环评提出的各项污染物治理措施和生态恢复措施的前提下，该项目的建设不会对区域环境质量及生态环境产生大的影响，从环境保护角度分析，本项目的建设是可行的。</w:t>
            </w:r>
          </w:p>
        </w:tc>
      </w:tr>
    </w:tbl>
    <w:p w14:paraId="54CF6210">
      <w:pPr>
        <w:pageBreakBefore w:val="0"/>
        <w:wordWrap/>
        <w:topLinePunct w:val="0"/>
        <w:bidi w:val="0"/>
        <w:spacing w:beforeAutospacing="0" w:afterAutospacing="0"/>
        <w:ind w:left="0" w:leftChars="0" w:right="0"/>
        <w:outlineLvl w:val="9"/>
        <w:rPr>
          <w:rFonts w:hint="default" w:ascii="Times New Roman" w:hAnsi="Times New Roman" w:eastAsia="宋体" w:cs="Times New Roman"/>
          <w:caps w:val="0"/>
          <w:smallCaps w:val="0"/>
          <w:color w:val="auto"/>
          <w:spacing w:val="0"/>
          <w:w w:val="100"/>
          <w:kern w:val="2"/>
          <w:position w:val="0"/>
          <w:highlight w:val="none"/>
          <w:lang w:val="en-US" w:eastAsia="zh-CN"/>
        </w:rPr>
      </w:pPr>
    </w:p>
    <w:sectPr>
      <w:headerReference r:id="rId9" w:type="default"/>
      <w:footerReference r:id="rId10" w:type="default"/>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C014F2C-95B9-44F3-B98E-24404A72CA53}"/>
  </w:font>
  <w:font w:name="黑体">
    <w:panose1 w:val="02010609060101010101"/>
    <w:charset w:val="86"/>
    <w:family w:val="auto"/>
    <w:pitch w:val="default"/>
    <w:sig w:usb0="800002BF" w:usb1="38CF7CFA" w:usb2="00000016" w:usb3="00000000" w:csb0="00040001" w:csb1="00000000"/>
    <w:embedRegular r:id="rId2" w:fontKey="{4DEB490B-D6ED-4FA4-8BFD-A3ACED2F8B5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00335040-B462-49AA-9D4E-9F49E6F3500E}"/>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embedRegular r:id="rId4" w:fontKey="{09BBF4CF-2941-479B-B2C1-FF4C289D09BF}"/>
  </w:font>
  <w:font w:name="Arial Unicode MS">
    <w:altName w:val="宋体"/>
    <w:panose1 w:val="020B0604020202020204"/>
    <w:charset w:val="86"/>
    <w:family w:val="auto"/>
    <w:pitch w:val="default"/>
    <w:sig w:usb0="00000000" w:usb1="00000000" w:usb2="0000003F" w:usb3="00000000" w:csb0="603F01FF" w:csb1="FFFF0000"/>
  </w:font>
  <w:font w:name="Tahoma">
    <w:panose1 w:val="020B0604030504040204"/>
    <w:charset w:val="00"/>
    <w:family w:val="auto"/>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ˎ̥">
    <w:altName w:val="Times New Roman"/>
    <w:panose1 w:val="00000000000000000000"/>
    <w:charset w:val="00"/>
    <w:family w:val="roma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7672E2E4-20FC-4832-990F-060D9B0F7865}"/>
  </w:font>
  <w:font w:name="方正小标宋_GBK">
    <w:panose1 w:val="03000509000000000000"/>
    <w:charset w:val="86"/>
    <w:family w:val="script"/>
    <w:pitch w:val="default"/>
    <w:sig w:usb0="00000001" w:usb1="080E0000" w:usb2="00000000" w:usb3="00000000" w:csb0="00040000" w:csb1="00000000"/>
    <w:embedRegular r:id="rId6" w:fontKey="{02B221B5-795A-48F5-A65E-F89726EFF05C}"/>
  </w:font>
  <w:font w:name="楷体_GB2312">
    <w:panose1 w:val="02010609030101010101"/>
    <w:charset w:val="86"/>
    <w:family w:val="modern"/>
    <w:pitch w:val="default"/>
    <w:sig w:usb0="00000001" w:usb1="080E0000" w:usb2="00000000" w:usb3="00000000" w:csb0="00040000" w:csb1="00000000"/>
    <w:embedRegular r:id="rId7" w:fontKey="{C241EB73-AAAB-4F27-8779-DB0555C4A9DF}"/>
  </w:font>
  <w:font w:name="华文仿宋">
    <w:panose1 w:val="02010600040101010101"/>
    <w:charset w:val="86"/>
    <w:family w:val="auto"/>
    <w:pitch w:val="default"/>
    <w:sig w:usb0="00000287" w:usb1="080F0000" w:usb2="00000000" w:usb3="00000000" w:csb0="0004009F" w:csb1="DFD70000"/>
    <w:embedRegular r:id="rId8" w:fontKey="{53B38629-D26D-4E0D-84E9-90DB9B038ACB}"/>
  </w:font>
  <w:font w:name="Wingdings 2">
    <w:panose1 w:val="05020102010507070707"/>
    <w:charset w:val="02"/>
    <w:family w:val="auto"/>
    <w:pitch w:val="default"/>
    <w:sig w:usb0="00000000" w:usb1="00000000" w:usb2="00000000" w:usb3="00000000" w:csb0="80000000" w:csb1="00000000"/>
    <w:embedRegular r:id="rId9" w:fontKey="{EEADE5BE-334A-4D8C-A1AA-E5362948AB78}"/>
  </w:font>
  <w:font w:name="WPSEMBED2">
    <w:panose1 w:val="02010609030101010101"/>
    <w:charset w:val="86"/>
    <w:family w:val="auto"/>
    <w:pitch w:val="default"/>
    <w:sig w:usb0="00000001" w:usb1="080E0000" w:usb2="00000000" w:usb3="00000000" w:csb0="00040000" w:csb1="00000000"/>
  </w:font>
  <w:font w:name="WPSEMBED3">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4">
    <w:panose1 w:val="05020102010507070707"/>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F1DC6">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6BA22">
    <w:pPr>
      <w:pStyle w:val="17"/>
      <w:framePr w:wrap="around" w:vAnchor="text" w:hAnchor="margin" w:xAlign="outside" w:y="1"/>
      <w:rPr>
        <w:rStyle w:val="32"/>
      </w:rPr>
    </w:pPr>
    <w:r>
      <w:rPr>
        <w:rStyle w:val="32"/>
      </w:rPr>
      <w:fldChar w:fldCharType="begin"/>
    </w:r>
    <w:r>
      <w:rPr>
        <w:rStyle w:val="32"/>
      </w:rPr>
      <w:instrText xml:space="preserve">PAGE  </w:instrText>
    </w:r>
    <w:r>
      <w:rPr>
        <w:rStyle w:val="32"/>
      </w:rPr>
      <w:fldChar w:fldCharType="end"/>
    </w:r>
  </w:p>
  <w:p w14:paraId="0E3D6158">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F0842">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1B10F">
    <w:pPr>
      <w:pStyle w:val="17"/>
      <w:ind w:right="360" w:firstLine="36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A997C">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C2B2A6">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58C2B2A6">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4C55F">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AA243F">
                          <w:pPr>
                            <w:pStyle w:val="17"/>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09AA243F">
                    <w:pPr>
                      <w:pStyle w:val="17"/>
                    </w:pPr>
                    <w:r>
                      <w:fldChar w:fldCharType="begin"/>
                    </w:r>
                    <w:r>
                      <w:instrText xml:space="preserve"> PAGE  \* MERGEFORMAT </w:instrText>
                    </w:r>
                    <w:r>
                      <w:fldChar w:fldCharType="separate"/>
                    </w:r>
                    <w:r>
                      <w:t>65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42730">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FF934">
    <w:pPr>
      <w:pBdr>
        <w:bottom w:val="none" w:color="auto" w:sz="0" w:space="1"/>
      </w:pBdr>
      <w:snapToGrid w:val="0"/>
      <w:spacing w:line="240" w:lineRule="auto"/>
      <w:ind w:firstLine="360"/>
      <w:jc w:val="center"/>
      <w:rPr>
        <w:rFonts w:ascii="Times New Roman" w:hAnsi="Times New Roman" w:eastAsia="宋体"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0B3A24"/>
    <w:multiLevelType w:val="singleLevel"/>
    <w:tmpl w:val="FC0B3A24"/>
    <w:lvl w:ilvl="0" w:tentative="0">
      <w:start w:val="1"/>
      <w:numFmt w:val="bullet"/>
      <w:pStyle w:val="14"/>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yZjUyZjZmYmQ0NmZjMzlkZTJmMTc0MDQ0OTg0OGEifQ=="/>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5CF8"/>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6429B"/>
    <w:rsid w:val="00B76F1D"/>
    <w:rsid w:val="00B92A19"/>
    <w:rsid w:val="00B9544C"/>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1AA5"/>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1E3D92"/>
    <w:rsid w:val="022E6257"/>
    <w:rsid w:val="02333C4E"/>
    <w:rsid w:val="024D7AB1"/>
    <w:rsid w:val="02B74C95"/>
    <w:rsid w:val="02D0750C"/>
    <w:rsid w:val="03C92EF7"/>
    <w:rsid w:val="03EA21EE"/>
    <w:rsid w:val="03FC757B"/>
    <w:rsid w:val="04820319"/>
    <w:rsid w:val="048E77AA"/>
    <w:rsid w:val="04EA6DE0"/>
    <w:rsid w:val="04FA2D68"/>
    <w:rsid w:val="052516E4"/>
    <w:rsid w:val="054D49A5"/>
    <w:rsid w:val="05742AC8"/>
    <w:rsid w:val="05E12FE7"/>
    <w:rsid w:val="05FA0056"/>
    <w:rsid w:val="06352F05"/>
    <w:rsid w:val="063E7D85"/>
    <w:rsid w:val="070875E0"/>
    <w:rsid w:val="07293586"/>
    <w:rsid w:val="07295285"/>
    <w:rsid w:val="07770C56"/>
    <w:rsid w:val="0781700E"/>
    <w:rsid w:val="08124BF3"/>
    <w:rsid w:val="08A84413"/>
    <w:rsid w:val="092217DD"/>
    <w:rsid w:val="093A7294"/>
    <w:rsid w:val="09714AFF"/>
    <w:rsid w:val="09CC7600"/>
    <w:rsid w:val="09EC0CD1"/>
    <w:rsid w:val="09F937FE"/>
    <w:rsid w:val="0A3B29B2"/>
    <w:rsid w:val="0BB82B82"/>
    <w:rsid w:val="0BD27BF6"/>
    <w:rsid w:val="0C653A77"/>
    <w:rsid w:val="0D326111"/>
    <w:rsid w:val="0D554902"/>
    <w:rsid w:val="0D6839CF"/>
    <w:rsid w:val="0D777607"/>
    <w:rsid w:val="0DDB0DB7"/>
    <w:rsid w:val="0DEC0132"/>
    <w:rsid w:val="0E005BDF"/>
    <w:rsid w:val="0E110D06"/>
    <w:rsid w:val="0ED26E81"/>
    <w:rsid w:val="0F13775A"/>
    <w:rsid w:val="0F9A112B"/>
    <w:rsid w:val="0FA61CDC"/>
    <w:rsid w:val="0FB85348"/>
    <w:rsid w:val="10673038"/>
    <w:rsid w:val="106D2F64"/>
    <w:rsid w:val="108C2770"/>
    <w:rsid w:val="10B63710"/>
    <w:rsid w:val="111C2F7A"/>
    <w:rsid w:val="113013DE"/>
    <w:rsid w:val="11E409B8"/>
    <w:rsid w:val="11E85E2C"/>
    <w:rsid w:val="122B06C2"/>
    <w:rsid w:val="12DB3617"/>
    <w:rsid w:val="13951726"/>
    <w:rsid w:val="142152F6"/>
    <w:rsid w:val="14396509"/>
    <w:rsid w:val="143F2381"/>
    <w:rsid w:val="1447165C"/>
    <w:rsid w:val="14A76980"/>
    <w:rsid w:val="14F611C1"/>
    <w:rsid w:val="1517701E"/>
    <w:rsid w:val="16637138"/>
    <w:rsid w:val="16A67E93"/>
    <w:rsid w:val="16E16FA3"/>
    <w:rsid w:val="17735226"/>
    <w:rsid w:val="17AF1C77"/>
    <w:rsid w:val="197C51BE"/>
    <w:rsid w:val="19B27315"/>
    <w:rsid w:val="19C0726E"/>
    <w:rsid w:val="1A1C66C0"/>
    <w:rsid w:val="1A42393B"/>
    <w:rsid w:val="1B046F80"/>
    <w:rsid w:val="1B3267B5"/>
    <w:rsid w:val="1BAB44EB"/>
    <w:rsid w:val="1BC25DC8"/>
    <w:rsid w:val="1BF36AC5"/>
    <w:rsid w:val="1C360F7E"/>
    <w:rsid w:val="1C5E7925"/>
    <w:rsid w:val="1C887FC8"/>
    <w:rsid w:val="1C96419E"/>
    <w:rsid w:val="1D5F6196"/>
    <w:rsid w:val="1D6132A5"/>
    <w:rsid w:val="1D8E56D5"/>
    <w:rsid w:val="1E7A43DA"/>
    <w:rsid w:val="1EB277FE"/>
    <w:rsid w:val="1F9235D1"/>
    <w:rsid w:val="1FE7539E"/>
    <w:rsid w:val="206E474D"/>
    <w:rsid w:val="20857D35"/>
    <w:rsid w:val="20963CB8"/>
    <w:rsid w:val="20B07FB6"/>
    <w:rsid w:val="20B4184E"/>
    <w:rsid w:val="213B74B1"/>
    <w:rsid w:val="215A2310"/>
    <w:rsid w:val="21B97A24"/>
    <w:rsid w:val="21DE318A"/>
    <w:rsid w:val="21EF5B80"/>
    <w:rsid w:val="22576990"/>
    <w:rsid w:val="229C4EAB"/>
    <w:rsid w:val="22F11F11"/>
    <w:rsid w:val="23117424"/>
    <w:rsid w:val="23327E90"/>
    <w:rsid w:val="235118D9"/>
    <w:rsid w:val="23D24853"/>
    <w:rsid w:val="24684F13"/>
    <w:rsid w:val="249A262A"/>
    <w:rsid w:val="249B0F29"/>
    <w:rsid w:val="24CD1023"/>
    <w:rsid w:val="252D53FE"/>
    <w:rsid w:val="25EC2D81"/>
    <w:rsid w:val="264528BD"/>
    <w:rsid w:val="27256942"/>
    <w:rsid w:val="27D15DD1"/>
    <w:rsid w:val="280B3B52"/>
    <w:rsid w:val="28377363"/>
    <w:rsid w:val="285315B1"/>
    <w:rsid w:val="28A76295"/>
    <w:rsid w:val="28E640E1"/>
    <w:rsid w:val="29206EB8"/>
    <w:rsid w:val="29861C65"/>
    <w:rsid w:val="29E325E0"/>
    <w:rsid w:val="2A1C21EB"/>
    <w:rsid w:val="2A452503"/>
    <w:rsid w:val="2B023616"/>
    <w:rsid w:val="2B0E09AA"/>
    <w:rsid w:val="2B421465"/>
    <w:rsid w:val="2BA936A8"/>
    <w:rsid w:val="2C237519"/>
    <w:rsid w:val="2C315A5A"/>
    <w:rsid w:val="2C5B4458"/>
    <w:rsid w:val="2C7470B4"/>
    <w:rsid w:val="2CA157AA"/>
    <w:rsid w:val="2CDC69C6"/>
    <w:rsid w:val="2D9E56F5"/>
    <w:rsid w:val="2E667F96"/>
    <w:rsid w:val="2E691C79"/>
    <w:rsid w:val="2E8226AB"/>
    <w:rsid w:val="2EC70948"/>
    <w:rsid w:val="2F832C79"/>
    <w:rsid w:val="2FD654C1"/>
    <w:rsid w:val="2FEF2D58"/>
    <w:rsid w:val="30537A47"/>
    <w:rsid w:val="30580BC9"/>
    <w:rsid w:val="30A80E42"/>
    <w:rsid w:val="30C776F3"/>
    <w:rsid w:val="311E2ED7"/>
    <w:rsid w:val="315C449C"/>
    <w:rsid w:val="31B82709"/>
    <w:rsid w:val="31CD66FE"/>
    <w:rsid w:val="32400B34"/>
    <w:rsid w:val="329E6876"/>
    <w:rsid w:val="33D934D4"/>
    <w:rsid w:val="33FE2F6A"/>
    <w:rsid w:val="349A1467"/>
    <w:rsid w:val="350A4AEB"/>
    <w:rsid w:val="35275B97"/>
    <w:rsid w:val="353F3DB0"/>
    <w:rsid w:val="356351EE"/>
    <w:rsid w:val="35DD42D9"/>
    <w:rsid w:val="35E6311C"/>
    <w:rsid w:val="36074A7F"/>
    <w:rsid w:val="36747C8E"/>
    <w:rsid w:val="36923549"/>
    <w:rsid w:val="36B75FBF"/>
    <w:rsid w:val="36FB4891"/>
    <w:rsid w:val="38F12CD3"/>
    <w:rsid w:val="38F94775"/>
    <w:rsid w:val="392971ED"/>
    <w:rsid w:val="399D2B4C"/>
    <w:rsid w:val="39B97BAA"/>
    <w:rsid w:val="3AAC03B0"/>
    <w:rsid w:val="3B1F416E"/>
    <w:rsid w:val="3B2B6F16"/>
    <w:rsid w:val="3B3763D1"/>
    <w:rsid w:val="3B865FD9"/>
    <w:rsid w:val="3BF245AD"/>
    <w:rsid w:val="3C070E32"/>
    <w:rsid w:val="3C2F0D84"/>
    <w:rsid w:val="3CDA245A"/>
    <w:rsid w:val="3CEE0A37"/>
    <w:rsid w:val="3D1B17CC"/>
    <w:rsid w:val="3D2F04BC"/>
    <w:rsid w:val="3DAC6ECF"/>
    <w:rsid w:val="3DE33800"/>
    <w:rsid w:val="3DEA2C57"/>
    <w:rsid w:val="3E480196"/>
    <w:rsid w:val="3EDB22B7"/>
    <w:rsid w:val="3F0A735E"/>
    <w:rsid w:val="3F11495A"/>
    <w:rsid w:val="3F660E74"/>
    <w:rsid w:val="407A6407"/>
    <w:rsid w:val="41D26249"/>
    <w:rsid w:val="42233809"/>
    <w:rsid w:val="423A3BCC"/>
    <w:rsid w:val="431860BE"/>
    <w:rsid w:val="433A6FE6"/>
    <w:rsid w:val="4350713C"/>
    <w:rsid w:val="436653E0"/>
    <w:rsid w:val="44C40B15"/>
    <w:rsid w:val="44CD14E0"/>
    <w:rsid w:val="44EB4A5E"/>
    <w:rsid w:val="44EF2301"/>
    <w:rsid w:val="45255ED6"/>
    <w:rsid w:val="455A4D94"/>
    <w:rsid w:val="458946E9"/>
    <w:rsid w:val="45BD2651"/>
    <w:rsid w:val="46D955A7"/>
    <w:rsid w:val="46FC7DA4"/>
    <w:rsid w:val="47133957"/>
    <w:rsid w:val="475805D2"/>
    <w:rsid w:val="4779329E"/>
    <w:rsid w:val="47A07E0C"/>
    <w:rsid w:val="482E0E67"/>
    <w:rsid w:val="4870272E"/>
    <w:rsid w:val="48BA5AC8"/>
    <w:rsid w:val="496442C4"/>
    <w:rsid w:val="49B55002"/>
    <w:rsid w:val="49C5259B"/>
    <w:rsid w:val="49DC7715"/>
    <w:rsid w:val="49E81EAB"/>
    <w:rsid w:val="4A023139"/>
    <w:rsid w:val="4A502BC1"/>
    <w:rsid w:val="4A517BB2"/>
    <w:rsid w:val="4A7272BC"/>
    <w:rsid w:val="4A7B576F"/>
    <w:rsid w:val="4B2C4394"/>
    <w:rsid w:val="4C062AB5"/>
    <w:rsid w:val="4C4A0649"/>
    <w:rsid w:val="4CE470D3"/>
    <w:rsid w:val="4DD241DA"/>
    <w:rsid w:val="4DEC4FB0"/>
    <w:rsid w:val="4E075D8A"/>
    <w:rsid w:val="4E5B79A0"/>
    <w:rsid w:val="4EB00945"/>
    <w:rsid w:val="4EFA30B2"/>
    <w:rsid w:val="4FA04FEA"/>
    <w:rsid w:val="4FC56AE1"/>
    <w:rsid w:val="4FC62A8C"/>
    <w:rsid w:val="4FE20F0D"/>
    <w:rsid w:val="4FF320AE"/>
    <w:rsid w:val="502E6FA6"/>
    <w:rsid w:val="50504C4B"/>
    <w:rsid w:val="509C6E7C"/>
    <w:rsid w:val="50B04F6A"/>
    <w:rsid w:val="50B85183"/>
    <w:rsid w:val="51502F69"/>
    <w:rsid w:val="5162104E"/>
    <w:rsid w:val="529555A9"/>
    <w:rsid w:val="52FA487D"/>
    <w:rsid w:val="533A40A4"/>
    <w:rsid w:val="53456529"/>
    <w:rsid w:val="53503485"/>
    <w:rsid w:val="53585D88"/>
    <w:rsid w:val="53A039CC"/>
    <w:rsid w:val="53A1505A"/>
    <w:rsid w:val="54063E08"/>
    <w:rsid w:val="543437E8"/>
    <w:rsid w:val="5436405E"/>
    <w:rsid w:val="54531091"/>
    <w:rsid w:val="55684996"/>
    <w:rsid w:val="559B174B"/>
    <w:rsid w:val="55B82E8D"/>
    <w:rsid w:val="55CE0CF4"/>
    <w:rsid w:val="56746522"/>
    <w:rsid w:val="56B07BF7"/>
    <w:rsid w:val="56B22A9C"/>
    <w:rsid w:val="573F0A3D"/>
    <w:rsid w:val="576F3F4D"/>
    <w:rsid w:val="57B72A76"/>
    <w:rsid w:val="582A699C"/>
    <w:rsid w:val="589C5CF1"/>
    <w:rsid w:val="58A9602E"/>
    <w:rsid w:val="58C03AD0"/>
    <w:rsid w:val="58D263C5"/>
    <w:rsid w:val="597E26AE"/>
    <w:rsid w:val="59FF4F75"/>
    <w:rsid w:val="5A1F3A41"/>
    <w:rsid w:val="5A3C747D"/>
    <w:rsid w:val="5A443310"/>
    <w:rsid w:val="5A8A45B8"/>
    <w:rsid w:val="5ABE2233"/>
    <w:rsid w:val="5AD03C8C"/>
    <w:rsid w:val="5AD140A2"/>
    <w:rsid w:val="5B276D18"/>
    <w:rsid w:val="5B3E46F5"/>
    <w:rsid w:val="5B4E25B8"/>
    <w:rsid w:val="5B597725"/>
    <w:rsid w:val="5BBE6674"/>
    <w:rsid w:val="5BDF5D95"/>
    <w:rsid w:val="5C4B3703"/>
    <w:rsid w:val="5C562C08"/>
    <w:rsid w:val="5CF31DA9"/>
    <w:rsid w:val="5D08375B"/>
    <w:rsid w:val="5D2742D9"/>
    <w:rsid w:val="5D910CA8"/>
    <w:rsid w:val="5DAE62A1"/>
    <w:rsid w:val="5DF87A0F"/>
    <w:rsid w:val="5E227B93"/>
    <w:rsid w:val="5E2E0723"/>
    <w:rsid w:val="5F1A2B43"/>
    <w:rsid w:val="5F6258A9"/>
    <w:rsid w:val="5FB837BB"/>
    <w:rsid w:val="60533B27"/>
    <w:rsid w:val="60543290"/>
    <w:rsid w:val="60D13BB5"/>
    <w:rsid w:val="61477143"/>
    <w:rsid w:val="615D3AB6"/>
    <w:rsid w:val="61B76844"/>
    <w:rsid w:val="61D62F42"/>
    <w:rsid w:val="62364782"/>
    <w:rsid w:val="626F4D3F"/>
    <w:rsid w:val="637406A9"/>
    <w:rsid w:val="63A70070"/>
    <w:rsid w:val="63BD0CB2"/>
    <w:rsid w:val="63CB3161"/>
    <w:rsid w:val="63D40BE9"/>
    <w:rsid w:val="63E0211F"/>
    <w:rsid w:val="63E2527D"/>
    <w:rsid w:val="6446181C"/>
    <w:rsid w:val="64466D55"/>
    <w:rsid w:val="65171074"/>
    <w:rsid w:val="65373578"/>
    <w:rsid w:val="653F1A99"/>
    <w:rsid w:val="666A7189"/>
    <w:rsid w:val="673F2C7A"/>
    <w:rsid w:val="679B254A"/>
    <w:rsid w:val="67FB328F"/>
    <w:rsid w:val="681F6961"/>
    <w:rsid w:val="68610A2F"/>
    <w:rsid w:val="68805514"/>
    <w:rsid w:val="68DE6DAC"/>
    <w:rsid w:val="68E75DB4"/>
    <w:rsid w:val="690A2E55"/>
    <w:rsid w:val="694E2071"/>
    <w:rsid w:val="697A3B33"/>
    <w:rsid w:val="699E2456"/>
    <w:rsid w:val="6B144D07"/>
    <w:rsid w:val="6B322639"/>
    <w:rsid w:val="6BC73306"/>
    <w:rsid w:val="6C426D2F"/>
    <w:rsid w:val="6C636C38"/>
    <w:rsid w:val="6D8F52CD"/>
    <w:rsid w:val="6D902CAC"/>
    <w:rsid w:val="6DB34098"/>
    <w:rsid w:val="6DB545B6"/>
    <w:rsid w:val="6DE62BCC"/>
    <w:rsid w:val="6E16339D"/>
    <w:rsid w:val="6E1C32B9"/>
    <w:rsid w:val="6E4375A0"/>
    <w:rsid w:val="6E514CED"/>
    <w:rsid w:val="6E79491A"/>
    <w:rsid w:val="6E8A2486"/>
    <w:rsid w:val="6EB563D5"/>
    <w:rsid w:val="6EE5103B"/>
    <w:rsid w:val="6F225983"/>
    <w:rsid w:val="6F2C37C8"/>
    <w:rsid w:val="6F5F578F"/>
    <w:rsid w:val="6FC14FD2"/>
    <w:rsid w:val="6FE027E9"/>
    <w:rsid w:val="6FFC5590"/>
    <w:rsid w:val="702D28A2"/>
    <w:rsid w:val="70301DA3"/>
    <w:rsid w:val="70334A73"/>
    <w:rsid w:val="706D1DD0"/>
    <w:rsid w:val="70856B87"/>
    <w:rsid w:val="70BD5A35"/>
    <w:rsid w:val="70D527EE"/>
    <w:rsid w:val="710518A7"/>
    <w:rsid w:val="7148306B"/>
    <w:rsid w:val="715B5300"/>
    <w:rsid w:val="715F4BD7"/>
    <w:rsid w:val="71C468CD"/>
    <w:rsid w:val="71D27F8A"/>
    <w:rsid w:val="71F744C6"/>
    <w:rsid w:val="71F960CF"/>
    <w:rsid w:val="7206716E"/>
    <w:rsid w:val="72B611C7"/>
    <w:rsid w:val="72D53A0F"/>
    <w:rsid w:val="731F5D5E"/>
    <w:rsid w:val="732D4BB8"/>
    <w:rsid w:val="73731CDD"/>
    <w:rsid w:val="741E793C"/>
    <w:rsid w:val="74492FD5"/>
    <w:rsid w:val="74B05989"/>
    <w:rsid w:val="74D96178"/>
    <w:rsid w:val="753C50AD"/>
    <w:rsid w:val="753F1D38"/>
    <w:rsid w:val="758D75E2"/>
    <w:rsid w:val="763A11EB"/>
    <w:rsid w:val="765A3227"/>
    <w:rsid w:val="773109EF"/>
    <w:rsid w:val="775E7E32"/>
    <w:rsid w:val="77762421"/>
    <w:rsid w:val="77A457E4"/>
    <w:rsid w:val="77B2115B"/>
    <w:rsid w:val="77BA6A14"/>
    <w:rsid w:val="77C15BFA"/>
    <w:rsid w:val="780F09F4"/>
    <w:rsid w:val="789A07EC"/>
    <w:rsid w:val="789C4F47"/>
    <w:rsid w:val="78A90480"/>
    <w:rsid w:val="78C466ED"/>
    <w:rsid w:val="78E32BCE"/>
    <w:rsid w:val="78EC5A75"/>
    <w:rsid w:val="79151F28"/>
    <w:rsid w:val="79811327"/>
    <w:rsid w:val="7A364017"/>
    <w:rsid w:val="7A771FC3"/>
    <w:rsid w:val="7A8265E1"/>
    <w:rsid w:val="7A8A28F0"/>
    <w:rsid w:val="7AA243E6"/>
    <w:rsid w:val="7AB109EC"/>
    <w:rsid w:val="7B686D42"/>
    <w:rsid w:val="7B841746"/>
    <w:rsid w:val="7C0D714B"/>
    <w:rsid w:val="7C3E029F"/>
    <w:rsid w:val="7C62755B"/>
    <w:rsid w:val="7CC13513"/>
    <w:rsid w:val="7CC60DD9"/>
    <w:rsid w:val="7D0239FF"/>
    <w:rsid w:val="7D45197A"/>
    <w:rsid w:val="7D5E40CD"/>
    <w:rsid w:val="7D693BED"/>
    <w:rsid w:val="7F327B00"/>
    <w:rsid w:val="7FE47E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ocked="1"/>
    <w:lsdException w:qFormat="1" w:unhideWhenUsed="0" w:uiPriority="0" w:semiHidden="0" w:name="heading 3" w:locked="1"/>
    <w:lsdException w:qFormat="1" w:unhideWhenUsed="0" w:uiPriority="99"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99" w:semiHidden="0" w:name="index heading"/>
    <w:lsdException w:unhideWhenUsed="0" w:uiPriority="0" w:semiHidden="0" w:name="caption" w:locked="1"/>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qFormat="1" w:unhideWhenUsed="0" w:uiPriority="99" w:semiHidden="0" w:name="Plain Text"/>
    <w:lsdException w:qFormat="1"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99"/>
    <w:pPr>
      <w:keepNext/>
      <w:keepLines/>
      <w:spacing w:before="20" w:after="20" w:line="560" w:lineRule="exact"/>
      <w:jc w:val="left"/>
      <w:outlineLvl w:val="1"/>
    </w:pPr>
    <w:rPr>
      <w:b/>
      <w:bCs/>
      <w:kern w:val="0"/>
      <w:sz w:val="28"/>
      <w:szCs w:val="28"/>
    </w:rPr>
  </w:style>
  <w:style w:type="paragraph" w:styleId="6">
    <w:name w:val="heading 3"/>
    <w:basedOn w:val="1"/>
    <w:next w:val="1"/>
    <w:qFormat/>
    <w:locked/>
    <w:uiPriority w:val="0"/>
    <w:pPr>
      <w:keepNext/>
      <w:keepLines/>
      <w:spacing w:before="260" w:beforeLines="0" w:after="260" w:afterLines="0" w:line="415" w:lineRule="auto"/>
      <w:outlineLvl w:val="2"/>
    </w:pPr>
    <w:rPr>
      <w:b/>
      <w:bCs/>
      <w:sz w:val="32"/>
      <w:szCs w:val="32"/>
    </w:rPr>
  </w:style>
  <w:style w:type="paragraph" w:styleId="7">
    <w:name w:val="heading 4"/>
    <w:basedOn w:val="1"/>
    <w:next w:val="1"/>
    <w:qFormat/>
    <w:locked/>
    <w:uiPriority w:val="99"/>
    <w:pPr>
      <w:keepNext/>
      <w:keepLines/>
      <w:tabs>
        <w:tab w:val="left" w:pos="993"/>
        <w:tab w:val="left" w:pos="8497"/>
      </w:tabs>
      <w:spacing w:line="376" w:lineRule="auto"/>
      <w:outlineLvl w:val="3"/>
    </w:pPr>
    <w:rPr>
      <w:rFonts w:ascii="Cambria" w:hAnsi="Cambria"/>
      <w:b/>
      <w:sz w:val="28"/>
      <w:szCs w:val="20"/>
    </w:rPr>
  </w:style>
  <w:style w:type="character" w:default="1" w:styleId="31">
    <w:name w:val="Default Paragraph Font"/>
    <w:semiHidden/>
    <w:qFormat/>
    <w:uiPriority w:val="0"/>
  </w:style>
  <w:style w:type="table" w:default="1" w:styleId="29">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pPr>
  </w:style>
  <w:style w:type="paragraph" w:styleId="3">
    <w:name w:val="Body Text Indent"/>
    <w:basedOn w:val="1"/>
    <w:next w:val="2"/>
    <w:link w:val="37"/>
    <w:semiHidden/>
    <w:qFormat/>
    <w:uiPriority w:val="0"/>
    <w:pPr>
      <w:spacing w:after="120"/>
      <w:ind w:left="420" w:leftChars="200"/>
    </w:pPr>
  </w:style>
  <w:style w:type="paragraph" w:styleId="8">
    <w:name w:val="E-mail Signature"/>
    <w:basedOn w:val="1"/>
    <w:next w:val="1"/>
    <w:unhideWhenUsed/>
    <w:qFormat/>
    <w:uiPriority w:val="0"/>
    <w:pPr>
      <w:widowControl/>
      <w:spacing w:line="240" w:lineRule="auto"/>
      <w:ind w:firstLine="0" w:firstLineChars="0"/>
      <w:jc w:val="center"/>
    </w:pPr>
    <w:rPr>
      <w:kern w:val="0"/>
      <w:sz w:val="18"/>
    </w:rPr>
  </w:style>
  <w:style w:type="paragraph" w:styleId="9">
    <w:name w:val="Normal Indent"/>
    <w:basedOn w:val="1"/>
    <w:qFormat/>
    <w:uiPriority w:val="99"/>
    <w:pPr>
      <w:ind w:firstLine="420"/>
    </w:pPr>
    <w:rPr>
      <w:szCs w:val="20"/>
    </w:rPr>
  </w:style>
  <w:style w:type="paragraph" w:styleId="10">
    <w:name w:val="annotation text"/>
    <w:basedOn w:val="1"/>
    <w:link w:val="35"/>
    <w:semiHidden/>
    <w:qFormat/>
    <w:uiPriority w:val="0"/>
    <w:pPr>
      <w:jc w:val="left"/>
    </w:pPr>
    <w:rPr>
      <w:kern w:val="0"/>
      <w:sz w:val="20"/>
    </w:rPr>
  </w:style>
  <w:style w:type="paragraph" w:styleId="11">
    <w:name w:val="Body Text"/>
    <w:basedOn w:val="1"/>
    <w:link w:val="36"/>
    <w:qFormat/>
    <w:uiPriority w:val="0"/>
    <w:pPr>
      <w:widowControl/>
      <w:snapToGrid w:val="0"/>
      <w:spacing w:before="60" w:after="160" w:line="259" w:lineRule="auto"/>
      <w:ind w:right="113"/>
    </w:pPr>
    <w:rPr>
      <w:kern w:val="0"/>
      <w:sz w:val="18"/>
      <w:szCs w:val="18"/>
    </w:rPr>
  </w:style>
  <w:style w:type="paragraph" w:styleId="12">
    <w:name w:val="List 2"/>
    <w:basedOn w:val="1"/>
    <w:unhideWhenUsed/>
    <w:qFormat/>
    <w:uiPriority w:val="0"/>
    <w:pPr>
      <w:spacing w:line="360" w:lineRule="auto"/>
      <w:ind w:left="100" w:leftChars="200" w:hanging="200" w:hangingChars="200"/>
      <w:contextualSpacing/>
    </w:pPr>
    <w:rPr>
      <w:rFonts w:ascii="Calibri" w:hAnsi="Calibri" w:eastAsia="仿宋" w:cs="Times New Roman"/>
      <w:sz w:val="28"/>
    </w:rPr>
  </w:style>
  <w:style w:type="paragraph" w:styleId="13">
    <w:name w:val="Plain Text"/>
    <w:basedOn w:val="1"/>
    <w:qFormat/>
    <w:uiPriority w:val="99"/>
    <w:rPr>
      <w:rFonts w:hint="eastAsia" w:ascii="宋体" w:hAnsi="Courier New"/>
      <w:szCs w:val="20"/>
    </w:rPr>
  </w:style>
  <w:style w:type="paragraph" w:styleId="14">
    <w:name w:val="List Bullet 5"/>
    <w:basedOn w:val="1"/>
    <w:qFormat/>
    <w:uiPriority w:val="0"/>
    <w:pPr>
      <w:numPr>
        <w:ilvl w:val="0"/>
        <w:numId w:val="1"/>
      </w:numPr>
    </w:pPr>
  </w:style>
  <w:style w:type="paragraph" w:styleId="15">
    <w:name w:val="Date"/>
    <w:basedOn w:val="1"/>
    <w:next w:val="1"/>
    <w:link w:val="38"/>
    <w:qFormat/>
    <w:uiPriority w:val="0"/>
    <w:pPr>
      <w:ind w:left="100" w:leftChars="2500"/>
    </w:pPr>
    <w:rPr>
      <w:kern w:val="0"/>
      <w:sz w:val="20"/>
    </w:rPr>
  </w:style>
  <w:style w:type="paragraph" w:styleId="16">
    <w:name w:val="Balloon Text"/>
    <w:basedOn w:val="1"/>
    <w:link w:val="39"/>
    <w:semiHidden/>
    <w:qFormat/>
    <w:uiPriority w:val="0"/>
    <w:rPr>
      <w:sz w:val="18"/>
      <w:szCs w:val="18"/>
    </w:rPr>
  </w:style>
  <w:style w:type="paragraph" w:styleId="17">
    <w:name w:val="footer"/>
    <w:basedOn w:val="1"/>
    <w:link w:val="40"/>
    <w:qFormat/>
    <w:uiPriority w:val="0"/>
    <w:pPr>
      <w:tabs>
        <w:tab w:val="center" w:pos="4153"/>
        <w:tab w:val="right" w:pos="8306"/>
      </w:tabs>
      <w:snapToGrid w:val="0"/>
      <w:jc w:val="left"/>
    </w:pPr>
    <w:rPr>
      <w:sz w:val="18"/>
      <w:szCs w:val="18"/>
    </w:rPr>
  </w:style>
  <w:style w:type="paragraph" w:styleId="18">
    <w:name w:val="header"/>
    <w:basedOn w:val="1"/>
    <w:link w:val="4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locked/>
    <w:uiPriority w:val="0"/>
  </w:style>
  <w:style w:type="paragraph" w:styleId="20">
    <w:name w:val="index heading"/>
    <w:basedOn w:val="1"/>
    <w:next w:val="21"/>
    <w:qFormat/>
    <w:uiPriority w:val="99"/>
    <w:rPr>
      <w:szCs w:val="20"/>
    </w:rPr>
  </w:style>
  <w:style w:type="paragraph" w:styleId="21">
    <w:name w:val="index 1"/>
    <w:basedOn w:val="1"/>
    <w:next w:val="1"/>
    <w:qFormat/>
    <w:uiPriority w:val="0"/>
    <w:rPr>
      <w:szCs w:val="20"/>
    </w:rPr>
  </w:style>
  <w:style w:type="paragraph" w:styleId="22">
    <w:name w:val="List"/>
    <w:basedOn w:val="1"/>
    <w:next w:val="1"/>
    <w:qFormat/>
    <w:uiPriority w:val="0"/>
    <w:pPr>
      <w:ind w:left="200" w:hanging="200" w:hangingChars="200"/>
    </w:pPr>
    <w:rPr>
      <w:rFonts w:ascii="Times New Roman" w:hAnsi="Times New Roman"/>
      <w:szCs w:val="24"/>
    </w:rPr>
  </w:style>
  <w:style w:type="paragraph" w:styleId="23">
    <w:name w:val="table of figures"/>
    <w:basedOn w:val="1"/>
    <w:next w:val="1"/>
    <w:qFormat/>
    <w:uiPriority w:val="0"/>
    <w:pPr>
      <w:spacing w:line="360" w:lineRule="auto"/>
      <w:ind w:left="400" w:leftChars="200" w:hanging="200" w:hangingChars="200"/>
    </w:pPr>
    <w:rPr>
      <w:sz w:val="24"/>
    </w:rPr>
  </w:style>
  <w:style w:type="paragraph" w:styleId="2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5">
    <w:name w:val="Normal (Web)"/>
    <w:basedOn w:val="1"/>
    <w:link w:val="42"/>
    <w:qFormat/>
    <w:uiPriority w:val="0"/>
    <w:pPr>
      <w:widowControl/>
      <w:spacing w:before="100" w:beforeAutospacing="1" w:after="100" w:afterAutospacing="1"/>
      <w:jc w:val="left"/>
    </w:pPr>
    <w:rPr>
      <w:rFonts w:ascii="宋体" w:hAnsi="宋体"/>
      <w:kern w:val="0"/>
      <w:sz w:val="24"/>
    </w:rPr>
  </w:style>
  <w:style w:type="paragraph" w:styleId="26">
    <w:name w:val="Title"/>
    <w:basedOn w:val="1"/>
    <w:next w:val="1"/>
    <w:qFormat/>
    <w:locked/>
    <w:uiPriority w:val="0"/>
    <w:pPr>
      <w:spacing w:before="240" w:after="60"/>
      <w:jc w:val="center"/>
      <w:outlineLvl w:val="0"/>
    </w:pPr>
    <w:rPr>
      <w:rFonts w:ascii="Cambria" w:hAnsi="Cambria"/>
      <w:b/>
      <w:bCs/>
      <w:sz w:val="32"/>
      <w:szCs w:val="32"/>
    </w:rPr>
  </w:style>
  <w:style w:type="paragraph" w:styleId="27">
    <w:name w:val="annotation subject"/>
    <w:basedOn w:val="10"/>
    <w:next w:val="10"/>
    <w:link w:val="43"/>
    <w:semiHidden/>
    <w:qFormat/>
    <w:uiPriority w:val="0"/>
    <w:rPr>
      <w:b/>
      <w:bCs/>
    </w:rPr>
  </w:style>
  <w:style w:type="paragraph" w:styleId="28">
    <w:name w:val="Body Text First Indent"/>
    <w:basedOn w:val="11"/>
    <w:next w:val="1"/>
    <w:qFormat/>
    <w:uiPriority w:val="0"/>
    <w:pPr>
      <w:spacing w:after="120" w:line="520" w:lineRule="exact"/>
      <w:ind w:firstLine="420" w:firstLineChars="100"/>
    </w:pPr>
    <w:rPr>
      <w:sz w:val="24"/>
      <w:szCs w:val="24"/>
    </w:rPr>
  </w:style>
  <w:style w:type="table" w:styleId="30">
    <w:name w:val="Table Grid"/>
    <w:basedOn w:val="2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uiPriority w:val="0"/>
  </w:style>
  <w:style w:type="character" w:styleId="33">
    <w:name w:val="Hyperlink"/>
    <w:basedOn w:val="31"/>
    <w:qFormat/>
    <w:uiPriority w:val="0"/>
    <w:rPr>
      <w:color w:val="0000FF"/>
      <w:u w:val="single"/>
    </w:rPr>
  </w:style>
  <w:style w:type="character" w:styleId="34">
    <w:name w:val="annotation reference"/>
    <w:basedOn w:val="31"/>
    <w:semiHidden/>
    <w:qFormat/>
    <w:uiPriority w:val="0"/>
    <w:rPr>
      <w:sz w:val="21"/>
    </w:rPr>
  </w:style>
  <w:style w:type="character" w:customStyle="1" w:styleId="35">
    <w:name w:val="Comment Text Char"/>
    <w:link w:val="10"/>
    <w:qFormat/>
    <w:locked/>
    <w:uiPriority w:val="0"/>
    <w:rPr>
      <w:rFonts w:ascii="Times New Roman" w:hAnsi="Times New Roman" w:eastAsia="宋体"/>
      <w:sz w:val="24"/>
    </w:rPr>
  </w:style>
  <w:style w:type="character" w:customStyle="1" w:styleId="36">
    <w:name w:val="Body Text Char"/>
    <w:link w:val="11"/>
    <w:qFormat/>
    <w:locked/>
    <w:uiPriority w:val="0"/>
    <w:rPr>
      <w:sz w:val="18"/>
    </w:rPr>
  </w:style>
  <w:style w:type="character" w:customStyle="1" w:styleId="37">
    <w:name w:val="Body Text Indent Char"/>
    <w:basedOn w:val="31"/>
    <w:link w:val="3"/>
    <w:semiHidden/>
    <w:qFormat/>
    <w:locked/>
    <w:uiPriority w:val="0"/>
    <w:rPr>
      <w:rFonts w:ascii="Times New Roman" w:hAnsi="Times New Roman" w:eastAsia="宋体" w:cs="Times New Roman"/>
      <w:sz w:val="24"/>
      <w:szCs w:val="24"/>
    </w:rPr>
  </w:style>
  <w:style w:type="character" w:customStyle="1" w:styleId="38">
    <w:name w:val="Date Char"/>
    <w:link w:val="15"/>
    <w:qFormat/>
    <w:locked/>
    <w:uiPriority w:val="0"/>
    <w:rPr>
      <w:rFonts w:ascii="Times New Roman" w:hAnsi="Times New Roman" w:eastAsia="宋体"/>
      <w:sz w:val="24"/>
    </w:rPr>
  </w:style>
  <w:style w:type="character" w:customStyle="1" w:styleId="39">
    <w:name w:val="Balloon Text Char"/>
    <w:basedOn w:val="31"/>
    <w:link w:val="16"/>
    <w:semiHidden/>
    <w:qFormat/>
    <w:locked/>
    <w:uiPriority w:val="0"/>
    <w:rPr>
      <w:rFonts w:ascii="Times New Roman" w:hAnsi="Times New Roman" w:eastAsia="宋体" w:cs="Times New Roman"/>
      <w:sz w:val="18"/>
      <w:szCs w:val="18"/>
    </w:rPr>
  </w:style>
  <w:style w:type="character" w:customStyle="1" w:styleId="40">
    <w:name w:val="Footer Char"/>
    <w:basedOn w:val="31"/>
    <w:link w:val="17"/>
    <w:qFormat/>
    <w:locked/>
    <w:uiPriority w:val="0"/>
    <w:rPr>
      <w:rFonts w:cs="Times New Roman"/>
      <w:sz w:val="18"/>
      <w:szCs w:val="18"/>
    </w:rPr>
  </w:style>
  <w:style w:type="character" w:customStyle="1" w:styleId="41">
    <w:name w:val="Header Char"/>
    <w:basedOn w:val="31"/>
    <w:link w:val="18"/>
    <w:qFormat/>
    <w:locked/>
    <w:uiPriority w:val="0"/>
    <w:rPr>
      <w:rFonts w:cs="Times New Roman"/>
      <w:sz w:val="18"/>
      <w:szCs w:val="18"/>
    </w:rPr>
  </w:style>
  <w:style w:type="character" w:customStyle="1" w:styleId="42">
    <w:name w:val="Normal (Web) Char"/>
    <w:link w:val="25"/>
    <w:qFormat/>
    <w:locked/>
    <w:uiPriority w:val="0"/>
    <w:rPr>
      <w:rFonts w:ascii="宋体" w:hAnsi="宋体" w:eastAsia="宋体"/>
      <w:sz w:val="24"/>
    </w:rPr>
  </w:style>
  <w:style w:type="character" w:customStyle="1" w:styleId="43">
    <w:name w:val="Comment Subject Char"/>
    <w:basedOn w:val="35"/>
    <w:link w:val="27"/>
    <w:semiHidden/>
    <w:qFormat/>
    <w:locked/>
    <w:uiPriority w:val="0"/>
    <w:rPr>
      <w:rFonts w:cs="Times New Roman"/>
      <w:b/>
      <w:bCs/>
      <w:kern w:val="2"/>
      <w:szCs w:val="24"/>
    </w:rPr>
  </w:style>
  <w:style w:type="paragraph" w:customStyle="1" w:styleId="44">
    <w:name w:val="样式 正文文本 + 首行缩进:  2 字符"/>
    <w:basedOn w:val="11"/>
    <w:next w:val="1"/>
    <w:qFormat/>
    <w:uiPriority w:val="0"/>
    <w:pPr>
      <w:spacing w:after="0" w:line="500" w:lineRule="atLeast"/>
      <w:ind w:firstLine="200" w:firstLineChars="200"/>
    </w:pPr>
    <w:rPr>
      <w:sz w:val="28"/>
      <w:szCs w:val="20"/>
    </w:rPr>
  </w:style>
  <w:style w:type="paragraph" w:customStyle="1" w:styleId="45">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Calibri" w:hAnsi="Calibri" w:eastAsia="Arial Unicode MS"/>
      <w:kern w:val="0"/>
      <w:szCs w:val="21"/>
    </w:rPr>
  </w:style>
  <w:style w:type="paragraph" w:customStyle="1" w:styleId="46">
    <w:name w:val="Default"/>
    <w:basedOn w:val="47"/>
    <w:next w:val="1"/>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47">
    <w:name w:val="1 表头"/>
    <w:basedOn w:val="1"/>
    <w:qFormat/>
    <w:uiPriority w:val="0"/>
    <w:pPr>
      <w:adjustRightInd w:val="0"/>
      <w:snapToGrid w:val="0"/>
      <w:jc w:val="center"/>
    </w:pPr>
    <w:rPr>
      <w:b/>
      <w:color w:val="000000"/>
      <w:szCs w:val="21"/>
    </w:rPr>
  </w:style>
  <w:style w:type="paragraph" w:customStyle="1" w:styleId="48">
    <w:name w:val="纯文本1"/>
    <w:basedOn w:val="1"/>
    <w:qFormat/>
    <w:uiPriority w:val="0"/>
    <w:pPr>
      <w:adjustRightInd w:val="0"/>
    </w:pPr>
    <w:rPr>
      <w:rFonts w:ascii="宋体" w:hAnsi="Courier New"/>
      <w:szCs w:val="20"/>
    </w:rPr>
  </w:style>
  <w:style w:type="paragraph" w:customStyle="1" w:styleId="49">
    <w:name w:val="表格内"/>
    <w:basedOn w:val="1"/>
    <w:qFormat/>
    <w:uiPriority w:val="0"/>
    <w:pPr>
      <w:adjustRightInd w:val="0"/>
      <w:snapToGrid w:val="0"/>
      <w:spacing w:line="360" w:lineRule="exact"/>
      <w:jc w:val="center"/>
    </w:pPr>
    <w:rPr>
      <w:rFonts w:ascii="宋体"/>
      <w:snapToGrid w:val="0"/>
      <w:kern w:val="0"/>
      <w:sz w:val="20"/>
      <w:szCs w:val="21"/>
    </w:rPr>
  </w:style>
  <w:style w:type="paragraph" w:customStyle="1" w:styleId="50">
    <w:name w:val="样式 标题 3 + 无下划线"/>
    <w:basedOn w:val="6"/>
    <w:qFormat/>
    <w:uiPriority w:val="0"/>
    <w:pPr>
      <w:keepNext w:val="0"/>
      <w:keepLines w:val="0"/>
      <w:tabs>
        <w:tab w:val="left" w:pos="993"/>
        <w:tab w:val="left" w:pos="8497"/>
      </w:tabs>
      <w:kinsoku w:val="0"/>
      <w:ind w:left="993"/>
    </w:pPr>
    <w:rPr>
      <w:snapToGrid w:val="0"/>
      <w:color w:val="000000"/>
      <w:kern w:val="0"/>
      <w:sz w:val="28"/>
      <w:szCs w:val="28"/>
    </w:rPr>
  </w:style>
  <w:style w:type="paragraph" w:customStyle="1" w:styleId="51">
    <w:name w:val="样式 标题 4 + 左侧:  0 厘米 首行缩进:  0 厘米"/>
    <w:basedOn w:val="7"/>
    <w:qFormat/>
    <w:uiPriority w:val="0"/>
    <w:pPr>
      <w:tabs>
        <w:tab w:val="left" w:pos="723"/>
      </w:tabs>
    </w:pPr>
    <w:rPr>
      <w:rFonts w:cs="宋体"/>
      <w:szCs w:val="20"/>
    </w:rPr>
  </w:style>
  <w:style w:type="character" w:customStyle="1" w:styleId="52">
    <w:name w:val="日期 字符"/>
    <w:basedOn w:val="31"/>
    <w:semiHidden/>
    <w:qFormat/>
    <w:uiPriority w:val="0"/>
    <w:rPr>
      <w:rFonts w:ascii="Times New Roman" w:hAnsi="Times New Roman" w:eastAsia="宋体" w:cs="Times New Roman"/>
      <w:sz w:val="24"/>
      <w:szCs w:val="24"/>
    </w:rPr>
  </w:style>
  <w:style w:type="character" w:customStyle="1" w:styleId="53">
    <w:name w:val="正文文本 字符1"/>
    <w:basedOn w:val="31"/>
    <w:semiHidden/>
    <w:qFormat/>
    <w:uiPriority w:val="0"/>
    <w:rPr>
      <w:rFonts w:ascii="Times New Roman" w:hAnsi="Times New Roman" w:eastAsia="宋体" w:cs="Times New Roman"/>
      <w:sz w:val="24"/>
      <w:szCs w:val="24"/>
    </w:rPr>
  </w:style>
  <w:style w:type="paragraph" w:customStyle="1" w:styleId="54">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5">
    <w:name w:val="表格 Char"/>
    <w:link w:val="56"/>
    <w:qFormat/>
    <w:locked/>
    <w:uiPriority w:val="0"/>
    <w:rPr>
      <w:rFonts w:ascii="宋体"/>
      <w:sz w:val="21"/>
    </w:rPr>
  </w:style>
  <w:style w:type="paragraph" w:customStyle="1" w:styleId="56">
    <w:name w:val="表格"/>
    <w:basedOn w:val="1"/>
    <w:next w:val="1"/>
    <w:link w:val="55"/>
    <w:qFormat/>
    <w:uiPriority w:val="0"/>
    <w:pPr>
      <w:adjustRightInd w:val="0"/>
      <w:snapToGrid w:val="0"/>
      <w:spacing w:beforeLines="10" w:afterLines="10" w:line="259" w:lineRule="auto"/>
      <w:jc w:val="center"/>
    </w:pPr>
    <w:rPr>
      <w:rFonts w:ascii="宋体"/>
      <w:kern w:val="0"/>
      <w:sz w:val="20"/>
      <w:szCs w:val="21"/>
    </w:rPr>
  </w:style>
  <w:style w:type="character" w:customStyle="1" w:styleId="57">
    <w:name w:val="批注文字 字符1"/>
    <w:basedOn w:val="31"/>
    <w:semiHidden/>
    <w:qFormat/>
    <w:uiPriority w:val="0"/>
    <w:rPr>
      <w:rFonts w:ascii="Times New Roman" w:hAnsi="Times New Roman" w:eastAsia="宋体" w:cs="Times New Roman"/>
      <w:sz w:val="24"/>
      <w:szCs w:val="24"/>
    </w:rPr>
  </w:style>
  <w:style w:type="character" w:customStyle="1" w:styleId="58">
    <w:name w:val="普通(网站) Char"/>
    <w:qFormat/>
    <w:locked/>
    <w:uiPriority w:val="0"/>
    <w:rPr>
      <w:rFonts w:ascii="宋体" w:hAnsi="宋体" w:eastAsia="宋体"/>
      <w:sz w:val="24"/>
    </w:rPr>
  </w:style>
  <w:style w:type="paragraph" w:customStyle="1" w:styleId="59">
    <w:name w:val="默认段落"/>
    <w:basedOn w:val="1"/>
    <w:qFormat/>
    <w:uiPriority w:val="0"/>
    <w:rPr>
      <w:rFonts w:ascii="Calibri" w:hAnsi="Calibri" w:eastAsia="宋体" w:cs="Times New Roman"/>
      <w:sz w:val="24"/>
      <w:szCs w:val="24"/>
    </w:rPr>
  </w:style>
  <w:style w:type="paragraph" w:customStyle="1" w:styleId="60">
    <w:name w:val="表格文字"/>
    <w:basedOn w:val="1"/>
    <w:qFormat/>
    <w:uiPriority w:val="0"/>
    <w:pPr>
      <w:adjustRightInd w:val="0"/>
      <w:spacing w:line="400" w:lineRule="atLeast"/>
      <w:jc w:val="center"/>
    </w:pPr>
    <w:rPr>
      <w:kern w:val="24"/>
      <w:sz w:val="24"/>
      <w:szCs w:val="20"/>
    </w:rPr>
  </w:style>
  <w:style w:type="paragraph" w:customStyle="1" w:styleId="61">
    <w:name w:val="p15"/>
    <w:basedOn w:val="1"/>
    <w:qFormat/>
    <w:uiPriority w:val="0"/>
    <w:pPr>
      <w:widowControl/>
      <w:jc w:val="center"/>
    </w:pPr>
    <w:rPr>
      <w:kern w:val="0"/>
      <w:sz w:val="28"/>
      <w:szCs w:val="28"/>
    </w:rPr>
  </w:style>
  <w:style w:type="paragraph" w:customStyle="1" w:styleId="62">
    <w:name w:val="表头、图号"/>
    <w:basedOn w:val="1"/>
    <w:qFormat/>
    <w:uiPriority w:val="0"/>
    <w:pPr>
      <w:spacing w:before="20" w:after="20"/>
      <w:ind w:firstLine="0" w:firstLineChars="0"/>
      <w:jc w:val="center"/>
    </w:pPr>
    <w:rPr>
      <w:rFonts w:ascii="宋体" w:hAnsi="宋体" w:eastAsia="宋体"/>
      <w:b/>
      <w:szCs w:val="24"/>
    </w:rPr>
  </w:style>
  <w:style w:type="paragraph" w:customStyle="1" w:styleId="63">
    <w:name w:val="表内文字"/>
    <w:basedOn w:val="1"/>
    <w:qFormat/>
    <w:uiPriority w:val="0"/>
    <w:pPr>
      <w:spacing w:line="240" w:lineRule="auto"/>
      <w:ind w:firstLine="0" w:firstLineChars="0"/>
      <w:jc w:val="center"/>
    </w:pPr>
    <w:rPr>
      <w:sz w:val="21"/>
      <w:szCs w:val="21"/>
    </w:rPr>
  </w:style>
  <w:style w:type="paragraph" w:customStyle="1" w:styleId="64">
    <w:name w:val="标题33"/>
    <w:next w:val="1"/>
    <w:qFormat/>
    <w:uiPriority w:val="0"/>
    <w:pPr>
      <w:spacing w:after="50" w:afterLines="50" w:line="500" w:lineRule="exact"/>
      <w:outlineLvl w:val="2"/>
    </w:pPr>
    <w:rPr>
      <w:rFonts w:ascii="Calibri" w:hAnsi="Calibri" w:eastAsia="宋体" w:cs="Times New Roman"/>
      <w:b/>
      <w:bCs/>
      <w:sz w:val="30"/>
      <w:szCs w:val="32"/>
      <w:lang w:val="en-US" w:eastAsia="zh-CN" w:bidi="ar-SA"/>
    </w:rPr>
  </w:style>
  <w:style w:type="paragraph" w:customStyle="1" w:styleId="65">
    <w:name w:val="环评正文"/>
    <w:basedOn w:val="1"/>
    <w:qFormat/>
    <w:uiPriority w:val="99"/>
    <w:pPr>
      <w:spacing w:beforeLines="30"/>
      <w:ind w:firstLine="480" w:firstLineChars="200"/>
    </w:pPr>
    <w:rPr>
      <w:rFonts w:ascii="Tahoma" w:hAnsi="Tahoma" w:cs="Tahoma"/>
      <w:kern w:val="0"/>
      <w:sz w:val="24"/>
      <w:szCs w:val="20"/>
    </w:rPr>
  </w:style>
  <w:style w:type="paragraph" w:customStyle="1" w:styleId="66">
    <w:name w:val="Table Paragraph"/>
    <w:basedOn w:val="1"/>
    <w:qFormat/>
    <w:uiPriority w:val="1"/>
    <w:rPr>
      <w:rFonts w:ascii="宋体" w:hAnsi="宋体" w:eastAsia="宋体" w:cs="宋体"/>
      <w:lang w:val="zh-CN" w:eastAsia="zh-CN" w:bidi="zh-CN"/>
    </w:rPr>
  </w:style>
  <w:style w:type="character" w:customStyle="1" w:styleId="67">
    <w:name w:val="font11"/>
    <w:basedOn w:val="31"/>
    <w:qFormat/>
    <w:uiPriority w:val="0"/>
    <w:rPr>
      <w:rFonts w:ascii="宋体" w:hAnsi="宋体" w:eastAsia="宋体" w:cs="宋体"/>
      <w:color w:val="000000"/>
      <w:sz w:val="22"/>
      <w:szCs w:val="22"/>
      <w:u w:val="none"/>
    </w:rPr>
  </w:style>
  <w:style w:type="character" w:customStyle="1" w:styleId="68">
    <w:name w:val="font21"/>
    <w:basedOn w:val="31"/>
    <w:qFormat/>
    <w:uiPriority w:val="0"/>
    <w:rPr>
      <w:rFonts w:ascii="宋体" w:hAnsi="宋体" w:eastAsia="宋体" w:cs="宋体"/>
      <w:color w:val="000000"/>
      <w:sz w:val="22"/>
      <w:szCs w:val="22"/>
      <w:u w:val="none"/>
    </w:rPr>
  </w:style>
  <w:style w:type="character" w:customStyle="1" w:styleId="69">
    <w:name w:val="font41"/>
    <w:basedOn w:val="31"/>
    <w:qFormat/>
    <w:uiPriority w:val="0"/>
    <w:rPr>
      <w:rFonts w:ascii="宋体" w:hAnsi="宋体" w:eastAsia="宋体" w:cs="宋体"/>
      <w:color w:val="000000"/>
      <w:sz w:val="22"/>
      <w:szCs w:val="22"/>
      <w:u w:val="none"/>
      <w:vertAlign w:val="superscript"/>
    </w:rPr>
  </w:style>
  <w:style w:type="paragraph" w:customStyle="1" w:styleId="70">
    <w:name w:val="Body Text 21"/>
    <w:basedOn w:val="1"/>
    <w:next w:val="1"/>
    <w:qFormat/>
    <w:uiPriority w:val="0"/>
    <w:pPr>
      <w:autoSpaceDE w:val="0"/>
      <w:autoSpaceDN w:val="0"/>
      <w:adjustRightInd w:val="0"/>
      <w:spacing w:line="480" w:lineRule="exact"/>
      <w:ind w:firstLine="540"/>
      <w:textAlignment w:val="baseline"/>
    </w:pPr>
    <w:rPr>
      <w:rFonts w:ascii="宋体" w:hAnsi="Tms Rmn"/>
      <w:kern w:val="0"/>
      <w:sz w:val="24"/>
    </w:rPr>
  </w:style>
  <w:style w:type="table" w:customStyle="1" w:styleId="71">
    <w:name w:val="Table Normal"/>
    <w:unhideWhenUsed/>
    <w:qFormat/>
    <w:uiPriority w:val="0"/>
    <w:tblPr>
      <w:tblCellMar>
        <w:top w:w="0" w:type="dxa"/>
        <w:left w:w="0" w:type="dxa"/>
        <w:bottom w:w="0" w:type="dxa"/>
        <w:right w:w="0" w:type="dxa"/>
      </w:tblCellMar>
    </w:tblPr>
  </w:style>
  <w:style w:type="character" w:customStyle="1" w:styleId="72">
    <w:name w:val="font31"/>
    <w:basedOn w:val="31"/>
    <w:qFormat/>
    <w:uiPriority w:val="0"/>
    <w:rPr>
      <w:rFonts w:hint="default" w:ascii="Times New Roman" w:hAnsi="Times New Roman" w:cs="Times New Roman"/>
      <w:color w:val="000000"/>
      <w:sz w:val="22"/>
      <w:szCs w:val="22"/>
      <w:u w:val="none"/>
    </w:rPr>
  </w:style>
  <w:style w:type="paragraph" w:customStyle="1" w:styleId="73">
    <w:name w:val="正文01"/>
    <w:basedOn w:val="1"/>
    <w:qFormat/>
    <w:uiPriority w:val="0"/>
    <w:pPr>
      <w:widowControl/>
      <w:spacing w:before="60" w:line="460" w:lineRule="exact"/>
      <w:ind w:firstLine="200" w:firstLineChars="200"/>
      <w:jc w:val="left"/>
    </w:pPr>
    <w:rPr>
      <w:bCs/>
      <w:kern w:val="0"/>
      <w:sz w:val="24"/>
      <w:szCs w:val="20"/>
    </w:rPr>
  </w:style>
  <w:style w:type="paragraph" w:customStyle="1" w:styleId="74">
    <w:name w:val="正文小五"/>
    <w:qFormat/>
    <w:uiPriority w:val="0"/>
    <w:pPr>
      <w:spacing w:line="360" w:lineRule="auto"/>
      <w:ind w:firstLine="420" w:firstLineChars="200"/>
      <w:jc w:val="both"/>
    </w:pPr>
    <w:rPr>
      <w:rFonts w:ascii="Times New Roman" w:hAnsi="Times New Roman" w:eastAsia="宋体" w:cs="Times New Roman"/>
      <w:color w:val="FF0000"/>
      <w:kern w:val="2"/>
      <w:sz w:val="21"/>
      <w:lang w:val="en-US" w:eastAsia="zh-CN" w:bidi="ar-SA"/>
    </w:rPr>
  </w:style>
  <w:style w:type="paragraph" w:customStyle="1" w:styleId="75">
    <w:name w:val="Table Text"/>
    <w:basedOn w:val="1"/>
    <w:semiHidden/>
    <w:qFormat/>
    <w:uiPriority w:val="0"/>
    <w:rPr>
      <w:rFonts w:ascii="宋体" w:hAnsi="宋体" w:eastAsia="宋体" w:cs="宋体"/>
      <w:sz w:val="20"/>
      <w:szCs w:val="20"/>
      <w:lang w:eastAsia="en-US"/>
    </w:rPr>
  </w:style>
  <w:style w:type="paragraph" w:customStyle="1" w:styleId="76">
    <w:name w:val="表头"/>
    <w:basedOn w:val="9"/>
    <w:next w:val="1"/>
    <w:qFormat/>
    <w:uiPriority w:val="0"/>
    <w:pPr>
      <w:widowControl w:val="0"/>
      <w:adjustRightInd w:val="0"/>
      <w:snapToGrid/>
      <w:spacing w:before="0" w:after="0" w:line="360" w:lineRule="auto"/>
      <w:ind w:right="0"/>
      <w:jc w:val="center"/>
      <w:textAlignment w:val="baseline"/>
    </w:pPr>
    <w:rPr>
      <w:rFonts w:ascii="宋体" w:eastAsia="宋体"/>
      <w:snapToGrid w:val="0"/>
      <w:spacing w:val="4"/>
      <w:kern w:val="18"/>
      <w:sz w:val="24"/>
    </w:rPr>
  </w:style>
  <w:style w:type="paragraph" w:customStyle="1" w:styleId="77">
    <w:name w:val="正文新"/>
    <w:basedOn w:val="1"/>
    <w:qFormat/>
    <w:uiPriority w:val="0"/>
    <w:pPr>
      <w:spacing w:line="460" w:lineRule="exact"/>
      <w:ind w:firstLine="480" w:firstLineChars="200"/>
    </w:pPr>
    <w:rPr>
      <w:sz w:val="24"/>
    </w:rPr>
  </w:style>
  <w:style w:type="paragraph" w:customStyle="1" w:styleId="78">
    <w:name w:val="正文(首行缩进)"/>
    <w:basedOn w:val="1"/>
    <w:next w:val="1"/>
    <w:semiHidden/>
    <w:qFormat/>
    <w:uiPriority w:val="0"/>
    <w:pPr>
      <w:spacing w:line="360" w:lineRule="auto"/>
      <w:ind w:firstLine="540" w:firstLineChars="225"/>
    </w:pPr>
    <w:rPr>
      <w:snapToGrid w:val="0"/>
      <w:color w:val="000000"/>
      <w:kern w:val="0"/>
      <w:sz w:val="24"/>
    </w:rPr>
  </w:style>
  <w:style w:type="paragraph" w:customStyle="1" w:styleId="79">
    <w:name w:val="正文1"/>
    <w:basedOn w:val="9"/>
    <w:next w:val="9"/>
    <w:qFormat/>
    <w:uiPriority w:val="0"/>
    <w:pPr>
      <w:tabs>
        <w:tab w:val="left" w:pos="2760"/>
      </w:tabs>
      <w:spacing w:before="78" w:beforeLines="25" w:after="78" w:afterLines="25"/>
      <w:ind w:firstLine="480"/>
    </w:pPr>
  </w:style>
  <w:style w:type="table" w:customStyle="1" w:styleId="80">
    <w:name w:val="TableGrid"/>
    <w:basedOn w:val="29"/>
    <w:qFormat/>
    <w:uiPriority w:val="0"/>
    <w:rPr>
      <w:rFonts w:hint="eastAsia"/>
      <w:kern w:val="2"/>
      <w:sz w:val="21"/>
      <w:szCs w:val="22"/>
    </w:rPr>
    <w:tblPr>
      <w:tblCellMar>
        <w:left w:w="0" w:type="dxa"/>
        <w:right w:w="0" w:type="dxa"/>
      </w:tblCellMar>
    </w:tblPr>
  </w:style>
  <w:style w:type="paragraph" w:customStyle="1" w:styleId="81">
    <w:name w:val="报告-正文"/>
    <w:basedOn w:val="1"/>
    <w:next w:val="1"/>
    <w:qFormat/>
    <w:uiPriority w:val="0"/>
    <w:pPr>
      <w:spacing w:line="440" w:lineRule="exact"/>
      <w:ind w:firstLine="200" w:firstLineChars="200"/>
    </w:pPr>
    <w:rPr>
      <w:rFonts w:ascii="Times New Roman" w:hAnsi="Times New Roman" w:eastAsia="宋体"/>
      <w:sz w:val="24"/>
    </w:rPr>
  </w:style>
  <w:style w:type="paragraph" w:customStyle="1" w:styleId="82">
    <w:name w:val="图表"/>
    <w:basedOn w:val="1"/>
    <w:qFormat/>
    <w:uiPriority w:val="0"/>
    <w:pPr>
      <w:tabs>
        <w:tab w:val="left" w:pos="1322"/>
        <w:tab w:val="center" w:pos="4635"/>
      </w:tabs>
      <w:adjustRightInd w:val="0"/>
      <w:snapToGrid w:val="0"/>
      <w:jc w:val="center"/>
      <w:outlineLvl w:val="1"/>
    </w:pPr>
    <w:rPr>
      <w:rFonts w:eastAsia="黑体"/>
      <w:b/>
      <w:snapToGrid w:val="0"/>
      <w:kern w:val="0"/>
      <w:sz w:val="22"/>
      <w:szCs w:val="22"/>
    </w:rPr>
  </w:style>
  <w:style w:type="paragraph" w:customStyle="1" w:styleId="83">
    <w:name w:val="_Style 2"/>
    <w:basedOn w:val="1"/>
    <w:next w:val="1"/>
    <w:qFormat/>
    <w:uiPriority w:val="1"/>
    <w:pPr>
      <w:spacing w:line="440" w:lineRule="exact"/>
      <w:ind w:firstLine="420" w:firstLineChars="200"/>
    </w:pPr>
    <w:rPr>
      <w:sz w:val="24"/>
      <w:szCs w:val="20"/>
    </w:rPr>
  </w:style>
  <w:style w:type="paragraph" w:customStyle="1" w:styleId="84">
    <w:name w:val="样式 首行缩进:  2 字符1"/>
    <w:basedOn w:val="1"/>
    <w:qFormat/>
    <w:uiPriority w:val="0"/>
    <w:pPr>
      <w:spacing w:line="480" w:lineRule="exact"/>
      <w:ind w:firstLine="420" w:firstLineChars="200"/>
    </w:pPr>
    <w:rPr>
      <w:rFonts w:ascii="ˎ̥"/>
      <w:kern w:val="0"/>
      <w:sz w:val="24"/>
      <w:szCs w:val="20"/>
    </w:rPr>
  </w:style>
  <w:style w:type="paragraph" w:customStyle="1" w:styleId="85">
    <w:name w:val="表后空格"/>
    <w:basedOn w:val="1"/>
    <w:qFormat/>
    <w:uiPriority w:val="0"/>
    <w:pPr>
      <w:spacing w:line="240" w:lineRule="exact"/>
    </w:pPr>
    <w:rPr>
      <w:sz w:val="18"/>
      <w:szCs w:val="21"/>
    </w:rPr>
  </w:style>
  <w:style w:type="paragraph" w:customStyle="1" w:styleId="86">
    <w:name w:val="正文A"/>
    <w:basedOn w:val="1"/>
    <w:qFormat/>
    <w:uiPriority w:val="0"/>
    <w:pPr>
      <w:autoSpaceDE w:val="0"/>
      <w:autoSpaceDN w:val="0"/>
      <w:adjustRightInd w:val="0"/>
      <w:snapToGrid w:val="0"/>
      <w:textAlignment w:val="baseline"/>
    </w:pPr>
    <w:rPr>
      <w:rFonts w:cs="Times New Roman"/>
      <w:kern w:val="0"/>
      <w:szCs w:val="20"/>
    </w:rPr>
  </w:style>
  <w:style w:type="paragraph" w:styleId="87">
    <w:name w:val="List Paragraph"/>
    <w:basedOn w:val="1"/>
    <w:unhideWhenUsed/>
    <w:qFormat/>
    <w:uiPriority w:val="99"/>
    <w:pPr>
      <w:ind w:firstLine="420"/>
    </w:pPr>
  </w:style>
  <w:style w:type="paragraph" w:customStyle="1" w:styleId="88">
    <w:name w:val="正文格式"/>
    <w:basedOn w:val="28"/>
    <w:next w:val="89"/>
    <w:qFormat/>
    <w:uiPriority w:val="0"/>
    <w:pPr>
      <w:adjustRightInd w:val="0"/>
      <w:snapToGrid w:val="0"/>
      <w:spacing w:line="360" w:lineRule="auto"/>
      <w:ind w:firstLine="560"/>
    </w:pPr>
    <w:rPr>
      <w:rFonts w:ascii="Times New Roman" w:hAnsi="Times New Roman" w:cs="Times New Roman"/>
      <w:color w:val="000000"/>
      <w:lang w:val="zh-CN" w:eastAsia="zh-CN"/>
    </w:rPr>
  </w:style>
  <w:style w:type="paragraph" w:customStyle="1" w:styleId="89">
    <w:name w:val="_Style 5"/>
    <w:basedOn w:val="1"/>
    <w:qFormat/>
    <w:uiPriority w:val="0"/>
    <w:pPr>
      <w:ind w:firstLine="42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wmf"/><Relationship Id="rId25" Type="http://schemas.openxmlformats.org/officeDocument/2006/relationships/image" Target="media/image14.wmf"/><Relationship Id="rId24" Type="http://schemas.openxmlformats.org/officeDocument/2006/relationships/image" Target="media/image13.wmf"/><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cef33b-4323-4a6b-9f98-717e160ee8fd}">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74</Pages>
  <Words>248</Words>
  <Characters>285</Characters>
  <Lines>9</Lines>
  <Paragraphs>2</Paragraphs>
  <TotalTime>1</TotalTime>
  <ScaleCrop>false</ScaleCrop>
  <LinksUpToDate>false</LinksUpToDate>
  <CharactersWithSpaces>340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WPS_1562320662</cp:lastModifiedBy>
  <cp:lastPrinted>2025-09-12T11:44:00Z</cp:lastPrinted>
  <dcterms:modified xsi:type="dcterms:W3CDTF">2026-04-17T10:37:53Z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FC10E2FDA1914D65B1D4ADF38E1F73D4_13</vt:lpwstr>
  </property>
  <property fmtid="{D5CDD505-2E9C-101B-9397-08002B2CF9AE}" pid="4" name="KSOTemplateDocerSaveRecord">
    <vt:lpwstr>eyJoZGlkIjoiNGRhODgyNjQ5YTE5ZjFmYjE2NDEwOTU4OTE2MjU0N2MiLCJ1c2VySWQiOiI2MDE2NTE5NzkifQ==</vt:lpwstr>
  </property>
</Properties>
</file>