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3F4B0">
      <w:pPr>
        <w:pageBreakBefore w:val="0"/>
        <w:wordWrap/>
        <w:topLinePunct w:val="0"/>
        <w:bidi w:val="0"/>
        <w:spacing w:beforeAutospacing="0" w:afterAutospacing="0"/>
        <w:ind w:left="0" w:leftChars="0" w:right="0"/>
        <w:rPr>
          <w:rFonts w:hint="default" w:ascii="Times New Roman" w:hAnsi="Times New Roman" w:eastAsia="仿宋_GB2312" w:cs="Times New Roman"/>
          <w:caps w:val="0"/>
          <w:smallCaps w:val="0"/>
          <w:color w:val="auto"/>
          <w:spacing w:val="0"/>
          <w:w w:val="100"/>
          <w:kern w:val="2"/>
          <w:position w:val="0"/>
          <w:sz w:val="36"/>
          <w:szCs w:val="36"/>
          <w:highlight w:val="none"/>
        </w:rPr>
      </w:pPr>
      <w:bookmarkStart w:id="0" w:name="_Hlk57883707"/>
    </w:p>
    <w:p w14:paraId="6011567C">
      <w:pPr>
        <w:pageBreakBefore w:val="0"/>
        <w:wordWrap/>
        <w:topLinePunct w:val="0"/>
        <w:bidi w:val="0"/>
        <w:spacing w:beforeAutospacing="0" w:afterAutospacing="0"/>
        <w:ind w:left="0" w:leftChars="0" w:right="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569AB3C1">
      <w:pPr>
        <w:pageBreakBefore w:val="0"/>
        <w:wordWrap/>
        <w:topLinePunct w:val="0"/>
        <w:bidi w:val="0"/>
        <w:spacing w:beforeAutospacing="0" w:afterAutospacing="0"/>
        <w:ind w:left="0" w:leftChars="0" w:right="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573400E0">
      <w:pPr>
        <w:pageBreakBefore w:val="0"/>
        <w:wordWrap/>
        <w:topLinePunct w:val="0"/>
        <w:bidi w:val="0"/>
        <w:spacing w:beforeAutospacing="0" w:afterAutospacing="0"/>
        <w:ind w:left="0" w:leftChars="0" w:right="0"/>
        <w:rPr>
          <w:rFonts w:hint="default" w:ascii="Times New Roman" w:hAnsi="Times New Roman" w:eastAsia="仿宋_GB2312" w:cs="Times New Roman"/>
          <w:caps w:val="0"/>
          <w:smallCaps w:val="0"/>
          <w:color w:val="auto"/>
          <w:spacing w:val="0"/>
          <w:w w:val="100"/>
          <w:kern w:val="2"/>
          <w:position w:val="0"/>
          <w:sz w:val="36"/>
          <w:szCs w:val="36"/>
          <w:highlight w:val="none"/>
        </w:rPr>
      </w:pPr>
    </w:p>
    <w:bookmarkEnd w:id="0"/>
    <w:p w14:paraId="3BBD82F0">
      <w:pPr>
        <w:pageBreakBefore w:val="0"/>
        <w:wordWrap/>
        <w:topLinePunct w:val="0"/>
        <w:bidi w:val="0"/>
        <w:adjustRightInd w:val="0"/>
        <w:snapToGrid w:val="0"/>
        <w:spacing w:beforeAutospacing="0" w:afterAutospacing="0"/>
        <w:ind w:left="0" w:leftChars="0" w:right="0" w:rightChars="0"/>
        <w:jc w:val="center"/>
        <w:outlineLvl w:val="9"/>
        <w:rPr>
          <w:rFonts w:hint="default" w:ascii="Times New Roman" w:hAnsi="Times New Roman" w:eastAsia="方正小标宋_GBK" w:cs="Times New Roman"/>
          <w:bCs/>
          <w:caps w:val="0"/>
          <w:smallCaps w:val="0"/>
          <w:color w:val="auto"/>
          <w:spacing w:val="0"/>
          <w:w w:val="100"/>
          <w:kern w:val="2"/>
          <w:position w:val="0"/>
          <w:sz w:val="72"/>
          <w:szCs w:val="72"/>
          <w:highlight w:val="none"/>
        </w:rPr>
      </w:pPr>
      <w:r>
        <w:rPr>
          <w:rFonts w:hint="default" w:ascii="Times New Roman" w:hAnsi="Times New Roman" w:eastAsia="方正小标宋_GBK" w:cs="Times New Roman"/>
          <w:bCs/>
          <w:caps w:val="0"/>
          <w:smallCaps w:val="0"/>
          <w:color w:val="auto"/>
          <w:spacing w:val="0"/>
          <w:w w:val="100"/>
          <w:kern w:val="2"/>
          <w:position w:val="0"/>
          <w:sz w:val="72"/>
          <w:szCs w:val="72"/>
          <w:highlight w:val="none"/>
        </w:rPr>
        <w:t>建设项目环境影响报告表</w:t>
      </w:r>
    </w:p>
    <w:p w14:paraId="231A6BB9">
      <w:pPr>
        <w:pageBreakBefore w:val="0"/>
        <w:wordWrap/>
        <w:topLinePunct w:val="0"/>
        <w:bidi w:val="0"/>
        <w:adjustRightInd w:val="0"/>
        <w:snapToGrid w:val="0"/>
        <w:spacing w:beforeAutospacing="0" w:afterAutospacing="0"/>
        <w:ind w:left="0" w:leftChars="0" w:right="0"/>
        <w:jc w:val="center"/>
        <w:rPr>
          <w:rFonts w:hint="default" w:ascii="Times New Roman" w:hAnsi="Times New Roman" w:eastAsia="楷体_GB2312" w:cs="Times New Roman"/>
          <w:bCs/>
          <w:caps w:val="0"/>
          <w:smallCaps w:val="0"/>
          <w:color w:val="auto"/>
          <w:spacing w:val="0"/>
          <w:w w:val="100"/>
          <w:kern w:val="2"/>
          <w:position w:val="0"/>
          <w:sz w:val="48"/>
          <w:szCs w:val="48"/>
          <w:highlight w:val="none"/>
        </w:rPr>
      </w:pPr>
      <w:r>
        <w:rPr>
          <w:rFonts w:hint="default" w:ascii="Times New Roman" w:hAnsi="Times New Roman" w:eastAsia="楷体_GB2312" w:cs="Times New Roman"/>
          <w:bCs/>
          <w:caps w:val="0"/>
          <w:smallCaps w:val="0"/>
          <w:color w:val="auto"/>
          <w:spacing w:val="0"/>
          <w:w w:val="100"/>
          <w:kern w:val="2"/>
          <w:position w:val="0"/>
          <w:sz w:val="48"/>
          <w:szCs w:val="48"/>
          <w:highlight w:val="none"/>
        </w:rPr>
        <w:t>（生态影响类）</w:t>
      </w:r>
    </w:p>
    <w:p w14:paraId="124E8F0F">
      <w:pPr>
        <w:pageBreakBefore w:val="0"/>
        <w:wordWrap/>
        <w:topLinePunct w:val="0"/>
        <w:bidi w:val="0"/>
        <w:adjustRightInd w:val="0"/>
        <w:snapToGrid w:val="0"/>
        <w:spacing w:beforeAutospacing="0" w:afterAutospacing="0" w:line="288" w:lineRule="auto"/>
        <w:ind w:left="0" w:leftChars="0" w:right="0" w:rightChars="0"/>
        <w:jc w:val="center"/>
        <w:outlineLvl w:val="9"/>
        <w:rPr>
          <w:rFonts w:hint="eastAsia" w:ascii="Times New Roman" w:hAnsi="Times New Roman" w:eastAsia="华文仿宋" w:cs="Times New Roman"/>
          <w:caps w:val="0"/>
          <w:smallCaps w:val="0"/>
          <w:color w:val="auto"/>
          <w:spacing w:val="0"/>
          <w:w w:val="100"/>
          <w:kern w:val="2"/>
          <w:position w:val="0"/>
          <w:sz w:val="44"/>
          <w:szCs w:val="44"/>
          <w:highlight w:val="none"/>
          <w:lang w:eastAsia="zh-CN"/>
        </w:rPr>
      </w:pPr>
      <w:bookmarkStart w:id="1" w:name="_Hlk57883728"/>
      <w:r>
        <w:rPr>
          <w:rFonts w:hint="eastAsia" w:ascii="Times New Roman" w:hAnsi="Times New Roman" w:eastAsia="华文仿宋" w:cs="Times New Roman"/>
          <w:caps w:val="0"/>
          <w:smallCaps w:val="0"/>
          <w:color w:val="auto"/>
          <w:spacing w:val="0"/>
          <w:w w:val="100"/>
          <w:kern w:val="2"/>
          <w:position w:val="0"/>
          <w:sz w:val="44"/>
          <w:szCs w:val="44"/>
          <w:highlight w:val="none"/>
          <w:lang w:eastAsia="zh-CN"/>
        </w:rPr>
        <w:t>（</w:t>
      </w:r>
      <w:r>
        <w:rPr>
          <w:rFonts w:hint="eastAsia" w:ascii="Times New Roman" w:hAnsi="Times New Roman" w:eastAsia="华文仿宋" w:cs="Times New Roman"/>
          <w:caps w:val="0"/>
          <w:smallCaps w:val="0"/>
          <w:color w:val="auto"/>
          <w:spacing w:val="0"/>
          <w:w w:val="100"/>
          <w:kern w:val="2"/>
          <w:position w:val="0"/>
          <w:sz w:val="44"/>
          <w:szCs w:val="44"/>
          <w:highlight w:val="none"/>
          <w:lang w:val="en-US" w:eastAsia="zh-CN"/>
        </w:rPr>
        <w:t>报批稿</w:t>
      </w:r>
      <w:r>
        <w:rPr>
          <w:rFonts w:hint="eastAsia" w:ascii="Times New Roman" w:hAnsi="Times New Roman" w:eastAsia="华文仿宋" w:cs="Times New Roman"/>
          <w:caps w:val="0"/>
          <w:smallCaps w:val="0"/>
          <w:color w:val="auto"/>
          <w:spacing w:val="0"/>
          <w:w w:val="100"/>
          <w:kern w:val="2"/>
          <w:position w:val="0"/>
          <w:sz w:val="44"/>
          <w:szCs w:val="44"/>
          <w:highlight w:val="none"/>
          <w:lang w:eastAsia="zh-CN"/>
        </w:rPr>
        <w:t>）</w:t>
      </w:r>
    </w:p>
    <w:p w14:paraId="3904E657">
      <w:pPr>
        <w:pageBreakBefore w:val="0"/>
        <w:wordWrap/>
        <w:topLinePunct w:val="0"/>
        <w:bidi w:val="0"/>
        <w:spacing w:beforeAutospacing="0" w:afterAutospacing="0"/>
        <w:ind w:left="0" w:leftChars="0" w:right="0"/>
        <w:jc w:val="center"/>
        <w:rPr>
          <w:rFonts w:hint="default" w:ascii="Times New Roman" w:hAnsi="Times New Roman" w:eastAsia="仿宋" w:cs="Times New Roman"/>
          <w:caps w:val="0"/>
          <w:smallCaps w:val="0"/>
          <w:color w:val="auto"/>
          <w:spacing w:val="0"/>
          <w:w w:val="100"/>
          <w:kern w:val="2"/>
          <w:position w:val="0"/>
          <w:sz w:val="52"/>
          <w:szCs w:val="52"/>
          <w:highlight w:val="none"/>
        </w:rPr>
      </w:pPr>
    </w:p>
    <w:p w14:paraId="57E06A22">
      <w:pPr>
        <w:pageBreakBefore w:val="0"/>
        <w:wordWrap/>
        <w:topLinePunct w:val="0"/>
        <w:bidi w:val="0"/>
        <w:spacing w:beforeAutospacing="0" w:afterAutospacing="0"/>
        <w:ind w:left="0" w:leftChars="0" w:right="0"/>
        <w:jc w:val="center"/>
        <w:rPr>
          <w:rFonts w:hint="default" w:ascii="Times New Roman" w:hAnsi="Times New Roman" w:eastAsia="仿宋" w:cs="Times New Roman"/>
          <w:caps w:val="0"/>
          <w:smallCaps w:val="0"/>
          <w:color w:val="auto"/>
          <w:spacing w:val="0"/>
          <w:w w:val="100"/>
          <w:kern w:val="2"/>
          <w:position w:val="0"/>
          <w:sz w:val="52"/>
          <w:szCs w:val="52"/>
          <w:highlight w:val="none"/>
        </w:rPr>
      </w:pPr>
    </w:p>
    <w:p w14:paraId="7E9B65EC">
      <w:pPr>
        <w:pageBreakBefore w:val="0"/>
        <w:wordWrap/>
        <w:topLinePunct w:val="0"/>
        <w:bidi w:val="0"/>
        <w:spacing w:beforeAutospacing="0" w:afterAutospacing="0"/>
        <w:ind w:left="0" w:leftChars="0" w:right="0"/>
        <w:jc w:val="center"/>
        <w:rPr>
          <w:rFonts w:hint="default" w:ascii="Times New Roman" w:hAnsi="Times New Roman" w:eastAsia="仿宋" w:cs="Times New Roman"/>
          <w:caps w:val="0"/>
          <w:smallCaps w:val="0"/>
          <w:color w:val="auto"/>
          <w:spacing w:val="0"/>
          <w:w w:val="100"/>
          <w:kern w:val="2"/>
          <w:position w:val="0"/>
          <w:sz w:val="52"/>
          <w:szCs w:val="52"/>
          <w:highlight w:val="none"/>
        </w:rPr>
      </w:pPr>
    </w:p>
    <w:p w14:paraId="183A366C">
      <w:pPr>
        <w:pageBreakBefore w:val="0"/>
        <w:wordWrap/>
        <w:topLinePunct w:val="0"/>
        <w:bidi w:val="0"/>
        <w:spacing w:beforeAutospacing="0" w:afterAutospacing="0"/>
        <w:ind w:left="0" w:leftChars="0" w:right="0" w:firstLine="1040"/>
        <w:rPr>
          <w:rFonts w:hint="default" w:ascii="Times New Roman" w:hAnsi="Times New Roman" w:eastAsia="仿宋" w:cs="Times New Roman"/>
          <w:caps w:val="0"/>
          <w:smallCaps w:val="0"/>
          <w:color w:val="auto"/>
          <w:spacing w:val="0"/>
          <w:w w:val="100"/>
          <w:kern w:val="2"/>
          <w:position w:val="0"/>
          <w:sz w:val="44"/>
          <w:szCs w:val="44"/>
          <w:highlight w:val="none"/>
        </w:rPr>
      </w:pPr>
    </w:p>
    <w:p w14:paraId="4E4751B5">
      <w:pPr>
        <w:pageBreakBefore w:val="0"/>
        <w:wordWrap/>
        <w:topLinePunct w:val="0"/>
        <w:bidi w:val="0"/>
        <w:spacing w:beforeAutospacing="0" w:afterAutospacing="0"/>
        <w:ind w:left="0" w:leftChars="0" w:right="0" w:firstLine="1040"/>
        <w:rPr>
          <w:rFonts w:hint="default" w:ascii="Times New Roman" w:hAnsi="Times New Roman" w:eastAsia="仿宋" w:cs="Times New Roman"/>
          <w:caps w:val="0"/>
          <w:smallCaps w:val="0"/>
          <w:color w:val="auto"/>
          <w:spacing w:val="0"/>
          <w:w w:val="100"/>
          <w:kern w:val="2"/>
          <w:position w:val="0"/>
          <w:sz w:val="44"/>
          <w:szCs w:val="44"/>
          <w:highlight w:val="none"/>
        </w:rPr>
      </w:pPr>
    </w:p>
    <w:p w14:paraId="1E78F0EF">
      <w:pPr>
        <w:pageBreakBefore w:val="0"/>
        <w:wordWrap/>
        <w:topLinePunct w:val="0"/>
        <w:bidi w:val="0"/>
        <w:spacing w:beforeAutospacing="0" w:afterAutospacing="0"/>
        <w:ind w:left="0" w:leftChars="0" w:right="0" w:firstLine="1040"/>
        <w:rPr>
          <w:rFonts w:hint="default" w:ascii="Times New Roman" w:hAnsi="Times New Roman" w:eastAsia="仿宋" w:cs="Times New Roman"/>
          <w:caps w:val="0"/>
          <w:smallCaps w:val="0"/>
          <w:color w:val="auto"/>
          <w:spacing w:val="0"/>
          <w:w w:val="100"/>
          <w:kern w:val="2"/>
          <w:position w:val="0"/>
          <w:sz w:val="44"/>
          <w:szCs w:val="44"/>
          <w:highlight w:val="none"/>
        </w:rPr>
      </w:pPr>
    </w:p>
    <w:bookmarkEnd w:id="1"/>
    <w:p w14:paraId="54467E41">
      <w:pPr>
        <w:pageBreakBefore w:val="0"/>
        <w:wordWrap/>
        <w:topLinePunct w:val="0"/>
        <w:bidi w:val="0"/>
        <w:adjustRightInd w:val="0"/>
        <w:snapToGrid w:val="0"/>
        <w:spacing w:beforeAutospacing="0" w:afterAutospacing="0" w:line="288" w:lineRule="auto"/>
        <w:ind w:left="1800" w:leftChars="0" w:right="0" w:hanging="1800" w:hangingChars="500"/>
        <w:rPr>
          <w:rFonts w:hint="default" w:ascii="Times New Roman" w:hAnsi="Times New Roman" w:eastAsia="仿宋" w:cs="Times New Roman"/>
          <w:caps w:val="0"/>
          <w:smallCaps w:val="0"/>
          <w:color w:val="auto"/>
          <w:spacing w:val="0"/>
          <w:w w:val="100"/>
          <w:kern w:val="2"/>
          <w:position w:val="0"/>
          <w:sz w:val="36"/>
          <w:szCs w:val="36"/>
          <w:highlight w:val="none"/>
          <w:u w:val="single"/>
          <w:lang w:val="en-US"/>
        </w:rPr>
      </w:pPr>
      <w:r>
        <w:rPr>
          <w:rFonts w:hint="eastAsia" w:ascii="仿宋" w:hAnsi="仿宋" w:eastAsia="仿宋" w:cs="仿宋"/>
          <w:caps w:val="0"/>
          <w:smallCaps w:val="0"/>
          <w:color w:val="auto"/>
          <w:spacing w:val="0"/>
          <w:w w:val="100"/>
          <w:kern w:val="2"/>
          <w:position w:val="0"/>
          <w:sz w:val="36"/>
          <w:szCs w:val="36"/>
          <w:highlight w:val="none"/>
        </w:rPr>
        <w:t>项目名</w:t>
      </w:r>
      <w:r>
        <w:rPr>
          <w:rFonts w:hint="default" w:ascii="Times New Roman" w:hAnsi="Times New Roman" w:eastAsia="仿宋" w:cs="Times New Roman"/>
          <w:caps w:val="0"/>
          <w:smallCaps w:val="0"/>
          <w:color w:val="auto"/>
          <w:spacing w:val="0"/>
          <w:w w:val="100"/>
          <w:kern w:val="2"/>
          <w:position w:val="0"/>
          <w:sz w:val="36"/>
          <w:szCs w:val="36"/>
          <w:highlight w:val="none"/>
        </w:rPr>
        <w:t>称：</w:t>
      </w:r>
      <w:r>
        <w:rPr>
          <w:rFonts w:hint="eastAsia" w:eastAsia="仿宋" w:cs="Times New Roman"/>
          <w:caps w:val="0"/>
          <w:smallCaps w:val="0"/>
          <w:color w:val="auto"/>
          <w:spacing w:val="-6"/>
          <w:w w:val="100"/>
          <w:kern w:val="2"/>
          <w:position w:val="0"/>
          <w:sz w:val="36"/>
          <w:szCs w:val="36"/>
          <w:highlight w:val="none"/>
          <w:u w:val="single"/>
          <w:lang w:val="en-US" w:eastAsia="zh-CN"/>
        </w:rPr>
        <w:t>2026年危旧桥改造项目G216线K1337+892处阳霞3号桥改造工程</w:t>
      </w:r>
    </w:p>
    <w:p w14:paraId="1F70FE11">
      <w:pPr>
        <w:pageBreakBefore w:val="0"/>
        <w:wordWrap/>
        <w:topLinePunct w:val="0"/>
        <w:bidi w:val="0"/>
        <w:adjustRightInd w:val="0"/>
        <w:snapToGrid w:val="0"/>
        <w:spacing w:beforeAutospacing="0" w:afterAutospacing="0" w:line="288" w:lineRule="auto"/>
        <w:ind w:left="0" w:leftChars="0" w:right="0" w:firstLine="0" w:firstLineChars="0"/>
        <w:rPr>
          <w:rFonts w:hint="default" w:ascii="Times New Roman" w:hAnsi="Times New Roman" w:eastAsia="仿宋" w:cs="Times New Roman"/>
          <w:caps w:val="0"/>
          <w:smallCaps w:val="0"/>
          <w:color w:val="auto"/>
          <w:spacing w:val="0"/>
          <w:w w:val="100"/>
          <w:kern w:val="2"/>
          <w:position w:val="0"/>
          <w:sz w:val="36"/>
          <w:szCs w:val="36"/>
          <w:highlight w:val="none"/>
          <w:u w:val="single"/>
          <w:lang w:val="en-US" w:eastAsia="zh-CN"/>
        </w:rPr>
      </w:pPr>
      <w:r>
        <w:rPr>
          <w:rFonts w:hint="default" w:ascii="Times New Roman" w:hAnsi="Times New Roman" w:eastAsia="仿宋" w:cs="Times New Roman"/>
          <w:caps w:val="0"/>
          <w:smallCaps w:val="0"/>
          <w:color w:val="auto"/>
          <w:spacing w:val="0"/>
          <w:w w:val="100"/>
          <w:kern w:val="2"/>
          <w:position w:val="0"/>
          <w:sz w:val="36"/>
          <w:szCs w:val="36"/>
          <w:highlight w:val="none"/>
        </w:rPr>
        <w:t>建设单位（盖章）：</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 xml:space="preserve">     库尔勒公路事业发展中心            </w:t>
      </w:r>
    </w:p>
    <w:p w14:paraId="5897B05A">
      <w:pPr>
        <w:pageBreakBefore w:val="0"/>
        <w:wordWrap/>
        <w:topLinePunct w:val="0"/>
        <w:bidi w:val="0"/>
        <w:adjustRightInd w:val="0"/>
        <w:snapToGrid w:val="0"/>
        <w:spacing w:beforeAutospacing="0" w:afterAutospacing="0" w:line="288" w:lineRule="auto"/>
        <w:ind w:left="0" w:leftChars="0" w:right="0" w:firstLine="0" w:firstLineChars="0"/>
        <w:rPr>
          <w:rFonts w:hint="default" w:ascii="仿宋" w:hAnsi="仿宋" w:eastAsia="仿宋" w:cs="仿宋"/>
          <w:caps w:val="0"/>
          <w:smallCaps w:val="0"/>
          <w:color w:val="auto"/>
          <w:spacing w:val="0"/>
          <w:w w:val="100"/>
          <w:kern w:val="2"/>
          <w:position w:val="0"/>
          <w:sz w:val="36"/>
          <w:szCs w:val="36"/>
          <w:highlight w:val="none"/>
          <w:u w:val="single"/>
          <w:lang w:val="en-US" w:eastAsia="zh-CN"/>
        </w:rPr>
      </w:pPr>
      <w:r>
        <w:rPr>
          <w:rFonts w:hint="default" w:ascii="Times New Roman" w:hAnsi="Times New Roman" w:eastAsia="仿宋" w:cs="Times New Roman"/>
          <w:caps w:val="0"/>
          <w:smallCaps w:val="0"/>
          <w:color w:val="auto"/>
          <w:spacing w:val="0"/>
          <w:w w:val="100"/>
          <w:kern w:val="2"/>
          <w:position w:val="0"/>
          <w:sz w:val="36"/>
          <w:szCs w:val="36"/>
          <w:highlight w:val="none"/>
        </w:rPr>
        <w:t>编制日期：</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 xml:space="preserve">               </w:t>
      </w:r>
      <w:r>
        <w:rPr>
          <w:rFonts w:hint="default" w:ascii="Times New Roman" w:hAnsi="Times New Roman" w:eastAsia="仿宋" w:cs="Times New Roman"/>
          <w:caps w:val="0"/>
          <w:smallCaps w:val="0"/>
          <w:color w:val="auto"/>
          <w:spacing w:val="0"/>
          <w:w w:val="100"/>
          <w:kern w:val="2"/>
          <w:position w:val="0"/>
          <w:sz w:val="36"/>
          <w:szCs w:val="36"/>
          <w:highlight w:val="none"/>
          <w:u w:val="single"/>
          <w:lang w:val="en-US" w:eastAsia="zh-CN"/>
        </w:rPr>
        <w:t>202</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6</w:t>
      </w:r>
      <w:r>
        <w:rPr>
          <w:rFonts w:hint="default" w:ascii="Times New Roman" w:hAnsi="Times New Roman" w:eastAsia="仿宋" w:cs="Times New Roman"/>
          <w:caps w:val="0"/>
          <w:smallCaps w:val="0"/>
          <w:color w:val="auto"/>
          <w:spacing w:val="0"/>
          <w:w w:val="100"/>
          <w:kern w:val="2"/>
          <w:position w:val="0"/>
          <w:sz w:val="36"/>
          <w:szCs w:val="36"/>
          <w:highlight w:val="none"/>
          <w:u w:val="single"/>
          <w:lang w:val="en-US" w:eastAsia="zh-CN"/>
        </w:rPr>
        <w:t>年</w:t>
      </w:r>
      <w:r>
        <w:rPr>
          <w:rFonts w:hint="eastAsia" w:eastAsia="仿宋" w:cs="Times New Roman"/>
          <w:caps w:val="0"/>
          <w:smallCaps w:val="0"/>
          <w:color w:val="auto"/>
          <w:spacing w:val="0"/>
          <w:w w:val="100"/>
          <w:kern w:val="2"/>
          <w:position w:val="0"/>
          <w:sz w:val="36"/>
          <w:szCs w:val="36"/>
          <w:highlight w:val="none"/>
          <w:u w:val="single"/>
          <w:lang w:val="en-US" w:eastAsia="zh-CN"/>
        </w:rPr>
        <w:t>3</w:t>
      </w:r>
      <w:r>
        <w:rPr>
          <w:rFonts w:hint="default" w:ascii="Times New Roman" w:hAnsi="Times New Roman" w:eastAsia="仿宋" w:cs="Times New Roman"/>
          <w:caps w:val="0"/>
          <w:smallCaps w:val="0"/>
          <w:color w:val="auto"/>
          <w:spacing w:val="0"/>
          <w:w w:val="100"/>
          <w:kern w:val="2"/>
          <w:position w:val="0"/>
          <w:sz w:val="36"/>
          <w:szCs w:val="36"/>
          <w:highlight w:val="none"/>
          <w:u w:val="single"/>
          <w:lang w:val="en-US" w:eastAsia="zh-CN"/>
        </w:rPr>
        <w:t>月</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 xml:space="preserve">                </w:t>
      </w:r>
    </w:p>
    <w:p w14:paraId="5651309E">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宋体" w:cs="Times New Roman"/>
          <w:caps w:val="0"/>
          <w:smallCaps w:val="0"/>
          <w:color w:val="auto"/>
          <w:spacing w:val="0"/>
          <w:w w:val="100"/>
          <w:kern w:val="2"/>
          <w:position w:val="0"/>
          <w:sz w:val="36"/>
          <w:szCs w:val="36"/>
          <w:highlight w:val="none"/>
          <w:u w:val="single"/>
        </w:rPr>
      </w:pPr>
    </w:p>
    <w:p w14:paraId="6677F21F">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0D8A5E4F">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3D7EFCAA">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3507C8F0">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282F31D0">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4E2C51FA">
      <w:pPr>
        <w:pageBreakBefore w:val="0"/>
        <w:wordWrap/>
        <w:topLinePunct w:val="0"/>
        <w:bidi w:val="0"/>
        <w:adjustRightInd w:val="0"/>
        <w:snapToGrid w:val="0"/>
        <w:spacing w:beforeAutospacing="0" w:afterAutospacing="0" w:line="288" w:lineRule="auto"/>
        <w:ind w:left="0" w:leftChars="0" w:right="0"/>
        <w:jc w:val="center"/>
        <w:rPr>
          <w:rFonts w:hint="default" w:ascii="Times New Roman" w:hAnsi="Times New Roman" w:cs="Times New Roman"/>
          <w:caps w:val="0"/>
          <w:smallCaps w:val="0"/>
          <w:color w:val="auto"/>
          <w:spacing w:val="0"/>
          <w:w w:val="100"/>
          <w:kern w:val="2"/>
          <w:position w:val="0"/>
          <w:highlight w:val="none"/>
        </w:rPr>
        <w:sectPr>
          <w:headerReference r:id="rId3" w:type="first"/>
          <w:footerReference r:id="rId6" w:type="firs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楷体_GB2312" w:cs="Times New Roman"/>
          <w:caps w:val="0"/>
          <w:smallCaps w:val="0"/>
          <w:color w:val="auto"/>
          <w:spacing w:val="0"/>
          <w:w w:val="100"/>
          <w:kern w:val="2"/>
          <w:position w:val="0"/>
          <w:sz w:val="36"/>
          <w:szCs w:val="36"/>
          <w:highlight w:val="none"/>
        </w:rPr>
        <w:t>中华人民共和国生态环境部制</w:t>
      </w:r>
    </w:p>
    <w:p w14:paraId="2765FCE3">
      <w:pPr>
        <w:pStyle w:val="24"/>
        <w:pageBreakBefore w:val="0"/>
        <w:wordWrap/>
        <w:topLinePunct w:val="0"/>
        <w:bidi w:val="0"/>
        <w:spacing w:before="0" w:beforeAutospacing="0" w:after="0" w:afterAutospacing="0"/>
        <w:ind w:left="0" w:leftChars="0" w:right="0"/>
        <w:jc w:val="both"/>
        <w:outlineLvl w:val="9"/>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6"/>
        <w:gridCol w:w="4574"/>
      </w:tblGrid>
      <w:tr w14:paraId="546E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786B04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05100" cy="2028825"/>
                  <wp:effectExtent l="0" t="0" r="0" b="9525"/>
                  <wp:docPr id="7" name="图片 275" descr="IMG_20260128_12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5" descr="IMG_20260128_124740"/>
                          <pic:cNvPicPr>
                            <a:picLocks noChangeAspect="1"/>
                          </pic:cNvPicPr>
                        </pic:nvPicPr>
                        <pic:blipFill>
                          <a:blip r:embed="rId12"/>
                          <a:stretch>
                            <a:fillRect/>
                          </a:stretch>
                        </pic:blipFill>
                        <pic:spPr>
                          <a:xfrm>
                            <a:off x="0" y="0"/>
                            <a:ext cx="2705100" cy="2028825"/>
                          </a:xfrm>
                          <a:prstGeom prst="rect">
                            <a:avLst/>
                          </a:prstGeom>
                          <a:noFill/>
                          <a:ln>
                            <a:noFill/>
                          </a:ln>
                        </pic:spPr>
                      </pic:pic>
                    </a:graphicData>
                  </a:graphic>
                </wp:inline>
              </w:drawing>
            </w:r>
          </w:p>
        </w:tc>
        <w:tc>
          <w:tcPr>
            <w:tcW w:w="4577" w:type="dxa"/>
            <w:noWrap w:val="0"/>
            <w:vAlign w:val="center"/>
          </w:tcPr>
          <w:p w14:paraId="1730966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05100" cy="2028825"/>
                  <wp:effectExtent l="0" t="0" r="0" b="9525"/>
                  <wp:docPr id="8" name="图片 277" descr="IMG_20260128_17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7" descr="IMG_20260128_171939"/>
                          <pic:cNvPicPr>
                            <a:picLocks noChangeAspect="1"/>
                          </pic:cNvPicPr>
                        </pic:nvPicPr>
                        <pic:blipFill>
                          <a:blip r:embed="rId13"/>
                          <a:stretch>
                            <a:fillRect/>
                          </a:stretch>
                        </pic:blipFill>
                        <pic:spPr>
                          <a:xfrm>
                            <a:off x="0" y="0"/>
                            <a:ext cx="2705100" cy="2028825"/>
                          </a:xfrm>
                          <a:prstGeom prst="rect">
                            <a:avLst/>
                          </a:prstGeom>
                          <a:noFill/>
                          <a:ln>
                            <a:noFill/>
                          </a:ln>
                        </pic:spPr>
                      </pic:pic>
                    </a:graphicData>
                  </a:graphic>
                </wp:inline>
              </w:drawing>
            </w:r>
          </w:p>
        </w:tc>
      </w:tr>
      <w:tr w14:paraId="1481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206C7BA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居民区</w:t>
            </w:r>
          </w:p>
        </w:tc>
        <w:tc>
          <w:tcPr>
            <w:tcW w:w="4577" w:type="dxa"/>
            <w:noWrap w:val="0"/>
            <w:vAlign w:val="center"/>
          </w:tcPr>
          <w:p w14:paraId="4702A4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居民区</w:t>
            </w:r>
          </w:p>
        </w:tc>
      </w:tr>
      <w:tr w14:paraId="00F0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3D503A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31135" cy="1843405"/>
                  <wp:effectExtent l="0" t="0" r="12065" b="4445"/>
                  <wp:docPr id="9" name="图片 278" descr="IMG_20260128_12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8" descr="IMG_20260128_124538"/>
                          <pic:cNvPicPr>
                            <a:picLocks noChangeAspect="1"/>
                          </pic:cNvPicPr>
                        </pic:nvPicPr>
                        <pic:blipFill>
                          <a:blip r:embed="rId14"/>
                          <a:stretch>
                            <a:fillRect/>
                          </a:stretch>
                        </pic:blipFill>
                        <pic:spPr>
                          <a:xfrm>
                            <a:off x="0" y="0"/>
                            <a:ext cx="2731135" cy="1843405"/>
                          </a:xfrm>
                          <a:prstGeom prst="rect">
                            <a:avLst/>
                          </a:prstGeom>
                          <a:noFill/>
                          <a:ln>
                            <a:noFill/>
                          </a:ln>
                        </pic:spPr>
                      </pic:pic>
                    </a:graphicData>
                  </a:graphic>
                </wp:inline>
              </w:drawing>
            </w:r>
          </w:p>
        </w:tc>
        <w:tc>
          <w:tcPr>
            <w:tcW w:w="4577" w:type="dxa"/>
            <w:noWrap w:val="0"/>
            <w:vAlign w:val="center"/>
          </w:tcPr>
          <w:p w14:paraId="09EC736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31135" cy="1843405"/>
                  <wp:effectExtent l="0" t="0" r="12065" b="4445"/>
                  <wp:docPr id="10" name="图片 279" descr="IMG_20260128_12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9" descr="IMG_20260128_124551"/>
                          <pic:cNvPicPr>
                            <a:picLocks noChangeAspect="1"/>
                          </pic:cNvPicPr>
                        </pic:nvPicPr>
                        <pic:blipFill>
                          <a:blip r:embed="rId15"/>
                          <a:stretch>
                            <a:fillRect/>
                          </a:stretch>
                        </pic:blipFill>
                        <pic:spPr>
                          <a:xfrm>
                            <a:off x="0" y="0"/>
                            <a:ext cx="2731135" cy="1843405"/>
                          </a:xfrm>
                          <a:prstGeom prst="rect">
                            <a:avLst/>
                          </a:prstGeom>
                          <a:noFill/>
                          <a:ln>
                            <a:noFill/>
                          </a:ln>
                        </pic:spPr>
                      </pic:pic>
                    </a:graphicData>
                  </a:graphic>
                </wp:inline>
              </w:drawing>
            </w:r>
          </w:p>
        </w:tc>
      </w:tr>
      <w:tr w14:paraId="7220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7CAE431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现状照片</w:t>
            </w:r>
          </w:p>
        </w:tc>
        <w:tc>
          <w:tcPr>
            <w:tcW w:w="4577" w:type="dxa"/>
            <w:noWrap w:val="0"/>
            <w:vAlign w:val="center"/>
          </w:tcPr>
          <w:p w14:paraId="0CF9BA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现状照片</w:t>
            </w:r>
          </w:p>
        </w:tc>
      </w:tr>
      <w:tr w14:paraId="25B5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61175C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31135" cy="1843405"/>
                  <wp:effectExtent l="0" t="0" r="12065" b="4445"/>
                  <wp:docPr id="11" name="图片 280" descr="IMG_20260128_12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0" descr="IMG_20260128_124701"/>
                          <pic:cNvPicPr>
                            <a:picLocks noChangeAspect="1"/>
                          </pic:cNvPicPr>
                        </pic:nvPicPr>
                        <pic:blipFill>
                          <a:blip r:embed="rId16"/>
                          <a:stretch>
                            <a:fillRect/>
                          </a:stretch>
                        </pic:blipFill>
                        <pic:spPr>
                          <a:xfrm>
                            <a:off x="0" y="0"/>
                            <a:ext cx="2731135" cy="1843405"/>
                          </a:xfrm>
                          <a:prstGeom prst="rect">
                            <a:avLst/>
                          </a:prstGeom>
                          <a:noFill/>
                          <a:ln>
                            <a:noFill/>
                          </a:ln>
                        </pic:spPr>
                      </pic:pic>
                    </a:graphicData>
                  </a:graphic>
                </wp:inline>
              </w:drawing>
            </w:r>
          </w:p>
        </w:tc>
        <w:tc>
          <w:tcPr>
            <w:tcW w:w="4577" w:type="dxa"/>
            <w:noWrap w:val="0"/>
            <w:vAlign w:val="center"/>
          </w:tcPr>
          <w:p w14:paraId="1C8630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eastAsia="宋体"/>
                <w:vertAlign w:val="baseline"/>
                <w:lang w:eastAsia="zh-CN"/>
              </w:rPr>
              <w:drawing>
                <wp:inline distT="0" distB="0" distL="114300" distR="114300">
                  <wp:extent cx="2791460" cy="1843405"/>
                  <wp:effectExtent l="0" t="0" r="8890" b="4445"/>
                  <wp:docPr id="12" name="图片 4" descr="IMG_20260128_1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0260128_124637"/>
                          <pic:cNvPicPr>
                            <a:picLocks noChangeAspect="1"/>
                          </pic:cNvPicPr>
                        </pic:nvPicPr>
                        <pic:blipFill>
                          <a:blip r:embed="rId17"/>
                          <a:srcRect l="10440" t="21156"/>
                          <a:stretch>
                            <a:fillRect/>
                          </a:stretch>
                        </pic:blipFill>
                        <pic:spPr>
                          <a:xfrm>
                            <a:off x="0" y="0"/>
                            <a:ext cx="2791460" cy="1843405"/>
                          </a:xfrm>
                          <a:prstGeom prst="rect">
                            <a:avLst/>
                          </a:prstGeom>
                          <a:noFill/>
                          <a:ln>
                            <a:noFill/>
                          </a:ln>
                        </pic:spPr>
                      </pic:pic>
                    </a:graphicData>
                  </a:graphic>
                </wp:inline>
              </w:drawing>
            </w:r>
          </w:p>
        </w:tc>
      </w:tr>
      <w:tr w14:paraId="5109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19386A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现状照片</w:t>
            </w:r>
          </w:p>
        </w:tc>
        <w:tc>
          <w:tcPr>
            <w:tcW w:w="4577" w:type="dxa"/>
            <w:noWrap w:val="0"/>
            <w:vAlign w:val="center"/>
          </w:tcPr>
          <w:p w14:paraId="303620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工程师现场照片</w:t>
            </w:r>
          </w:p>
        </w:tc>
      </w:tr>
    </w:tbl>
    <w:p w14:paraId="58252D8E">
      <w:pPr>
        <w:pStyle w:val="24"/>
        <w:pageBreakBefore w:val="0"/>
        <w:wordWrap/>
        <w:topLinePunct w:val="0"/>
        <w:bidi w:val="0"/>
        <w:spacing w:before="0" w:beforeAutospacing="0" w:after="0" w:afterAutospacing="0"/>
        <w:ind w:left="0" w:leftChars="0" w:right="0"/>
        <w:jc w:val="both"/>
        <w:outlineLvl w:val="9"/>
      </w:pPr>
    </w:p>
    <w:p w14:paraId="232D03DC">
      <w:pPr>
        <w:pStyle w:val="24"/>
        <w:pageBreakBefore w:val="0"/>
        <w:wordWrap/>
        <w:topLinePunct w:val="0"/>
        <w:bidi w:val="0"/>
        <w:spacing w:before="0" w:beforeAutospacing="0" w:after="0" w:afterAutospacing="0"/>
        <w:ind w:left="0" w:leftChars="0" w:right="0"/>
        <w:jc w:val="center"/>
        <w:outlineLvl w:val="9"/>
        <w:rPr>
          <w:rFonts w:hint="eastAsia"/>
          <w:b/>
          <w:bCs/>
          <w:sz w:val="32"/>
          <w:szCs w:val="32"/>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b/>
          <w:bCs/>
          <w:sz w:val="32"/>
          <w:szCs w:val="32"/>
          <w:lang w:val="en-US" w:eastAsia="zh-CN"/>
        </w:rPr>
        <w:t>现场踏勘照片</w:t>
      </w:r>
    </w:p>
    <w:p w14:paraId="4956B3BF">
      <w:pPr>
        <w:keepNext w:val="0"/>
        <w:keepLines w:val="0"/>
        <w:pageBreakBefore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目录</w:t>
      </w:r>
    </w:p>
    <w:p w14:paraId="2176C60E">
      <w:pPr>
        <w:pStyle w:val="19"/>
        <w:tabs>
          <w:tab w:val="right" w:leader="dot" w:pos="8844"/>
        </w:tabs>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_Toc1064 </w:instrText>
      </w:r>
      <w:r>
        <w:rPr>
          <w:rFonts w:hint="eastAsia" w:ascii="宋体" w:hAnsi="宋体" w:eastAsia="宋体" w:cs="宋体"/>
          <w:sz w:val="24"/>
          <w:szCs w:val="24"/>
        </w:rPr>
        <w:fldChar w:fldCharType="separate"/>
      </w:r>
      <w:r>
        <w:rPr>
          <w:rFonts w:hint="default" w:ascii="Times New Roman" w:hAnsi="Times New Roman" w:eastAsia="黑体" w:cs="Times New Roman"/>
          <w:caps w:val="0"/>
          <w:smallCaps w:val="0"/>
          <w:snapToGrid w:val="0"/>
          <w:spacing w:val="0"/>
          <w:w w:val="100"/>
          <w:kern w:val="2"/>
          <w:position w:val="0"/>
          <w:sz w:val="24"/>
          <w:szCs w:val="24"/>
          <w:highlight w:val="none"/>
        </w:rPr>
        <w:t>一、建设项目基本情况</w:t>
      </w:r>
      <w:r>
        <w:rPr>
          <w:sz w:val="24"/>
          <w:szCs w:val="24"/>
        </w:rPr>
        <w:tab/>
      </w:r>
      <w:r>
        <w:rPr>
          <w:sz w:val="24"/>
          <w:szCs w:val="24"/>
        </w:rPr>
        <w:fldChar w:fldCharType="begin"/>
      </w:r>
      <w:r>
        <w:rPr>
          <w:sz w:val="24"/>
          <w:szCs w:val="24"/>
        </w:rPr>
        <w:instrText xml:space="preserve"> PAGEREF _Toc1064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14:paraId="3877A0B2">
      <w:pPr>
        <w:pStyle w:val="19"/>
        <w:tabs>
          <w:tab w:val="right" w:leader="dot" w:pos="8844"/>
        </w:tabs>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_Toc7521 </w:instrText>
      </w:r>
      <w:r>
        <w:rPr>
          <w:rFonts w:hint="eastAsia" w:ascii="宋体" w:hAnsi="宋体" w:eastAsia="宋体" w:cs="宋体"/>
          <w:sz w:val="24"/>
          <w:szCs w:val="24"/>
        </w:rPr>
        <w:fldChar w:fldCharType="separate"/>
      </w:r>
      <w:r>
        <w:rPr>
          <w:rFonts w:hint="default" w:ascii="Times New Roman" w:hAnsi="Times New Roman" w:eastAsia="黑体" w:cs="Times New Roman"/>
          <w:bCs w:val="0"/>
          <w:caps w:val="0"/>
          <w:smallCaps w:val="0"/>
          <w:snapToGrid w:val="0"/>
          <w:spacing w:val="0"/>
          <w:w w:val="100"/>
          <w:kern w:val="2"/>
          <w:position w:val="0"/>
          <w:sz w:val="24"/>
          <w:szCs w:val="24"/>
          <w:highlight w:val="none"/>
        </w:rPr>
        <w:t>二、建设内容</w:t>
      </w:r>
      <w:r>
        <w:rPr>
          <w:sz w:val="24"/>
          <w:szCs w:val="24"/>
        </w:rPr>
        <w:tab/>
      </w:r>
      <w:r>
        <w:rPr>
          <w:sz w:val="24"/>
          <w:szCs w:val="24"/>
        </w:rPr>
        <w:fldChar w:fldCharType="begin"/>
      </w:r>
      <w:r>
        <w:rPr>
          <w:sz w:val="24"/>
          <w:szCs w:val="24"/>
        </w:rPr>
        <w:instrText xml:space="preserve"> PAGEREF _Toc7521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sz w:val="24"/>
          <w:szCs w:val="24"/>
        </w:rPr>
        <w:fldChar w:fldCharType="end"/>
      </w:r>
    </w:p>
    <w:p w14:paraId="610530D7">
      <w:pPr>
        <w:pStyle w:val="19"/>
        <w:tabs>
          <w:tab w:val="right" w:leader="dot" w:pos="8844"/>
        </w:tabs>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_Toc21973 </w:instrText>
      </w:r>
      <w:r>
        <w:rPr>
          <w:rFonts w:hint="eastAsia" w:ascii="宋体" w:hAnsi="宋体" w:eastAsia="宋体" w:cs="宋体"/>
          <w:sz w:val="24"/>
          <w:szCs w:val="24"/>
        </w:rPr>
        <w:fldChar w:fldCharType="separate"/>
      </w:r>
      <w:r>
        <w:rPr>
          <w:rFonts w:hint="default" w:ascii="Times New Roman" w:hAnsi="Times New Roman" w:eastAsia="黑体" w:cs="Times New Roman"/>
          <w:caps w:val="0"/>
          <w:smallCaps w:val="0"/>
          <w:snapToGrid w:val="0"/>
          <w:spacing w:val="0"/>
          <w:w w:val="100"/>
          <w:kern w:val="2"/>
          <w:position w:val="0"/>
          <w:sz w:val="24"/>
          <w:szCs w:val="24"/>
          <w:highlight w:val="none"/>
        </w:rPr>
        <w:t>三、生态环境现状、保护目标及评价标准</w:t>
      </w:r>
      <w:r>
        <w:rPr>
          <w:sz w:val="24"/>
          <w:szCs w:val="24"/>
        </w:rPr>
        <w:tab/>
      </w:r>
      <w:r>
        <w:rPr>
          <w:sz w:val="24"/>
          <w:szCs w:val="24"/>
        </w:rPr>
        <w:fldChar w:fldCharType="begin"/>
      </w:r>
      <w:r>
        <w:rPr>
          <w:sz w:val="24"/>
          <w:szCs w:val="24"/>
        </w:rPr>
        <w:instrText xml:space="preserve"> PAGEREF _Toc21973 \h </w:instrText>
      </w:r>
      <w:r>
        <w:rPr>
          <w:sz w:val="24"/>
          <w:szCs w:val="24"/>
        </w:rPr>
        <w:fldChar w:fldCharType="separate"/>
      </w:r>
      <w:r>
        <w:rPr>
          <w:sz w:val="24"/>
          <w:szCs w:val="24"/>
        </w:rPr>
        <w:t>27</w:t>
      </w:r>
      <w:r>
        <w:rPr>
          <w:sz w:val="24"/>
          <w:szCs w:val="24"/>
        </w:rPr>
        <w:fldChar w:fldCharType="end"/>
      </w:r>
      <w:r>
        <w:rPr>
          <w:rFonts w:hint="eastAsia" w:ascii="宋体" w:hAnsi="宋体" w:eastAsia="宋体" w:cs="宋体"/>
          <w:sz w:val="24"/>
          <w:szCs w:val="24"/>
        </w:rPr>
        <w:fldChar w:fldCharType="end"/>
      </w:r>
    </w:p>
    <w:p w14:paraId="276C4042">
      <w:pPr>
        <w:pStyle w:val="19"/>
        <w:tabs>
          <w:tab w:val="right" w:leader="dot" w:pos="8844"/>
        </w:tabs>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_Toc28847 </w:instrText>
      </w:r>
      <w:r>
        <w:rPr>
          <w:rFonts w:hint="eastAsia" w:ascii="宋体" w:hAnsi="宋体" w:eastAsia="宋体" w:cs="宋体"/>
          <w:sz w:val="24"/>
          <w:szCs w:val="24"/>
        </w:rPr>
        <w:fldChar w:fldCharType="separate"/>
      </w:r>
      <w:r>
        <w:rPr>
          <w:rFonts w:hint="default" w:ascii="Times New Roman" w:hAnsi="Times New Roman" w:eastAsia="黑体" w:cs="Times New Roman"/>
          <w:caps w:val="0"/>
          <w:smallCaps w:val="0"/>
          <w:snapToGrid w:val="0"/>
          <w:spacing w:val="0"/>
          <w:w w:val="100"/>
          <w:kern w:val="2"/>
          <w:position w:val="0"/>
          <w:sz w:val="24"/>
          <w:szCs w:val="24"/>
          <w:highlight w:val="none"/>
        </w:rPr>
        <w:t>四、生态环境影响分析</w:t>
      </w:r>
      <w:r>
        <w:rPr>
          <w:sz w:val="24"/>
          <w:szCs w:val="24"/>
        </w:rPr>
        <w:tab/>
      </w:r>
      <w:r>
        <w:rPr>
          <w:sz w:val="24"/>
          <w:szCs w:val="24"/>
        </w:rPr>
        <w:fldChar w:fldCharType="begin"/>
      </w:r>
      <w:r>
        <w:rPr>
          <w:sz w:val="24"/>
          <w:szCs w:val="24"/>
        </w:rPr>
        <w:instrText xml:space="preserve"> PAGEREF _Toc28847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sz w:val="24"/>
          <w:szCs w:val="24"/>
        </w:rPr>
        <w:fldChar w:fldCharType="end"/>
      </w:r>
    </w:p>
    <w:p w14:paraId="2F51CE1E">
      <w:pPr>
        <w:pStyle w:val="19"/>
        <w:tabs>
          <w:tab w:val="right" w:leader="dot" w:pos="8844"/>
        </w:tabs>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_Toc2419 </w:instrText>
      </w:r>
      <w:r>
        <w:rPr>
          <w:rFonts w:hint="eastAsia" w:ascii="宋体" w:hAnsi="宋体" w:eastAsia="宋体" w:cs="宋体"/>
          <w:sz w:val="24"/>
          <w:szCs w:val="24"/>
        </w:rPr>
        <w:fldChar w:fldCharType="separate"/>
      </w:r>
      <w:r>
        <w:rPr>
          <w:rFonts w:hint="default" w:ascii="Times New Roman" w:hAnsi="Times New Roman" w:eastAsia="黑体" w:cs="Times New Roman"/>
          <w:caps w:val="0"/>
          <w:smallCaps w:val="0"/>
          <w:snapToGrid w:val="0"/>
          <w:spacing w:val="0"/>
          <w:w w:val="100"/>
          <w:kern w:val="2"/>
          <w:position w:val="0"/>
          <w:sz w:val="24"/>
          <w:szCs w:val="24"/>
          <w:highlight w:val="none"/>
        </w:rPr>
        <w:t>五、主要生态环境保护措施</w:t>
      </w:r>
      <w:r>
        <w:rPr>
          <w:sz w:val="24"/>
          <w:szCs w:val="24"/>
        </w:rPr>
        <w:tab/>
      </w:r>
      <w:r>
        <w:rPr>
          <w:sz w:val="24"/>
          <w:szCs w:val="24"/>
        </w:rPr>
        <w:fldChar w:fldCharType="begin"/>
      </w:r>
      <w:r>
        <w:rPr>
          <w:sz w:val="24"/>
          <w:szCs w:val="24"/>
        </w:rPr>
        <w:instrText xml:space="preserve"> PAGEREF _Toc2419 \h </w:instrText>
      </w:r>
      <w:r>
        <w:rPr>
          <w:sz w:val="24"/>
          <w:szCs w:val="24"/>
        </w:rPr>
        <w:fldChar w:fldCharType="separate"/>
      </w:r>
      <w:r>
        <w:rPr>
          <w:sz w:val="24"/>
          <w:szCs w:val="24"/>
        </w:rPr>
        <w:t>55</w:t>
      </w:r>
      <w:r>
        <w:rPr>
          <w:sz w:val="24"/>
          <w:szCs w:val="24"/>
        </w:rPr>
        <w:fldChar w:fldCharType="end"/>
      </w:r>
      <w:r>
        <w:rPr>
          <w:rFonts w:hint="eastAsia" w:ascii="宋体" w:hAnsi="宋体" w:eastAsia="宋体" w:cs="宋体"/>
          <w:sz w:val="24"/>
          <w:szCs w:val="24"/>
        </w:rPr>
        <w:fldChar w:fldCharType="end"/>
      </w:r>
    </w:p>
    <w:p w14:paraId="4F97E863">
      <w:pPr>
        <w:pStyle w:val="19"/>
        <w:tabs>
          <w:tab w:val="right" w:leader="dot" w:pos="8844"/>
        </w:tabs>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_Toc8544 </w:instrText>
      </w:r>
      <w:r>
        <w:rPr>
          <w:rFonts w:hint="eastAsia" w:ascii="宋体" w:hAnsi="宋体" w:eastAsia="宋体" w:cs="宋体"/>
          <w:sz w:val="24"/>
          <w:szCs w:val="24"/>
        </w:rPr>
        <w:fldChar w:fldCharType="separate"/>
      </w:r>
      <w:r>
        <w:rPr>
          <w:rFonts w:hint="default" w:ascii="Times New Roman" w:hAnsi="Times New Roman" w:eastAsia="黑体" w:cs="Times New Roman"/>
          <w:caps w:val="0"/>
          <w:smallCaps w:val="0"/>
          <w:snapToGrid w:val="0"/>
          <w:spacing w:val="0"/>
          <w:w w:val="100"/>
          <w:kern w:val="2"/>
          <w:position w:val="0"/>
          <w:sz w:val="24"/>
          <w:szCs w:val="24"/>
          <w:highlight w:val="none"/>
        </w:rPr>
        <w:t>六、生态环境保护措施监督检查清单</w:t>
      </w:r>
      <w:r>
        <w:rPr>
          <w:sz w:val="24"/>
          <w:szCs w:val="24"/>
        </w:rPr>
        <w:tab/>
      </w:r>
      <w:r>
        <w:rPr>
          <w:sz w:val="24"/>
          <w:szCs w:val="24"/>
        </w:rPr>
        <w:fldChar w:fldCharType="begin"/>
      </w:r>
      <w:r>
        <w:rPr>
          <w:sz w:val="24"/>
          <w:szCs w:val="24"/>
        </w:rPr>
        <w:instrText xml:space="preserve"> PAGEREF _Toc8544 \h </w:instrText>
      </w:r>
      <w:r>
        <w:rPr>
          <w:sz w:val="24"/>
          <w:szCs w:val="24"/>
        </w:rPr>
        <w:fldChar w:fldCharType="separate"/>
      </w:r>
      <w:r>
        <w:rPr>
          <w:sz w:val="24"/>
          <w:szCs w:val="24"/>
        </w:rPr>
        <w:t>68</w:t>
      </w:r>
      <w:r>
        <w:rPr>
          <w:sz w:val="24"/>
          <w:szCs w:val="24"/>
        </w:rPr>
        <w:fldChar w:fldCharType="end"/>
      </w:r>
      <w:r>
        <w:rPr>
          <w:rFonts w:hint="eastAsia" w:ascii="宋体" w:hAnsi="宋体" w:eastAsia="宋体" w:cs="宋体"/>
          <w:sz w:val="24"/>
          <w:szCs w:val="24"/>
        </w:rPr>
        <w:fldChar w:fldCharType="end"/>
      </w:r>
    </w:p>
    <w:p w14:paraId="0C557A4D">
      <w:pPr>
        <w:pStyle w:val="19"/>
        <w:tabs>
          <w:tab w:val="right" w:leader="dot" w:pos="8844"/>
        </w:tabs>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_Toc6235 </w:instrText>
      </w:r>
      <w:r>
        <w:rPr>
          <w:rFonts w:hint="eastAsia" w:ascii="宋体" w:hAnsi="宋体" w:eastAsia="宋体" w:cs="宋体"/>
          <w:sz w:val="24"/>
          <w:szCs w:val="24"/>
        </w:rPr>
        <w:fldChar w:fldCharType="separate"/>
      </w:r>
      <w:r>
        <w:rPr>
          <w:rFonts w:hint="default" w:ascii="Times New Roman" w:hAnsi="Times New Roman" w:eastAsia="黑体" w:cs="Times New Roman"/>
          <w:caps w:val="0"/>
          <w:smallCaps w:val="0"/>
          <w:snapToGrid w:val="0"/>
          <w:spacing w:val="0"/>
          <w:w w:val="100"/>
          <w:kern w:val="2"/>
          <w:position w:val="0"/>
          <w:sz w:val="24"/>
          <w:szCs w:val="24"/>
          <w:highlight w:val="none"/>
        </w:rPr>
        <w:t>七、结论</w:t>
      </w:r>
      <w:r>
        <w:rPr>
          <w:sz w:val="24"/>
          <w:szCs w:val="24"/>
        </w:rPr>
        <w:tab/>
      </w:r>
      <w:r>
        <w:rPr>
          <w:sz w:val="24"/>
          <w:szCs w:val="24"/>
        </w:rPr>
        <w:fldChar w:fldCharType="begin"/>
      </w:r>
      <w:r>
        <w:rPr>
          <w:sz w:val="24"/>
          <w:szCs w:val="24"/>
        </w:rPr>
        <w:instrText xml:space="preserve"> PAGEREF _Toc6235 \h </w:instrText>
      </w:r>
      <w:r>
        <w:rPr>
          <w:sz w:val="24"/>
          <w:szCs w:val="24"/>
        </w:rPr>
        <w:fldChar w:fldCharType="separate"/>
      </w:r>
      <w:r>
        <w:rPr>
          <w:sz w:val="24"/>
          <w:szCs w:val="24"/>
        </w:rPr>
        <w:t>70</w:t>
      </w:r>
      <w:r>
        <w:rPr>
          <w:sz w:val="24"/>
          <w:szCs w:val="24"/>
        </w:rPr>
        <w:fldChar w:fldCharType="end"/>
      </w:r>
      <w:r>
        <w:rPr>
          <w:rFonts w:hint="eastAsia" w:ascii="宋体" w:hAnsi="宋体" w:eastAsia="宋体" w:cs="宋体"/>
          <w:sz w:val="24"/>
          <w:szCs w:val="24"/>
        </w:rPr>
        <w:fldChar w:fldCharType="end"/>
      </w:r>
    </w:p>
    <w:p w14:paraId="5DC568A4">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eastAsia="宋体" w:cs="宋体"/>
          <w:sz w:val="24"/>
          <w:szCs w:val="24"/>
        </w:rPr>
        <w:fldChar w:fldCharType="end"/>
      </w:r>
    </w:p>
    <w:p w14:paraId="368B5194">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bookmarkStart w:id="2" w:name="_Toc1064"/>
      <w:r>
        <w:rPr>
          <w:rFonts w:hint="default" w:ascii="Times New Roman" w:hAnsi="Times New Roman" w:eastAsia="黑体" w:cs="Times New Roman"/>
          <w:caps w:val="0"/>
          <w:smallCaps w:val="0"/>
          <w:snapToGrid w:val="0"/>
          <w:color w:val="auto"/>
          <w:spacing w:val="0"/>
          <w:w w:val="100"/>
          <w:kern w:val="2"/>
          <w:position w:val="0"/>
          <w:sz w:val="30"/>
          <w:szCs w:val="30"/>
          <w:highlight w:val="none"/>
        </w:rPr>
        <w:t>一、建设项目基本情况</w:t>
      </w:r>
      <w:bookmarkEnd w:id="2"/>
    </w:p>
    <w:tbl>
      <w:tblPr>
        <w:tblStyle w:val="2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38"/>
        <w:gridCol w:w="2104"/>
        <w:gridCol w:w="1849"/>
        <w:gridCol w:w="2738"/>
      </w:tblGrid>
      <w:tr w14:paraId="5A354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07F16E1C">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建设项目名称</w:t>
            </w:r>
          </w:p>
        </w:tc>
        <w:tc>
          <w:tcPr>
            <w:tcW w:w="4016" w:type="pct"/>
            <w:gridSpan w:val="3"/>
            <w:tcBorders>
              <w:tl2br w:val="nil"/>
              <w:tr2bl w:val="nil"/>
            </w:tcBorders>
            <w:noWrap w:val="0"/>
            <w:vAlign w:val="center"/>
          </w:tcPr>
          <w:p w14:paraId="3DAEDA3B">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cs="Times New Roman"/>
                <w:caps w:val="0"/>
                <w:smallCaps w:val="0"/>
                <w:color w:val="auto"/>
                <w:spacing w:val="0"/>
                <w:w w:val="100"/>
                <w:kern w:val="2"/>
                <w:position w:val="0"/>
                <w:sz w:val="24"/>
                <w:szCs w:val="24"/>
                <w:highlight w:val="none"/>
                <w:lang w:val="en-US" w:eastAsia="zh-CN"/>
              </w:rPr>
              <w:t>2026年危旧桥改造项目G216线K1337+892处阳霞3号桥改造工程</w:t>
            </w:r>
          </w:p>
        </w:tc>
      </w:tr>
      <w:tr w14:paraId="607F0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14B6A100">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项目代码</w:t>
            </w:r>
          </w:p>
        </w:tc>
        <w:tc>
          <w:tcPr>
            <w:tcW w:w="4016" w:type="pct"/>
            <w:gridSpan w:val="3"/>
            <w:tcBorders>
              <w:tl2br w:val="nil"/>
              <w:tr2bl w:val="nil"/>
            </w:tcBorders>
            <w:noWrap w:val="0"/>
            <w:vAlign w:val="center"/>
          </w:tcPr>
          <w:p w14:paraId="490C4DC9">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p>
        </w:tc>
      </w:tr>
      <w:tr w14:paraId="22924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3F3B424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建设单位联系人</w:t>
            </w:r>
          </w:p>
        </w:tc>
        <w:tc>
          <w:tcPr>
            <w:tcW w:w="1263" w:type="pct"/>
            <w:tcBorders>
              <w:tl2br w:val="nil"/>
              <w:tr2bl w:val="nil"/>
            </w:tcBorders>
            <w:noWrap w:val="0"/>
            <w:vAlign w:val="center"/>
          </w:tcPr>
          <w:p w14:paraId="2737DCC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p>
        </w:tc>
        <w:tc>
          <w:tcPr>
            <w:tcW w:w="1110" w:type="pct"/>
            <w:tcBorders>
              <w:tl2br w:val="nil"/>
              <w:tr2bl w:val="nil"/>
            </w:tcBorders>
            <w:noWrap w:val="0"/>
            <w:vAlign w:val="center"/>
          </w:tcPr>
          <w:p w14:paraId="023D9A1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p>
        </w:tc>
        <w:tc>
          <w:tcPr>
            <w:tcW w:w="1642" w:type="pct"/>
            <w:tcBorders>
              <w:tl2br w:val="nil"/>
              <w:tr2bl w:val="nil"/>
            </w:tcBorders>
            <w:noWrap w:val="0"/>
            <w:vAlign w:val="center"/>
          </w:tcPr>
          <w:p w14:paraId="772F721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rPr>
            </w:pPr>
          </w:p>
        </w:tc>
      </w:tr>
      <w:tr w14:paraId="4C6A8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2E1E67C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建设地点</w:t>
            </w:r>
          </w:p>
        </w:tc>
        <w:tc>
          <w:tcPr>
            <w:tcW w:w="4016" w:type="pct"/>
            <w:gridSpan w:val="3"/>
            <w:tcBorders>
              <w:tl2br w:val="nil"/>
              <w:tr2bl w:val="nil"/>
            </w:tcBorders>
            <w:noWrap w:val="0"/>
            <w:vAlign w:val="center"/>
          </w:tcPr>
          <w:p w14:paraId="0A1DA35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p>
        </w:tc>
      </w:tr>
      <w:tr w14:paraId="28BFE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4D93ADB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地理坐标</w:t>
            </w:r>
          </w:p>
        </w:tc>
        <w:tc>
          <w:tcPr>
            <w:tcW w:w="4016" w:type="pct"/>
            <w:gridSpan w:val="3"/>
            <w:tcBorders>
              <w:tl2br w:val="nil"/>
              <w:tr2bl w:val="nil"/>
            </w:tcBorders>
            <w:noWrap w:val="0"/>
            <w:vAlign w:val="center"/>
          </w:tcPr>
          <w:p w14:paraId="7F5B2CED">
            <w:pPr>
              <w:pStyle w:val="7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jc w:val="center"/>
              <w:textAlignment w:val="auto"/>
              <w:rPr>
                <w:rFonts w:hint="default" w:eastAsia="宋体"/>
                <w:lang w:val="en-US" w:eastAsia="zh-CN"/>
              </w:rPr>
            </w:pPr>
          </w:p>
        </w:tc>
      </w:tr>
      <w:tr w14:paraId="1B37F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26665137">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建设项目</w:t>
            </w:r>
          </w:p>
          <w:p w14:paraId="4079864F">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行业类别</w:t>
            </w:r>
          </w:p>
        </w:tc>
        <w:tc>
          <w:tcPr>
            <w:tcW w:w="1263" w:type="pct"/>
            <w:tcBorders>
              <w:tl2br w:val="nil"/>
              <w:tr2bl w:val="nil"/>
            </w:tcBorders>
            <w:noWrap w:val="0"/>
            <w:vAlign w:val="center"/>
          </w:tcPr>
          <w:p w14:paraId="7E9737F8">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rPr>
            </w:pPr>
            <w:r>
              <w:rPr>
                <w:rFonts w:hint="default" w:ascii="Times New Roman" w:hAnsi="Times New Roman" w:eastAsia="宋体" w:cs="Times New Roman"/>
                <w:caps w:val="0"/>
                <w:smallCaps w:val="0"/>
                <w:color w:val="auto"/>
                <w:spacing w:val="0"/>
                <w:w w:val="100"/>
                <w:kern w:val="2"/>
                <w:position w:val="0"/>
                <w:sz w:val="24"/>
                <w:highlight w:val="none"/>
                <w:lang w:val="en-US" w:eastAsia="zh-CN"/>
              </w:rPr>
              <w:t>五十二、交通运输业、管道运输业</w:t>
            </w:r>
            <w:r>
              <w:rPr>
                <w:rFonts w:hint="default" w:ascii="Times New Roman" w:hAnsi="Times New Roman" w:eastAsia="宋体" w:cs="Times New Roman"/>
                <w:caps w:val="0"/>
                <w:smallCaps w:val="0"/>
                <w:color w:val="auto"/>
                <w:spacing w:val="0"/>
                <w:w w:val="100"/>
                <w:kern w:val="2"/>
                <w:position w:val="0"/>
                <w:sz w:val="24"/>
                <w:highlight w:val="none"/>
              </w:rPr>
              <w:t>，</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130</w:t>
            </w:r>
            <w:r>
              <w:rPr>
                <w:rFonts w:hint="default" w:ascii="Times New Roman" w:hAnsi="Times New Roman" w:eastAsia="宋体" w:cs="Times New Roman"/>
                <w:caps w:val="0"/>
                <w:smallCaps w:val="0"/>
                <w:color w:val="auto"/>
                <w:spacing w:val="0"/>
                <w:w w:val="100"/>
                <w:kern w:val="2"/>
                <w:position w:val="0"/>
                <w:sz w:val="24"/>
                <w:highlight w:val="none"/>
              </w:rPr>
              <w:t>、</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等级公路（不含维护；不含生命救援、应急保通工程以及国防交通保障项目；不含改扩建四级公路）-其他</w:t>
            </w:r>
          </w:p>
        </w:tc>
        <w:tc>
          <w:tcPr>
            <w:tcW w:w="1110" w:type="pct"/>
            <w:tcBorders>
              <w:tl2br w:val="nil"/>
              <w:tr2bl w:val="nil"/>
            </w:tcBorders>
            <w:noWrap w:val="0"/>
            <w:vAlign w:val="center"/>
          </w:tcPr>
          <w:p w14:paraId="4B2CFC45">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用地（用海）面积（m</w:t>
            </w:r>
            <w:r>
              <w:rPr>
                <w:rFonts w:hint="default" w:ascii="Times New Roman" w:hAnsi="Times New Roman" w:eastAsia="宋体" w:cs="Times New Roman"/>
                <w:caps w:val="0"/>
                <w:smallCaps w:val="0"/>
                <w:color w:val="auto"/>
                <w:spacing w:val="0"/>
                <w:w w:val="100"/>
                <w:kern w:val="2"/>
                <w:position w:val="0"/>
                <w:sz w:val="24"/>
                <w:szCs w:val="24"/>
                <w:highlight w:val="none"/>
                <w:vertAlign w:val="superscript"/>
              </w:rPr>
              <w:t>2</w:t>
            </w:r>
            <w:r>
              <w:rPr>
                <w:rFonts w:hint="default" w:ascii="Times New Roman" w:hAnsi="Times New Roman" w:eastAsia="宋体" w:cs="Times New Roman"/>
                <w:caps w:val="0"/>
                <w:smallCaps w:val="0"/>
                <w:color w:val="auto"/>
                <w:spacing w:val="0"/>
                <w:w w:val="100"/>
                <w:kern w:val="2"/>
                <w:position w:val="0"/>
                <w:sz w:val="24"/>
                <w:szCs w:val="24"/>
                <w:highlight w:val="none"/>
              </w:rPr>
              <w:t>）/长度（km）</w:t>
            </w:r>
          </w:p>
        </w:tc>
        <w:tc>
          <w:tcPr>
            <w:tcW w:w="1642" w:type="pct"/>
            <w:tcBorders>
              <w:tl2br w:val="nil"/>
              <w:tr2bl w:val="nil"/>
            </w:tcBorders>
            <w:noWrap w:val="0"/>
            <w:vAlign w:val="center"/>
          </w:tcPr>
          <w:p w14:paraId="186E9020">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总占地面积552m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2</w:t>
            </w:r>
          </w:p>
          <w:p w14:paraId="4E111851">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vertAlign w:val="baseline"/>
                <w:lang w:val="en-US" w:eastAsia="zh-CN"/>
              </w:rPr>
              <w:t>线路总</w:t>
            </w:r>
            <w:r>
              <w:rPr>
                <w:rFonts w:hint="default" w:ascii="Times New Roman" w:hAnsi="Times New Roman" w:eastAsia="宋体" w:cs="Times New Roman"/>
                <w:caps w:val="0"/>
                <w:smallCaps w:val="0"/>
                <w:color w:val="auto"/>
                <w:spacing w:val="0"/>
                <w:w w:val="100"/>
                <w:kern w:val="2"/>
                <w:position w:val="0"/>
                <w:sz w:val="24"/>
                <w:szCs w:val="24"/>
                <w:highlight w:val="none"/>
                <w:vertAlign w:val="baseline"/>
                <w:lang w:val="en-US" w:eastAsia="zh-CN"/>
              </w:rPr>
              <w:t>长度</w:t>
            </w:r>
            <w:r>
              <w:rPr>
                <w:rFonts w:hint="eastAsia" w:ascii="Times New Roman" w:hAnsi="Times New Roman" w:eastAsia="宋体" w:cs="Times New Roman"/>
                <w:caps w:val="0"/>
                <w:smallCaps w:val="0"/>
                <w:color w:val="auto"/>
                <w:spacing w:val="0"/>
                <w:w w:val="100"/>
                <w:kern w:val="2"/>
                <w:position w:val="0"/>
                <w:sz w:val="24"/>
                <w:szCs w:val="24"/>
                <w:highlight w:val="none"/>
                <w:vertAlign w:val="baseline"/>
                <w:lang w:val="en-US" w:eastAsia="zh-CN"/>
              </w:rPr>
              <w:t>0.046</w:t>
            </w:r>
            <w:r>
              <w:rPr>
                <w:rFonts w:hint="default" w:ascii="Times New Roman" w:hAnsi="Times New Roman" w:eastAsia="宋体" w:cs="Times New Roman"/>
                <w:caps w:val="0"/>
                <w:smallCaps w:val="0"/>
                <w:color w:val="auto"/>
                <w:spacing w:val="0"/>
                <w:w w:val="100"/>
                <w:kern w:val="2"/>
                <w:position w:val="0"/>
                <w:sz w:val="24"/>
                <w:szCs w:val="24"/>
                <w:highlight w:val="none"/>
                <w:vertAlign w:val="baseline"/>
                <w:lang w:val="en-US" w:eastAsia="zh-CN"/>
              </w:rPr>
              <w:t>km</w:t>
            </w:r>
          </w:p>
        </w:tc>
      </w:tr>
      <w:tr w14:paraId="628C5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4CBCDC59">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建设性质</w:t>
            </w:r>
          </w:p>
        </w:tc>
        <w:tc>
          <w:tcPr>
            <w:tcW w:w="1263" w:type="pct"/>
            <w:tcBorders>
              <w:tl2br w:val="nil"/>
              <w:tr2bl w:val="nil"/>
            </w:tcBorders>
            <w:noWrap w:val="0"/>
            <w:vAlign w:val="center"/>
          </w:tcPr>
          <w:p w14:paraId="799BCCB1">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新建（迁建）</w:t>
            </w:r>
          </w:p>
          <w:p w14:paraId="7DA2EEEC">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改建</w:t>
            </w:r>
          </w:p>
          <w:p w14:paraId="728BB071">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扩建</w:t>
            </w:r>
          </w:p>
          <w:p w14:paraId="5FDDBAA4">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技术改造</w:t>
            </w:r>
          </w:p>
        </w:tc>
        <w:tc>
          <w:tcPr>
            <w:tcW w:w="1110" w:type="pct"/>
            <w:tcBorders>
              <w:tl2br w:val="nil"/>
              <w:tr2bl w:val="nil"/>
            </w:tcBorders>
            <w:noWrap w:val="0"/>
            <w:vAlign w:val="center"/>
          </w:tcPr>
          <w:p w14:paraId="3E1B3A88">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建设项目</w:t>
            </w:r>
          </w:p>
          <w:p w14:paraId="09308AE2">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申报情形</w:t>
            </w:r>
          </w:p>
        </w:tc>
        <w:tc>
          <w:tcPr>
            <w:tcW w:w="1642" w:type="pct"/>
            <w:tcBorders>
              <w:tl2br w:val="nil"/>
              <w:tr2bl w:val="nil"/>
            </w:tcBorders>
            <w:noWrap w:val="0"/>
            <w:vAlign w:val="center"/>
          </w:tcPr>
          <w:p w14:paraId="10C39FBC">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sym w:font="Wingdings 2" w:char="0052"/>
            </w:r>
            <w:r>
              <w:rPr>
                <w:rFonts w:hint="default" w:ascii="Times New Roman" w:hAnsi="Times New Roman" w:eastAsia="宋体" w:cs="Times New Roman"/>
                <w:caps w:val="0"/>
                <w:smallCaps w:val="0"/>
                <w:color w:val="auto"/>
                <w:spacing w:val="0"/>
                <w:w w:val="100"/>
                <w:kern w:val="2"/>
                <w:position w:val="0"/>
                <w:sz w:val="24"/>
                <w:szCs w:val="24"/>
                <w:highlight w:val="none"/>
              </w:rPr>
              <w:t>首次申报项目</w:t>
            </w:r>
          </w:p>
          <w:p w14:paraId="5667A11F">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不予批准后再次申报项目</w:t>
            </w:r>
          </w:p>
          <w:p w14:paraId="52BA36B1">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超五年重新审核项目</w:t>
            </w:r>
          </w:p>
          <w:p w14:paraId="210D93DE">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重大变动重新报批项目</w:t>
            </w:r>
          </w:p>
        </w:tc>
      </w:tr>
      <w:tr w14:paraId="726C0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7E9373FB">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项目审批部门</w:t>
            </w:r>
          </w:p>
        </w:tc>
        <w:tc>
          <w:tcPr>
            <w:tcW w:w="1263" w:type="pct"/>
            <w:tcBorders>
              <w:tl2br w:val="nil"/>
              <w:tr2bl w:val="nil"/>
            </w:tcBorders>
            <w:noWrap w:val="0"/>
            <w:vAlign w:val="center"/>
          </w:tcPr>
          <w:p w14:paraId="4BA8F7A5">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p>
        </w:tc>
        <w:tc>
          <w:tcPr>
            <w:tcW w:w="1110" w:type="pct"/>
            <w:tcBorders>
              <w:tl2br w:val="nil"/>
              <w:tr2bl w:val="nil"/>
            </w:tcBorders>
            <w:noWrap w:val="0"/>
            <w:vAlign w:val="center"/>
          </w:tcPr>
          <w:p w14:paraId="42DB4B46">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项目审批文号</w:t>
            </w:r>
          </w:p>
        </w:tc>
        <w:tc>
          <w:tcPr>
            <w:tcW w:w="1642" w:type="pct"/>
            <w:tcBorders>
              <w:tl2br w:val="nil"/>
              <w:tr2bl w:val="nil"/>
            </w:tcBorders>
            <w:noWrap w:val="0"/>
            <w:vAlign w:val="center"/>
          </w:tcPr>
          <w:p w14:paraId="68AFC8A2">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p>
        </w:tc>
      </w:tr>
      <w:tr w14:paraId="016B8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26977B3F">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总投资（万元）</w:t>
            </w:r>
          </w:p>
        </w:tc>
        <w:tc>
          <w:tcPr>
            <w:tcW w:w="1263" w:type="pct"/>
            <w:tcBorders>
              <w:tl2br w:val="nil"/>
              <w:tr2bl w:val="nil"/>
            </w:tcBorders>
            <w:noWrap w:val="0"/>
            <w:vAlign w:val="center"/>
          </w:tcPr>
          <w:p w14:paraId="4F74BEB9">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364.1487</w:t>
            </w:r>
          </w:p>
        </w:tc>
        <w:tc>
          <w:tcPr>
            <w:tcW w:w="1110" w:type="pct"/>
            <w:tcBorders>
              <w:tl2br w:val="nil"/>
              <w:tr2bl w:val="nil"/>
            </w:tcBorders>
            <w:noWrap w:val="0"/>
            <w:tcMar>
              <w:top w:w="16" w:type="dxa"/>
              <w:left w:w="16" w:type="dxa"/>
              <w:right w:w="16" w:type="dxa"/>
            </w:tcMar>
            <w:vAlign w:val="center"/>
          </w:tcPr>
          <w:p w14:paraId="5BCB2F99">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环保投资（万元）</w:t>
            </w:r>
          </w:p>
        </w:tc>
        <w:tc>
          <w:tcPr>
            <w:tcW w:w="1642" w:type="pct"/>
            <w:tcBorders>
              <w:tl2br w:val="nil"/>
              <w:tr2bl w:val="nil"/>
            </w:tcBorders>
            <w:noWrap w:val="0"/>
            <w:vAlign w:val="center"/>
          </w:tcPr>
          <w:p w14:paraId="32283658">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31</w:t>
            </w:r>
          </w:p>
        </w:tc>
      </w:tr>
      <w:tr w14:paraId="56C6F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4685FDA0">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环保投资占比（%）</w:t>
            </w:r>
          </w:p>
        </w:tc>
        <w:tc>
          <w:tcPr>
            <w:tcW w:w="1263" w:type="pct"/>
            <w:tcBorders>
              <w:tl2br w:val="nil"/>
              <w:tr2bl w:val="nil"/>
            </w:tcBorders>
            <w:noWrap w:val="0"/>
            <w:vAlign w:val="center"/>
          </w:tcPr>
          <w:p w14:paraId="38473DBF">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8.51</w:t>
            </w:r>
          </w:p>
        </w:tc>
        <w:tc>
          <w:tcPr>
            <w:tcW w:w="1110" w:type="pct"/>
            <w:tcBorders>
              <w:tl2br w:val="nil"/>
              <w:tr2bl w:val="nil"/>
            </w:tcBorders>
            <w:noWrap w:val="0"/>
            <w:tcMar>
              <w:top w:w="16" w:type="dxa"/>
              <w:left w:w="16" w:type="dxa"/>
              <w:right w:w="16" w:type="dxa"/>
            </w:tcMar>
            <w:vAlign w:val="center"/>
          </w:tcPr>
          <w:p w14:paraId="2B974AFB">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施工工期</w:t>
            </w:r>
          </w:p>
        </w:tc>
        <w:tc>
          <w:tcPr>
            <w:tcW w:w="1642" w:type="pct"/>
            <w:tcBorders>
              <w:tl2br w:val="nil"/>
              <w:tr2bl w:val="nil"/>
            </w:tcBorders>
            <w:noWrap w:val="0"/>
            <w:vAlign w:val="center"/>
          </w:tcPr>
          <w:p w14:paraId="559E6358">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个月</w:t>
            </w:r>
          </w:p>
        </w:tc>
      </w:tr>
      <w:tr w14:paraId="1F0C0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38FBEA0B">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是否开工建设</w:t>
            </w:r>
          </w:p>
        </w:tc>
        <w:tc>
          <w:tcPr>
            <w:tcW w:w="4016" w:type="pct"/>
            <w:gridSpan w:val="3"/>
            <w:tcBorders>
              <w:tl2br w:val="nil"/>
              <w:tr2bl w:val="nil"/>
            </w:tcBorders>
            <w:noWrap w:val="0"/>
            <w:vAlign w:val="center"/>
          </w:tcPr>
          <w:p w14:paraId="4C07CA8E">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firstLine="105"/>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sym w:font="Wingdings 2" w:char="0052"/>
            </w:r>
            <w:r>
              <w:rPr>
                <w:rFonts w:hint="default" w:ascii="Times New Roman" w:hAnsi="Times New Roman" w:eastAsia="宋体" w:cs="Times New Roman"/>
                <w:caps w:val="0"/>
                <w:smallCaps w:val="0"/>
                <w:color w:val="auto"/>
                <w:spacing w:val="0"/>
                <w:w w:val="100"/>
                <w:kern w:val="2"/>
                <w:position w:val="0"/>
                <w:sz w:val="24"/>
                <w:szCs w:val="24"/>
                <w:highlight w:val="none"/>
              </w:rPr>
              <w:t>否</w:t>
            </w:r>
          </w:p>
          <w:p w14:paraId="07D07235">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firstLine="92"/>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eastAsia="zh-CN"/>
              </w:rPr>
            </w:pPr>
            <w:r>
              <w:rPr>
                <w:rFonts w:hint="default" w:ascii="Times New Roman" w:hAnsi="Times New Roman" w:eastAsia="宋体" w:cs="Times New Roman"/>
                <w:caps w:val="0"/>
                <w:smallCaps w:val="0"/>
                <w:color w:val="auto"/>
                <w:spacing w:val="0"/>
                <w:w w:val="100"/>
                <w:kern w:val="2"/>
                <w:position w:val="0"/>
                <w:sz w:val="24"/>
                <w:szCs w:val="24"/>
                <w:highlight w:val="none"/>
              </w:rPr>
              <w:sym w:font="Wingdings 2" w:char="00A3"/>
            </w:r>
            <w:r>
              <w:rPr>
                <w:rFonts w:hint="default" w:ascii="Times New Roman" w:hAnsi="Times New Roman" w:eastAsia="宋体" w:cs="Times New Roman"/>
                <w:caps w:val="0"/>
                <w:smallCaps w:val="0"/>
                <w:color w:val="auto"/>
                <w:spacing w:val="0"/>
                <w:w w:val="100"/>
                <w:kern w:val="2"/>
                <w:position w:val="0"/>
                <w:sz w:val="24"/>
                <w:szCs w:val="24"/>
                <w:highlight w:val="none"/>
              </w:rPr>
              <w:t>是：</w:t>
            </w:r>
          </w:p>
        </w:tc>
      </w:tr>
      <w:tr w14:paraId="22214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78271659">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专项评价设置情况</w:t>
            </w:r>
          </w:p>
        </w:tc>
        <w:tc>
          <w:tcPr>
            <w:tcW w:w="4016" w:type="pct"/>
            <w:gridSpan w:val="3"/>
            <w:tcBorders>
              <w:tl2br w:val="nil"/>
              <w:tr2bl w:val="nil"/>
            </w:tcBorders>
            <w:noWrap w:val="0"/>
            <w:tcMar>
              <w:top w:w="16" w:type="dxa"/>
              <w:left w:w="16" w:type="dxa"/>
              <w:right w:w="16" w:type="dxa"/>
            </w:tcMar>
            <w:vAlign w:val="center"/>
          </w:tcPr>
          <w:p w14:paraId="7583BB74">
            <w:pPr>
              <w:shd w:val="clear" w:color="auto" w:fill="auto"/>
              <w:autoSpaceDE w:val="0"/>
              <w:autoSpaceDN w:val="0"/>
              <w:adjustRightInd w:val="0"/>
              <w:snapToGrid w:val="0"/>
              <w:spacing w:line="440" w:lineRule="exact"/>
              <w:ind w:firstLine="480" w:firstLineChars="200"/>
              <w:rPr>
                <w:color w:val="auto"/>
                <w:sz w:val="24"/>
              </w:rPr>
            </w:pPr>
            <w:r>
              <w:rPr>
                <w:color w:val="auto"/>
                <w:sz w:val="24"/>
              </w:rPr>
              <w:t>根据《建设项目环境影响报告表编制技术指南（</w:t>
            </w:r>
            <w:r>
              <w:rPr>
                <w:rFonts w:hint="eastAsia"/>
                <w:color w:val="auto"/>
                <w:sz w:val="24"/>
              </w:rPr>
              <w:t>生态</w:t>
            </w:r>
            <w:r>
              <w:rPr>
                <w:color w:val="auto"/>
                <w:sz w:val="24"/>
              </w:rPr>
              <w:t>影响类</w:t>
            </w:r>
            <w:r>
              <w:rPr>
                <w:rFonts w:hint="eastAsia"/>
                <w:color w:val="auto"/>
                <w:sz w:val="24"/>
              </w:rPr>
              <w:t>）（</w:t>
            </w:r>
            <w:r>
              <w:rPr>
                <w:color w:val="auto"/>
                <w:sz w:val="24"/>
              </w:rPr>
              <w:t>试行）》专项评价设置原则表设置专项评价情况。具体如下：</w:t>
            </w:r>
          </w:p>
          <w:p w14:paraId="5D2C9418">
            <w:pPr>
              <w:shd w:val="clear" w:color="auto" w:fill="auto"/>
              <w:autoSpaceDE w:val="0"/>
              <w:autoSpaceDN w:val="0"/>
              <w:adjustRightInd w:val="0"/>
              <w:snapToGrid w:val="0"/>
              <w:spacing w:line="440" w:lineRule="exact"/>
              <w:ind w:firstLine="422" w:firstLineChars="200"/>
              <w:jc w:val="center"/>
              <w:rPr>
                <w:b/>
                <w:bCs/>
                <w:color w:val="auto"/>
                <w:sz w:val="21"/>
                <w:szCs w:val="21"/>
              </w:rPr>
            </w:pPr>
            <w:r>
              <w:rPr>
                <w:b/>
                <w:bCs/>
                <w:color w:val="auto"/>
                <w:sz w:val="21"/>
                <w:szCs w:val="21"/>
              </w:rPr>
              <w:t>表1-1    专项评价设置原则表</w:t>
            </w:r>
          </w:p>
          <w:tbl>
            <w:tblPr>
              <w:tblStyle w:val="28"/>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5718"/>
            </w:tblGrid>
            <w:tr w14:paraId="77C13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619" w:type="pct"/>
                  <w:tcBorders>
                    <w:tl2br w:val="nil"/>
                    <w:tr2bl w:val="nil"/>
                  </w:tcBorders>
                  <w:noWrap w:val="0"/>
                  <w:vAlign w:val="center"/>
                </w:tcPr>
                <w:p w14:paraId="24BF2E91">
                  <w:pPr>
                    <w:widowControl/>
                    <w:shd w:val="clear" w:color="auto" w:fill="auto"/>
                    <w:spacing w:line="240" w:lineRule="auto"/>
                    <w:jc w:val="center"/>
                    <w:rPr>
                      <w:color w:val="auto"/>
                      <w:sz w:val="18"/>
                      <w:szCs w:val="18"/>
                    </w:rPr>
                  </w:pPr>
                  <w:r>
                    <w:rPr>
                      <w:color w:val="auto"/>
                      <w:sz w:val="18"/>
                      <w:szCs w:val="18"/>
                    </w:rPr>
                    <w:t>专项评价类别</w:t>
                  </w:r>
                </w:p>
              </w:tc>
              <w:tc>
                <w:tcPr>
                  <w:tcW w:w="4380" w:type="pct"/>
                  <w:tcBorders>
                    <w:tl2br w:val="nil"/>
                    <w:tr2bl w:val="nil"/>
                  </w:tcBorders>
                  <w:noWrap w:val="0"/>
                  <w:vAlign w:val="center"/>
                </w:tcPr>
                <w:p w14:paraId="3ADED433">
                  <w:pPr>
                    <w:shd w:val="clear" w:color="auto" w:fill="auto"/>
                    <w:autoSpaceDE w:val="0"/>
                    <w:autoSpaceDN w:val="0"/>
                    <w:adjustRightInd w:val="0"/>
                    <w:snapToGrid w:val="0"/>
                    <w:spacing w:line="240" w:lineRule="auto"/>
                    <w:jc w:val="center"/>
                    <w:rPr>
                      <w:color w:val="auto"/>
                      <w:sz w:val="18"/>
                      <w:szCs w:val="18"/>
                    </w:rPr>
                  </w:pPr>
                  <w:r>
                    <w:rPr>
                      <w:color w:val="auto"/>
                      <w:sz w:val="18"/>
                      <w:szCs w:val="18"/>
                    </w:rPr>
                    <w:t>设置原则</w:t>
                  </w:r>
                </w:p>
              </w:tc>
            </w:tr>
            <w:tr w14:paraId="6FEC0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tcBorders>
                    <w:tl2br w:val="nil"/>
                    <w:tr2bl w:val="nil"/>
                  </w:tcBorders>
                  <w:noWrap w:val="0"/>
                  <w:vAlign w:val="center"/>
                </w:tcPr>
                <w:p w14:paraId="35BEBCA2">
                  <w:pPr>
                    <w:widowControl/>
                    <w:shd w:val="clear" w:color="auto" w:fill="auto"/>
                    <w:spacing w:line="240" w:lineRule="auto"/>
                    <w:jc w:val="center"/>
                    <w:rPr>
                      <w:color w:val="auto"/>
                      <w:sz w:val="18"/>
                      <w:szCs w:val="18"/>
                    </w:rPr>
                  </w:pPr>
                  <w:r>
                    <w:rPr>
                      <w:color w:val="auto"/>
                      <w:kern w:val="0"/>
                      <w:sz w:val="18"/>
                      <w:szCs w:val="18"/>
                      <w:lang w:bidi="ar"/>
                    </w:rPr>
                    <w:t>地表水</w:t>
                  </w:r>
                </w:p>
              </w:tc>
              <w:tc>
                <w:tcPr>
                  <w:tcW w:w="4380" w:type="pct"/>
                  <w:tcBorders>
                    <w:tl2br w:val="nil"/>
                    <w:tr2bl w:val="nil"/>
                  </w:tcBorders>
                  <w:noWrap w:val="0"/>
                  <w:vAlign w:val="center"/>
                </w:tcPr>
                <w:p w14:paraId="4DDC7D83">
                  <w:pPr>
                    <w:widowControl/>
                    <w:shd w:val="clear" w:color="auto" w:fill="auto"/>
                    <w:spacing w:line="240" w:lineRule="auto"/>
                    <w:jc w:val="left"/>
                    <w:rPr>
                      <w:color w:val="auto"/>
                      <w:sz w:val="18"/>
                      <w:szCs w:val="18"/>
                    </w:rPr>
                  </w:pPr>
                  <w:r>
                    <w:rPr>
                      <w:color w:val="auto"/>
                      <w:kern w:val="0"/>
                      <w:sz w:val="18"/>
                      <w:szCs w:val="18"/>
                      <w:lang w:bidi="ar"/>
                    </w:rPr>
                    <w:t>水力发电：引水式发电、涉及调峰发电的项目；人工湖、人工湿地：全部；水库：全部；引水工程：全部（配套的管线工程等除外）；防洪除涝工程：包含水库的项目；</w:t>
                  </w:r>
                </w:p>
                <w:p w14:paraId="79BB08A9">
                  <w:pPr>
                    <w:widowControl/>
                    <w:shd w:val="clear" w:color="auto" w:fill="auto"/>
                    <w:spacing w:line="240" w:lineRule="auto"/>
                    <w:jc w:val="left"/>
                    <w:rPr>
                      <w:color w:val="auto"/>
                      <w:sz w:val="18"/>
                      <w:szCs w:val="18"/>
                    </w:rPr>
                  </w:pPr>
                  <w:r>
                    <w:rPr>
                      <w:color w:val="auto"/>
                      <w:kern w:val="0"/>
                      <w:sz w:val="18"/>
                      <w:szCs w:val="18"/>
                      <w:lang w:bidi="ar"/>
                    </w:rPr>
                    <w:t>河湖整治：涉及清淤且底泥存在重金属污染的项目</w:t>
                  </w:r>
                </w:p>
              </w:tc>
            </w:tr>
            <w:tr w14:paraId="5ABD5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tcBorders>
                    <w:tl2br w:val="nil"/>
                    <w:tr2bl w:val="nil"/>
                  </w:tcBorders>
                  <w:noWrap w:val="0"/>
                  <w:vAlign w:val="center"/>
                </w:tcPr>
                <w:p w14:paraId="4A7963F7">
                  <w:pPr>
                    <w:shd w:val="clear" w:color="auto" w:fill="auto"/>
                    <w:autoSpaceDE w:val="0"/>
                    <w:autoSpaceDN w:val="0"/>
                    <w:adjustRightInd w:val="0"/>
                    <w:snapToGrid w:val="0"/>
                    <w:spacing w:line="240" w:lineRule="auto"/>
                    <w:jc w:val="center"/>
                    <w:rPr>
                      <w:color w:val="auto"/>
                      <w:sz w:val="18"/>
                      <w:szCs w:val="18"/>
                    </w:rPr>
                  </w:pPr>
                  <w:r>
                    <w:rPr>
                      <w:color w:val="auto"/>
                      <w:sz w:val="18"/>
                      <w:szCs w:val="18"/>
                    </w:rPr>
                    <w:t>地下水</w:t>
                  </w:r>
                </w:p>
              </w:tc>
              <w:tc>
                <w:tcPr>
                  <w:tcW w:w="4380" w:type="pct"/>
                  <w:tcBorders>
                    <w:tl2br w:val="nil"/>
                    <w:tr2bl w:val="nil"/>
                  </w:tcBorders>
                  <w:noWrap w:val="0"/>
                  <w:vAlign w:val="center"/>
                </w:tcPr>
                <w:p w14:paraId="5F34F114">
                  <w:pPr>
                    <w:widowControl/>
                    <w:shd w:val="clear" w:color="auto" w:fill="auto"/>
                    <w:spacing w:line="240" w:lineRule="auto"/>
                    <w:jc w:val="left"/>
                    <w:rPr>
                      <w:color w:val="auto"/>
                      <w:sz w:val="18"/>
                      <w:szCs w:val="18"/>
                    </w:rPr>
                  </w:pPr>
                  <w:r>
                    <w:rPr>
                      <w:color w:val="auto"/>
                      <w:kern w:val="0"/>
                      <w:sz w:val="18"/>
                      <w:szCs w:val="18"/>
                      <w:lang w:bidi="ar"/>
                    </w:rPr>
                    <w:t>陆地石油和天然气开采：全部；</w:t>
                  </w:r>
                </w:p>
                <w:p w14:paraId="6EFA19CB">
                  <w:pPr>
                    <w:widowControl/>
                    <w:shd w:val="clear" w:color="auto" w:fill="auto"/>
                    <w:spacing w:line="240" w:lineRule="auto"/>
                    <w:jc w:val="left"/>
                    <w:rPr>
                      <w:color w:val="auto"/>
                      <w:sz w:val="18"/>
                      <w:szCs w:val="18"/>
                    </w:rPr>
                  </w:pPr>
                  <w:r>
                    <w:rPr>
                      <w:color w:val="auto"/>
                      <w:kern w:val="0"/>
                      <w:sz w:val="18"/>
                      <w:szCs w:val="18"/>
                      <w:lang w:bidi="ar"/>
                    </w:rPr>
                    <w:t>地下水（含矿泉水）开采：全部；</w:t>
                  </w:r>
                </w:p>
                <w:p w14:paraId="29C767F5">
                  <w:pPr>
                    <w:widowControl/>
                    <w:shd w:val="clear" w:color="auto" w:fill="auto"/>
                    <w:spacing w:line="240" w:lineRule="auto"/>
                    <w:jc w:val="left"/>
                    <w:rPr>
                      <w:color w:val="auto"/>
                      <w:sz w:val="18"/>
                      <w:szCs w:val="18"/>
                    </w:rPr>
                  </w:pPr>
                  <w:r>
                    <w:rPr>
                      <w:color w:val="auto"/>
                      <w:kern w:val="0"/>
                      <w:sz w:val="18"/>
                      <w:szCs w:val="18"/>
                      <w:lang w:bidi="ar"/>
                    </w:rPr>
                    <w:t>水利、水电、交通等：含穿越可溶岩地层隧道的项目</w:t>
                  </w:r>
                </w:p>
              </w:tc>
            </w:tr>
            <w:tr w14:paraId="21AAB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tcBorders>
                    <w:tl2br w:val="nil"/>
                    <w:tr2bl w:val="nil"/>
                  </w:tcBorders>
                  <w:noWrap w:val="0"/>
                  <w:vAlign w:val="center"/>
                </w:tcPr>
                <w:p w14:paraId="591D22B4">
                  <w:pPr>
                    <w:shd w:val="clear" w:color="auto" w:fill="auto"/>
                    <w:autoSpaceDE w:val="0"/>
                    <w:autoSpaceDN w:val="0"/>
                    <w:adjustRightInd w:val="0"/>
                    <w:snapToGrid w:val="0"/>
                    <w:spacing w:line="240" w:lineRule="auto"/>
                    <w:jc w:val="center"/>
                    <w:rPr>
                      <w:color w:val="auto"/>
                      <w:sz w:val="18"/>
                      <w:szCs w:val="18"/>
                    </w:rPr>
                  </w:pPr>
                  <w:r>
                    <w:rPr>
                      <w:color w:val="auto"/>
                      <w:sz w:val="18"/>
                      <w:szCs w:val="18"/>
                    </w:rPr>
                    <w:t>生态</w:t>
                  </w:r>
                </w:p>
              </w:tc>
              <w:tc>
                <w:tcPr>
                  <w:tcW w:w="4380" w:type="pct"/>
                  <w:tcBorders>
                    <w:tl2br w:val="nil"/>
                    <w:tr2bl w:val="nil"/>
                  </w:tcBorders>
                  <w:noWrap w:val="0"/>
                  <w:vAlign w:val="center"/>
                </w:tcPr>
                <w:p w14:paraId="362AB9CD">
                  <w:pPr>
                    <w:widowControl/>
                    <w:shd w:val="clear" w:color="auto" w:fill="auto"/>
                    <w:spacing w:line="240" w:lineRule="auto"/>
                    <w:jc w:val="left"/>
                    <w:rPr>
                      <w:color w:val="auto"/>
                      <w:sz w:val="18"/>
                      <w:szCs w:val="18"/>
                    </w:rPr>
                  </w:pPr>
                  <w:r>
                    <w:rPr>
                      <w:color w:val="auto"/>
                      <w:kern w:val="0"/>
                      <w:sz w:val="18"/>
                      <w:szCs w:val="18"/>
                      <w:lang w:bidi="ar"/>
                    </w:rPr>
                    <w:t>涉及环境敏感区（不包括饮用水水源保护区，以居住、医疗卫生、文化教育、科研、行政办公为主要功能的区域，以及文物保护单位）的项目</w:t>
                  </w:r>
                </w:p>
              </w:tc>
            </w:tr>
            <w:tr w14:paraId="7E41B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tcBorders>
                    <w:tl2br w:val="nil"/>
                    <w:tr2bl w:val="nil"/>
                  </w:tcBorders>
                  <w:noWrap w:val="0"/>
                  <w:vAlign w:val="center"/>
                </w:tcPr>
                <w:p w14:paraId="1BB7C467">
                  <w:pPr>
                    <w:shd w:val="clear" w:color="auto" w:fill="auto"/>
                    <w:autoSpaceDE w:val="0"/>
                    <w:autoSpaceDN w:val="0"/>
                    <w:adjustRightInd w:val="0"/>
                    <w:snapToGrid w:val="0"/>
                    <w:spacing w:line="240" w:lineRule="auto"/>
                    <w:jc w:val="center"/>
                    <w:rPr>
                      <w:color w:val="auto"/>
                      <w:sz w:val="18"/>
                      <w:szCs w:val="18"/>
                    </w:rPr>
                  </w:pPr>
                  <w:r>
                    <w:rPr>
                      <w:color w:val="auto"/>
                      <w:sz w:val="18"/>
                      <w:szCs w:val="18"/>
                    </w:rPr>
                    <w:t>大气</w:t>
                  </w:r>
                </w:p>
              </w:tc>
              <w:tc>
                <w:tcPr>
                  <w:tcW w:w="4380" w:type="pct"/>
                  <w:tcBorders>
                    <w:tl2br w:val="nil"/>
                    <w:tr2bl w:val="nil"/>
                  </w:tcBorders>
                  <w:noWrap w:val="0"/>
                  <w:vAlign w:val="center"/>
                </w:tcPr>
                <w:p w14:paraId="2265DFAA">
                  <w:pPr>
                    <w:widowControl/>
                    <w:shd w:val="clear" w:color="auto" w:fill="auto"/>
                    <w:spacing w:line="240" w:lineRule="auto"/>
                    <w:jc w:val="left"/>
                    <w:rPr>
                      <w:color w:val="auto"/>
                      <w:sz w:val="18"/>
                      <w:szCs w:val="18"/>
                    </w:rPr>
                  </w:pPr>
                  <w:r>
                    <w:rPr>
                      <w:color w:val="auto"/>
                      <w:kern w:val="0"/>
                      <w:sz w:val="18"/>
                      <w:szCs w:val="18"/>
                      <w:lang w:bidi="ar"/>
                    </w:rPr>
                    <w:t>油气、液体化工码头：全部；</w:t>
                  </w:r>
                </w:p>
                <w:p w14:paraId="14E30186">
                  <w:pPr>
                    <w:widowControl/>
                    <w:shd w:val="clear" w:color="auto" w:fill="auto"/>
                    <w:spacing w:line="240" w:lineRule="auto"/>
                    <w:jc w:val="left"/>
                    <w:rPr>
                      <w:color w:val="auto"/>
                      <w:sz w:val="18"/>
                      <w:szCs w:val="18"/>
                    </w:rPr>
                  </w:pPr>
                  <w:r>
                    <w:rPr>
                      <w:color w:val="auto"/>
                      <w:kern w:val="0"/>
                      <w:sz w:val="18"/>
                      <w:szCs w:val="18"/>
                      <w:lang w:bidi="ar"/>
                    </w:rPr>
                    <w:t>干散货（含煤炭、矿石）、件杂、多用途、通用码头：涉及粉尘、挥发性有机物排放的项目</w:t>
                  </w:r>
                </w:p>
              </w:tc>
            </w:tr>
            <w:tr w14:paraId="26AB4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tcBorders>
                    <w:tl2br w:val="nil"/>
                    <w:tr2bl w:val="nil"/>
                  </w:tcBorders>
                  <w:noWrap w:val="0"/>
                  <w:vAlign w:val="center"/>
                </w:tcPr>
                <w:p w14:paraId="7E2BB35D">
                  <w:pPr>
                    <w:shd w:val="clear" w:color="auto" w:fill="auto"/>
                    <w:autoSpaceDE w:val="0"/>
                    <w:autoSpaceDN w:val="0"/>
                    <w:adjustRightInd w:val="0"/>
                    <w:snapToGrid w:val="0"/>
                    <w:spacing w:line="240" w:lineRule="auto"/>
                    <w:jc w:val="center"/>
                    <w:rPr>
                      <w:color w:val="auto"/>
                      <w:sz w:val="18"/>
                      <w:szCs w:val="18"/>
                    </w:rPr>
                  </w:pPr>
                  <w:r>
                    <w:rPr>
                      <w:color w:val="auto"/>
                      <w:sz w:val="18"/>
                      <w:szCs w:val="18"/>
                    </w:rPr>
                    <w:t>噪声</w:t>
                  </w:r>
                </w:p>
              </w:tc>
              <w:tc>
                <w:tcPr>
                  <w:tcW w:w="4380" w:type="pct"/>
                  <w:tcBorders>
                    <w:tl2br w:val="nil"/>
                    <w:tr2bl w:val="nil"/>
                  </w:tcBorders>
                  <w:noWrap w:val="0"/>
                  <w:vAlign w:val="center"/>
                </w:tcPr>
                <w:p w14:paraId="2FD5550D">
                  <w:pPr>
                    <w:widowControl/>
                    <w:shd w:val="clear" w:color="auto" w:fill="auto"/>
                    <w:spacing w:line="240" w:lineRule="auto"/>
                    <w:jc w:val="left"/>
                    <w:rPr>
                      <w:color w:val="auto"/>
                      <w:sz w:val="18"/>
                      <w:szCs w:val="18"/>
                    </w:rPr>
                  </w:pPr>
                  <w:r>
                    <w:rPr>
                      <w:color w:val="auto"/>
                      <w:kern w:val="0"/>
                      <w:sz w:val="18"/>
                      <w:szCs w:val="18"/>
                      <w:lang w:bidi="ar"/>
                    </w:rPr>
                    <w:t>公路、铁路、机场等交通运输业涉及环境敏感区（以居住、医疗卫生、文化教育、科研、行政办公为主要功能的区域）的项目；</w:t>
                  </w:r>
                </w:p>
                <w:p w14:paraId="5C3B8FE1">
                  <w:pPr>
                    <w:widowControl/>
                    <w:shd w:val="clear" w:color="auto" w:fill="auto"/>
                    <w:spacing w:line="240" w:lineRule="auto"/>
                    <w:jc w:val="left"/>
                    <w:rPr>
                      <w:color w:val="auto"/>
                      <w:sz w:val="18"/>
                      <w:szCs w:val="18"/>
                    </w:rPr>
                  </w:pPr>
                  <w:r>
                    <w:rPr>
                      <w:rFonts w:hint="eastAsia"/>
                      <w:color w:val="auto"/>
                      <w:kern w:val="0"/>
                      <w:sz w:val="18"/>
                      <w:szCs w:val="18"/>
                      <w:lang w:val="en-US" w:eastAsia="zh-CN" w:bidi="ar"/>
                    </w:rPr>
                    <w:t>城市道路</w:t>
                  </w:r>
                  <w:r>
                    <w:rPr>
                      <w:color w:val="auto"/>
                      <w:kern w:val="0"/>
                      <w:sz w:val="18"/>
                      <w:szCs w:val="18"/>
                      <w:lang w:bidi="ar"/>
                    </w:rPr>
                    <w:t>（不含维护，不含支路、人行天桥、人行地道）：全部</w:t>
                  </w:r>
                </w:p>
              </w:tc>
            </w:tr>
            <w:tr w14:paraId="17EFB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pct"/>
                  <w:tcBorders>
                    <w:tl2br w:val="nil"/>
                    <w:tr2bl w:val="nil"/>
                  </w:tcBorders>
                  <w:noWrap w:val="0"/>
                  <w:vAlign w:val="center"/>
                </w:tcPr>
                <w:p w14:paraId="04685C16">
                  <w:pPr>
                    <w:shd w:val="clear" w:color="auto" w:fill="auto"/>
                    <w:autoSpaceDE w:val="0"/>
                    <w:autoSpaceDN w:val="0"/>
                    <w:adjustRightInd w:val="0"/>
                    <w:snapToGrid w:val="0"/>
                    <w:spacing w:line="240" w:lineRule="auto"/>
                    <w:jc w:val="center"/>
                    <w:rPr>
                      <w:color w:val="auto"/>
                      <w:sz w:val="18"/>
                      <w:szCs w:val="18"/>
                    </w:rPr>
                  </w:pPr>
                  <w:r>
                    <w:rPr>
                      <w:color w:val="auto"/>
                      <w:sz w:val="18"/>
                      <w:szCs w:val="18"/>
                    </w:rPr>
                    <w:t>环境风险</w:t>
                  </w:r>
                </w:p>
              </w:tc>
              <w:tc>
                <w:tcPr>
                  <w:tcW w:w="4380" w:type="pct"/>
                  <w:tcBorders>
                    <w:tl2br w:val="nil"/>
                    <w:tr2bl w:val="nil"/>
                  </w:tcBorders>
                  <w:noWrap w:val="0"/>
                  <w:vAlign w:val="center"/>
                </w:tcPr>
                <w:p w14:paraId="4ADFBDFC">
                  <w:pPr>
                    <w:widowControl/>
                    <w:shd w:val="clear" w:color="auto" w:fill="auto"/>
                    <w:spacing w:line="240" w:lineRule="auto"/>
                    <w:jc w:val="left"/>
                    <w:rPr>
                      <w:color w:val="auto"/>
                      <w:sz w:val="18"/>
                      <w:szCs w:val="18"/>
                    </w:rPr>
                  </w:pPr>
                  <w:r>
                    <w:rPr>
                      <w:color w:val="auto"/>
                      <w:kern w:val="0"/>
                      <w:sz w:val="18"/>
                      <w:szCs w:val="18"/>
                      <w:lang w:bidi="ar"/>
                    </w:rPr>
                    <w:t>石油和天然气开采：全部；</w:t>
                  </w:r>
                </w:p>
                <w:p w14:paraId="4DA0843D">
                  <w:pPr>
                    <w:widowControl/>
                    <w:shd w:val="clear" w:color="auto" w:fill="auto"/>
                    <w:spacing w:line="240" w:lineRule="auto"/>
                    <w:jc w:val="left"/>
                    <w:rPr>
                      <w:color w:val="auto"/>
                      <w:sz w:val="18"/>
                      <w:szCs w:val="18"/>
                    </w:rPr>
                  </w:pPr>
                  <w:r>
                    <w:rPr>
                      <w:color w:val="auto"/>
                      <w:kern w:val="0"/>
                      <w:sz w:val="18"/>
                      <w:szCs w:val="18"/>
                      <w:lang w:bidi="ar"/>
                    </w:rPr>
                    <w:t>油气、液体化工码头：全部；</w:t>
                  </w:r>
                </w:p>
                <w:p w14:paraId="2FDD0C99">
                  <w:pPr>
                    <w:widowControl/>
                    <w:shd w:val="clear" w:color="auto" w:fill="auto"/>
                    <w:spacing w:line="240" w:lineRule="auto"/>
                    <w:jc w:val="left"/>
                    <w:rPr>
                      <w:color w:val="auto"/>
                      <w:sz w:val="18"/>
                      <w:szCs w:val="18"/>
                    </w:rPr>
                  </w:pPr>
                  <w:r>
                    <w:rPr>
                      <w:color w:val="auto"/>
                      <w:kern w:val="0"/>
                      <w:sz w:val="18"/>
                      <w:szCs w:val="18"/>
                      <w:lang w:bidi="ar"/>
                    </w:rPr>
                    <w:t>原油、成品油、天然气管线（不含城镇天然气管线、企业厂区内管线），危险化学品输送管线（不含企业厂区内管线）：全部</w:t>
                  </w:r>
                </w:p>
              </w:tc>
            </w:tr>
            <w:tr w14:paraId="2911C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noWrap w:val="0"/>
                  <w:vAlign w:val="center"/>
                </w:tcPr>
                <w:p w14:paraId="189E648E">
                  <w:pPr>
                    <w:widowControl/>
                    <w:shd w:val="clear" w:color="auto" w:fill="auto"/>
                    <w:spacing w:line="240" w:lineRule="auto"/>
                    <w:jc w:val="left"/>
                    <w:rPr>
                      <w:color w:val="auto"/>
                      <w:kern w:val="0"/>
                      <w:sz w:val="18"/>
                      <w:szCs w:val="18"/>
                      <w:lang w:bidi="ar"/>
                    </w:rPr>
                  </w:pPr>
                  <w:r>
                    <w:rPr>
                      <w:color w:val="auto"/>
                      <w:sz w:val="18"/>
                      <w:szCs w:val="18"/>
                    </w:rPr>
                    <w:t>注：</w:t>
                  </w:r>
                  <w:r>
                    <w:rPr>
                      <w:rFonts w:hint="eastAsia" w:ascii="宋体" w:hAnsi="宋体" w:eastAsia="宋体" w:cs="宋体"/>
                      <w:color w:val="auto"/>
                      <w:sz w:val="18"/>
                      <w:szCs w:val="18"/>
                    </w:rPr>
                    <w:t>“涉及环境敏感区”</w:t>
                  </w:r>
                  <w:r>
                    <w:rPr>
                      <w:color w:val="auto"/>
                      <w:sz w:val="18"/>
                      <w:szCs w:val="18"/>
                    </w:rPr>
                    <w:t>是指建设项目位于、穿（跨）越（无害化通过的除外）环境敏感区，或环境影响范围涵盖环境敏感区。环境敏感区是指《建设项目环境影响评价分类管理名录》中针对该类项目所列的敏感区。</w:t>
                  </w:r>
                </w:p>
              </w:tc>
            </w:tr>
          </w:tbl>
          <w:p w14:paraId="00E7149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color w:val="auto"/>
                <w:sz w:val="24"/>
                <w:lang w:val="en-US" w:eastAsia="zh-CN"/>
              </w:rPr>
              <w:t>本项目位于轮台县阳霞镇，项目区周边50m范围内存在村镇属于环境敏感区域，根据上表“公路、铁路、机场等交通运输业涉及环境敏感区（以居住、医疗卫生、文化教育、科研、行政办公为主要功能的区域）的项目”判断项目须编制噪声专项</w:t>
            </w:r>
            <w:r>
              <w:rPr>
                <w:color w:val="auto"/>
                <w:sz w:val="24"/>
              </w:rPr>
              <w:t>。</w:t>
            </w:r>
          </w:p>
        </w:tc>
      </w:tr>
      <w:tr w14:paraId="1E599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20FD9F88">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规划情况</w:t>
            </w:r>
          </w:p>
        </w:tc>
        <w:tc>
          <w:tcPr>
            <w:tcW w:w="4016" w:type="pct"/>
            <w:gridSpan w:val="3"/>
            <w:tcBorders>
              <w:tl2br w:val="nil"/>
              <w:tr2bl w:val="nil"/>
            </w:tcBorders>
            <w:noWrap w:val="0"/>
            <w:tcMar>
              <w:top w:w="16" w:type="dxa"/>
              <w:left w:w="16" w:type="dxa"/>
              <w:right w:w="16" w:type="dxa"/>
            </w:tcMar>
            <w:vAlign w:val="center"/>
          </w:tcPr>
          <w:p w14:paraId="49E56413">
            <w:pPr>
              <w:shd w:val="clear" w:color="auto" w:fill="auto"/>
              <w:spacing w:line="440" w:lineRule="exact"/>
              <w:ind w:firstLine="480" w:firstLineChars="200"/>
              <w:rPr>
                <w:color w:val="auto"/>
                <w:sz w:val="24"/>
                <w:highlight w:val="none"/>
              </w:rPr>
            </w:pPr>
            <w:r>
              <w:rPr>
                <w:rFonts w:hint="eastAsia"/>
                <w:color w:val="auto"/>
                <w:sz w:val="24"/>
                <w:highlight w:val="none"/>
                <w:lang w:val="en-US" w:eastAsia="zh-CN"/>
              </w:rPr>
              <w:t>1、</w:t>
            </w:r>
            <w:r>
              <w:rPr>
                <w:color w:val="auto"/>
                <w:sz w:val="24"/>
                <w:highlight w:val="none"/>
              </w:rPr>
              <w:t>规划名称：《新疆维吾尔自治</w:t>
            </w:r>
            <w:r>
              <w:rPr>
                <w:rFonts w:hint="eastAsia" w:ascii="宋体" w:hAnsi="宋体" w:eastAsia="宋体" w:cs="宋体"/>
                <w:color w:val="auto"/>
                <w:sz w:val="24"/>
                <w:highlight w:val="none"/>
              </w:rPr>
              <w:t>区“十四五”综</w:t>
            </w:r>
            <w:r>
              <w:rPr>
                <w:color w:val="auto"/>
                <w:sz w:val="24"/>
                <w:highlight w:val="none"/>
              </w:rPr>
              <w:t>合交通规划（2021</w:t>
            </w:r>
            <w:r>
              <w:rPr>
                <w:rFonts w:hint="eastAsia"/>
                <w:color w:val="auto"/>
                <w:sz w:val="24"/>
                <w:highlight w:val="none"/>
                <w:lang w:eastAsia="zh-CN"/>
              </w:rPr>
              <w:t>—</w:t>
            </w:r>
            <w:r>
              <w:rPr>
                <w:color w:val="auto"/>
                <w:sz w:val="24"/>
                <w:highlight w:val="none"/>
              </w:rPr>
              <w:t>2025年）》，新疆维吾尔自治区交通运输厅规划设计研究中心2020年编制</w:t>
            </w:r>
          </w:p>
          <w:p w14:paraId="3DACCF66">
            <w:pPr>
              <w:shd w:val="clear" w:color="auto" w:fill="auto"/>
              <w:spacing w:line="440" w:lineRule="exact"/>
              <w:ind w:firstLine="480" w:firstLineChars="200"/>
              <w:rPr>
                <w:color w:val="auto"/>
                <w:sz w:val="24"/>
                <w:highlight w:val="none"/>
              </w:rPr>
            </w:pPr>
            <w:r>
              <w:rPr>
                <w:color w:val="auto"/>
                <w:sz w:val="24"/>
                <w:highlight w:val="none"/>
              </w:rPr>
              <w:t>召集审查机关：新疆维吾尔自治区交通运输厅</w:t>
            </w:r>
          </w:p>
          <w:p w14:paraId="4423DE4F">
            <w:pPr>
              <w:shd w:val="clear" w:color="auto" w:fill="auto"/>
              <w:spacing w:line="440" w:lineRule="exact"/>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2、规划名称：《轮台县国土空间总体规划（2021-2035年）》</w:t>
            </w:r>
          </w:p>
          <w:p w14:paraId="15F53F43">
            <w:pPr>
              <w:shd w:val="clear" w:color="auto" w:fill="auto"/>
              <w:spacing w:line="440" w:lineRule="exact"/>
              <w:ind w:firstLine="480" w:firstLineChars="200"/>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color w:val="auto"/>
                <w:sz w:val="24"/>
                <w:highlight w:val="none"/>
                <w:lang w:val="en-US" w:eastAsia="zh-CN"/>
              </w:rPr>
              <w:t>审查机关：轮台县人民政府</w:t>
            </w:r>
          </w:p>
        </w:tc>
      </w:tr>
      <w:tr w14:paraId="68FDB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295BC454">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规划环境影响</w:t>
            </w:r>
          </w:p>
          <w:p w14:paraId="2682A741">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评价情况</w:t>
            </w:r>
          </w:p>
        </w:tc>
        <w:tc>
          <w:tcPr>
            <w:tcW w:w="4016" w:type="pct"/>
            <w:gridSpan w:val="3"/>
            <w:tcBorders>
              <w:tl2br w:val="nil"/>
              <w:tr2bl w:val="nil"/>
            </w:tcBorders>
            <w:noWrap w:val="0"/>
            <w:tcMar>
              <w:top w:w="16" w:type="dxa"/>
              <w:left w:w="16" w:type="dxa"/>
              <w:right w:w="16" w:type="dxa"/>
            </w:tcMar>
            <w:vAlign w:val="center"/>
          </w:tcPr>
          <w:p w14:paraId="55BDE93E">
            <w:pPr>
              <w:pStyle w:val="81"/>
              <w:shd w:val="clear" w:color="auto" w:fill="auto"/>
              <w:ind w:firstLine="48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规划环境影响评价文件的名称：</w:t>
            </w:r>
            <w:r>
              <w:rPr>
                <w:rFonts w:ascii="Times New Roman" w:hAnsi="Times New Roman" w:eastAsia="宋体" w:cs="Times New Roman"/>
                <w:color w:val="auto"/>
                <w:highlight w:val="none"/>
              </w:rPr>
              <w:t>《新疆维吾尔自</w:t>
            </w:r>
            <w:r>
              <w:rPr>
                <w:rFonts w:hint="eastAsia" w:ascii="Times New Roman" w:hAnsi="Times New Roman" w:eastAsia="宋体" w:cs="Times New Roman"/>
                <w:color w:val="auto"/>
                <w:highlight w:val="none"/>
              </w:rPr>
              <w:t>治区“十四五”综合</w:t>
            </w:r>
            <w:r>
              <w:rPr>
                <w:rFonts w:ascii="Times New Roman" w:hAnsi="Times New Roman" w:eastAsia="宋体" w:cs="Times New Roman"/>
                <w:color w:val="auto"/>
                <w:highlight w:val="none"/>
              </w:rPr>
              <w:t>交通规划（2021</w:t>
            </w:r>
            <w:r>
              <w:rPr>
                <w:rFonts w:hint="eastAsia"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rPr>
              <w:t>2025年）环境影响报告书》</w:t>
            </w:r>
          </w:p>
          <w:p w14:paraId="11D8AC38">
            <w:pPr>
              <w:pStyle w:val="81"/>
              <w:shd w:val="clear" w:color="auto" w:fill="auto"/>
              <w:ind w:firstLine="48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审查机关：</w:t>
            </w:r>
            <w:r>
              <w:rPr>
                <w:rFonts w:ascii="Times New Roman" w:hAnsi="Times New Roman" w:eastAsia="宋体" w:cs="Times New Roman"/>
                <w:color w:val="auto"/>
                <w:highlight w:val="none"/>
              </w:rPr>
              <w:t>新疆维吾尔自治区生态环境厅</w:t>
            </w:r>
          </w:p>
          <w:p w14:paraId="3F0FEF42">
            <w:pPr>
              <w:pStyle w:val="81"/>
              <w:shd w:val="clear" w:color="auto" w:fill="auto"/>
              <w:ind w:firstLine="48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审查文件名称：</w:t>
            </w:r>
            <w:r>
              <w:rPr>
                <w:rFonts w:ascii="Times New Roman" w:hAnsi="Times New Roman" w:eastAsia="宋体" w:cs="Times New Roman"/>
                <w:color w:val="auto"/>
                <w:highlight w:val="none"/>
              </w:rPr>
              <w:t>《关于新疆维吾尔自治</w:t>
            </w:r>
            <w:r>
              <w:rPr>
                <w:rFonts w:hint="eastAsia" w:ascii="Times New Roman" w:hAnsi="Times New Roman" w:eastAsia="宋体" w:cs="Times New Roman"/>
                <w:color w:val="auto"/>
                <w:highlight w:val="none"/>
              </w:rPr>
              <w:t>区“十四五”综</w:t>
            </w:r>
            <w:r>
              <w:rPr>
                <w:rFonts w:ascii="Times New Roman" w:hAnsi="Times New Roman" w:eastAsia="宋体" w:cs="Times New Roman"/>
                <w:color w:val="auto"/>
                <w:highlight w:val="none"/>
              </w:rPr>
              <w:t>合交通规划环境影响报告书的审查意见》</w:t>
            </w:r>
          </w:p>
          <w:p w14:paraId="463F6E66">
            <w:pPr>
              <w:pStyle w:val="81"/>
              <w:shd w:val="clear" w:color="auto" w:fill="auto"/>
              <w:ind w:firstLine="480" w:firstLineChars="200"/>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olor w:val="auto"/>
                <w:highlight w:val="none"/>
                <w:lang w:val="en-US" w:eastAsia="zh-CN"/>
              </w:rPr>
              <w:t>文号：</w:t>
            </w:r>
            <w:r>
              <w:rPr>
                <w:rFonts w:hint="eastAsia" w:ascii="Times New Roman" w:hAnsi="Times New Roman" w:eastAsia="宋体" w:cs="Times New Roman"/>
                <w:color w:val="auto"/>
                <w:highlight w:val="none"/>
              </w:rPr>
              <w:t>（新环环评函〔</w:t>
            </w:r>
            <w:r>
              <w:rPr>
                <w:rFonts w:hint="eastAsia" w:ascii="Times New Roman" w:hAnsi="Times New Roman" w:eastAsia="宋体" w:cs="Times New Roman"/>
                <w:color w:val="auto"/>
                <w:highlight w:val="none"/>
                <w:lang w:val="en-US" w:eastAsia="zh-CN"/>
              </w:rPr>
              <w:t>2022</w:t>
            </w:r>
            <w:r>
              <w:rPr>
                <w:rFonts w:hint="eastAsia" w:ascii="Times New Roman" w:hAnsi="Times New Roman" w:eastAsia="宋体" w:cs="Times New Roman"/>
                <w:color w:val="auto"/>
                <w:highlight w:val="none"/>
              </w:rPr>
              <w:t>〕76号）</w:t>
            </w:r>
          </w:p>
        </w:tc>
      </w:tr>
      <w:tr w14:paraId="3F215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5B344DA8">
            <w:pPr>
              <w:pageBreakBefore w:val="0"/>
              <w:wordWrap/>
              <w:topLinePunct w:val="0"/>
              <w:autoSpaceDE w:val="0"/>
              <w:autoSpaceDN w:val="0"/>
              <w:bidi w:val="0"/>
              <w:adjustRightInd w:val="0"/>
              <w:snapToGrid w:val="0"/>
              <w:spacing w:beforeAutospacing="0" w:afterAutospacing="0"/>
              <w:ind w:left="0" w:leftChars="0" w:right="0"/>
              <w:jc w:val="center"/>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规划及规划环境影响评价符合性分析</w:t>
            </w:r>
          </w:p>
        </w:tc>
        <w:tc>
          <w:tcPr>
            <w:tcW w:w="4016" w:type="pct"/>
            <w:gridSpan w:val="3"/>
            <w:tcBorders>
              <w:tl2br w:val="nil"/>
              <w:tr2bl w:val="nil"/>
            </w:tcBorders>
            <w:noWrap w:val="0"/>
            <w:tcMar>
              <w:top w:w="16" w:type="dxa"/>
              <w:left w:w="16" w:type="dxa"/>
              <w:right w:w="16" w:type="dxa"/>
            </w:tcMar>
            <w:vAlign w:val="center"/>
          </w:tcPr>
          <w:p w14:paraId="0BA05A7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eastAsia" w:cs="宋体"/>
                <w:b/>
                <w:bCs/>
                <w:color w:val="auto"/>
                <w:sz w:val="24"/>
                <w:szCs w:val="22"/>
                <w:highlight w:val="none"/>
                <w:lang w:val="en-US" w:eastAsia="zh-CN"/>
              </w:rPr>
            </w:pPr>
            <w:r>
              <w:rPr>
                <w:rFonts w:hint="eastAsia" w:cs="宋体"/>
                <w:b/>
                <w:bCs/>
                <w:color w:val="auto"/>
                <w:sz w:val="24"/>
                <w:szCs w:val="22"/>
                <w:highlight w:val="none"/>
                <w:lang w:val="en-US" w:eastAsia="zh-CN"/>
              </w:rPr>
              <w:t>1、</w:t>
            </w:r>
            <w:r>
              <w:rPr>
                <w:rFonts w:hint="eastAsia" w:cs="宋体"/>
                <w:b/>
                <w:bCs/>
                <w:color w:val="auto"/>
                <w:sz w:val="24"/>
                <w:szCs w:val="22"/>
                <w:highlight w:val="none"/>
              </w:rPr>
              <w:t>本项目与</w:t>
            </w:r>
            <w:r>
              <w:rPr>
                <w:rFonts w:hint="eastAsia" w:cs="宋体"/>
                <w:b/>
                <w:bCs/>
                <w:color w:val="auto"/>
                <w:sz w:val="24"/>
                <w:szCs w:val="22"/>
                <w:highlight w:val="none"/>
                <w:lang w:eastAsia="zh-CN"/>
              </w:rPr>
              <w:t>《</w:t>
            </w:r>
            <w:r>
              <w:rPr>
                <w:rFonts w:hint="eastAsia" w:cs="宋体"/>
                <w:b/>
                <w:bCs/>
                <w:color w:val="auto"/>
                <w:sz w:val="24"/>
                <w:szCs w:val="22"/>
                <w:highlight w:val="none"/>
              </w:rPr>
              <w:t>新疆维吾尔自治区“十四五”综合交通规划</w:t>
            </w:r>
            <w:r>
              <w:rPr>
                <w:rFonts w:hint="eastAsia" w:cs="宋体"/>
                <w:b/>
                <w:bCs/>
                <w:color w:val="auto"/>
                <w:sz w:val="24"/>
                <w:szCs w:val="22"/>
                <w:highlight w:val="none"/>
                <w:lang w:eastAsia="zh-CN"/>
              </w:rPr>
              <w:t>》</w:t>
            </w:r>
            <w:r>
              <w:rPr>
                <w:rFonts w:hint="eastAsia" w:cs="宋体"/>
                <w:b/>
                <w:bCs/>
                <w:color w:val="auto"/>
                <w:sz w:val="24"/>
                <w:szCs w:val="22"/>
                <w:highlight w:val="none"/>
                <w:lang w:val="en-US" w:eastAsia="zh-CN"/>
              </w:rPr>
              <w:t>的符合性如下：</w:t>
            </w:r>
          </w:p>
          <w:p w14:paraId="6846165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color w:val="auto"/>
                <w:sz w:val="24"/>
                <w:szCs w:val="22"/>
                <w:highlight w:val="none"/>
                <w:lang w:val="en-US" w:eastAsia="zh-CN"/>
              </w:rPr>
            </w:pPr>
            <w:r>
              <w:rPr>
                <w:rFonts w:hint="eastAsia" w:cs="宋体"/>
                <w:b/>
                <w:bCs/>
                <w:color w:val="auto"/>
                <w:sz w:val="24"/>
                <w:szCs w:val="22"/>
                <w:highlight w:val="none"/>
                <w:lang w:val="en-US" w:eastAsia="zh-CN"/>
              </w:rPr>
              <w:t>摘要：</w:t>
            </w:r>
            <w:r>
              <w:rPr>
                <w:rFonts w:hint="eastAsia" w:cs="宋体"/>
                <w:color w:val="auto"/>
                <w:sz w:val="24"/>
                <w:szCs w:val="22"/>
                <w:highlight w:val="none"/>
                <w:lang w:val="en-US" w:eastAsia="zh-CN"/>
              </w:rPr>
              <w:t>推进建设广泛的农村基础网。推动通自然村（组）硬化路建设。继续提高农村公路通达深度，推进自然村（组）的公路建设。大力推进南疆地区、贫困地区、兵团交通发展，实现以交通便利稳定脱贫攻坚成果，农村公路建设尽量向进村入户倾斜。</w:t>
            </w:r>
          </w:p>
          <w:p w14:paraId="178C2A8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color w:val="auto"/>
                <w:sz w:val="24"/>
                <w:szCs w:val="22"/>
                <w:highlight w:val="none"/>
                <w:lang w:val="en-US" w:eastAsia="zh-CN"/>
              </w:rPr>
            </w:pPr>
            <w:r>
              <w:rPr>
                <w:rFonts w:hint="eastAsia" w:cs="宋体"/>
                <w:b/>
                <w:bCs/>
                <w:color w:val="auto"/>
                <w:sz w:val="24"/>
                <w:szCs w:val="22"/>
                <w:highlight w:val="none"/>
                <w:lang w:val="en-US" w:eastAsia="zh-CN"/>
              </w:rPr>
              <w:t>符合性</w:t>
            </w:r>
            <w:r>
              <w:rPr>
                <w:rFonts w:hint="eastAsia" w:cs="宋体"/>
                <w:color w:val="auto"/>
                <w:sz w:val="24"/>
                <w:szCs w:val="22"/>
                <w:highlight w:val="none"/>
                <w:lang w:val="en-US" w:eastAsia="zh-CN"/>
              </w:rPr>
              <w:t>：本项目位于轮台县阳霞镇，主要内容为对现有G216国道上的阳霞3号桥进行危桥改造，符合规划中关于农村基础网建设的要求。</w:t>
            </w:r>
          </w:p>
          <w:p w14:paraId="0C1BB96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bCs/>
                <w:color w:val="auto"/>
                <w:sz w:val="24"/>
                <w:szCs w:val="22"/>
                <w:highlight w:val="none"/>
                <w:lang w:val="en-US" w:eastAsia="zh-CN"/>
              </w:rPr>
            </w:pPr>
            <w:r>
              <w:rPr>
                <w:rFonts w:hint="eastAsia" w:cs="宋体"/>
                <w:b/>
                <w:bCs/>
                <w:color w:val="auto"/>
                <w:sz w:val="24"/>
                <w:szCs w:val="22"/>
                <w:highlight w:val="none"/>
                <w:lang w:val="en-US" w:eastAsia="zh-CN"/>
              </w:rPr>
              <w:t>2、本项目与《轮台县国土空间总体规划（2021-2035年）》符合性分析如下：</w:t>
            </w:r>
          </w:p>
          <w:p w14:paraId="25FCA39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第八章完善现代化基础设施体系</w:t>
            </w:r>
          </w:p>
          <w:p w14:paraId="7272D04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第一节构筑现代综合交通体系</w:t>
            </w:r>
          </w:p>
          <w:p w14:paraId="1DC81E9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加快区域交通设施建设，落实重大交通设施布局，完善以库尉轮城镇圈为中心的区域综合交通网络，提升轮台巴州区域性综合交通枢纽地位，全面提高城乡交通品质。实现1小时通达乌鲁木齐、库尔勒和县域重点乡镇，2小时通达疆内重要城市，5小时通达全国重要城市。</w:t>
            </w:r>
          </w:p>
          <w:p w14:paraId="4DEC6DF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打造“航空+铁路+公路”县域综合交通网络，构建网络完善、枢纽齐全、高效便捷的现代化综合交通体系。</w:t>
            </w:r>
          </w:p>
          <w:p w14:paraId="129D6BA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eastAsia" w:cs="宋体"/>
                <w:color w:val="auto"/>
                <w:sz w:val="24"/>
                <w:szCs w:val="22"/>
                <w:highlight w:val="none"/>
                <w:lang w:val="en-US" w:eastAsia="zh-CN"/>
              </w:rPr>
            </w:pPr>
            <w:r>
              <w:rPr>
                <w:rFonts w:hint="eastAsia" w:cs="宋体"/>
                <w:b/>
                <w:bCs/>
                <w:color w:val="auto"/>
                <w:sz w:val="24"/>
                <w:szCs w:val="22"/>
                <w:highlight w:val="none"/>
                <w:lang w:val="en-US" w:eastAsia="zh-CN"/>
              </w:rPr>
              <w:t>符合性：</w:t>
            </w:r>
            <w:r>
              <w:rPr>
                <w:rFonts w:hint="eastAsia" w:cs="宋体"/>
                <w:color w:val="auto"/>
                <w:sz w:val="24"/>
                <w:szCs w:val="22"/>
                <w:highlight w:val="none"/>
                <w:lang w:val="en-US" w:eastAsia="zh-CN"/>
              </w:rPr>
              <w:t>本项目位于轮台县阳霞镇，主要内容为对现有G216国道上的阳霞3号桥进行危桥改造，符合《轮台县国土空间总体规划（2021—2035年）》中相关发展要求。</w:t>
            </w:r>
          </w:p>
          <w:p w14:paraId="5028C70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eastAsia="宋体" w:cs="宋体"/>
                <w:b/>
                <w:bCs/>
                <w:color w:val="auto"/>
                <w:sz w:val="24"/>
                <w:szCs w:val="22"/>
                <w:highlight w:val="none"/>
                <w:lang w:val="en-US" w:eastAsia="zh-CN"/>
              </w:rPr>
            </w:pPr>
            <w:r>
              <w:rPr>
                <w:rFonts w:hint="eastAsia" w:cs="宋体"/>
                <w:b/>
                <w:bCs/>
                <w:color w:val="auto"/>
                <w:sz w:val="24"/>
                <w:szCs w:val="22"/>
                <w:highlight w:val="none"/>
                <w:lang w:val="en-US" w:eastAsia="zh-CN"/>
              </w:rPr>
              <w:t>3、本项目与</w:t>
            </w:r>
            <w:r>
              <w:rPr>
                <w:rFonts w:hint="eastAsia" w:cs="宋体"/>
                <w:b/>
                <w:bCs/>
                <w:color w:val="auto"/>
                <w:sz w:val="24"/>
                <w:szCs w:val="22"/>
                <w:highlight w:val="none"/>
              </w:rPr>
              <w:t>《新疆维吾尔自治区“十四五”综合交通规划环境影响报告书》</w:t>
            </w:r>
            <w:r>
              <w:rPr>
                <w:rFonts w:hint="eastAsia" w:cs="宋体"/>
                <w:b/>
                <w:bCs/>
                <w:color w:val="auto"/>
                <w:sz w:val="24"/>
                <w:szCs w:val="22"/>
                <w:highlight w:val="none"/>
                <w:lang w:val="en-US" w:eastAsia="zh-CN"/>
              </w:rPr>
              <w:t>结论符合性分析</w:t>
            </w:r>
          </w:p>
          <w:p w14:paraId="501F7E2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bCs/>
                <w:color w:val="auto"/>
                <w:sz w:val="24"/>
                <w:szCs w:val="22"/>
                <w:highlight w:val="none"/>
                <w:lang w:val="en-US" w:eastAsia="zh-CN"/>
              </w:rPr>
            </w:pPr>
            <w:r>
              <w:rPr>
                <w:rFonts w:hint="eastAsia" w:cs="宋体"/>
                <w:b/>
                <w:bCs/>
                <w:color w:val="auto"/>
                <w:sz w:val="24"/>
                <w:szCs w:val="22"/>
                <w:highlight w:val="none"/>
                <w:lang w:val="en-US" w:eastAsia="zh-CN"/>
              </w:rPr>
              <w:t>摘要：</w:t>
            </w:r>
          </w:p>
          <w:p w14:paraId="312A1A0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10.4.2环境空气影响分析结论</w:t>
            </w:r>
          </w:p>
          <w:p w14:paraId="08FF416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本规划建设期主要大气污染物是TSP，沥青烟气和施工机械废气污染物，排放量总体较小。通过采取合理布设施工场地、设置围挡、避开大风时分和洒水降尘等措施，并加强施工管理，规划建设期对空气的影响较小。</w:t>
            </w:r>
          </w:p>
          <w:p w14:paraId="4BA64A2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规划实施运营后，大气污染物主要为机动车尾气。机动车尾气中的CO随着车速的增加排放量将会减小。NOx的排放量随着车速的增大而增多。在相同车速的条件下，道路等级越高，燃油消耗量越少，进而排放的尾气也越少。因此，在公路网规划实施后，由于道路等级的提高，通行条件改善，单车排放尾气将会减少。当然，总体排放仍将受到交通量的增大与汽车技术提高、燃油质量等因素的综合影响。</w:t>
            </w:r>
          </w:p>
          <w:p w14:paraId="5EFBB93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bCs/>
                <w:color w:val="auto"/>
                <w:sz w:val="24"/>
                <w:szCs w:val="22"/>
                <w:highlight w:val="none"/>
                <w:lang w:val="en-US" w:eastAsia="zh-CN"/>
              </w:rPr>
            </w:pPr>
            <w:r>
              <w:rPr>
                <w:rFonts w:hint="eastAsia" w:cs="宋体"/>
                <w:b/>
                <w:bCs/>
                <w:color w:val="auto"/>
                <w:sz w:val="24"/>
                <w:szCs w:val="22"/>
                <w:highlight w:val="none"/>
                <w:lang w:val="en-US" w:eastAsia="zh-CN"/>
              </w:rPr>
              <w:t>符合性：</w:t>
            </w:r>
          </w:p>
          <w:p w14:paraId="0318A9A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本环评要求项目施工期合理布置施工场地，施工过程中施工场地设置施工围挡，洒水，施工材料采取遮盖等措施抑尘，合理安排施工时间，避开大风天气，减少施工扬尘污染。运营期做好道路维护，保障道路交通条件，减少因道路问题导致的车辆尾气大量排放。通过采取上述措施能够有效减少施工期及运营期大气污染，符合规划环评结论发展要求。</w:t>
            </w:r>
          </w:p>
          <w:p w14:paraId="20BACDB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bCs/>
                <w:color w:val="auto"/>
                <w:sz w:val="24"/>
                <w:szCs w:val="22"/>
                <w:highlight w:val="none"/>
                <w:lang w:val="en-US" w:eastAsia="zh-CN"/>
              </w:rPr>
            </w:pPr>
            <w:r>
              <w:rPr>
                <w:rFonts w:hint="eastAsia" w:cs="宋体"/>
                <w:b/>
                <w:bCs/>
                <w:color w:val="auto"/>
                <w:sz w:val="24"/>
                <w:szCs w:val="22"/>
                <w:highlight w:val="none"/>
                <w:lang w:val="en-US" w:eastAsia="zh-CN"/>
              </w:rPr>
              <w:t>摘要：</w:t>
            </w:r>
          </w:p>
          <w:p w14:paraId="31334C6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公路、铁路网规划实施后交通量较大的路段交通噪声影响较大，特别是夜间超标问题较突出，其它路段交通噪声影响相对较小。项目环评过程中，应该对这些路线走向进行重点关注，防止对沿线的特殊敏感点造成严重影响，并对噪声超标路段采取减缓措施。从目前噪声防治措施效果来看，交通噪声在采取相应降噪、隔声等措施后，噪声污染控制目标的可达性较好。建议在较为敏感路段的项目环评中，针对具体施工路段周围的噪声敏感区开展较为细致的调查和监测，并在施工过程中要求环境监理单位做重点的监督检查。</w:t>
            </w:r>
          </w:p>
          <w:p w14:paraId="69A250A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val="0"/>
                <w:bCs w:val="0"/>
                <w:color w:val="auto"/>
                <w:sz w:val="24"/>
                <w:szCs w:val="22"/>
                <w:highlight w:val="none"/>
                <w:lang w:val="en-US" w:eastAsia="zh-CN"/>
              </w:rPr>
            </w:pPr>
            <w:r>
              <w:rPr>
                <w:rFonts w:hint="eastAsia" w:cs="宋体"/>
                <w:b/>
                <w:bCs/>
                <w:color w:val="auto"/>
                <w:sz w:val="24"/>
                <w:szCs w:val="22"/>
                <w:highlight w:val="none"/>
                <w:lang w:val="en-US" w:eastAsia="zh-CN"/>
              </w:rPr>
              <w:t>符合性：</w:t>
            </w:r>
          </w:p>
          <w:p w14:paraId="4DE1C30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本环评要求施工期合理安排施工现场，避免高噪声施工机械同时施工，合理安排施工时间，减少对工程沿线村庄的噪声影响，做好施工沿线声环境保护目标噪声污染防治工作。施工期及运营期做好施工沿线和声环境保护目标噪声监测工作，根据噪声监测结果制定好相应的隔声、降噪措施，最大程度减少本项目建设造成的噪声污染影响。通过采取上述措施能够有效减少施工期及运营期噪声污染，符合规划环评结论发展要求。</w:t>
            </w:r>
          </w:p>
          <w:p w14:paraId="3182C5B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eastAsia" w:eastAsia="黑体"/>
                <w:b/>
                <w:bCs/>
                <w:color w:val="auto"/>
                <w:sz w:val="24"/>
                <w:highlight w:val="none"/>
              </w:rPr>
            </w:pPr>
            <w:r>
              <w:rPr>
                <w:rFonts w:hint="eastAsia" w:cs="宋体"/>
                <w:b/>
                <w:bCs/>
                <w:color w:val="auto"/>
                <w:sz w:val="24"/>
                <w:szCs w:val="22"/>
                <w:highlight w:val="none"/>
                <w:lang w:val="en-US" w:eastAsia="zh-CN"/>
              </w:rPr>
              <w:t>4、本项目与</w:t>
            </w:r>
            <w:r>
              <w:rPr>
                <w:rFonts w:hint="eastAsia" w:cs="宋体"/>
                <w:b/>
                <w:bCs/>
                <w:color w:val="auto"/>
                <w:sz w:val="24"/>
                <w:szCs w:val="22"/>
                <w:highlight w:val="none"/>
              </w:rPr>
              <w:t>《新疆维吾尔自治区“十四五”综合交通规划环境影响报告书》审查意见符合性分析见表</w:t>
            </w:r>
            <w:r>
              <w:rPr>
                <w:rFonts w:hint="eastAsia"/>
                <w:b/>
                <w:bCs/>
                <w:color w:val="auto"/>
                <w:sz w:val="24"/>
                <w:szCs w:val="22"/>
                <w:highlight w:val="none"/>
              </w:rPr>
              <w:t>1-</w:t>
            </w:r>
            <w:r>
              <w:rPr>
                <w:rFonts w:hint="eastAsia"/>
                <w:b/>
                <w:bCs/>
                <w:color w:val="auto"/>
                <w:sz w:val="24"/>
                <w:szCs w:val="22"/>
                <w:highlight w:val="none"/>
                <w:lang w:val="en-US" w:eastAsia="zh-CN"/>
              </w:rPr>
              <w:t>2</w:t>
            </w:r>
            <w:r>
              <w:rPr>
                <w:rFonts w:hint="eastAsia" w:cs="宋体"/>
                <w:b/>
                <w:bCs/>
                <w:color w:val="auto"/>
                <w:sz w:val="24"/>
                <w:szCs w:val="22"/>
                <w:highlight w:val="none"/>
              </w:rPr>
              <w:t>。</w:t>
            </w:r>
          </w:p>
          <w:p w14:paraId="2910011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与新疆“十四五”综合交通规划环评审查意见符合性分析</w:t>
            </w:r>
          </w:p>
          <w:tbl>
            <w:tblPr>
              <w:tblStyle w:val="2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65"/>
              <w:gridCol w:w="2435"/>
              <w:gridCol w:w="426"/>
            </w:tblGrid>
            <w:tr w14:paraId="3A9B9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7" w:type="pct"/>
                  <w:tcBorders>
                    <w:tl2br w:val="nil"/>
                    <w:tr2bl w:val="nil"/>
                  </w:tcBorders>
                  <w:noWrap w:val="0"/>
                  <w:vAlign w:val="center"/>
                </w:tcPr>
                <w:p w14:paraId="77B3F84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eastAsia="宋体" w:cs="宋体"/>
                      <w:b/>
                      <w:bCs/>
                      <w:color w:val="auto"/>
                      <w:sz w:val="18"/>
                      <w:szCs w:val="18"/>
                      <w:highlight w:val="none"/>
                      <w:vertAlign w:val="baseline"/>
                      <w:lang w:val="en-US" w:eastAsia="zh-CN"/>
                    </w:rPr>
                  </w:pPr>
                  <w:r>
                    <w:rPr>
                      <w:rFonts w:hint="eastAsia" w:cs="宋体"/>
                      <w:b/>
                      <w:bCs/>
                      <w:color w:val="auto"/>
                      <w:sz w:val="18"/>
                      <w:szCs w:val="18"/>
                      <w:highlight w:val="none"/>
                      <w:vertAlign w:val="baseline"/>
                      <w:lang w:val="en-US" w:eastAsia="zh-CN"/>
                    </w:rPr>
                    <w:t>审查意见要求</w:t>
                  </w:r>
                </w:p>
              </w:tc>
              <w:tc>
                <w:tcPr>
                  <w:tcW w:w="1865" w:type="pct"/>
                  <w:tcBorders>
                    <w:tl2br w:val="nil"/>
                    <w:tr2bl w:val="nil"/>
                  </w:tcBorders>
                  <w:noWrap w:val="0"/>
                  <w:vAlign w:val="center"/>
                </w:tcPr>
                <w:p w14:paraId="5730CF4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eastAsia="宋体" w:cs="宋体"/>
                      <w:b/>
                      <w:bCs/>
                      <w:color w:val="auto"/>
                      <w:sz w:val="18"/>
                      <w:szCs w:val="18"/>
                      <w:highlight w:val="none"/>
                      <w:vertAlign w:val="baseline"/>
                      <w:lang w:val="en-US" w:eastAsia="zh-CN"/>
                    </w:rPr>
                  </w:pPr>
                  <w:r>
                    <w:rPr>
                      <w:rFonts w:hint="eastAsia" w:cs="宋体"/>
                      <w:b/>
                      <w:bCs/>
                      <w:color w:val="auto"/>
                      <w:sz w:val="18"/>
                      <w:szCs w:val="18"/>
                      <w:highlight w:val="none"/>
                      <w:vertAlign w:val="baseline"/>
                      <w:lang w:val="en-US" w:eastAsia="zh-CN"/>
                    </w:rPr>
                    <w:t>本项目落实情况</w:t>
                  </w:r>
                </w:p>
              </w:tc>
              <w:tc>
                <w:tcPr>
                  <w:tcW w:w="326" w:type="pct"/>
                  <w:tcBorders>
                    <w:tl2br w:val="nil"/>
                    <w:tr2bl w:val="nil"/>
                  </w:tcBorders>
                  <w:noWrap w:val="0"/>
                  <w:vAlign w:val="center"/>
                </w:tcPr>
                <w:p w14:paraId="0D4CD81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eastAsia" w:eastAsia="宋体" w:cs="宋体"/>
                      <w:b/>
                      <w:bCs/>
                      <w:color w:val="auto"/>
                      <w:sz w:val="18"/>
                      <w:szCs w:val="18"/>
                      <w:highlight w:val="none"/>
                      <w:vertAlign w:val="baseline"/>
                      <w:lang w:val="en-US" w:eastAsia="zh-CN"/>
                    </w:rPr>
                  </w:pPr>
                  <w:r>
                    <w:rPr>
                      <w:rFonts w:hint="eastAsia" w:cs="宋体"/>
                      <w:b/>
                      <w:bCs/>
                      <w:color w:val="auto"/>
                      <w:sz w:val="18"/>
                      <w:szCs w:val="18"/>
                      <w:highlight w:val="none"/>
                      <w:vertAlign w:val="baseline"/>
                      <w:lang w:val="en-US" w:eastAsia="zh-CN"/>
                    </w:rPr>
                    <w:t>符合性</w:t>
                  </w:r>
                </w:p>
              </w:tc>
            </w:tr>
            <w:tr w14:paraId="2E780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7" w:type="pct"/>
                  <w:tcBorders>
                    <w:tl2br w:val="nil"/>
                    <w:tr2bl w:val="nil"/>
                  </w:tcBorders>
                  <w:noWrap w:val="0"/>
                  <w:vAlign w:val="center"/>
                </w:tcPr>
                <w:p w14:paraId="7881F122">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坚持生态优先、绿色发展。根据区域发展战略和主体功能定位，坚持生态保护优先，从顶层设计和源头控制着手，防范环境污染和生态破坏。针对规划涉及区域较为突出的生态环境问题，进一步完善生态环境目标和“三线一单”管控要求。统筹考虑环境敏感区、生态脆弱区、重要物种生境的分布等情况，切实落实各项生态环境保护要求，协同推进生态环境高水平保护和经济高质量发展。</w:t>
                  </w:r>
                </w:p>
              </w:tc>
              <w:tc>
                <w:tcPr>
                  <w:tcW w:w="1865" w:type="pct"/>
                  <w:tcBorders>
                    <w:tl2br w:val="nil"/>
                    <w:tr2bl w:val="nil"/>
                  </w:tcBorders>
                  <w:noWrap w:val="0"/>
                  <w:vAlign w:val="center"/>
                </w:tcPr>
                <w:p w14:paraId="736CE311">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本项目坚持生态保护优先的原则，通过优化选线和源头控制着手，防范环境污染和生态破坏，项目选址选线符合</w:t>
                  </w:r>
                  <w:r>
                    <w:rPr>
                      <w:rFonts w:hint="eastAsia"/>
                      <w:color w:val="auto"/>
                      <w:sz w:val="18"/>
                      <w:szCs w:val="18"/>
                      <w:highlight w:val="none"/>
                      <w:lang w:val="en-US" w:eastAsia="zh-CN"/>
                    </w:rPr>
                    <w:t>生态环境分区</w:t>
                  </w:r>
                  <w:r>
                    <w:rPr>
                      <w:rFonts w:hint="eastAsia"/>
                      <w:color w:val="auto"/>
                      <w:sz w:val="18"/>
                      <w:szCs w:val="18"/>
                      <w:highlight w:val="none"/>
                    </w:rPr>
                    <w:t>管控要求，不占用生态保护红线，施工期采取良好的生态环境保护措施，最大限度降低对区域生态环境的影响。</w:t>
                  </w:r>
                </w:p>
              </w:tc>
              <w:tc>
                <w:tcPr>
                  <w:tcW w:w="326" w:type="pct"/>
                  <w:tcBorders>
                    <w:tl2br w:val="nil"/>
                    <w:tr2bl w:val="nil"/>
                  </w:tcBorders>
                  <w:noWrap w:val="0"/>
                  <w:vAlign w:val="center"/>
                </w:tcPr>
                <w:p w14:paraId="19891148">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r w14:paraId="41CB2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7" w:type="pct"/>
                  <w:tcBorders>
                    <w:tl2br w:val="nil"/>
                    <w:tr2bl w:val="nil"/>
                  </w:tcBorders>
                  <w:noWrap w:val="0"/>
                  <w:vAlign w:val="center"/>
                </w:tcPr>
                <w:p w14:paraId="648F31F8">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严格保护生态空间，优化规划布局。主动对接国家、自治区国土空间规划，加强与“三线一单”分区管控等有关要求的衔接，确保符合相关管控和保护要求，实现综合交通与生态环境保护、人居环境安全相协调。进一步优化运输通道和枢纽空间布局，坚持“绕避”优先原则，严格按照自然保护地、饮用水源保护区等管控要求进行交通开发建设活动。</w:t>
                  </w:r>
                </w:p>
              </w:tc>
              <w:tc>
                <w:tcPr>
                  <w:tcW w:w="1865" w:type="pct"/>
                  <w:tcBorders>
                    <w:tl2br w:val="nil"/>
                    <w:tr2bl w:val="nil"/>
                  </w:tcBorders>
                  <w:noWrap w:val="0"/>
                  <w:vAlign w:val="center"/>
                </w:tcPr>
                <w:p w14:paraId="56F724DE">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本项目在设计阶段充分考虑了国家、自治区国土空间规划，并加强了与</w:t>
                  </w:r>
                  <w:r>
                    <w:rPr>
                      <w:rFonts w:hint="eastAsia"/>
                      <w:color w:val="auto"/>
                      <w:sz w:val="18"/>
                      <w:szCs w:val="18"/>
                      <w:highlight w:val="none"/>
                      <w:lang w:val="en-US" w:eastAsia="zh-CN"/>
                    </w:rPr>
                    <w:t>生态环境分区管控</w:t>
                  </w:r>
                  <w:r>
                    <w:rPr>
                      <w:rFonts w:hint="eastAsia"/>
                      <w:color w:val="auto"/>
                      <w:sz w:val="18"/>
                      <w:szCs w:val="18"/>
                      <w:highlight w:val="none"/>
                    </w:rPr>
                    <w:t>等有关要求的衔接，确保项目建设符合相关管控和保护要求，实现综合交通与生态环境保护、人居环境安全相协调。</w:t>
                  </w:r>
                </w:p>
              </w:tc>
              <w:tc>
                <w:tcPr>
                  <w:tcW w:w="326" w:type="pct"/>
                  <w:tcBorders>
                    <w:tl2br w:val="nil"/>
                    <w:tr2bl w:val="nil"/>
                  </w:tcBorders>
                  <w:noWrap w:val="0"/>
                  <w:vAlign w:val="center"/>
                </w:tcPr>
                <w:p w14:paraId="44434732">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r w14:paraId="1DEDE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7" w:type="pct"/>
                  <w:tcBorders>
                    <w:tl2br w:val="nil"/>
                    <w:tr2bl w:val="nil"/>
                  </w:tcBorders>
                  <w:noWrap w:val="0"/>
                  <w:vAlign w:val="center"/>
                </w:tcPr>
                <w:p w14:paraId="1F3576AB">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合理确定开发时序和规模，强化环境管理。优化调整规划开发时序和规模时，应充分考虑对生态环境的累积影响和长期影响。总结凝练综合交通规划开发过程中的主要经验与教训，加强对在建和已建项目事中事后监管，及时整治开发过程产生的环境问题。</w:t>
                  </w:r>
                </w:p>
              </w:tc>
              <w:tc>
                <w:tcPr>
                  <w:tcW w:w="1865" w:type="pct"/>
                  <w:tcBorders>
                    <w:tl2br w:val="nil"/>
                    <w:tr2bl w:val="nil"/>
                  </w:tcBorders>
                  <w:noWrap w:val="0"/>
                  <w:vAlign w:val="center"/>
                </w:tcPr>
                <w:p w14:paraId="5DB3EE2C">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本项目充分考虑了项目建设对生态环境的累积影响和长期影响，提出了严格的环境保护措施。</w:t>
                  </w:r>
                </w:p>
              </w:tc>
              <w:tc>
                <w:tcPr>
                  <w:tcW w:w="326" w:type="pct"/>
                  <w:tcBorders>
                    <w:tl2br w:val="nil"/>
                    <w:tr2bl w:val="nil"/>
                  </w:tcBorders>
                  <w:noWrap w:val="0"/>
                  <w:vAlign w:val="center"/>
                </w:tcPr>
                <w:p w14:paraId="107E2B0B">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r w14:paraId="36333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7" w:type="pct"/>
                  <w:tcBorders>
                    <w:tl2br w:val="nil"/>
                    <w:tr2bl w:val="nil"/>
                  </w:tcBorders>
                  <w:noWrap w:val="0"/>
                  <w:vAlign w:val="center"/>
                </w:tcPr>
                <w:p w14:paraId="282D0271">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建立健全长期稳定的环境监测体系。根据规划实施状况、环境敏感目标的分布等，建立和完善生态、大气、声环境等环境要素监控体系。根据监测结果并结合环境影响适时优化、调整规划。</w:t>
                  </w:r>
                </w:p>
              </w:tc>
              <w:tc>
                <w:tcPr>
                  <w:tcW w:w="1865" w:type="pct"/>
                  <w:tcBorders>
                    <w:tl2br w:val="nil"/>
                    <w:tr2bl w:val="nil"/>
                  </w:tcBorders>
                  <w:noWrap w:val="0"/>
                  <w:vAlign w:val="center"/>
                </w:tcPr>
                <w:p w14:paraId="584E4E6C">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本项目提出了严格的生态、声环境等环境要素的环境监测计划。</w:t>
                  </w:r>
                </w:p>
              </w:tc>
              <w:tc>
                <w:tcPr>
                  <w:tcW w:w="326" w:type="pct"/>
                  <w:tcBorders>
                    <w:tl2br w:val="nil"/>
                    <w:tr2bl w:val="nil"/>
                  </w:tcBorders>
                  <w:noWrap w:val="0"/>
                  <w:vAlign w:val="center"/>
                </w:tcPr>
                <w:p w14:paraId="203857A1">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r w14:paraId="48210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7" w:type="pct"/>
                  <w:tcBorders>
                    <w:tl2br w:val="nil"/>
                    <w:tr2bl w:val="nil"/>
                  </w:tcBorders>
                  <w:noWrap w:val="0"/>
                  <w:vAlign w:val="center"/>
                </w:tcPr>
                <w:p w14:paraId="040B71A5">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加强开发过程的环境风险防控。强化风险防控意识，坚持事前防范和事中监管，按照“属地为主、分级响应、区域联动”原则，建立完善各区域环境管理制度、环境风险防控和应急管理体系，健全突发环境事故预警和应急管理机制，制定细化环境风险防控方案和措施，落实主体责任，明晰防控流程，确保环境风险可控。</w:t>
                  </w:r>
                </w:p>
              </w:tc>
              <w:tc>
                <w:tcPr>
                  <w:tcW w:w="1865" w:type="pct"/>
                  <w:tcBorders>
                    <w:tl2br w:val="nil"/>
                    <w:tr2bl w:val="nil"/>
                  </w:tcBorders>
                  <w:noWrap w:val="0"/>
                  <w:vAlign w:val="center"/>
                </w:tcPr>
                <w:p w14:paraId="137D972E">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本项目制定应急管理机制，并制定细化的环境风险防控方案和措施，落实主体责任，确保本项目环境风险可控。</w:t>
                  </w:r>
                </w:p>
              </w:tc>
              <w:tc>
                <w:tcPr>
                  <w:tcW w:w="326" w:type="pct"/>
                  <w:tcBorders>
                    <w:tl2br w:val="nil"/>
                    <w:tr2bl w:val="nil"/>
                  </w:tcBorders>
                  <w:noWrap w:val="0"/>
                  <w:vAlign w:val="center"/>
                </w:tcPr>
                <w:p w14:paraId="1A99D2B5">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bl>
          <w:p w14:paraId="550309C4">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highlight w:val="none"/>
              </w:rPr>
              <w:t>综上所述，本项目认真落实上述环境影响报告书及其审查意见中提出的相应减缓措施后，可将对环境的影响降至最小，因此从环境保护角度考虑，拟建项目与《新疆维吾尔自治区“十四五”综合交通规划环境影响报告书》及审查意见是相符的。</w:t>
            </w:r>
          </w:p>
        </w:tc>
      </w:tr>
      <w:tr w14:paraId="6BB8E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139E0345">
            <w:pPr>
              <w:pageBreakBefore w:val="0"/>
              <w:wordWrap/>
              <w:topLinePunct w:val="0"/>
              <w:autoSpaceDE w:val="0"/>
              <w:autoSpaceDN w:val="0"/>
              <w:bidi w:val="0"/>
              <w:adjustRightInd w:val="0"/>
              <w:snapToGrid w:val="0"/>
              <w:spacing w:beforeAutospacing="0" w:afterAutospacing="0"/>
              <w:ind w:left="0" w:leftChars="0" w:right="0"/>
              <w:jc w:val="center"/>
              <w:rPr>
                <w:rFonts w:hint="default" w:ascii="Times New Roman" w:hAnsi="Times New Roman" w:eastAsia="宋体" w:cs="Times New Roman"/>
                <w:caps w:val="0"/>
                <w:smallCaps w:val="0"/>
                <w:color w:val="auto"/>
                <w:spacing w:val="0"/>
                <w:w w:val="100"/>
                <w:kern w:val="2"/>
                <w:position w:val="0"/>
                <w:sz w:val="24"/>
                <w:szCs w:val="24"/>
                <w:highlight w:val="none"/>
              </w:rPr>
            </w:pPr>
            <w:bookmarkStart w:id="3" w:name="_Hlk56690880"/>
            <w:r>
              <w:rPr>
                <w:rFonts w:hint="default" w:ascii="Times New Roman" w:hAnsi="Times New Roman" w:eastAsia="宋体" w:cs="Times New Roman"/>
                <w:caps w:val="0"/>
                <w:smallCaps w:val="0"/>
                <w:color w:val="auto"/>
                <w:spacing w:val="0"/>
                <w:w w:val="100"/>
                <w:kern w:val="2"/>
                <w:position w:val="0"/>
                <w:sz w:val="24"/>
                <w:szCs w:val="24"/>
                <w:highlight w:val="none"/>
              </w:rPr>
              <w:t>其他符合性分析</w:t>
            </w:r>
            <w:bookmarkEnd w:id="3"/>
          </w:p>
        </w:tc>
        <w:tc>
          <w:tcPr>
            <w:tcW w:w="4016" w:type="pct"/>
            <w:gridSpan w:val="3"/>
            <w:tcBorders>
              <w:tl2br w:val="nil"/>
              <w:tr2bl w:val="nil"/>
            </w:tcBorders>
            <w:noWrap w:val="0"/>
            <w:tcMar>
              <w:top w:w="16" w:type="dxa"/>
              <w:left w:w="16" w:type="dxa"/>
              <w:right w:w="16" w:type="dxa"/>
            </w:tcMar>
            <w:vAlign w:val="center"/>
          </w:tcPr>
          <w:p w14:paraId="4B926E3D">
            <w:pPr>
              <w:keepNext/>
              <w:keepLines w:val="0"/>
              <w:pageBreakBefore w:val="0"/>
              <w:widowControl w:val="0"/>
              <w:kinsoku/>
              <w:wordWrap/>
              <w:overflowPunct/>
              <w:topLinePunct w:val="0"/>
              <w:autoSpaceDE/>
              <w:autoSpaceDN/>
              <w:bidi w:val="0"/>
              <w:adjustRightInd/>
              <w:snapToGrid/>
              <w:spacing w:beforeAutospacing="0" w:afterAutospacing="0" w:line="360" w:lineRule="auto"/>
              <w:ind w:right="0" w:rightChars="0" w:firstLine="482" w:firstLineChars="200"/>
              <w:textAlignment w:val="auto"/>
              <w:outlineLvl w:val="9"/>
              <w:rPr>
                <w:rFonts w:hint="default" w:ascii="Times New Roman" w:hAnsi="Times New Roman" w:cs="Times New Roman"/>
                <w:b/>
                <w:bCs/>
                <w:caps w:val="0"/>
                <w:smallCaps w:val="0"/>
                <w:color w:val="auto"/>
                <w:spacing w:val="0"/>
                <w:w w:val="100"/>
                <w:kern w:val="2"/>
                <w:position w:val="0"/>
                <w:sz w:val="24"/>
                <w:szCs w:val="24"/>
                <w:highlight w:val="none"/>
              </w:rPr>
            </w:pPr>
            <w:bookmarkStart w:id="4" w:name="_Toc19038"/>
            <w:r>
              <w:rPr>
                <w:rFonts w:hint="eastAsia" w:ascii="Times New Roman" w:hAnsi="Times New Roman" w:cs="Times New Roman"/>
                <w:b/>
                <w:bCs/>
                <w:caps w:val="0"/>
                <w:smallCaps w:val="0"/>
                <w:color w:val="auto"/>
                <w:spacing w:val="0"/>
                <w:w w:val="100"/>
                <w:kern w:val="2"/>
                <w:position w:val="0"/>
                <w:sz w:val="24"/>
                <w:szCs w:val="24"/>
                <w:highlight w:val="none"/>
                <w:lang w:val="en-US" w:eastAsia="zh-CN"/>
              </w:rPr>
              <w:t>1.</w:t>
            </w:r>
            <w:r>
              <w:rPr>
                <w:rFonts w:hint="default" w:ascii="Times New Roman" w:hAnsi="Times New Roman" w:cs="Times New Roman"/>
                <w:b/>
                <w:bCs/>
                <w:caps w:val="0"/>
                <w:smallCaps w:val="0"/>
                <w:color w:val="auto"/>
                <w:spacing w:val="0"/>
                <w:w w:val="100"/>
                <w:kern w:val="2"/>
                <w:position w:val="0"/>
                <w:sz w:val="24"/>
                <w:szCs w:val="24"/>
                <w:highlight w:val="none"/>
              </w:rPr>
              <w:t>产业政策符合性分析</w:t>
            </w:r>
            <w:bookmarkEnd w:id="4"/>
          </w:p>
          <w:p w14:paraId="6EF63F8F">
            <w:pPr>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auto"/>
              <w:rPr>
                <w:bCs/>
                <w:color w:val="auto"/>
                <w:sz w:val="24"/>
                <w:highlight w:val="none"/>
              </w:rPr>
            </w:pPr>
            <w:r>
              <w:rPr>
                <w:color w:val="auto"/>
                <w:sz w:val="24"/>
                <w:highlight w:val="none"/>
              </w:rPr>
              <w:t>对照《产业结构调整指导目录（20</w:t>
            </w:r>
            <w:r>
              <w:rPr>
                <w:rFonts w:hint="eastAsia"/>
                <w:color w:val="auto"/>
                <w:sz w:val="24"/>
                <w:highlight w:val="none"/>
                <w:lang w:val="en-US" w:eastAsia="zh-CN"/>
              </w:rPr>
              <w:t>24</w:t>
            </w:r>
            <w:r>
              <w:rPr>
                <w:color w:val="auto"/>
                <w:sz w:val="24"/>
                <w:highlight w:val="none"/>
              </w:rPr>
              <w:t>年本）》，本项目属于鼓励类</w:t>
            </w:r>
            <w:r>
              <w:rPr>
                <w:rFonts w:hint="eastAsia"/>
                <w:color w:val="auto"/>
                <w:sz w:val="24"/>
                <w:highlight w:val="none"/>
              </w:rPr>
              <w:t>中“二十</w:t>
            </w:r>
            <w:r>
              <w:rPr>
                <w:rFonts w:hint="eastAsia"/>
                <w:color w:val="auto"/>
                <w:sz w:val="24"/>
                <w:highlight w:val="none"/>
                <w:lang w:val="en-US" w:eastAsia="zh-CN"/>
              </w:rPr>
              <w:t>四</w:t>
            </w:r>
            <w:r>
              <w:rPr>
                <w:rFonts w:hint="eastAsia"/>
                <w:color w:val="auto"/>
                <w:sz w:val="24"/>
                <w:highlight w:val="none"/>
              </w:rPr>
              <w:t>、</w:t>
            </w:r>
            <w:r>
              <w:rPr>
                <w:rFonts w:hint="eastAsia"/>
                <w:color w:val="auto"/>
                <w:sz w:val="24"/>
                <w:highlight w:val="none"/>
                <w:lang w:val="en-US" w:eastAsia="zh-CN"/>
              </w:rPr>
              <w:t>公路及道路运输</w:t>
            </w:r>
            <w:r>
              <w:rPr>
                <w:rFonts w:hint="eastAsia"/>
                <w:color w:val="auto"/>
                <w:sz w:val="24"/>
                <w:highlight w:val="none"/>
              </w:rPr>
              <w:t xml:space="preserve"> </w:t>
            </w:r>
            <w:r>
              <w:rPr>
                <w:rFonts w:hint="eastAsia"/>
                <w:color w:val="auto"/>
                <w:sz w:val="24"/>
                <w:highlight w:val="none"/>
                <w:lang w:val="en-US" w:eastAsia="zh-CN"/>
              </w:rPr>
              <w:t>1.公路交通网络建设：国家高速公路网项目建设，</w:t>
            </w:r>
            <w:r>
              <w:rPr>
                <w:rFonts w:hint="eastAsia"/>
                <w:b/>
                <w:bCs/>
                <w:color w:val="auto"/>
                <w:sz w:val="24"/>
                <w:highlight w:val="none"/>
                <w:lang w:val="en-US" w:eastAsia="zh-CN"/>
              </w:rPr>
              <w:t>国省干线改造升级</w:t>
            </w:r>
            <w:r>
              <w:rPr>
                <w:rFonts w:hint="eastAsia"/>
                <w:color w:val="auto"/>
                <w:sz w:val="24"/>
                <w:highlight w:val="none"/>
                <w:lang w:val="en-US" w:eastAsia="zh-CN"/>
              </w:rPr>
              <w:t>，汽车客货运站、城市公交站，城市公共交通</w:t>
            </w:r>
            <w:r>
              <w:rPr>
                <w:color w:val="auto"/>
                <w:sz w:val="24"/>
                <w:highlight w:val="none"/>
              </w:rPr>
              <w:t>。因此本项目符合国家及地方产业政策要求。</w:t>
            </w:r>
          </w:p>
          <w:p w14:paraId="44DE65A4">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ind w:firstLine="482" w:firstLineChars="200"/>
              <w:textAlignment w:val="auto"/>
              <w:rPr>
                <w:rFonts w:hint="default" w:eastAsia="宋体"/>
                <w:sz w:val="24"/>
                <w:szCs w:val="24"/>
                <w:highlight w:val="none"/>
                <w:lang w:val="en-US" w:eastAsia="zh-CN"/>
              </w:rPr>
            </w:pPr>
            <w:r>
              <w:rPr>
                <w:rFonts w:hint="eastAsia" w:ascii="Times New Roman" w:hAnsi="Times New Roman" w:eastAsia="宋体" w:cs="Times New Roman"/>
                <w:b/>
                <w:caps w:val="0"/>
                <w:smallCaps w:val="0"/>
                <w:color w:val="auto"/>
                <w:spacing w:val="0"/>
                <w:w w:val="100"/>
                <w:kern w:val="2"/>
                <w:position w:val="0"/>
                <w:sz w:val="24"/>
                <w:highlight w:val="none"/>
                <w:lang w:val="en-US" w:eastAsia="zh-CN"/>
              </w:rPr>
              <w:t>2.</w:t>
            </w:r>
            <w:r>
              <w:rPr>
                <w:rFonts w:hint="eastAsia"/>
                <w:b/>
                <w:bCs/>
                <w:sz w:val="24"/>
                <w:szCs w:val="24"/>
                <w:highlight w:val="none"/>
                <w:lang w:val="en-US" w:eastAsia="zh-CN"/>
              </w:rPr>
              <w:t>与</w:t>
            </w:r>
            <w:r>
              <w:rPr>
                <w:rFonts w:hint="eastAsia" w:ascii="Times New Roman" w:hAnsi="Times New Roman" w:eastAsia="宋体" w:cs="Times New Roman"/>
                <w:b/>
                <w:bCs/>
                <w:sz w:val="24"/>
                <w:szCs w:val="24"/>
                <w:highlight w:val="none"/>
                <w:lang w:val="en-US" w:eastAsia="zh-CN"/>
              </w:rPr>
              <w:t>《</w:t>
            </w:r>
            <w:r>
              <w:rPr>
                <w:rFonts w:hint="eastAsia"/>
                <w:b/>
                <w:bCs/>
                <w:sz w:val="24"/>
                <w:szCs w:val="24"/>
                <w:highlight w:val="none"/>
                <w:lang w:val="en-US" w:eastAsia="zh-CN"/>
              </w:rPr>
              <w:t>新疆维吾尔自治区生态环境分区管控动态更新成果》（新环环评发﹝2024﹞157 号）的符合性分析</w:t>
            </w:r>
          </w:p>
          <w:p w14:paraId="3543D601">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ind w:firstLine="480" w:firstLineChars="200"/>
              <w:textAlignment w:val="auto"/>
              <w:rPr>
                <w:rFonts w:ascii="宋体" w:hAnsi="宋体" w:eastAsia="宋体" w:cs="宋体"/>
                <w:b/>
                <w:bCs/>
                <w:spacing w:val="-2"/>
                <w:sz w:val="24"/>
                <w:szCs w:val="24"/>
                <w:highlight w:val="none"/>
              </w:rPr>
            </w:pPr>
            <w:r>
              <w:rPr>
                <w:rFonts w:hint="eastAsia"/>
                <w:sz w:val="24"/>
                <w:szCs w:val="24"/>
                <w:highlight w:val="none"/>
                <w:lang w:val="en-US" w:eastAsia="zh-CN"/>
              </w:rPr>
              <w:t>结合《新疆维吾尔自治区生态环境分区管控动态更新成果》（新环环评发﹝2024﹞157 号），</w:t>
            </w:r>
            <w:r>
              <w:rPr>
                <w:rFonts w:ascii="宋体" w:hAnsi="宋体" w:eastAsia="宋体" w:cs="宋体"/>
                <w:spacing w:val="-6"/>
                <w:sz w:val="24"/>
                <w:szCs w:val="24"/>
                <w:highlight w:val="none"/>
              </w:rPr>
              <w:t>新疆维吾尔自治区总体管控要求符</w:t>
            </w:r>
            <w:r>
              <w:rPr>
                <w:rFonts w:hint="default" w:ascii="Times New Roman" w:hAnsi="Times New Roman" w:eastAsia="宋体" w:cs="Times New Roman"/>
                <w:spacing w:val="-6"/>
                <w:sz w:val="24"/>
                <w:szCs w:val="24"/>
                <w:highlight w:val="none"/>
              </w:rPr>
              <w:t>合性分析见</w:t>
            </w:r>
            <w:r>
              <w:rPr>
                <w:rFonts w:hint="default" w:ascii="Times New Roman" w:hAnsi="Times New Roman" w:eastAsia="宋体" w:cs="Times New Roman"/>
                <w:spacing w:val="-6"/>
                <w:sz w:val="24"/>
                <w:szCs w:val="24"/>
                <w:highlight w:val="none"/>
                <w:lang w:val="en-US" w:eastAsia="zh-CN"/>
              </w:rPr>
              <w:t>表1-</w:t>
            </w:r>
            <w:r>
              <w:rPr>
                <w:rFonts w:hint="eastAsia" w:ascii="Times New Roman" w:hAnsi="Times New Roman" w:eastAsia="宋体" w:cs="Times New Roman"/>
                <w:spacing w:val="-6"/>
                <w:sz w:val="24"/>
                <w:szCs w:val="24"/>
                <w:highlight w:val="none"/>
                <w:lang w:val="en-US" w:eastAsia="zh-CN"/>
              </w:rPr>
              <w:t>3</w:t>
            </w:r>
            <w:r>
              <w:rPr>
                <w:rFonts w:hint="default" w:ascii="Times New Roman" w:hAnsi="Times New Roman" w:eastAsia="宋体" w:cs="Times New Roman"/>
                <w:spacing w:val="-6"/>
                <w:sz w:val="24"/>
                <w:szCs w:val="24"/>
                <w:highlight w:val="none"/>
                <w:lang w:val="en-US" w:eastAsia="zh-CN"/>
              </w:rPr>
              <w:t>。</w:t>
            </w:r>
          </w:p>
          <w:p w14:paraId="0043DCC5">
            <w:pPr>
              <w:shd w:val="clear" w:color="auto" w:fill="auto"/>
              <w:spacing w:before="34" w:line="219" w:lineRule="auto"/>
              <w:ind w:left="617"/>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表</w:t>
            </w:r>
            <w:r>
              <w:rPr>
                <w:rFonts w:hint="default" w:ascii="Times New Roman" w:hAnsi="Times New Roman" w:eastAsia="宋体" w:cs="Times New Roman"/>
                <w:spacing w:val="-37"/>
                <w:sz w:val="21"/>
                <w:szCs w:val="21"/>
                <w:highlight w:val="none"/>
              </w:rPr>
              <w:t xml:space="preserve"> </w:t>
            </w:r>
            <w:r>
              <w:rPr>
                <w:rFonts w:hint="default" w:ascii="Times New Roman" w:hAnsi="Times New Roman" w:eastAsia="宋体" w:cs="Times New Roman"/>
                <w:b/>
                <w:bCs/>
                <w:spacing w:val="-2"/>
                <w:sz w:val="21"/>
                <w:szCs w:val="21"/>
                <w:highlight w:val="none"/>
                <w:lang w:val="en-US" w:eastAsia="zh-CN"/>
              </w:rPr>
              <w:t>1-</w:t>
            </w:r>
            <w:r>
              <w:rPr>
                <w:rFonts w:hint="eastAsia" w:ascii="Times New Roman" w:hAnsi="Times New Roman" w:eastAsia="宋体" w:cs="Times New Roman"/>
                <w:b/>
                <w:bCs/>
                <w:spacing w:val="-2"/>
                <w:sz w:val="21"/>
                <w:szCs w:val="21"/>
                <w:highlight w:val="none"/>
                <w:lang w:val="en-US" w:eastAsia="zh-CN"/>
              </w:rPr>
              <w:t>3</w:t>
            </w:r>
            <w:r>
              <w:rPr>
                <w:rFonts w:hint="default" w:ascii="Times New Roman" w:hAnsi="Times New Roman" w:eastAsia="宋体" w:cs="Times New Roman"/>
                <w:b/>
                <w:bCs/>
                <w:spacing w:val="-2"/>
                <w:sz w:val="21"/>
                <w:szCs w:val="21"/>
                <w:highlight w:val="none"/>
              </w:rPr>
              <w:t xml:space="preserve">  与《新疆维吾尔自治区总体管控要求》符合性分析</w:t>
            </w:r>
          </w:p>
          <w:p w14:paraId="06207300">
            <w:pPr>
              <w:shd w:val="clear" w:color="auto" w:fill="auto"/>
              <w:spacing w:line="85" w:lineRule="auto"/>
              <w:rPr>
                <w:rFonts w:ascii="Arial"/>
                <w:sz w:val="2"/>
                <w:highlight w:val="none"/>
              </w:rPr>
            </w:pPr>
          </w:p>
          <w:tbl>
            <w:tblPr>
              <w:tblStyle w:val="71"/>
              <w:tblW w:w="49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54"/>
              <w:gridCol w:w="310"/>
              <w:gridCol w:w="577"/>
              <w:gridCol w:w="3006"/>
              <w:gridCol w:w="2062"/>
              <w:gridCol w:w="217"/>
            </w:tblGrid>
            <w:tr w14:paraId="00AAEC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1" w:type="pct"/>
                  <w:tcBorders>
                    <w:tl2br w:val="nil"/>
                    <w:tr2bl w:val="nil"/>
                  </w:tcBorders>
                  <w:noWrap w:val="0"/>
                  <w:vAlign w:val="center"/>
                </w:tcPr>
                <w:p w14:paraId="5B047C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名称</w:t>
                  </w:r>
                </w:p>
              </w:tc>
              <w:tc>
                <w:tcPr>
                  <w:tcW w:w="2981" w:type="pct"/>
                  <w:gridSpan w:val="3"/>
                  <w:tcBorders>
                    <w:tl2br w:val="nil"/>
                    <w:tr2bl w:val="nil"/>
                  </w:tcBorders>
                  <w:noWrap w:val="0"/>
                  <w:vAlign w:val="center"/>
                </w:tcPr>
                <w:p w14:paraId="7426F30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6"/>
                      <w:sz w:val="18"/>
                      <w:szCs w:val="18"/>
                      <w:highlight w:val="none"/>
                    </w:rPr>
                    <w:t>管控要求</w:t>
                  </w:r>
                </w:p>
              </w:tc>
              <w:tc>
                <w:tcPr>
                  <w:tcW w:w="1579" w:type="pct"/>
                  <w:tcBorders>
                    <w:tl2br w:val="nil"/>
                    <w:tr2bl w:val="nil"/>
                  </w:tcBorders>
                  <w:noWrap w:val="0"/>
                  <w:vAlign w:val="center"/>
                </w:tcPr>
                <w:p w14:paraId="5DFA452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7"/>
                      <w:sz w:val="18"/>
                      <w:szCs w:val="18"/>
                      <w:highlight w:val="none"/>
                    </w:rPr>
                    <w:t>本次工程</w:t>
                  </w:r>
                </w:p>
              </w:tc>
              <w:tc>
                <w:tcPr>
                  <w:tcW w:w="166" w:type="pct"/>
                  <w:tcBorders>
                    <w:tl2br w:val="nil"/>
                    <w:tr2bl w:val="nil"/>
                  </w:tcBorders>
                  <w:noWrap w:val="0"/>
                  <w:vAlign w:val="center"/>
                </w:tcPr>
                <w:p w14:paraId="74EEA40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6"/>
                      <w:sz w:val="18"/>
                      <w:szCs w:val="18"/>
                      <w:highlight w:val="none"/>
                    </w:rPr>
                    <w:t>符合性</w:t>
                  </w:r>
                </w:p>
              </w:tc>
            </w:tr>
            <w:tr w14:paraId="679E1A5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71" w:type="pct"/>
                  <w:vMerge w:val="restart"/>
                  <w:tcBorders>
                    <w:tl2br w:val="nil"/>
                    <w:tr2bl w:val="nil"/>
                  </w:tcBorders>
                  <w:noWrap w:val="0"/>
                  <w:vAlign w:val="center"/>
                </w:tcPr>
                <w:p w14:paraId="1BF9A5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新疆维吾尔自治区总体管控要求</w:t>
                  </w:r>
                </w:p>
              </w:tc>
              <w:tc>
                <w:tcPr>
                  <w:tcW w:w="237" w:type="pct"/>
                  <w:vMerge w:val="restart"/>
                  <w:tcBorders>
                    <w:tl2br w:val="nil"/>
                    <w:tr2bl w:val="nil"/>
                  </w:tcBorders>
                  <w:noWrap w:val="0"/>
                  <w:vAlign w:val="center"/>
                </w:tcPr>
                <w:p w14:paraId="2411BC57">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6249649E">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44FE24F1">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60C2D8B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Times New Roman" w:hAnsi="Times New Roman" w:eastAsia="Times New Roman" w:cs="Times New Roman"/>
                      <w:spacing w:val="4"/>
                      <w:sz w:val="18"/>
                      <w:szCs w:val="18"/>
                      <w:highlight w:val="none"/>
                    </w:rPr>
                    <w:t>A1</w:t>
                  </w:r>
                  <w:r>
                    <w:rPr>
                      <w:rFonts w:ascii="宋体" w:hAnsi="宋体" w:eastAsia="宋体" w:cs="宋体"/>
                      <w:spacing w:val="4"/>
                      <w:sz w:val="18"/>
                      <w:szCs w:val="18"/>
                      <w:highlight w:val="none"/>
                    </w:rPr>
                    <w:t>空间布局约束</w:t>
                  </w:r>
                </w:p>
              </w:tc>
              <w:tc>
                <w:tcPr>
                  <w:tcW w:w="442" w:type="pct"/>
                  <w:vMerge w:val="restart"/>
                  <w:tcBorders>
                    <w:tl2br w:val="nil"/>
                    <w:tr2bl w:val="nil"/>
                  </w:tcBorders>
                  <w:noWrap w:val="0"/>
                  <w:vAlign w:val="center"/>
                </w:tcPr>
                <w:p w14:paraId="43EC983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32DBE7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18"/>
                      <w:szCs w:val="18"/>
                      <w:highlight w:val="none"/>
                    </w:rPr>
                  </w:pPr>
                  <w:r>
                    <w:rPr>
                      <w:rFonts w:ascii="Times New Roman" w:hAnsi="Times New Roman" w:eastAsia="Times New Roman" w:cs="Times New Roman"/>
                      <w:spacing w:val="3"/>
                      <w:sz w:val="18"/>
                      <w:szCs w:val="18"/>
                      <w:highlight w:val="none"/>
                    </w:rPr>
                    <w:t>A1.1</w:t>
                  </w:r>
                </w:p>
                <w:p w14:paraId="2F2B86A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禁止</w:t>
                  </w:r>
                </w:p>
                <w:p w14:paraId="1B9D185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开发</w:t>
                  </w:r>
                </w:p>
                <w:p w14:paraId="2A1712F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建设</w:t>
                  </w:r>
                </w:p>
                <w:p w14:paraId="26FE1F8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的活</w:t>
                  </w:r>
                </w:p>
                <w:p w14:paraId="161B8F1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z w:val="18"/>
                      <w:szCs w:val="18"/>
                      <w:highlight w:val="none"/>
                    </w:rPr>
                    <w:t>动</w:t>
                  </w:r>
                </w:p>
              </w:tc>
              <w:tc>
                <w:tcPr>
                  <w:tcW w:w="2302" w:type="pct"/>
                  <w:tcBorders>
                    <w:tl2br w:val="nil"/>
                    <w:tr2bl w:val="nil"/>
                  </w:tcBorders>
                  <w:noWrap w:val="0"/>
                  <w:vAlign w:val="center"/>
                </w:tcPr>
                <w:p w14:paraId="1759473E">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1739E60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35C73BD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hint="eastAsia"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A1.1-1</w:t>
                  </w:r>
                  <w:r>
                    <w:rPr>
                      <w:rFonts w:ascii="宋体" w:hAnsi="宋体" w:eastAsia="宋体" w:cs="宋体"/>
                      <w:spacing w:val="4"/>
                      <w:sz w:val="18"/>
                      <w:szCs w:val="18"/>
                      <w:highlight w:val="none"/>
                    </w:rPr>
                    <w:t>〕禁止新建、扩建《产业结构</w:t>
                  </w:r>
                  <w:r>
                    <w:rPr>
                      <w:rFonts w:ascii="宋体" w:hAnsi="宋体" w:eastAsia="宋体" w:cs="宋体"/>
                      <w:spacing w:val="9"/>
                      <w:sz w:val="18"/>
                      <w:szCs w:val="18"/>
                      <w:highlight w:val="none"/>
                    </w:rPr>
                    <w:t>调整指导目录（</w:t>
                  </w:r>
                  <w:r>
                    <w:rPr>
                      <w:rFonts w:ascii="Times New Roman" w:hAnsi="Times New Roman" w:eastAsia="Times New Roman" w:cs="Times New Roman"/>
                      <w:spacing w:val="9"/>
                      <w:sz w:val="18"/>
                      <w:szCs w:val="18"/>
                      <w:highlight w:val="none"/>
                    </w:rPr>
                    <w:t>2024</w:t>
                  </w:r>
                  <w:r>
                    <w:rPr>
                      <w:rFonts w:ascii="宋体" w:hAnsi="宋体" w:eastAsia="宋体" w:cs="宋体"/>
                      <w:spacing w:val="9"/>
                      <w:sz w:val="18"/>
                      <w:szCs w:val="18"/>
                      <w:highlight w:val="none"/>
                    </w:rPr>
                    <w:t>年本）》中淘汰</w:t>
                  </w:r>
                  <w:r>
                    <w:rPr>
                      <w:rFonts w:ascii="宋体" w:hAnsi="宋体" w:eastAsia="宋体" w:cs="宋体"/>
                      <w:spacing w:val="4"/>
                      <w:sz w:val="18"/>
                      <w:szCs w:val="18"/>
                      <w:highlight w:val="none"/>
                    </w:rPr>
                    <w:t>类项目。禁止引入《市场准入负面清单</w:t>
                  </w:r>
                  <w:r>
                    <w:rPr>
                      <w:rFonts w:ascii="宋体" w:hAnsi="宋体" w:eastAsia="宋体" w:cs="宋体"/>
                      <w:spacing w:val="7"/>
                      <w:sz w:val="18"/>
                      <w:szCs w:val="18"/>
                      <w:highlight w:val="none"/>
                    </w:rPr>
                    <w:t>（</w:t>
                  </w:r>
                  <w:r>
                    <w:rPr>
                      <w:rFonts w:ascii="Times New Roman" w:hAnsi="Times New Roman" w:eastAsia="Times New Roman" w:cs="Times New Roman"/>
                      <w:spacing w:val="7"/>
                      <w:sz w:val="18"/>
                      <w:szCs w:val="18"/>
                      <w:highlight w:val="none"/>
                    </w:rPr>
                    <w:t>2022</w:t>
                  </w:r>
                  <w:r>
                    <w:rPr>
                      <w:rFonts w:ascii="宋体" w:hAnsi="宋体" w:eastAsia="宋体" w:cs="宋体"/>
                      <w:spacing w:val="7"/>
                      <w:sz w:val="18"/>
                      <w:szCs w:val="18"/>
                      <w:highlight w:val="none"/>
                    </w:rPr>
                    <w:t>年版）》禁止准入类事项</w:t>
                  </w:r>
                </w:p>
              </w:tc>
              <w:tc>
                <w:tcPr>
                  <w:tcW w:w="1579" w:type="pct"/>
                  <w:tcBorders>
                    <w:tl2br w:val="nil"/>
                    <w:tr2bl w:val="nil"/>
                  </w:tcBorders>
                  <w:noWrap w:val="0"/>
                  <w:vAlign w:val="center"/>
                </w:tcPr>
                <w:p w14:paraId="54D7795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本工程属于《产业结构调整指导目录</w:t>
                  </w:r>
                  <w:r>
                    <w:rPr>
                      <w:rFonts w:hint="eastAsia" w:ascii="宋体" w:hAnsi="宋体" w:eastAsia="宋体" w:cs="宋体"/>
                      <w:spacing w:val="4"/>
                      <w:sz w:val="18"/>
                      <w:szCs w:val="18"/>
                      <w:highlight w:val="none"/>
                      <w:lang w:eastAsia="zh-CN"/>
                    </w:rPr>
                    <w:t>（</w:t>
                  </w:r>
                  <w:r>
                    <w:rPr>
                      <w:rFonts w:ascii="Times New Roman" w:hAnsi="Times New Roman" w:eastAsia="Times New Roman" w:cs="Times New Roman"/>
                      <w:spacing w:val="4"/>
                      <w:sz w:val="18"/>
                      <w:szCs w:val="18"/>
                      <w:highlight w:val="none"/>
                    </w:rPr>
                    <w:t>2024</w:t>
                  </w:r>
                  <w:r>
                    <w:rPr>
                      <w:rFonts w:ascii="宋体" w:hAnsi="宋体" w:eastAsia="宋体" w:cs="宋体"/>
                      <w:spacing w:val="4"/>
                      <w:sz w:val="18"/>
                      <w:szCs w:val="18"/>
                      <w:highlight w:val="none"/>
                    </w:rPr>
                    <w:t>年本</w:t>
                  </w:r>
                  <w:r>
                    <w:rPr>
                      <w:rFonts w:hint="eastAsia" w:ascii="宋体" w:hAnsi="宋体" w:eastAsia="宋体" w:cs="宋体"/>
                      <w:spacing w:val="4"/>
                      <w:sz w:val="18"/>
                      <w:szCs w:val="18"/>
                      <w:highlight w:val="none"/>
                      <w:lang w:eastAsia="zh-CN"/>
                    </w:rPr>
                    <w:t>）</w:t>
                  </w:r>
                  <w:r>
                    <w:rPr>
                      <w:rFonts w:ascii="宋体" w:hAnsi="宋体" w:eastAsia="宋体" w:cs="宋体"/>
                      <w:spacing w:val="4"/>
                      <w:sz w:val="18"/>
                      <w:szCs w:val="18"/>
                      <w:highlight w:val="none"/>
                    </w:rPr>
                    <w:t>》中</w:t>
                  </w:r>
                  <w:r>
                    <w:rPr>
                      <w:rFonts w:hint="eastAsia" w:ascii="宋体" w:hAnsi="宋体" w:eastAsia="宋体" w:cs="宋体"/>
                      <w:spacing w:val="4"/>
                      <w:sz w:val="18"/>
                      <w:szCs w:val="18"/>
                      <w:highlight w:val="none"/>
                    </w:rPr>
                    <w:t>鼓励类中“二十四、公路及道路运输</w:t>
                  </w:r>
                  <w:r>
                    <w:rPr>
                      <w:rFonts w:hint="eastAsia" w:ascii="宋体" w:hAnsi="宋体" w:eastAsia="宋体" w:cs="宋体"/>
                      <w:spacing w:val="4"/>
                      <w:sz w:val="18"/>
                      <w:szCs w:val="18"/>
                      <w:highlight w:val="none"/>
                      <w:lang w:val="en-US" w:eastAsia="zh-CN"/>
                    </w:rPr>
                    <w:t>1.公路交通网络建设：国家高速公路网项目建设，</w:t>
                  </w:r>
                  <w:r>
                    <w:rPr>
                      <w:rFonts w:hint="eastAsia" w:ascii="宋体" w:hAnsi="宋体" w:eastAsia="宋体" w:cs="宋体"/>
                      <w:b/>
                      <w:bCs/>
                      <w:spacing w:val="4"/>
                      <w:sz w:val="18"/>
                      <w:szCs w:val="18"/>
                      <w:highlight w:val="none"/>
                      <w:lang w:val="en-US" w:eastAsia="zh-CN"/>
                    </w:rPr>
                    <w:t>国省干线改造升级</w:t>
                  </w:r>
                  <w:r>
                    <w:rPr>
                      <w:rFonts w:hint="eastAsia" w:ascii="宋体" w:hAnsi="宋体" w:eastAsia="宋体" w:cs="宋体"/>
                      <w:spacing w:val="4"/>
                      <w:sz w:val="18"/>
                      <w:szCs w:val="18"/>
                      <w:highlight w:val="none"/>
                      <w:lang w:val="en-US" w:eastAsia="zh-CN"/>
                    </w:rPr>
                    <w:t>，汽车客货运站、城市公交站，城市公共交通</w:t>
                  </w:r>
                  <w:r>
                    <w:rPr>
                      <w:rFonts w:ascii="宋体" w:hAnsi="宋体" w:eastAsia="宋体" w:cs="宋体"/>
                      <w:spacing w:val="-11"/>
                      <w:sz w:val="18"/>
                      <w:szCs w:val="18"/>
                      <w:highlight w:val="none"/>
                    </w:rPr>
                    <w:t>，同时不属于《市</w:t>
                  </w:r>
                  <w:r>
                    <w:rPr>
                      <w:rFonts w:ascii="宋体" w:hAnsi="宋体" w:eastAsia="宋体" w:cs="宋体"/>
                      <w:spacing w:val="4"/>
                      <w:sz w:val="18"/>
                      <w:szCs w:val="18"/>
                      <w:highlight w:val="none"/>
                    </w:rPr>
                    <w:t>场准入负面清单（</w:t>
                  </w:r>
                  <w:r>
                    <w:rPr>
                      <w:rFonts w:ascii="Times New Roman" w:hAnsi="Times New Roman" w:eastAsia="Times New Roman" w:cs="Times New Roman"/>
                      <w:spacing w:val="4"/>
                      <w:sz w:val="18"/>
                      <w:szCs w:val="18"/>
                      <w:highlight w:val="none"/>
                    </w:rPr>
                    <w:t>202</w:t>
                  </w:r>
                  <w:r>
                    <w:rPr>
                      <w:rFonts w:hint="eastAsia" w:ascii="Times New Roman" w:hAnsi="Times New Roman" w:eastAsia="宋体" w:cs="Times New Roman"/>
                      <w:spacing w:val="4"/>
                      <w:sz w:val="18"/>
                      <w:szCs w:val="18"/>
                      <w:highlight w:val="none"/>
                      <w:lang w:val="en-US" w:eastAsia="zh-CN"/>
                    </w:rPr>
                    <w:t>5</w:t>
                  </w:r>
                  <w:r>
                    <w:rPr>
                      <w:rFonts w:ascii="宋体" w:hAnsi="宋体" w:eastAsia="宋体" w:cs="宋体"/>
                      <w:spacing w:val="4"/>
                      <w:sz w:val="18"/>
                      <w:szCs w:val="18"/>
                      <w:highlight w:val="none"/>
                    </w:rPr>
                    <w:t>年版）》禁止准入类事项。</w:t>
                  </w:r>
                </w:p>
              </w:tc>
              <w:tc>
                <w:tcPr>
                  <w:tcW w:w="166" w:type="pct"/>
                  <w:tcBorders>
                    <w:tl2br w:val="nil"/>
                    <w:tr2bl w:val="nil"/>
                  </w:tcBorders>
                  <w:noWrap w:val="0"/>
                  <w:vAlign w:val="center"/>
                </w:tcPr>
                <w:p w14:paraId="4E3AB6F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符合</w:t>
                  </w:r>
                </w:p>
              </w:tc>
            </w:tr>
            <w:tr w14:paraId="001347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345A3F37">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2ACE9EAC">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continue"/>
                  <w:tcBorders>
                    <w:tl2br w:val="nil"/>
                    <w:tr2bl w:val="nil"/>
                  </w:tcBorders>
                  <w:noWrap w:val="0"/>
                  <w:vAlign w:val="center"/>
                </w:tcPr>
                <w:p w14:paraId="7401DEB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02" w:type="pct"/>
                  <w:tcBorders>
                    <w:tl2br w:val="nil"/>
                    <w:tr2bl w:val="nil"/>
                  </w:tcBorders>
                  <w:noWrap w:val="0"/>
                  <w:vAlign w:val="center"/>
                </w:tcPr>
                <w:p w14:paraId="3640B83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sz w:val="18"/>
                      <w:szCs w:val="18"/>
                      <w:highlight w:val="none"/>
                      <w:lang w:val="en-US" w:eastAsia="zh-CN"/>
                    </w:rPr>
                  </w:pPr>
                  <w:r>
                    <w:rPr>
                      <w:rFonts w:hint="eastAsia"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A1.1-2</w:t>
                  </w:r>
                  <w:r>
                    <w:rPr>
                      <w:rFonts w:ascii="宋体" w:hAnsi="宋体" w:eastAsia="宋体" w:cs="宋体"/>
                      <w:spacing w:val="4"/>
                      <w:sz w:val="18"/>
                      <w:szCs w:val="18"/>
                      <w:highlight w:val="none"/>
                    </w:rPr>
                    <w:t>〕禁止建设不符合国家和自治</w:t>
                  </w:r>
                  <w:r>
                    <w:rPr>
                      <w:rFonts w:hint="eastAsia" w:ascii="宋体" w:hAnsi="宋体" w:eastAsia="宋体" w:cs="宋体"/>
                      <w:spacing w:val="4"/>
                      <w:sz w:val="18"/>
                      <w:szCs w:val="18"/>
                      <w:highlight w:val="none"/>
                      <w:lang w:val="en-US" w:eastAsia="zh-CN"/>
                    </w:rPr>
                    <w:t>区环境保护标准的项目。</w:t>
                  </w:r>
                </w:p>
              </w:tc>
              <w:tc>
                <w:tcPr>
                  <w:tcW w:w="1579" w:type="pct"/>
                  <w:tcBorders>
                    <w:tl2br w:val="nil"/>
                    <w:tr2bl w:val="nil"/>
                  </w:tcBorders>
                  <w:noWrap w:val="0"/>
                  <w:vAlign w:val="center"/>
                </w:tcPr>
                <w:p w14:paraId="695E0EE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8"/>
                      <w:sz w:val="18"/>
                      <w:szCs w:val="18"/>
                      <w:highlight w:val="none"/>
                    </w:rPr>
                    <w:t>本工程各污染物均达标排放，满</w:t>
                  </w:r>
                  <w:r>
                    <w:rPr>
                      <w:rFonts w:ascii="宋体" w:hAnsi="宋体" w:eastAsia="宋体" w:cs="宋体"/>
                      <w:spacing w:val="24"/>
                      <w:sz w:val="18"/>
                      <w:szCs w:val="18"/>
                      <w:highlight w:val="none"/>
                    </w:rPr>
                    <w:t>足国家和自治区环境保护</w:t>
                  </w:r>
                  <w:r>
                    <w:rPr>
                      <w:rFonts w:hint="eastAsia" w:ascii="宋体" w:hAnsi="宋体" w:eastAsia="宋体" w:cs="宋体"/>
                      <w:spacing w:val="24"/>
                      <w:sz w:val="18"/>
                      <w:szCs w:val="18"/>
                      <w:highlight w:val="none"/>
                      <w:lang w:val="en-US" w:eastAsia="zh-CN"/>
                    </w:rPr>
                    <w:t>相关</w:t>
                  </w:r>
                  <w:r>
                    <w:rPr>
                      <w:rFonts w:ascii="宋体" w:hAnsi="宋体" w:eastAsia="宋体" w:cs="宋体"/>
                      <w:spacing w:val="7"/>
                      <w:sz w:val="18"/>
                      <w:szCs w:val="18"/>
                      <w:highlight w:val="none"/>
                    </w:rPr>
                    <w:t>标准要求</w:t>
                  </w:r>
                </w:p>
              </w:tc>
              <w:tc>
                <w:tcPr>
                  <w:tcW w:w="166" w:type="pct"/>
                  <w:tcBorders>
                    <w:tl2br w:val="nil"/>
                    <w:tr2bl w:val="nil"/>
                  </w:tcBorders>
                  <w:noWrap w:val="0"/>
                  <w:vAlign w:val="center"/>
                </w:tcPr>
                <w:p w14:paraId="79B45A4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符合</w:t>
                  </w:r>
                </w:p>
              </w:tc>
            </w:tr>
            <w:tr w14:paraId="3E1CCA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114E099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0AD7EC8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continue"/>
                  <w:tcBorders>
                    <w:tl2br w:val="nil"/>
                    <w:tr2bl w:val="nil"/>
                  </w:tcBorders>
                  <w:noWrap w:val="0"/>
                  <w:vAlign w:val="center"/>
                </w:tcPr>
                <w:p w14:paraId="0BFF63A1">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02" w:type="pct"/>
                  <w:tcBorders>
                    <w:tl2br w:val="nil"/>
                    <w:tr2bl w:val="nil"/>
                  </w:tcBorders>
                  <w:noWrap w:val="0"/>
                  <w:vAlign w:val="center"/>
                </w:tcPr>
                <w:p w14:paraId="3EAA1AC1">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ascii="宋体" w:hAnsi="宋体" w:eastAsia="宋体" w:cs="宋体"/>
                      <w:spacing w:val="3"/>
                      <w:sz w:val="18"/>
                      <w:szCs w:val="18"/>
                      <w:highlight w:val="none"/>
                    </w:rPr>
                  </w:pPr>
                  <w:r>
                    <w:rPr>
                      <w:rFonts w:ascii="宋体" w:hAnsi="宋体" w:eastAsia="宋体" w:cs="宋体"/>
                      <w:spacing w:val="1"/>
                      <w:sz w:val="18"/>
                      <w:szCs w:val="18"/>
                      <w:highlight w:val="none"/>
                    </w:rPr>
                    <w:t>〔</w:t>
                  </w:r>
                  <w:r>
                    <w:rPr>
                      <w:rFonts w:ascii="Times New Roman" w:hAnsi="Times New Roman" w:eastAsia="Times New Roman" w:cs="Times New Roman"/>
                      <w:spacing w:val="1"/>
                      <w:sz w:val="18"/>
                      <w:szCs w:val="18"/>
                      <w:highlight w:val="none"/>
                    </w:rPr>
                    <w:t>A1.1-9</w:t>
                  </w:r>
                  <w:r>
                    <w:rPr>
                      <w:rFonts w:ascii="宋体" w:hAnsi="宋体" w:eastAsia="宋体" w:cs="宋体"/>
                      <w:spacing w:val="1"/>
                      <w:sz w:val="18"/>
                      <w:szCs w:val="18"/>
                      <w:highlight w:val="none"/>
                    </w:rPr>
                    <w:t>〕严禁新建自治区《禁止、控</w:t>
                  </w:r>
                  <w:r>
                    <w:rPr>
                      <w:rFonts w:ascii="宋体" w:hAnsi="宋体" w:eastAsia="宋体" w:cs="宋体"/>
                      <w:spacing w:val="4"/>
                      <w:sz w:val="18"/>
                      <w:szCs w:val="18"/>
                      <w:highlight w:val="none"/>
                    </w:rPr>
                    <w:t>制和限制危险化学品目录》中淘汰类、</w:t>
                  </w:r>
                  <w:r>
                    <w:rPr>
                      <w:rFonts w:ascii="宋体" w:hAnsi="宋体" w:eastAsia="宋体" w:cs="宋体"/>
                      <w:spacing w:val="2"/>
                      <w:sz w:val="18"/>
                      <w:szCs w:val="18"/>
                      <w:highlight w:val="none"/>
                    </w:rPr>
                    <w:t>禁止类危险化学品化工项目。严格执行</w:t>
                  </w:r>
                  <w:r>
                    <w:rPr>
                      <w:rFonts w:ascii="宋体" w:hAnsi="宋体" w:eastAsia="宋体" w:cs="宋体"/>
                      <w:spacing w:val="14"/>
                      <w:sz w:val="18"/>
                      <w:szCs w:val="18"/>
                      <w:highlight w:val="none"/>
                    </w:rPr>
                    <w:t>生态保护红线、永久基本农田管控要</w:t>
                  </w:r>
                  <w:r>
                    <w:rPr>
                      <w:rFonts w:ascii="宋体" w:hAnsi="宋体" w:eastAsia="宋体" w:cs="宋体"/>
                      <w:spacing w:val="2"/>
                      <w:sz w:val="18"/>
                      <w:szCs w:val="18"/>
                      <w:highlight w:val="none"/>
                    </w:rPr>
                    <w:t>求，禁止新（改、扩）建化工项目违规占用生态保护红线和永久基本农田。在塔里木河、伊犁河、额尔齐斯河干流及</w:t>
                  </w:r>
                  <w:r>
                    <w:rPr>
                      <w:rFonts w:ascii="宋体" w:hAnsi="宋体" w:eastAsia="宋体" w:cs="宋体"/>
                      <w:spacing w:val="8"/>
                      <w:sz w:val="18"/>
                      <w:szCs w:val="18"/>
                      <w:highlight w:val="none"/>
                    </w:rPr>
                    <w:t>主要支流岸线</w:t>
                  </w:r>
                  <w:r>
                    <w:rPr>
                      <w:rFonts w:ascii="Times New Roman" w:hAnsi="Times New Roman" w:eastAsia="Times New Roman" w:cs="Times New Roman"/>
                      <w:spacing w:val="8"/>
                      <w:sz w:val="18"/>
                      <w:szCs w:val="18"/>
                      <w:highlight w:val="none"/>
                    </w:rPr>
                    <w:t>1</w:t>
                  </w:r>
                  <w:r>
                    <w:rPr>
                      <w:rFonts w:ascii="宋体" w:hAnsi="宋体" w:eastAsia="宋体" w:cs="宋体"/>
                      <w:spacing w:val="8"/>
                      <w:sz w:val="18"/>
                      <w:szCs w:val="18"/>
                      <w:highlight w:val="none"/>
                    </w:rPr>
                    <w:t>公里范围内，除提升</w:t>
                  </w:r>
                  <w:r>
                    <w:rPr>
                      <w:rFonts w:ascii="宋体" w:hAnsi="宋体" w:eastAsia="宋体" w:cs="宋体"/>
                      <w:spacing w:val="2"/>
                      <w:sz w:val="18"/>
                      <w:szCs w:val="18"/>
                      <w:highlight w:val="none"/>
                    </w:rPr>
                    <w:t>安全、环保、节能、智能化、产品质量</w:t>
                  </w:r>
                  <w:r>
                    <w:rPr>
                      <w:rFonts w:ascii="宋体" w:hAnsi="宋体" w:eastAsia="宋体" w:cs="宋体"/>
                      <w:spacing w:val="14"/>
                      <w:sz w:val="18"/>
                      <w:szCs w:val="18"/>
                      <w:highlight w:val="none"/>
                    </w:rPr>
                    <w:t>水平的技术改造项目外，严格禁止新</w:t>
                  </w:r>
                  <w:r>
                    <w:rPr>
                      <w:rFonts w:ascii="宋体" w:hAnsi="宋体" w:eastAsia="宋体" w:cs="宋体"/>
                      <w:spacing w:val="2"/>
                      <w:sz w:val="18"/>
                      <w:szCs w:val="18"/>
                      <w:highlight w:val="none"/>
                    </w:rPr>
                    <w:t>建、扩建化工项目，不得布局新的化工</w:t>
                  </w:r>
                  <w:r>
                    <w:rPr>
                      <w:rFonts w:ascii="宋体" w:hAnsi="宋体" w:eastAsia="宋体" w:cs="宋体"/>
                      <w:spacing w:val="5"/>
                      <w:sz w:val="18"/>
                      <w:szCs w:val="18"/>
                      <w:highlight w:val="none"/>
                    </w:rPr>
                    <w:t>园区（含化工集中区）。</w:t>
                  </w:r>
                </w:p>
              </w:tc>
              <w:tc>
                <w:tcPr>
                  <w:tcW w:w="1579" w:type="pct"/>
                  <w:tcBorders>
                    <w:tl2br w:val="nil"/>
                    <w:tr2bl w:val="nil"/>
                  </w:tcBorders>
                  <w:noWrap w:val="0"/>
                  <w:vAlign w:val="center"/>
                </w:tcPr>
                <w:p w14:paraId="4CC9F1B5">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pacing w:val="5"/>
                      <w:sz w:val="18"/>
                      <w:szCs w:val="18"/>
                      <w:highlight w:val="none"/>
                    </w:rPr>
                  </w:pPr>
                  <w:r>
                    <w:rPr>
                      <w:rFonts w:ascii="宋体" w:hAnsi="宋体" w:eastAsia="宋体" w:cs="宋体"/>
                      <w:spacing w:val="8"/>
                      <w:sz w:val="18"/>
                      <w:szCs w:val="18"/>
                      <w:highlight w:val="none"/>
                    </w:rPr>
                    <w:t>本工程为</w:t>
                  </w:r>
                  <w:r>
                    <w:rPr>
                      <w:rFonts w:hint="eastAsia" w:ascii="宋体" w:hAnsi="宋体" w:eastAsia="宋体" w:cs="宋体"/>
                      <w:spacing w:val="8"/>
                      <w:sz w:val="18"/>
                      <w:szCs w:val="18"/>
                      <w:highlight w:val="none"/>
                      <w:lang w:val="en-US" w:eastAsia="zh-CN"/>
                    </w:rPr>
                    <w:t>等级公路建设</w:t>
                  </w:r>
                  <w:r>
                    <w:rPr>
                      <w:rFonts w:ascii="宋体" w:hAnsi="宋体" w:eastAsia="宋体" w:cs="宋体"/>
                      <w:spacing w:val="8"/>
                      <w:sz w:val="18"/>
                      <w:szCs w:val="18"/>
                      <w:highlight w:val="none"/>
                    </w:rPr>
                    <w:t>，不属于“两</w:t>
                  </w:r>
                  <w:r>
                    <w:rPr>
                      <w:rFonts w:ascii="宋体" w:hAnsi="宋体" w:eastAsia="宋体" w:cs="宋体"/>
                      <w:spacing w:val="6"/>
                      <w:sz w:val="18"/>
                      <w:szCs w:val="18"/>
                      <w:highlight w:val="none"/>
                    </w:rPr>
                    <w:t>高”项目，工程不占用生态保护红线和基本农田。</w:t>
                  </w:r>
                </w:p>
              </w:tc>
              <w:tc>
                <w:tcPr>
                  <w:tcW w:w="166" w:type="pct"/>
                  <w:tcBorders>
                    <w:tl2br w:val="nil"/>
                    <w:tr2bl w:val="nil"/>
                  </w:tcBorders>
                  <w:noWrap w:val="0"/>
                  <w:vAlign w:val="center"/>
                </w:tcPr>
                <w:p w14:paraId="236C5C42">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44FFF2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0027FDCE">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03E45700">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restart"/>
                  <w:tcBorders>
                    <w:tl2br w:val="nil"/>
                    <w:tr2bl w:val="nil"/>
                  </w:tcBorders>
                  <w:noWrap w:val="0"/>
                  <w:vAlign w:val="center"/>
                </w:tcPr>
                <w:p w14:paraId="1A31F38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015A6F41">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Times New Roman" w:hAnsi="Times New Roman" w:eastAsia="Times New Roman" w:cs="Times New Roman"/>
                      <w:sz w:val="18"/>
                      <w:szCs w:val="18"/>
                      <w:highlight w:val="none"/>
                    </w:rPr>
                  </w:pPr>
                  <w:r>
                    <w:rPr>
                      <w:rFonts w:ascii="Times New Roman" w:hAnsi="Times New Roman" w:eastAsia="Times New Roman" w:cs="Times New Roman"/>
                      <w:spacing w:val="4"/>
                      <w:sz w:val="18"/>
                      <w:szCs w:val="18"/>
                      <w:highlight w:val="none"/>
                    </w:rPr>
                    <w:t>A1.2</w:t>
                  </w:r>
                </w:p>
                <w:p w14:paraId="2F9074CE">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限制</w:t>
                  </w:r>
                </w:p>
                <w:p w14:paraId="4EAF44D3">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开发</w:t>
                  </w:r>
                </w:p>
                <w:p w14:paraId="46279421">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建设</w:t>
                  </w:r>
                </w:p>
                <w:p w14:paraId="16169CBA">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的活</w:t>
                  </w:r>
                </w:p>
                <w:p w14:paraId="3E66598A">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sz w:val="18"/>
                      <w:szCs w:val="18"/>
                      <w:highlight w:val="none"/>
                    </w:rPr>
                  </w:pPr>
                  <w:r>
                    <w:rPr>
                      <w:rFonts w:ascii="宋体" w:hAnsi="宋体" w:eastAsia="宋体" w:cs="宋体"/>
                      <w:sz w:val="18"/>
                      <w:szCs w:val="18"/>
                      <w:highlight w:val="none"/>
                    </w:rPr>
                    <w:t>动</w:t>
                  </w:r>
                </w:p>
              </w:tc>
              <w:tc>
                <w:tcPr>
                  <w:tcW w:w="2302" w:type="pct"/>
                  <w:tcBorders>
                    <w:tl2br w:val="nil"/>
                    <w:tr2bl w:val="nil"/>
                  </w:tcBorders>
                  <w:noWrap w:val="0"/>
                  <w:vAlign w:val="center"/>
                </w:tcPr>
                <w:p w14:paraId="07F0716D">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1"/>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A1.2-1</w:t>
                  </w:r>
                  <w:r>
                    <w:rPr>
                      <w:rFonts w:ascii="宋体" w:hAnsi="宋体" w:eastAsia="宋体" w:cs="宋体"/>
                      <w:spacing w:val="4"/>
                      <w:sz w:val="18"/>
                      <w:szCs w:val="18"/>
                      <w:highlight w:val="none"/>
                    </w:rPr>
                    <w:t>〕严格控制缺水地区、水污染严重区域和敏感区域高耗水、高污染行</w:t>
                  </w:r>
                  <w:r>
                    <w:rPr>
                      <w:rFonts w:ascii="宋体" w:hAnsi="宋体" w:eastAsia="宋体" w:cs="宋体"/>
                      <w:spacing w:val="5"/>
                      <w:sz w:val="18"/>
                      <w:szCs w:val="18"/>
                      <w:highlight w:val="none"/>
                    </w:rPr>
                    <w:t>业发展。</w:t>
                  </w:r>
                </w:p>
              </w:tc>
              <w:tc>
                <w:tcPr>
                  <w:tcW w:w="1579" w:type="pct"/>
                  <w:tcBorders>
                    <w:tl2br w:val="nil"/>
                    <w:tr2bl w:val="nil"/>
                  </w:tcBorders>
                  <w:noWrap w:val="0"/>
                  <w:vAlign w:val="center"/>
                </w:tcPr>
                <w:p w14:paraId="4A1F3786">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ascii="宋体" w:hAnsi="宋体" w:eastAsia="宋体" w:cs="宋体"/>
                      <w:spacing w:val="6"/>
                      <w:sz w:val="18"/>
                      <w:szCs w:val="18"/>
                      <w:highlight w:val="none"/>
                    </w:rPr>
                  </w:pPr>
                  <w:r>
                    <w:rPr>
                      <w:rFonts w:ascii="宋体" w:hAnsi="宋体" w:eastAsia="宋体" w:cs="宋体"/>
                      <w:spacing w:val="8"/>
                      <w:sz w:val="18"/>
                      <w:szCs w:val="18"/>
                      <w:highlight w:val="none"/>
                    </w:rPr>
                    <w:t>本工程为</w:t>
                  </w:r>
                  <w:r>
                    <w:rPr>
                      <w:rFonts w:hint="eastAsia" w:ascii="宋体" w:hAnsi="宋体" w:eastAsia="宋体" w:cs="宋体"/>
                      <w:spacing w:val="8"/>
                      <w:sz w:val="18"/>
                      <w:szCs w:val="18"/>
                      <w:highlight w:val="none"/>
                      <w:lang w:val="en-US" w:eastAsia="zh-CN"/>
                    </w:rPr>
                    <w:t>等级公路建设</w:t>
                  </w:r>
                  <w:r>
                    <w:rPr>
                      <w:rFonts w:ascii="宋体" w:hAnsi="宋体" w:eastAsia="宋体" w:cs="宋体"/>
                      <w:spacing w:val="8"/>
                      <w:sz w:val="18"/>
                      <w:szCs w:val="18"/>
                      <w:highlight w:val="none"/>
                    </w:rPr>
                    <w:t>，不属于高耗水、高污染行业</w:t>
                  </w:r>
                </w:p>
              </w:tc>
              <w:tc>
                <w:tcPr>
                  <w:tcW w:w="166" w:type="pct"/>
                  <w:tcBorders>
                    <w:tl2br w:val="nil"/>
                    <w:tr2bl w:val="nil"/>
                  </w:tcBorders>
                  <w:noWrap w:val="0"/>
                  <w:vAlign w:val="center"/>
                </w:tcPr>
                <w:p w14:paraId="0B2350B6">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01FC5B46">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1AEE209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48E77F07">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299B6F9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continue"/>
                  <w:tcBorders>
                    <w:tl2br w:val="nil"/>
                    <w:tr2bl w:val="nil"/>
                  </w:tcBorders>
                  <w:noWrap w:val="0"/>
                  <w:vAlign w:val="center"/>
                </w:tcPr>
                <w:p w14:paraId="6277B774">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tc>
              <w:tc>
                <w:tcPr>
                  <w:tcW w:w="2302" w:type="pct"/>
                  <w:tcBorders>
                    <w:tl2br w:val="nil"/>
                    <w:tr2bl w:val="nil"/>
                  </w:tcBorders>
                  <w:noWrap w:val="0"/>
                  <w:vAlign w:val="center"/>
                </w:tcPr>
                <w:p w14:paraId="18F353E5">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1"/>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A1.2-2</w:t>
                  </w:r>
                  <w:r>
                    <w:rPr>
                      <w:rFonts w:ascii="宋体" w:hAnsi="宋体" w:eastAsia="宋体" w:cs="宋体"/>
                      <w:spacing w:val="4"/>
                      <w:sz w:val="18"/>
                      <w:szCs w:val="18"/>
                      <w:highlight w:val="none"/>
                    </w:rPr>
                    <w:t>〕建设项目用地原则上不得占用永久基本农田，确需占用永久基本农田的建设项目须符合《中华人民共和国基本农田保护条例》中相关要求，占用耕地、林地或草地的建设项目须按照国</w:t>
                  </w:r>
                  <w:r>
                    <w:rPr>
                      <w:rFonts w:ascii="宋体" w:hAnsi="宋体" w:eastAsia="宋体" w:cs="宋体"/>
                      <w:spacing w:val="5"/>
                      <w:sz w:val="18"/>
                      <w:szCs w:val="18"/>
                      <w:highlight w:val="none"/>
                    </w:rPr>
                    <w:t>家、自治区相关补偿要求进行补偿。</w:t>
                  </w:r>
                </w:p>
              </w:tc>
              <w:tc>
                <w:tcPr>
                  <w:tcW w:w="1579" w:type="pct"/>
                  <w:tcBorders>
                    <w:tl2br w:val="nil"/>
                    <w:tr2bl w:val="nil"/>
                  </w:tcBorders>
                  <w:noWrap w:val="0"/>
                  <w:vAlign w:val="center"/>
                </w:tcPr>
                <w:p w14:paraId="047AF885">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宋体" w:hAnsi="宋体" w:eastAsia="宋体" w:cs="宋体"/>
                      <w:spacing w:val="6"/>
                      <w:sz w:val="18"/>
                      <w:szCs w:val="18"/>
                      <w:highlight w:val="none"/>
                      <w:lang w:val="en-US" w:eastAsia="zh-CN"/>
                    </w:rPr>
                  </w:pPr>
                  <w:r>
                    <w:rPr>
                      <w:rFonts w:hint="eastAsia" w:ascii="宋体" w:hAnsi="宋体" w:eastAsia="宋体" w:cs="宋体"/>
                      <w:spacing w:val="8"/>
                      <w:sz w:val="18"/>
                      <w:szCs w:val="18"/>
                      <w:highlight w:val="none"/>
                      <w:lang w:val="en-US" w:eastAsia="zh-CN"/>
                    </w:rPr>
                    <w:t>项目未占用基本农田，未占用耕地、林地、草地。</w:t>
                  </w:r>
                </w:p>
              </w:tc>
              <w:tc>
                <w:tcPr>
                  <w:tcW w:w="166" w:type="pct"/>
                  <w:tcBorders>
                    <w:tl2br w:val="nil"/>
                    <w:tr2bl w:val="nil"/>
                  </w:tcBorders>
                  <w:noWrap w:val="0"/>
                  <w:vAlign w:val="center"/>
                </w:tcPr>
                <w:p w14:paraId="674F610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CC0D0E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9EF7E5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499B151">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279C35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7AA64D59">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52E6ED0F">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restart"/>
                  <w:tcBorders>
                    <w:tl2br w:val="nil"/>
                    <w:tr2bl w:val="nil"/>
                  </w:tcBorders>
                  <w:noWrap w:val="0"/>
                  <w:vAlign w:val="center"/>
                </w:tcPr>
                <w:p w14:paraId="6C7DF03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5C44A13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18"/>
                      <w:szCs w:val="18"/>
                      <w:highlight w:val="none"/>
                      <w:lang w:val="en-US"/>
                    </w:rPr>
                  </w:pPr>
                  <w:r>
                    <w:rPr>
                      <w:rFonts w:ascii="Times New Roman" w:hAnsi="Times New Roman" w:eastAsia="Times New Roman" w:cs="Times New Roman"/>
                      <w:spacing w:val="4"/>
                      <w:sz w:val="18"/>
                      <w:szCs w:val="18"/>
                      <w:highlight w:val="none"/>
                    </w:rPr>
                    <w:t>A1.3</w:t>
                  </w:r>
                  <w:r>
                    <w:rPr>
                      <w:rFonts w:hint="eastAsia" w:ascii="Times New Roman" w:hAnsi="Times New Roman" w:eastAsia="宋体" w:cs="Times New Roman"/>
                      <w:sz w:val="18"/>
                      <w:szCs w:val="18"/>
                      <w:highlight w:val="none"/>
                      <w:lang w:val="en-US" w:eastAsia="zh-CN"/>
                    </w:rPr>
                    <w:t>不符合</w:t>
                  </w:r>
                  <w:r>
                    <w:rPr>
                      <w:rFonts w:hint="eastAsia" w:ascii="宋体" w:hAnsi="宋体" w:eastAsia="宋体" w:cs="宋体"/>
                      <w:spacing w:val="4"/>
                      <w:sz w:val="18"/>
                      <w:szCs w:val="18"/>
                      <w:highlight w:val="none"/>
                      <w:lang w:val="en-US" w:eastAsia="zh-CN"/>
                    </w:rPr>
                    <w:t>空间布局要求活动的退出要求</w:t>
                  </w:r>
                </w:p>
              </w:tc>
              <w:tc>
                <w:tcPr>
                  <w:tcW w:w="2302" w:type="pct"/>
                  <w:tcBorders>
                    <w:tl2br w:val="nil"/>
                    <w:tr2bl w:val="nil"/>
                  </w:tcBorders>
                  <w:noWrap w:val="0"/>
                  <w:vAlign w:val="center"/>
                </w:tcPr>
                <w:p w14:paraId="23E2DC04">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firstLineChars="0"/>
                    <w:jc w:val="center"/>
                    <w:textAlignment w:val="auto"/>
                    <w:rPr>
                      <w:rFonts w:ascii="宋体" w:hAnsi="宋体" w:eastAsia="宋体" w:cs="宋体"/>
                      <w:spacing w:val="2"/>
                      <w:sz w:val="18"/>
                      <w:szCs w:val="18"/>
                      <w:highlight w:val="none"/>
                    </w:rPr>
                  </w:pPr>
                  <w:r>
                    <w:rPr>
                      <w:rFonts w:ascii="宋体" w:hAnsi="宋体" w:eastAsia="宋体" w:cs="宋体"/>
                      <w:spacing w:val="2"/>
                      <w:sz w:val="18"/>
                      <w:szCs w:val="18"/>
                      <w:highlight w:val="none"/>
                    </w:rPr>
                    <w:t>〔</w:t>
                  </w:r>
                  <w:r>
                    <w:rPr>
                      <w:rFonts w:ascii="Times New Roman" w:hAnsi="Times New Roman" w:eastAsia="Times New Roman" w:cs="Times New Roman"/>
                      <w:spacing w:val="2"/>
                      <w:sz w:val="18"/>
                      <w:szCs w:val="18"/>
                      <w:highlight w:val="none"/>
                    </w:rPr>
                    <w:t>A1.3-1</w:t>
                  </w:r>
                  <w:r>
                    <w:rPr>
                      <w:rFonts w:ascii="宋体" w:hAnsi="宋体" w:eastAsia="宋体" w:cs="宋体"/>
                      <w:spacing w:val="2"/>
                      <w:sz w:val="18"/>
                      <w:szCs w:val="18"/>
                      <w:highlight w:val="none"/>
                    </w:rPr>
                    <w:t>〕任何单位和个人不得在水源</w:t>
                  </w:r>
                  <w:r>
                    <w:rPr>
                      <w:rFonts w:ascii="宋体" w:hAnsi="宋体" w:eastAsia="宋体" w:cs="宋体"/>
                      <w:spacing w:val="4"/>
                      <w:sz w:val="18"/>
                      <w:szCs w:val="18"/>
                      <w:highlight w:val="none"/>
                    </w:rPr>
                    <w:t>涵养区、饮用水水源保护区内和河流、</w:t>
                  </w:r>
                  <w:r>
                    <w:rPr>
                      <w:rFonts w:ascii="宋体" w:hAnsi="宋体" w:eastAsia="宋体" w:cs="宋体"/>
                      <w:spacing w:val="2"/>
                      <w:sz w:val="18"/>
                      <w:szCs w:val="18"/>
                      <w:highlight w:val="none"/>
                    </w:rPr>
                    <w:t>湖泊、水库周围建设重化工、涉重金属等工业污染项目；对已建成的工业污染</w:t>
                  </w:r>
                  <w:r>
                    <w:rPr>
                      <w:rFonts w:ascii="宋体" w:hAnsi="宋体" w:eastAsia="宋体" w:cs="宋体"/>
                      <w:spacing w:val="14"/>
                      <w:sz w:val="18"/>
                      <w:szCs w:val="18"/>
                      <w:highlight w:val="none"/>
                    </w:rPr>
                    <w:t>项目，当地人民政府应当组织限期搬</w:t>
                  </w:r>
                  <w:r>
                    <w:rPr>
                      <w:rFonts w:ascii="宋体" w:hAnsi="宋体" w:eastAsia="宋体" w:cs="宋体"/>
                      <w:spacing w:val="-1"/>
                      <w:sz w:val="18"/>
                      <w:szCs w:val="18"/>
                      <w:highlight w:val="none"/>
                    </w:rPr>
                    <w:t>迁。</w:t>
                  </w:r>
                </w:p>
              </w:tc>
              <w:tc>
                <w:tcPr>
                  <w:tcW w:w="1579" w:type="pct"/>
                  <w:tcBorders>
                    <w:tl2br w:val="nil"/>
                    <w:tr2bl w:val="nil"/>
                  </w:tcBorders>
                  <w:noWrap w:val="0"/>
                  <w:vAlign w:val="center"/>
                </w:tcPr>
                <w:p w14:paraId="0391967A">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firstLineChars="0"/>
                    <w:jc w:val="center"/>
                    <w:textAlignment w:val="auto"/>
                    <w:rPr>
                      <w:rFonts w:ascii="宋体" w:hAnsi="宋体" w:eastAsia="宋体" w:cs="宋体"/>
                      <w:spacing w:val="9"/>
                      <w:sz w:val="18"/>
                      <w:szCs w:val="18"/>
                      <w:highlight w:val="none"/>
                    </w:rPr>
                  </w:pPr>
                  <w:r>
                    <w:rPr>
                      <w:rFonts w:ascii="宋体" w:hAnsi="宋体" w:eastAsia="宋体" w:cs="宋体"/>
                      <w:spacing w:val="8"/>
                      <w:sz w:val="18"/>
                      <w:szCs w:val="18"/>
                      <w:highlight w:val="none"/>
                    </w:rPr>
                    <w:t>本工程为</w:t>
                  </w:r>
                  <w:r>
                    <w:rPr>
                      <w:rFonts w:hint="eastAsia" w:ascii="宋体" w:hAnsi="宋体" w:eastAsia="宋体" w:cs="宋体"/>
                      <w:spacing w:val="8"/>
                      <w:sz w:val="18"/>
                      <w:szCs w:val="18"/>
                      <w:highlight w:val="none"/>
                      <w:lang w:val="en-US" w:eastAsia="zh-CN"/>
                    </w:rPr>
                    <w:t>等级公路建设项目</w:t>
                  </w:r>
                  <w:r>
                    <w:rPr>
                      <w:rFonts w:ascii="宋体" w:hAnsi="宋体" w:eastAsia="宋体" w:cs="宋体"/>
                      <w:spacing w:val="8"/>
                      <w:sz w:val="18"/>
                      <w:szCs w:val="18"/>
                      <w:highlight w:val="none"/>
                    </w:rPr>
                    <w:t>，不涉及化工</w:t>
                  </w:r>
                  <w:r>
                    <w:rPr>
                      <w:rFonts w:ascii="宋体" w:hAnsi="宋体" w:eastAsia="宋体" w:cs="宋体"/>
                      <w:spacing w:val="6"/>
                      <w:sz w:val="18"/>
                      <w:szCs w:val="18"/>
                      <w:highlight w:val="none"/>
                    </w:rPr>
                    <w:t>和重金属</w:t>
                  </w:r>
                  <w:r>
                    <w:rPr>
                      <w:rFonts w:hint="eastAsia" w:ascii="宋体" w:hAnsi="宋体" w:eastAsia="宋体" w:cs="宋体"/>
                      <w:spacing w:val="6"/>
                      <w:sz w:val="18"/>
                      <w:szCs w:val="18"/>
                      <w:highlight w:val="none"/>
                      <w:lang w:val="en-US" w:eastAsia="zh-CN"/>
                    </w:rPr>
                    <w:t>污染</w:t>
                  </w:r>
                  <w:r>
                    <w:rPr>
                      <w:rFonts w:ascii="宋体" w:hAnsi="宋体" w:eastAsia="宋体" w:cs="宋体"/>
                      <w:spacing w:val="6"/>
                      <w:sz w:val="18"/>
                      <w:szCs w:val="18"/>
                      <w:highlight w:val="none"/>
                    </w:rPr>
                    <w:t>。</w:t>
                  </w:r>
                </w:p>
              </w:tc>
              <w:tc>
                <w:tcPr>
                  <w:tcW w:w="166" w:type="pct"/>
                  <w:tcBorders>
                    <w:tl2br w:val="nil"/>
                    <w:tr2bl w:val="nil"/>
                  </w:tcBorders>
                  <w:noWrap w:val="0"/>
                  <w:vAlign w:val="center"/>
                </w:tcPr>
                <w:p w14:paraId="2DD5000B">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4529AE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20498FE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1EEDF23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continue"/>
                  <w:tcBorders>
                    <w:tl2br w:val="nil"/>
                    <w:tr2bl w:val="nil"/>
                  </w:tcBorders>
                  <w:noWrap w:val="0"/>
                  <w:vAlign w:val="center"/>
                </w:tcPr>
                <w:p w14:paraId="3CB8FEDF">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02" w:type="pct"/>
                  <w:tcBorders>
                    <w:tl2br w:val="nil"/>
                    <w:tr2bl w:val="nil"/>
                  </w:tcBorders>
                  <w:noWrap w:val="0"/>
                  <w:vAlign w:val="center"/>
                </w:tcPr>
                <w:p w14:paraId="57BE41F7">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宋体" w:hAnsi="宋体" w:eastAsia="宋体" w:cs="宋体"/>
                      <w:spacing w:val="2"/>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A1.3-2</w:t>
                  </w:r>
                  <w:r>
                    <w:rPr>
                      <w:rFonts w:ascii="宋体" w:hAnsi="宋体" w:eastAsia="宋体" w:cs="宋体"/>
                      <w:spacing w:val="4"/>
                      <w:sz w:val="18"/>
                      <w:szCs w:val="18"/>
                      <w:highlight w:val="none"/>
                    </w:rPr>
                    <w:t>〕对不符合国家产业政策、严</w:t>
                  </w:r>
                  <w:r>
                    <w:rPr>
                      <w:rFonts w:ascii="宋体" w:hAnsi="宋体" w:eastAsia="宋体" w:cs="宋体"/>
                      <w:spacing w:val="17"/>
                      <w:sz w:val="18"/>
                      <w:szCs w:val="18"/>
                      <w:highlight w:val="none"/>
                    </w:rPr>
                    <w:t>重污染水环境的生产项目全部予以取</w:t>
                  </w:r>
                  <w:r>
                    <w:rPr>
                      <w:rFonts w:ascii="宋体" w:hAnsi="宋体" w:eastAsia="宋体" w:cs="宋体"/>
                      <w:sz w:val="18"/>
                      <w:szCs w:val="18"/>
                      <w:highlight w:val="none"/>
                    </w:rPr>
                    <w:t>缔。</w:t>
                  </w:r>
                </w:p>
              </w:tc>
              <w:tc>
                <w:tcPr>
                  <w:tcW w:w="1579" w:type="pct"/>
                  <w:tcBorders>
                    <w:tl2br w:val="nil"/>
                    <w:tr2bl w:val="nil"/>
                  </w:tcBorders>
                  <w:noWrap w:val="0"/>
                  <w:vAlign w:val="center"/>
                </w:tcPr>
                <w:p w14:paraId="0375314E">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firstLineChars="0"/>
                    <w:jc w:val="center"/>
                    <w:textAlignment w:val="auto"/>
                    <w:rPr>
                      <w:rFonts w:ascii="宋体" w:hAnsi="宋体" w:eastAsia="宋体" w:cs="宋体"/>
                      <w:spacing w:val="9"/>
                      <w:sz w:val="18"/>
                      <w:szCs w:val="18"/>
                      <w:highlight w:val="none"/>
                    </w:rPr>
                  </w:pPr>
                  <w:r>
                    <w:rPr>
                      <w:rFonts w:ascii="宋体" w:hAnsi="宋体" w:eastAsia="宋体" w:cs="宋体"/>
                      <w:spacing w:val="4"/>
                      <w:sz w:val="18"/>
                      <w:szCs w:val="18"/>
                      <w:highlight w:val="none"/>
                    </w:rPr>
                    <w:t>本工程属于《产业结构调整指导目录</w:t>
                  </w:r>
                  <w:r>
                    <w:rPr>
                      <w:rFonts w:hint="default" w:ascii="Times New Roman" w:hAnsi="Times New Roman" w:eastAsia="宋体" w:cs="Times New Roman"/>
                      <w:spacing w:val="4"/>
                      <w:sz w:val="18"/>
                      <w:szCs w:val="18"/>
                      <w:highlight w:val="none"/>
                      <w:lang w:eastAsia="zh-CN"/>
                    </w:rPr>
                    <w:t>（</w:t>
                  </w:r>
                  <w:r>
                    <w:rPr>
                      <w:rFonts w:hint="default" w:ascii="Times New Roman" w:hAnsi="Times New Roman" w:eastAsia="Times New Roman" w:cs="Times New Roman"/>
                      <w:spacing w:val="4"/>
                      <w:sz w:val="18"/>
                      <w:szCs w:val="18"/>
                      <w:highlight w:val="none"/>
                    </w:rPr>
                    <w:t>2024</w:t>
                  </w:r>
                  <w:r>
                    <w:rPr>
                      <w:rFonts w:hint="default" w:ascii="Times New Roman" w:hAnsi="Times New Roman" w:eastAsia="宋体" w:cs="Times New Roman"/>
                      <w:spacing w:val="4"/>
                      <w:sz w:val="18"/>
                      <w:szCs w:val="18"/>
                      <w:highlight w:val="none"/>
                    </w:rPr>
                    <w:t>年本</w:t>
                  </w:r>
                  <w:r>
                    <w:rPr>
                      <w:rFonts w:hint="default" w:ascii="Times New Roman" w:hAnsi="Times New Roman" w:eastAsia="宋体" w:cs="Times New Roman"/>
                      <w:spacing w:val="4"/>
                      <w:sz w:val="18"/>
                      <w:szCs w:val="18"/>
                      <w:highlight w:val="none"/>
                      <w:lang w:eastAsia="zh-CN"/>
                    </w:rPr>
                    <w:t>）</w:t>
                  </w:r>
                  <w:r>
                    <w:rPr>
                      <w:rFonts w:hint="default" w:ascii="Times New Roman" w:hAnsi="Times New Roman" w:eastAsia="宋体" w:cs="Times New Roman"/>
                      <w:spacing w:val="4"/>
                      <w:sz w:val="18"/>
                      <w:szCs w:val="18"/>
                      <w:highlight w:val="none"/>
                    </w:rPr>
                    <w:t>》中鼓励类中“二十四、公路及道路运输</w:t>
                  </w:r>
                  <w:r>
                    <w:rPr>
                      <w:rFonts w:hint="default" w:ascii="Times New Roman" w:hAnsi="Times New Roman" w:eastAsia="宋体" w:cs="Times New Roman"/>
                      <w:spacing w:val="4"/>
                      <w:sz w:val="18"/>
                      <w:szCs w:val="18"/>
                      <w:highlight w:val="none"/>
                      <w:lang w:val="en-US" w:eastAsia="zh-CN"/>
                    </w:rPr>
                    <w:t>1.公路交通网络建设：国家高速公路网项目建设，</w:t>
                  </w:r>
                  <w:r>
                    <w:rPr>
                      <w:rFonts w:hint="default" w:ascii="Times New Roman" w:hAnsi="Times New Roman" w:eastAsia="宋体" w:cs="Times New Roman"/>
                      <w:b/>
                      <w:bCs/>
                      <w:spacing w:val="4"/>
                      <w:sz w:val="18"/>
                      <w:szCs w:val="18"/>
                      <w:highlight w:val="none"/>
                      <w:lang w:val="en-US" w:eastAsia="zh-CN"/>
                    </w:rPr>
                    <w:t>国省干线改造升级</w:t>
                  </w:r>
                  <w:r>
                    <w:rPr>
                      <w:rFonts w:hint="default" w:ascii="Times New Roman" w:hAnsi="Times New Roman" w:eastAsia="宋体" w:cs="Times New Roman"/>
                      <w:spacing w:val="4"/>
                      <w:sz w:val="18"/>
                      <w:szCs w:val="18"/>
                      <w:highlight w:val="none"/>
                      <w:lang w:val="en-US" w:eastAsia="zh-CN"/>
                    </w:rPr>
                    <w:t>，汽车客货运站、城市公交站，城市公共交通</w:t>
                  </w:r>
                  <w:r>
                    <w:rPr>
                      <w:rFonts w:ascii="宋体" w:hAnsi="宋体" w:eastAsia="宋体" w:cs="宋体"/>
                      <w:spacing w:val="2"/>
                      <w:sz w:val="18"/>
                      <w:szCs w:val="18"/>
                      <w:highlight w:val="none"/>
                    </w:rPr>
                    <w:t>。</w:t>
                  </w:r>
                </w:p>
              </w:tc>
              <w:tc>
                <w:tcPr>
                  <w:tcW w:w="166" w:type="pct"/>
                  <w:tcBorders>
                    <w:tl2br w:val="nil"/>
                    <w:tr2bl w:val="nil"/>
                  </w:tcBorders>
                  <w:noWrap w:val="0"/>
                  <w:vAlign w:val="center"/>
                </w:tcPr>
                <w:p w14:paraId="379A2864">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7AA03A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090DF54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40C56897">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tcBorders>
                    <w:tl2br w:val="nil"/>
                    <w:tr2bl w:val="nil"/>
                  </w:tcBorders>
                  <w:noWrap w:val="0"/>
                  <w:vAlign w:val="center"/>
                </w:tcPr>
                <w:p w14:paraId="13FBD35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6E1E651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56B00DA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4B5C15C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2099AAC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sz w:val="18"/>
                      <w:szCs w:val="18"/>
                      <w:highlight w:val="none"/>
                    </w:rPr>
                  </w:pPr>
                  <w:r>
                    <w:rPr>
                      <w:rFonts w:ascii="Times New Roman" w:hAnsi="Times New Roman" w:eastAsia="Times New Roman" w:cs="Times New Roman"/>
                      <w:spacing w:val="4"/>
                      <w:sz w:val="18"/>
                      <w:szCs w:val="18"/>
                      <w:highlight w:val="none"/>
                    </w:rPr>
                    <w:t>A1.4</w:t>
                  </w:r>
                  <w:r>
                    <w:rPr>
                      <w:rFonts w:ascii="宋体" w:hAnsi="宋体" w:eastAsia="宋体" w:cs="宋体"/>
                      <w:spacing w:val="4"/>
                      <w:sz w:val="18"/>
                      <w:szCs w:val="18"/>
                      <w:highlight w:val="none"/>
                    </w:rPr>
                    <w:t>其它布局要求</w:t>
                  </w:r>
                </w:p>
              </w:tc>
              <w:tc>
                <w:tcPr>
                  <w:tcW w:w="2302" w:type="pct"/>
                  <w:tcBorders>
                    <w:tl2br w:val="nil"/>
                    <w:tr2bl w:val="nil"/>
                  </w:tcBorders>
                  <w:noWrap w:val="0"/>
                  <w:vAlign w:val="center"/>
                </w:tcPr>
                <w:p w14:paraId="302C2E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A1.4-1</w:t>
                  </w:r>
                  <w:r>
                    <w:rPr>
                      <w:rFonts w:ascii="宋体" w:hAnsi="宋体" w:eastAsia="宋体" w:cs="宋体"/>
                      <w:spacing w:val="4"/>
                      <w:sz w:val="18"/>
                      <w:szCs w:val="18"/>
                      <w:highlight w:val="none"/>
                    </w:rPr>
                    <w:t>〕一切开发建设活动应符合国家、自治区主体功能区规划、自治区和各地颁布实施的生态环境功能区划、国民经济发展规划、产业发展规划、国土</w:t>
                  </w:r>
                  <w:r>
                    <w:rPr>
                      <w:rFonts w:ascii="宋体" w:hAnsi="宋体" w:eastAsia="宋体" w:cs="宋体"/>
                      <w:spacing w:val="17"/>
                      <w:sz w:val="18"/>
                      <w:szCs w:val="18"/>
                      <w:highlight w:val="none"/>
                    </w:rPr>
                    <w:t>空间规划等相关规划及重点生态功能</w:t>
                  </w:r>
                  <w:r>
                    <w:rPr>
                      <w:rFonts w:ascii="宋体" w:hAnsi="宋体" w:eastAsia="宋体" w:cs="宋体"/>
                      <w:spacing w:val="4"/>
                      <w:sz w:val="18"/>
                      <w:szCs w:val="18"/>
                      <w:highlight w:val="none"/>
                    </w:rPr>
                    <w:t>区负面清单要求，符合区域或产业规划</w:t>
                  </w:r>
                  <w:r>
                    <w:rPr>
                      <w:rFonts w:ascii="宋体" w:hAnsi="宋体" w:eastAsia="宋体" w:cs="宋体"/>
                      <w:spacing w:val="5"/>
                      <w:sz w:val="18"/>
                      <w:szCs w:val="18"/>
                      <w:highlight w:val="none"/>
                    </w:rPr>
                    <w:t>环评要求。</w:t>
                  </w:r>
                </w:p>
              </w:tc>
              <w:tc>
                <w:tcPr>
                  <w:tcW w:w="1579" w:type="pct"/>
                  <w:tcBorders>
                    <w:tl2br w:val="nil"/>
                    <w:tr2bl w:val="nil"/>
                  </w:tcBorders>
                  <w:noWrap w:val="0"/>
                  <w:vAlign w:val="center"/>
                </w:tcPr>
                <w:p w14:paraId="0F80269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9"/>
                      <w:sz w:val="18"/>
                      <w:szCs w:val="18"/>
                      <w:highlight w:val="none"/>
                    </w:rPr>
                    <w:t>工程符合相关规划及规划环评</w:t>
                  </w:r>
                  <w:r>
                    <w:rPr>
                      <w:rFonts w:ascii="宋体" w:hAnsi="宋体" w:eastAsia="宋体" w:cs="宋体"/>
                      <w:spacing w:val="2"/>
                      <w:sz w:val="18"/>
                      <w:szCs w:val="18"/>
                      <w:highlight w:val="none"/>
                    </w:rPr>
                    <w:t>要求。</w:t>
                  </w:r>
                </w:p>
              </w:tc>
              <w:tc>
                <w:tcPr>
                  <w:tcW w:w="166" w:type="pct"/>
                  <w:tcBorders>
                    <w:tl2br w:val="nil"/>
                    <w:tr2bl w:val="nil"/>
                  </w:tcBorders>
                  <w:noWrap w:val="0"/>
                  <w:vAlign w:val="center"/>
                </w:tcPr>
                <w:p w14:paraId="1FF73CF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3F3F21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20B222FA">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restart"/>
                  <w:tcBorders>
                    <w:tl2br w:val="nil"/>
                    <w:tr2bl w:val="nil"/>
                  </w:tcBorders>
                  <w:noWrap w:val="0"/>
                  <w:vAlign w:val="center"/>
                </w:tcPr>
                <w:p w14:paraId="6D15EB5E">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Times New Roman" w:hAnsi="Times New Roman" w:eastAsia="Times New Roman" w:cs="Times New Roman"/>
                      <w:sz w:val="18"/>
                      <w:szCs w:val="18"/>
                      <w:highlight w:val="none"/>
                    </w:rPr>
                  </w:pPr>
                  <w:r>
                    <w:rPr>
                      <w:rFonts w:ascii="Times New Roman" w:hAnsi="Times New Roman" w:eastAsia="Times New Roman" w:cs="Times New Roman"/>
                      <w:spacing w:val="4"/>
                      <w:sz w:val="18"/>
                      <w:szCs w:val="18"/>
                      <w:highlight w:val="none"/>
                    </w:rPr>
                    <w:t>A2</w:t>
                  </w:r>
                </w:p>
                <w:p w14:paraId="4CC74422">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污染</w:t>
                  </w:r>
                </w:p>
                <w:p w14:paraId="531BB083">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物排</w:t>
                  </w:r>
                </w:p>
                <w:p w14:paraId="7CD80AB3">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放管</w:t>
                  </w:r>
                </w:p>
                <w:p w14:paraId="5EEBFD1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r>
                    <w:rPr>
                      <w:rFonts w:ascii="宋体" w:hAnsi="宋体" w:eastAsia="宋体" w:cs="宋体"/>
                      <w:spacing w:val="1"/>
                      <w:sz w:val="18"/>
                      <w:szCs w:val="18"/>
                      <w:highlight w:val="none"/>
                    </w:rPr>
                    <w:t>控</w:t>
                  </w:r>
                </w:p>
              </w:tc>
              <w:tc>
                <w:tcPr>
                  <w:tcW w:w="442" w:type="pct"/>
                  <w:vMerge w:val="restart"/>
                  <w:tcBorders>
                    <w:tl2br w:val="nil"/>
                    <w:tr2bl w:val="nil"/>
                  </w:tcBorders>
                  <w:noWrap w:val="0"/>
                  <w:vAlign w:val="center"/>
                </w:tcPr>
                <w:p w14:paraId="008E2700">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33E56E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71B84F6">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0FCAD26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C3020B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EAFBF0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FF56060">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DC0C30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8A72476">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8D969D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403076E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43BB4824">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Times New Roman" w:hAnsi="Times New Roman" w:eastAsia="Times New Roman" w:cs="Times New Roman"/>
                      <w:sz w:val="18"/>
                      <w:szCs w:val="18"/>
                      <w:highlight w:val="none"/>
                    </w:rPr>
                  </w:pPr>
                  <w:r>
                    <w:rPr>
                      <w:rFonts w:ascii="Times New Roman" w:hAnsi="Times New Roman" w:eastAsia="Times New Roman" w:cs="Times New Roman"/>
                      <w:spacing w:val="3"/>
                      <w:sz w:val="18"/>
                      <w:szCs w:val="18"/>
                      <w:highlight w:val="none"/>
                    </w:rPr>
                    <w:t>A2.1</w:t>
                  </w:r>
                </w:p>
                <w:p w14:paraId="24195B06">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污染</w:t>
                  </w:r>
                </w:p>
                <w:p w14:paraId="471DB416">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物削</w:t>
                  </w:r>
                </w:p>
                <w:p w14:paraId="4B041912">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减</w:t>
                  </w:r>
                  <w:r>
                    <w:rPr>
                      <w:rFonts w:ascii="Times New Roman" w:hAnsi="Times New Roman" w:eastAsia="Times New Roman" w:cs="Times New Roman"/>
                      <w:spacing w:val="4"/>
                      <w:sz w:val="18"/>
                      <w:szCs w:val="18"/>
                      <w:highlight w:val="none"/>
                    </w:rPr>
                    <w:t>/</w:t>
                  </w:r>
                  <w:r>
                    <w:rPr>
                      <w:rFonts w:ascii="宋体" w:hAnsi="宋体" w:eastAsia="宋体" w:cs="宋体"/>
                      <w:spacing w:val="4"/>
                      <w:sz w:val="18"/>
                      <w:szCs w:val="18"/>
                      <w:highlight w:val="none"/>
                    </w:rPr>
                    <w:t>替</w:t>
                  </w:r>
                </w:p>
                <w:p w14:paraId="15A0AB14">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5"/>
                      <w:sz w:val="18"/>
                      <w:szCs w:val="18"/>
                      <w:highlight w:val="none"/>
                    </w:rPr>
                    <w:t>代要</w:t>
                  </w:r>
                </w:p>
                <w:p w14:paraId="138DE969">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sz w:val="18"/>
                      <w:szCs w:val="18"/>
                      <w:highlight w:val="none"/>
                    </w:rPr>
                  </w:pPr>
                  <w:r>
                    <w:rPr>
                      <w:rFonts w:ascii="宋体" w:hAnsi="宋体" w:eastAsia="宋体" w:cs="宋体"/>
                      <w:sz w:val="18"/>
                      <w:szCs w:val="18"/>
                      <w:highlight w:val="none"/>
                    </w:rPr>
                    <w:t>求</w:t>
                  </w:r>
                </w:p>
              </w:tc>
              <w:tc>
                <w:tcPr>
                  <w:tcW w:w="2302" w:type="pct"/>
                  <w:tcBorders>
                    <w:tl2br w:val="nil"/>
                    <w:tr2bl w:val="nil"/>
                  </w:tcBorders>
                  <w:noWrap w:val="0"/>
                  <w:vAlign w:val="center"/>
                </w:tcPr>
                <w:p w14:paraId="77AAFB1D">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1"/>
                      <w:sz w:val="18"/>
                      <w:szCs w:val="18"/>
                      <w:highlight w:val="none"/>
                    </w:rPr>
                    <w:t>〔</w:t>
                  </w:r>
                  <w:r>
                    <w:rPr>
                      <w:rFonts w:ascii="Times New Roman" w:hAnsi="Times New Roman" w:eastAsia="Times New Roman" w:cs="Times New Roman"/>
                      <w:spacing w:val="1"/>
                      <w:sz w:val="18"/>
                      <w:szCs w:val="18"/>
                      <w:highlight w:val="none"/>
                    </w:rPr>
                    <w:t>A2.1-1</w:t>
                  </w:r>
                  <w:r>
                    <w:rPr>
                      <w:rFonts w:ascii="宋体" w:hAnsi="宋体" w:eastAsia="宋体" w:cs="宋体"/>
                      <w:spacing w:val="1"/>
                      <w:sz w:val="18"/>
                      <w:szCs w:val="18"/>
                      <w:highlight w:val="none"/>
                    </w:rPr>
                    <w:t>〕新、改、扩建重点行业建设</w:t>
                  </w:r>
                  <w:r>
                    <w:rPr>
                      <w:rFonts w:ascii="宋体" w:hAnsi="宋体" w:eastAsia="宋体" w:cs="宋体"/>
                      <w:spacing w:val="3"/>
                      <w:sz w:val="18"/>
                      <w:szCs w:val="18"/>
                      <w:highlight w:val="none"/>
                    </w:rPr>
                    <w:t>项目应符合“三线一单”、产业政策、</w:t>
                  </w:r>
                  <w:r>
                    <w:rPr>
                      <w:rFonts w:ascii="宋体" w:hAnsi="宋体" w:eastAsia="宋体" w:cs="宋体"/>
                      <w:spacing w:val="2"/>
                      <w:sz w:val="18"/>
                      <w:szCs w:val="18"/>
                      <w:highlight w:val="none"/>
                    </w:rPr>
                    <w:t>区域环评、规划环评和行业环境准入管控要求。重点区域的新、改、扩建重点</w:t>
                  </w:r>
                  <w:r>
                    <w:rPr>
                      <w:rFonts w:ascii="宋体" w:hAnsi="宋体" w:eastAsia="宋体" w:cs="宋体"/>
                      <w:spacing w:val="14"/>
                      <w:sz w:val="18"/>
                      <w:szCs w:val="18"/>
                      <w:highlight w:val="none"/>
                    </w:rPr>
                    <w:t>行业建设项目应遵循重点重金属污染</w:t>
                  </w:r>
                  <w:r>
                    <w:rPr>
                      <w:rFonts w:ascii="宋体" w:hAnsi="宋体" w:eastAsia="宋体" w:cs="宋体"/>
                      <w:spacing w:val="3"/>
                      <w:sz w:val="18"/>
                      <w:szCs w:val="18"/>
                      <w:highlight w:val="none"/>
                    </w:rPr>
                    <w:t>物排放“减量替代”原则。</w:t>
                  </w:r>
                </w:p>
              </w:tc>
              <w:tc>
                <w:tcPr>
                  <w:tcW w:w="1579" w:type="pct"/>
                  <w:tcBorders>
                    <w:tl2br w:val="nil"/>
                    <w:tr2bl w:val="nil"/>
                  </w:tcBorders>
                  <w:noWrap w:val="0"/>
                  <w:vAlign w:val="center"/>
                </w:tcPr>
                <w:p w14:paraId="4D4232B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D1D1CF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4EC246B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2CE5424">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5"/>
                      <w:sz w:val="18"/>
                      <w:szCs w:val="18"/>
                      <w:highlight w:val="none"/>
                    </w:rPr>
                  </w:pPr>
                  <w:r>
                    <w:rPr>
                      <w:rFonts w:ascii="宋体" w:hAnsi="宋体" w:eastAsia="宋体" w:cs="宋体"/>
                      <w:spacing w:val="5"/>
                      <w:sz w:val="18"/>
                      <w:szCs w:val="18"/>
                      <w:highlight w:val="none"/>
                    </w:rPr>
                    <w:t>不涉及</w:t>
                  </w:r>
                </w:p>
              </w:tc>
              <w:tc>
                <w:tcPr>
                  <w:tcW w:w="166" w:type="pct"/>
                  <w:tcBorders>
                    <w:tl2br w:val="nil"/>
                    <w:tr2bl w:val="nil"/>
                  </w:tcBorders>
                  <w:noWrap w:val="0"/>
                  <w:vAlign w:val="center"/>
                </w:tcPr>
                <w:p w14:paraId="37C7B0E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2ED5E63">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792D90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4EAB95C4">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230FDB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07B36E8E">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3D98ECF6">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continue"/>
                  <w:tcBorders>
                    <w:tl2br w:val="nil"/>
                    <w:tr2bl w:val="nil"/>
                  </w:tcBorders>
                  <w:noWrap w:val="0"/>
                  <w:vAlign w:val="center"/>
                </w:tcPr>
                <w:p w14:paraId="483302B0">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tc>
              <w:tc>
                <w:tcPr>
                  <w:tcW w:w="2302" w:type="pct"/>
                  <w:tcBorders>
                    <w:tl2br w:val="nil"/>
                    <w:tr2bl w:val="nil"/>
                  </w:tcBorders>
                  <w:noWrap w:val="0"/>
                  <w:vAlign w:val="center"/>
                </w:tcPr>
                <w:p w14:paraId="7C167619">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7"/>
                      <w:sz w:val="18"/>
                      <w:szCs w:val="18"/>
                      <w:highlight w:val="none"/>
                    </w:rPr>
                    <w:t>〔</w:t>
                  </w:r>
                  <w:r>
                    <w:rPr>
                      <w:rFonts w:ascii="Times New Roman" w:hAnsi="Times New Roman" w:eastAsia="Times New Roman" w:cs="Times New Roman"/>
                      <w:spacing w:val="-7"/>
                      <w:sz w:val="18"/>
                      <w:szCs w:val="18"/>
                      <w:highlight w:val="none"/>
                    </w:rPr>
                    <w:t>A2.1-2</w:t>
                  </w:r>
                  <w:r>
                    <w:rPr>
                      <w:rFonts w:ascii="宋体" w:hAnsi="宋体" w:eastAsia="宋体" w:cs="宋体"/>
                      <w:spacing w:val="-7"/>
                      <w:sz w:val="18"/>
                      <w:szCs w:val="18"/>
                      <w:highlight w:val="none"/>
                    </w:rPr>
                    <w:t>〕以石化、化工、涂装、医药、</w:t>
                  </w:r>
                  <w:r>
                    <w:rPr>
                      <w:rFonts w:ascii="宋体" w:hAnsi="宋体" w:eastAsia="宋体" w:cs="宋体"/>
                      <w:sz w:val="18"/>
                      <w:szCs w:val="18"/>
                      <w:highlight w:val="none"/>
                    </w:rPr>
                    <w:t>包装印刷、油品储运销等行业领域为重点，安全高效推进挥发性有机物综合治</w:t>
                  </w:r>
                  <w:r>
                    <w:rPr>
                      <w:rFonts w:ascii="宋体" w:hAnsi="宋体" w:eastAsia="宋体" w:cs="宋体"/>
                      <w:spacing w:val="13"/>
                      <w:sz w:val="18"/>
                      <w:szCs w:val="18"/>
                      <w:highlight w:val="none"/>
                    </w:rPr>
                    <w:t>理，实施原辅材料和产品源头替代工</w:t>
                  </w:r>
                  <w:r>
                    <w:rPr>
                      <w:rFonts w:ascii="宋体" w:hAnsi="宋体" w:eastAsia="宋体" w:cs="宋体"/>
                      <w:spacing w:val="-2"/>
                      <w:sz w:val="18"/>
                      <w:szCs w:val="18"/>
                      <w:highlight w:val="none"/>
                    </w:rPr>
                    <w:t>程。</w:t>
                  </w:r>
                </w:p>
              </w:tc>
              <w:tc>
                <w:tcPr>
                  <w:tcW w:w="1579" w:type="pct"/>
                  <w:tcBorders>
                    <w:tl2br w:val="nil"/>
                    <w:tr2bl w:val="nil"/>
                  </w:tcBorders>
                  <w:noWrap w:val="0"/>
                  <w:vAlign w:val="center"/>
                </w:tcPr>
                <w:p w14:paraId="3228228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EC83A2C">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5E8D82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C94A30A">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5"/>
                      <w:sz w:val="18"/>
                      <w:szCs w:val="18"/>
                      <w:highlight w:val="none"/>
                    </w:rPr>
                  </w:pPr>
                  <w:r>
                    <w:rPr>
                      <w:rFonts w:ascii="宋体" w:hAnsi="宋体" w:eastAsia="宋体" w:cs="宋体"/>
                      <w:spacing w:val="5"/>
                      <w:sz w:val="18"/>
                      <w:szCs w:val="18"/>
                      <w:highlight w:val="none"/>
                    </w:rPr>
                    <w:t>不涉及</w:t>
                  </w:r>
                </w:p>
              </w:tc>
              <w:tc>
                <w:tcPr>
                  <w:tcW w:w="166" w:type="pct"/>
                  <w:tcBorders>
                    <w:tl2br w:val="nil"/>
                    <w:tr2bl w:val="nil"/>
                  </w:tcBorders>
                  <w:noWrap w:val="0"/>
                  <w:vAlign w:val="center"/>
                </w:tcPr>
                <w:p w14:paraId="4BEEC2C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09C128D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CA3A3E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E5737F0">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0A1BB13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51DFAA9A">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7DB13A4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continue"/>
                  <w:tcBorders>
                    <w:tl2br w:val="nil"/>
                    <w:tr2bl w:val="nil"/>
                  </w:tcBorders>
                  <w:noWrap w:val="0"/>
                  <w:vAlign w:val="center"/>
                </w:tcPr>
                <w:p w14:paraId="705685D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tc>
              <w:tc>
                <w:tcPr>
                  <w:tcW w:w="2302" w:type="pct"/>
                  <w:tcBorders>
                    <w:tl2br w:val="nil"/>
                    <w:tr2bl w:val="nil"/>
                  </w:tcBorders>
                  <w:noWrap w:val="0"/>
                  <w:vAlign w:val="center"/>
                </w:tcPr>
                <w:p w14:paraId="50B1F615">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3"/>
                      <w:sz w:val="18"/>
                      <w:szCs w:val="18"/>
                      <w:highlight w:val="none"/>
                    </w:rPr>
                    <w:t>〔</w:t>
                  </w:r>
                  <w:r>
                    <w:rPr>
                      <w:rFonts w:ascii="Times New Roman" w:hAnsi="Times New Roman" w:eastAsia="Times New Roman" w:cs="Times New Roman"/>
                      <w:spacing w:val="3"/>
                      <w:sz w:val="18"/>
                      <w:szCs w:val="18"/>
                      <w:highlight w:val="none"/>
                    </w:rPr>
                    <w:t>A2.1-3</w:t>
                  </w:r>
                  <w:r>
                    <w:rPr>
                      <w:rFonts w:ascii="宋体" w:hAnsi="宋体" w:eastAsia="宋体" w:cs="宋体"/>
                      <w:spacing w:val="3"/>
                      <w:sz w:val="18"/>
                      <w:szCs w:val="18"/>
                      <w:highlight w:val="none"/>
                    </w:rPr>
                    <w:t>〕促进大气污染物与温室气体</w:t>
                  </w:r>
                  <w:r>
                    <w:rPr>
                      <w:rFonts w:ascii="宋体" w:hAnsi="宋体" w:eastAsia="宋体" w:cs="宋体"/>
                      <w:spacing w:val="4"/>
                      <w:sz w:val="18"/>
                      <w:szCs w:val="18"/>
                      <w:highlight w:val="none"/>
                    </w:rPr>
                    <w:t>协同控制。实施污染物和温室气体协同控制，实现减污降碳协同效应。开展工业、农业温室气体和污染减排协同控制研究，减少温室气体和污染物排放。强</w:t>
                  </w:r>
                  <w:r>
                    <w:rPr>
                      <w:rFonts w:ascii="宋体" w:hAnsi="宋体" w:eastAsia="宋体" w:cs="宋体"/>
                      <w:spacing w:val="17"/>
                      <w:sz w:val="18"/>
                      <w:szCs w:val="18"/>
                      <w:highlight w:val="none"/>
                    </w:rPr>
                    <w:t>化污水、垃圾等集中处置设施环境管</w:t>
                  </w:r>
                  <w:r>
                    <w:rPr>
                      <w:rFonts w:ascii="宋体" w:hAnsi="宋体" w:eastAsia="宋体" w:cs="宋体"/>
                      <w:spacing w:val="4"/>
                      <w:sz w:val="18"/>
                      <w:szCs w:val="18"/>
                      <w:highlight w:val="none"/>
                    </w:rPr>
                    <w:t>理，协同控制氢氟碳化物、甲烷、氧化亚氮等温室气体。加强节约能源与大气污染防治协同有效衔接，促进大气污染</w:t>
                  </w:r>
                  <w:r>
                    <w:rPr>
                      <w:rFonts w:ascii="宋体" w:hAnsi="宋体" w:eastAsia="宋体" w:cs="宋体"/>
                      <w:spacing w:val="7"/>
                      <w:sz w:val="18"/>
                      <w:szCs w:val="18"/>
                      <w:highlight w:val="none"/>
                    </w:rPr>
                    <w:t>防治协同增效。</w:t>
                  </w:r>
                </w:p>
              </w:tc>
              <w:tc>
                <w:tcPr>
                  <w:tcW w:w="1579" w:type="pct"/>
                  <w:tcBorders>
                    <w:tl2br w:val="nil"/>
                    <w:tr2bl w:val="nil"/>
                  </w:tcBorders>
                  <w:noWrap w:val="0"/>
                  <w:vAlign w:val="center"/>
                </w:tcPr>
                <w:p w14:paraId="559072C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A0F620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CD09CB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88D2E4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4DB386F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240E03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8165EEC">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5"/>
                      <w:sz w:val="18"/>
                      <w:szCs w:val="18"/>
                      <w:highlight w:val="none"/>
                    </w:rPr>
                  </w:pPr>
                  <w:r>
                    <w:rPr>
                      <w:rFonts w:ascii="宋体" w:hAnsi="宋体" w:eastAsia="宋体" w:cs="宋体"/>
                      <w:spacing w:val="5"/>
                      <w:sz w:val="18"/>
                      <w:szCs w:val="18"/>
                      <w:highlight w:val="none"/>
                    </w:rPr>
                    <w:t>不涉及</w:t>
                  </w:r>
                </w:p>
              </w:tc>
              <w:tc>
                <w:tcPr>
                  <w:tcW w:w="166" w:type="pct"/>
                  <w:tcBorders>
                    <w:tl2br w:val="nil"/>
                    <w:tr2bl w:val="nil"/>
                  </w:tcBorders>
                  <w:noWrap w:val="0"/>
                  <w:vAlign w:val="center"/>
                </w:tcPr>
                <w:p w14:paraId="1C2B08D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8F8CF6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70DE0C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C0EEFD0">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48915FE4">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291CDC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B1C643F">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59BD649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6C6BE41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5300773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restart"/>
                  <w:tcBorders>
                    <w:tl2br w:val="nil"/>
                    <w:tr2bl w:val="nil"/>
                  </w:tcBorders>
                  <w:noWrap w:val="0"/>
                  <w:vAlign w:val="center"/>
                </w:tcPr>
                <w:p w14:paraId="0F073C66">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6CB00F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47AC825">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sz w:val="18"/>
                      <w:szCs w:val="18"/>
                      <w:highlight w:val="none"/>
                    </w:rPr>
                  </w:pPr>
                  <w:r>
                    <w:rPr>
                      <w:rFonts w:ascii="Times New Roman" w:hAnsi="Times New Roman" w:eastAsia="Times New Roman" w:cs="Times New Roman"/>
                      <w:spacing w:val="4"/>
                      <w:sz w:val="18"/>
                      <w:szCs w:val="18"/>
                      <w:highlight w:val="none"/>
                    </w:rPr>
                    <w:t>A2.2</w:t>
                  </w:r>
                  <w:r>
                    <w:rPr>
                      <w:rFonts w:ascii="宋体" w:hAnsi="宋体" w:eastAsia="宋体" w:cs="宋体"/>
                      <w:spacing w:val="5"/>
                      <w:sz w:val="18"/>
                      <w:szCs w:val="18"/>
                      <w:highlight w:val="none"/>
                    </w:rPr>
                    <w:t>污染控制措施要求</w:t>
                  </w:r>
                </w:p>
              </w:tc>
              <w:tc>
                <w:tcPr>
                  <w:tcW w:w="2302" w:type="pct"/>
                  <w:tcBorders>
                    <w:tl2br w:val="nil"/>
                    <w:tr2bl w:val="nil"/>
                  </w:tcBorders>
                  <w:noWrap w:val="0"/>
                  <w:vAlign w:val="center"/>
                </w:tcPr>
                <w:p w14:paraId="15BF2673">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ascii="宋体" w:hAnsi="宋体" w:eastAsia="宋体" w:cs="宋体"/>
                      <w:spacing w:val="3"/>
                      <w:sz w:val="18"/>
                      <w:szCs w:val="18"/>
                      <w:highlight w:val="none"/>
                    </w:rPr>
                  </w:pPr>
                  <w:r>
                    <w:rPr>
                      <w:rFonts w:ascii="宋体" w:hAnsi="宋体" w:eastAsia="宋体" w:cs="宋体"/>
                      <w:spacing w:val="1"/>
                      <w:sz w:val="18"/>
                      <w:szCs w:val="18"/>
                      <w:highlight w:val="none"/>
                    </w:rPr>
                    <w:t>〔</w:t>
                  </w:r>
                  <w:r>
                    <w:rPr>
                      <w:rFonts w:ascii="Times New Roman" w:hAnsi="Times New Roman" w:eastAsia="Times New Roman" w:cs="Times New Roman"/>
                      <w:spacing w:val="1"/>
                      <w:sz w:val="18"/>
                      <w:szCs w:val="18"/>
                      <w:highlight w:val="none"/>
                    </w:rPr>
                    <w:t>A2.2-4</w:t>
                  </w:r>
                  <w:r>
                    <w:rPr>
                      <w:rFonts w:ascii="宋体" w:hAnsi="宋体" w:eastAsia="宋体" w:cs="宋体"/>
                      <w:spacing w:val="1"/>
                      <w:sz w:val="18"/>
                      <w:szCs w:val="18"/>
                      <w:highlight w:val="none"/>
                    </w:rPr>
                    <w:t>〕强化用水定额管理。推进地</w:t>
                  </w:r>
                  <w:r>
                    <w:rPr>
                      <w:rFonts w:ascii="宋体" w:hAnsi="宋体" w:eastAsia="宋体" w:cs="宋体"/>
                      <w:sz w:val="18"/>
                      <w:szCs w:val="18"/>
                      <w:highlight w:val="none"/>
                    </w:rPr>
                    <w:t>下水超采综合治理。开展河湖生态流量</w:t>
                  </w:r>
                  <w:r>
                    <w:rPr>
                      <w:rFonts w:ascii="宋体" w:hAnsi="宋体" w:eastAsia="宋体" w:cs="宋体"/>
                      <w:spacing w:val="-7"/>
                      <w:sz w:val="18"/>
                      <w:szCs w:val="18"/>
                      <w:highlight w:val="none"/>
                    </w:rPr>
                    <w:t>（水量）确定工作，强化生态用水保障。</w:t>
                  </w:r>
                </w:p>
              </w:tc>
              <w:tc>
                <w:tcPr>
                  <w:tcW w:w="1579" w:type="pct"/>
                  <w:tcBorders>
                    <w:tl2br w:val="nil"/>
                    <w:tr2bl w:val="nil"/>
                  </w:tcBorders>
                  <w:noWrap w:val="0"/>
                  <w:vAlign w:val="center"/>
                </w:tcPr>
                <w:p w14:paraId="18311236">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5"/>
                      <w:sz w:val="18"/>
                      <w:szCs w:val="18"/>
                      <w:highlight w:val="none"/>
                    </w:rPr>
                  </w:pPr>
                  <w:r>
                    <w:rPr>
                      <w:rFonts w:ascii="宋体" w:hAnsi="宋体" w:eastAsia="宋体" w:cs="宋体"/>
                      <w:spacing w:val="8"/>
                      <w:sz w:val="18"/>
                      <w:szCs w:val="18"/>
                      <w:highlight w:val="none"/>
                    </w:rPr>
                    <w:t>工程</w:t>
                  </w:r>
                  <w:r>
                    <w:rPr>
                      <w:rFonts w:hint="eastAsia" w:ascii="宋体" w:hAnsi="宋体" w:eastAsia="宋体" w:cs="宋体"/>
                      <w:spacing w:val="8"/>
                      <w:sz w:val="18"/>
                      <w:szCs w:val="18"/>
                      <w:highlight w:val="none"/>
                      <w:lang w:val="en-US" w:eastAsia="zh-CN"/>
                    </w:rPr>
                    <w:t>施工期施工用水从附近村镇拉运，</w:t>
                  </w:r>
                  <w:r>
                    <w:rPr>
                      <w:rFonts w:hint="eastAsia"/>
                      <w:sz w:val="18"/>
                      <w:szCs w:val="18"/>
                    </w:rPr>
                    <w:t>严禁从沟渠、河流取水，并控制用水总量，严禁浪费</w:t>
                  </w:r>
                  <w:r>
                    <w:rPr>
                      <w:rFonts w:ascii="宋体" w:hAnsi="宋体" w:eastAsia="宋体" w:cs="宋体"/>
                      <w:spacing w:val="6"/>
                      <w:sz w:val="18"/>
                      <w:szCs w:val="18"/>
                      <w:highlight w:val="none"/>
                    </w:rPr>
                    <w:t>。</w:t>
                  </w:r>
                </w:p>
              </w:tc>
              <w:tc>
                <w:tcPr>
                  <w:tcW w:w="166" w:type="pct"/>
                  <w:tcBorders>
                    <w:tl2br w:val="nil"/>
                    <w:tr2bl w:val="nil"/>
                  </w:tcBorders>
                  <w:noWrap w:val="0"/>
                  <w:vAlign w:val="center"/>
                </w:tcPr>
                <w:p w14:paraId="238F132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AA5A04B">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66A6C5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3A44DC76">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19F4B4C9">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442" w:type="pct"/>
                  <w:vMerge w:val="continue"/>
                  <w:tcBorders>
                    <w:tl2br w:val="nil"/>
                    <w:tr2bl w:val="nil"/>
                  </w:tcBorders>
                  <w:noWrap w:val="0"/>
                  <w:vAlign w:val="center"/>
                </w:tcPr>
                <w:p w14:paraId="3364CC4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tc>
              <w:tc>
                <w:tcPr>
                  <w:tcW w:w="2302" w:type="pct"/>
                  <w:tcBorders>
                    <w:tl2br w:val="nil"/>
                    <w:tr2bl w:val="nil"/>
                  </w:tcBorders>
                  <w:noWrap w:val="0"/>
                  <w:vAlign w:val="center"/>
                </w:tcPr>
                <w:p w14:paraId="5E595E98">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3"/>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A2.2-6</w:t>
                  </w:r>
                  <w:r>
                    <w:rPr>
                      <w:rFonts w:ascii="宋体" w:hAnsi="宋体" w:eastAsia="宋体" w:cs="宋体"/>
                      <w:spacing w:val="4"/>
                      <w:sz w:val="18"/>
                      <w:szCs w:val="18"/>
                      <w:highlight w:val="none"/>
                    </w:rPr>
                    <w:t>〕推进地表水与地下水协同防</w:t>
                  </w:r>
                  <w:r>
                    <w:rPr>
                      <w:rFonts w:ascii="宋体" w:hAnsi="宋体" w:eastAsia="宋体" w:cs="宋体"/>
                      <w:spacing w:val="14"/>
                      <w:sz w:val="18"/>
                      <w:szCs w:val="18"/>
                      <w:highlight w:val="none"/>
                    </w:rPr>
                    <w:t>治。以傍河型地下水饮用水水源为重</w:t>
                  </w:r>
                  <w:r>
                    <w:rPr>
                      <w:rFonts w:ascii="宋体" w:hAnsi="宋体" w:eastAsia="宋体" w:cs="宋体"/>
                      <w:spacing w:val="4"/>
                      <w:sz w:val="18"/>
                      <w:szCs w:val="18"/>
                      <w:highlight w:val="none"/>
                    </w:rPr>
                    <w:t>点，防范受污染河段侧渗和垂直补给对地下水污染。加强化学品生产企业、工</w:t>
                  </w:r>
                  <w:r>
                    <w:rPr>
                      <w:rFonts w:ascii="宋体" w:hAnsi="宋体" w:eastAsia="宋体" w:cs="宋体"/>
                      <w:spacing w:val="17"/>
                      <w:sz w:val="18"/>
                      <w:szCs w:val="18"/>
                      <w:highlight w:val="none"/>
                    </w:rPr>
                    <w:t>业聚集区、矿山开采区等污染源的地</w:t>
                  </w:r>
                  <w:r>
                    <w:rPr>
                      <w:rFonts w:ascii="宋体" w:hAnsi="宋体" w:eastAsia="宋体" w:cs="宋体"/>
                      <w:spacing w:val="2"/>
                      <w:sz w:val="18"/>
                      <w:szCs w:val="18"/>
                      <w:highlight w:val="none"/>
                    </w:rPr>
                    <w:t>表、地下协同防治与环境风险管控。加强工业污染防治。推动重点行业、重点企业绿色发展，严格落实水污染物排放标准和排污许可制度。加强农副食品加</w:t>
                  </w:r>
                  <w:r>
                    <w:rPr>
                      <w:rFonts w:ascii="宋体" w:hAnsi="宋体" w:eastAsia="宋体" w:cs="宋体"/>
                      <w:spacing w:val="4"/>
                      <w:sz w:val="18"/>
                      <w:szCs w:val="18"/>
                      <w:highlight w:val="none"/>
                    </w:rPr>
                    <w:t>工、化工、印染、棉浆粕、粘胶纤维、</w:t>
                  </w:r>
                  <w:r>
                    <w:rPr>
                      <w:rFonts w:ascii="宋体" w:hAnsi="宋体" w:eastAsia="宋体" w:cs="宋体"/>
                      <w:spacing w:val="2"/>
                      <w:sz w:val="18"/>
                      <w:szCs w:val="18"/>
                      <w:highlight w:val="none"/>
                    </w:rPr>
                    <w:t>制糖等企业综合治理和清洁化改造。支持企业积极实施节水技术改造，加强工业园区污水集中处理设施运行管理，加快再生水回用设施建设，提升园区水资</w:t>
                  </w:r>
                  <w:r>
                    <w:rPr>
                      <w:rFonts w:ascii="宋体" w:hAnsi="宋体" w:eastAsia="宋体" w:cs="宋体"/>
                      <w:spacing w:val="5"/>
                      <w:sz w:val="18"/>
                      <w:szCs w:val="18"/>
                      <w:highlight w:val="none"/>
                    </w:rPr>
                    <w:t>源循环利用水平。</w:t>
                  </w:r>
                </w:p>
              </w:tc>
              <w:tc>
                <w:tcPr>
                  <w:tcW w:w="1579" w:type="pct"/>
                  <w:tcBorders>
                    <w:tl2br w:val="nil"/>
                    <w:tr2bl w:val="nil"/>
                  </w:tcBorders>
                  <w:noWrap w:val="0"/>
                  <w:vAlign w:val="center"/>
                </w:tcPr>
                <w:p w14:paraId="526E1264">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eastAsia" w:ascii="宋体" w:hAnsi="宋体" w:eastAsia="宋体" w:cs="宋体"/>
                      <w:spacing w:val="5"/>
                      <w:sz w:val="18"/>
                      <w:szCs w:val="18"/>
                      <w:highlight w:val="none"/>
                      <w:lang w:eastAsia="zh-CN"/>
                    </w:rPr>
                  </w:pPr>
                  <w:r>
                    <w:rPr>
                      <w:rFonts w:ascii="宋体" w:hAnsi="宋体" w:eastAsia="宋体" w:cs="宋体"/>
                      <w:spacing w:val="8"/>
                      <w:sz w:val="18"/>
                      <w:szCs w:val="18"/>
                      <w:highlight w:val="none"/>
                    </w:rPr>
                    <w:t>本</w:t>
                  </w:r>
                  <w:r>
                    <w:rPr>
                      <w:rFonts w:hint="eastAsia" w:ascii="宋体" w:hAnsi="宋体" w:eastAsia="宋体" w:cs="宋体"/>
                      <w:spacing w:val="8"/>
                      <w:sz w:val="18"/>
                      <w:szCs w:val="18"/>
                      <w:highlight w:val="none"/>
                      <w:lang w:val="en-US" w:eastAsia="zh-CN"/>
                    </w:rPr>
                    <w:t>工程施工期施工废水采用</w:t>
                  </w:r>
                  <w:r>
                    <w:rPr>
                      <w:rFonts w:ascii="宋体" w:hAnsi="宋体" w:eastAsia="宋体" w:cs="宋体"/>
                      <w:spacing w:val="8"/>
                      <w:sz w:val="18"/>
                      <w:szCs w:val="18"/>
                      <w:highlight w:val="none"/>
                    </w:rPr>
                    <w:t>防渗</w:t>
                  </w:r>
                  <w:r>
                    <w:rPr>
                      <w:rFonts w:hint="eastAsia" w:ascii="宋体" w:hAnsi="宋体" w:eastAsia="宋体" w:cs="宋体"/>
                      <w:spacing w:val="8"/>
                      <w:sz w:val="18"/>
                      <w:szCs w:val="18"/>
                      <w:highlight w:val="none"/>
                      <w:lang w:val="en-US" w:eastAsia="zh-CN"/>
                    </w:rPr>
                    <w:t>设施收集处理</w:t>
                  </w:r>
                  <w:r>
                    <w:rPr>
                      <w:rFonts w:ascii="宋体" w:hAnsi="宋体" w:eastAsia="宋体" w:cs="宋体"/>
                      <w:spacing w:val="8"/>
                      <w:sz w:val="18"/>
                      <w:szCs w:val="18"/>
                      <w:highlight w:val="none"/>
                    </w:rPr>
                    <w:t>，</w:t>
                  </w:r>
                  <w:r>
                    <w:rPr>
                      <w:rFonts w:hint="eastAsia" w:ascii="宋体" w:hAnsi="宋体" w:eastAsia="宋体" w:cs="宋体"/>
                      <w:spacing w:val="8"/>
                      <w:sz w:val="18"/>
                      <w:szCs w:val="18"/>
                      <w:highlight w:val="none"/>
                      <w:lang w:val="en-US" w:eastAsia="zh-CN"/>
                    </w:rPr>
                    <w:t>不随意外排废水，且本项目为道路工程，不涉及工业企业</w:t>
                  </w:r>
                  <w:r>
                    <w:rPr>
                      <w:rFonts w:ascii="宋体" w:hAnsi="宋体" w:eastAsia="宋体" w:cs="宋体"/>
                      <w:spacing w:val="8"/>
                      <w:sz w:val="18"/>
                      <w:szCs w:val="18"/>
                      <w:highlight w:val="none"/>
                    </w:rPr>
                    <w:t>，因此不</w:t>
                  </w:r>
                  <w:r>
                    <w:rPr>
                      <w:rFonts w:ascii="宋体" w:hAnsi="宋体" w:eastAsia="宋体" w:cs="宋体"/>
                      <w:spacing w:val="17"/>
                      <w:sz w:val="18"/>
                      <w:szCs w:val="18"/>
                      <w:highlight w:val="none"/>
                    </w:rPr>
                    <w:t>会影响饮用水水源保护区对水</w:t>
                  </w:r>
                  <w:r>
                    <w:rPr>
                      <w:rFonts w:ascii="宋体" w:hAnsi="宋体" w:eastAsia="宋体" w:cs="宋体"/>
                      <w:spacing w:val="6"/>
                      <w:sz w:val="18"/>
                      <w:szCs w:val="18"/>
                      <w:highlight w:val="none"/>
                    </w:rPr>
                    <w:t>质标准的要求</w:t>
                  </w:r>
                  <w:r>
                    <w:rPr>
                      <w:rFonts w:hint="eastAsia" w:ascii="宋体" w:hAnsi="宋体" w:eastAsia="宋体" w:cs="宋体"/>
                      <w:spacing w:val="6"/>
                      <w:sz w:val="18"/>
                      <w:szCs w:val="18"/>
                      <w:highlight w:val="none"/>
                      <w:lang w:eastAsia="zh-CN"/>
                    </w:rPr>
                    <w:t>。</w:t>
                  </w:r>
                </w:p>
              </w:tc>
              <w:tc>
                <w:tcPr>
                  <w:tcW w:w="166" w:type="pct"/>
                  <w:tcBorders>
                    <w:tl2br w:val="nil"/>
                    <w:tr2bl w:val="nil"/>
                  </w:tcBorders>
                  <w:noWrap w:val="0"/>
                  <w:vAlign w:val="center"/>
                </w:tcPr>
                <w:p w14:paraId="198D0F13">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97C671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2E8957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95A6FB6">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2E896C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246A242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restart"/>
                  <w:tcBorders>
                    <w:tl2br w:val="nil"/>
                    <w:tr2bl w:val="nil"/>
                  </w:tcBorders>
                  <w:noWrap w:val="0"/>
                  <w:vAlign w:val="center"/>
                </w:tcPr>
                <w:p w14:paraId="096BA0A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8B1754C">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7740946">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42E7B1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ED5A854">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34B941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846DB6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0AD194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93AEA5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2EEA4E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6B4B61C">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sz w:val="18"/>
                      <w:szCs w:val="18"/>
                      <w:highlight w:val="none"/>
                    </w:rPr>
                  </w:pPr>
                  <w:r>
                    <w:rPr>
                      <w:rFonts w:ascii="Times New Roman" w:hAnsi="Times New Roman" w:eastAsia="Times New Roman" w:cs="Times New Roman"/>
                      <w:spacing w:val="4"/>
                      <w:sz w:val="18"/>
                      <w:szCs w:val="18"/>
                      <w:highlight w:val="none"/>
                    </w:rPr>
                    <w:t>A3</w:t>
                  </w:r>
                  <w:r>
                    <w:rPr>
                      <w:rFonts w:ascii="宋体" w:hAnsi="宋体" w:eastAsia="宋体" w:cs="宋体"/>
                      <w:spacing w:val="4"/>
                      <w:sz w:val="18"/>
                      <w:szCs w:val="18"/>
                      <w:highlight w:val="none"/>
                    </w:rPr>
                    <w:t>环境风险防控</w:t>
                  </w:r>
                </w:p>
              </w:tc>
              <w:tc>
                <w:tcPr>
                  <w:tcW w:w="442" w:type="pct"/>
                  <w:vMerge w:val="restart"/>
                  <w:tcBorders>
                    <w:tl2br w:val="nil"/>
                    <w:tr2bl w:val="nil"/>
                  </w:tcBorders>
                  <w:noWrap w:val="0"/>
                  <w:vAlign w:val="center"/>
                </w:tcPr>
                <w:p w14:paraId="50F5889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49A570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407CA2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6DFE9E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EA272C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F2F208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0BA357A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096981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32C6CBF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C81237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E2AEA15">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sz w:val="18"/>
                      <w:szCs w:val="18"/>
                      <w:highlight w:val="none"/>
                    </w:rPr>
                  </w:pPr>
                  <w:r>
                    <w:rPr>
                      <w:rFonts w:ascii="Times New Roman" w:hAnsi="Times New Roman" w:eastAsia="Times New Roman" w:cs="Times New Roman"/>
                      <w:spacing w:val="4"/>
                      <w:sz w:val="18"/>
                      <w:szCs w:val="18"/>
                      <w:highlight w:val="none"/>
                    </w:rPr>
                    <w:t>A3.2</w:t>
                  </w:r>
                  <w:r>
                    <w:rPr>
                      <w:rFonts w:ascii="宋体" w:hAnsi="宋体" w:eastAsia="宋体" w:cs="宋体"/>
                      <w:spacing w:val="4"/>
                      <w:sz w:val="18"/>
                      <w:szCs w:val="18"/>
                      <w:highlight w:val="none"/>
                    </w:rPr>
                    <w:t>联防联控要求</w:t>
                  </w:r>
                </w:p>
              </w:tc>
              <w:tc>
                <w:tcPr>
                  <w:tcW w:w="2302" w:type="pct"/>
                  <w:tcBorders>
                    <w:tl2br w:val="nil"/>
                    <w:tr2bl w:val="nil"/>
                  </w:tcBorders>
                  <w:noWrap w:val="0"/>
                  <w:vAlign w:val="center"/>
                </w:tcPr>
                <w:p w14:paraId="199499F5">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A3.2-1</w:t>
                  </w:r>
                  <w:r>
                    <w:rPr>
                      <w:rFonts w:ascii="宋体" w:hAnsi="宋体" w:eastAsia="宋体" w:cs="宋体"/>
                      <w:spacing w:val="4"/>
                      <w:sz w:val="18"/>
                      <w:szCs w:val="18"/>
                      <w:highlight w:val="none"/>
                    </w:rPr>
                    <w:t>〕提升饮用水安全保障水平。</w:t>
                  </w:r>
                  <w:r>
                    <w:rPr>
                      <w:rFonts w:ascii="宋体" w:hAnsi="宋体" w:eastAsia="宋体" w:cs="宋体"/>
                      <w:spacing w:val="17"/>
                      <w:sz w:val="18"/>
                      <w:szCs w:val="18"/>
                      <w:highlight w:val="none"/>
                    </w:rPr>
                    <w:t>以县级及以上集中式饮用水水源地为</w:t>
                  </w:r>
                  <w:r>
                    <w:rPr>
                      <w:rFonts w:ascii="宋体" w:hAnsi="宋体" w:eastAsia="宋体" w:cs="宋体"/>
                      <w:spacing w:val="4"/>
                      <w:sz w:val="18"/>
                      <w:szCs w:val="18"/>
                      <w:highlight w:val="none"/>
                    </w:rPr>
                    <w:t>重点，推进饮用水水源保护区规范化建</w:t>
                  </w:r>
                  <w:r>
                    <w:rPr>
                      <w:rFonts w:ascii="宋体" w:hAnsi="宋体" w:eastAsia="宋体" w:cs="宋体"/>
                      <w:spacing w:val="17"/>
                      <w:sz w:val="18"/>
                      <w:szCs w:val="18"/>
                      <w:highlight w:val="none"/>
                    </w:rPr>
                    <w:t>设，统筹推进备用水源或应急水源建</w:t>
                  </w:r>
                  <w:r>
                    <w:rPr>
                      <w:rFonts w:ascii="宋体" w:hAnsi="宋体" w:eastAsia="宋体" w:cs="宋体"/>
                      <w:spacing w:val="9"/>
                      <w:sz w:val="18"/>
                      <w:szCs w:val="18"/>
                      <w:highlight w:val="none"/>
                    </w:rPr>
                    <w:t>设。单一水源供水的重点城市于</w:t>
                  </w:r>
                  <w:r>
                    <w:rPr>
                      <w:rFonts w:ascii="Times New Roman" w:hAnsi="Times New Roman" w:eastAsia="Times New Roman" w:cs="Times New Roman"/>
                      <w:spacing w:val="9"/>
                      <w:sz w:val="18"/>
                      <w:szCs w:val="18"/>
                      <w:highlight w:val="none"/>
                    </w:rPr>
                    <w:t>2025</w:t>
                  </w:r>
                  <w:r>
                    <w:rPr>
                      <w:rFonts w:ascii="宋体" w:hAnsi="宋体" w:eastAsia="宋体" w:cs="宋体"/>
                      <w:spacing w:val="17"/>
                      <w:sz w:val="18"/>
                      <w:szCs w:val="18"/>
                      <w:highlight w:val="none"/>
                    </w:rPr>
                    <w:t>年底前基本完成备用水源或应急水源</w:t>
                  </w:r>
                  <w:r>
                    <w:rPr>
                      <w:rFonts w:ascii="宋体" w:hAnsi="宋体" w:eastAsia="宋体" w:cs="宋体"/>
                      <w:spacing w:val="4"/>
                      <w:sz w:val="18"/>
                      <w:szCs w:val="18"/>
                      <w:highlight w:val="none"/>
                    </w:rPr>
                    <w:t>建设，有条件的地区开展兵地互为备用水源建设。梯次推进农村集中式饮用水</w:t>
                  </w:r>
                  <w:r>
                    <w:rPr>
                      <w:rFonts w:ascii="宋体" w:hAnsi="宋体" w:eastAsia="宋体" w:cs="宋体"/>
                      <w:spacing w:val="6"/>
                      <w:sz w:val="18"/>
                      <w:szCs w:val="18"/>
                      <w:highlight w:val="none"/>
                    </w:rPr>
                    <w:t>水源保护区划定，到</w:t>
                  </w:r>
                  <w:r>
                    <w:rPr>
                      <w:rFonts w:ascii="Times New Roman" w:hAnsi="Times New Roman" w:eastAsia="Times New Roman" w:cs="Times New Roman"/>
                      <w:spacing w:val="6"/>
                      <w:sz w:val="18"/>
                      <w:szCs w:val="18"/>
                      <w:highlight w:val="none"/>
                    </w:rPr>
                    <w:t>2025</w:t>
                  </w:r>
                  <w:r>
                    <w:rPr>
                      <w:rFonts w:ascii="宋体" w:hAnsi="宋体" w:eastAsia="宋体" w:cs="宋体"/>
                      <w:spacing w:val="6"/>
                      <w:sz w:val="18"/>
                      <w:szCs w:val="18"/>
                      <w:highlight w:val="none"/>
                    </w:rPr>
                    <w:t>年，完成乡</w:t>
                  </w:r>
                  <w:r>
                    <w:rPr>
                      <w:rFonts w:ascii="宋体" w:hAnsi="宋体" w:eastAsia="宋体" w:cs="宋体"/>
                      <w:spacing w:val="17"/>
                      <w:sz w:val="18"/>
                      <w:szCs w:val="18"/>
                      <w:highlight w:val="none"/>
                    </w:rPr>
                    <w:t>镇级集中式饮用水水源保护区划定与</w:t>
                  </w:r>
                  <w:r>
                    <w:rPr>
                      <w:rFonts w:ascii="宋体" w:hAnsi="宋体" w:eastAsia="宋体" w:cs="宋体"/>
                      <w:spacing w:val="2"/>
                      <w:sz w:val="18"/>
                      <w:szCs w:val="18"/>
                      <w:highlight w:val="none"/>
                    </w:rPr>
                    <w:t>勘界立标。开展“千吨万人”农村饮用</w:t>
                  </w:r>
                  <w:r>
                    <w:rPr>
                      <w:rFonts w:ascii="宋体" w:hAnsi="宋体" w:eastAsia="宋体" w:cs="宋体"/>
                      <w:spacing w:val="4"/>
                      <w:sz w:val="18"/>
                      <w:szCs w:val="18"/>
                      <w:highlight w:val="none"/>
                    </w:rPr>
                    <w:t>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w:t>
                  </w:r>
                  <w:r>
                    <w:rPr>
                      <w:rFonts w:ascii="宋体" w:hAnsi="宋体" w:eastAsia="宋体" w:cs="宋体"/>
                      <w:spacing w:val="5"/>
                      <w:sz w:val="18"/>
                      <w:szCs w:val="18"/>
                      <w:highlight w:val="none"/>
                    </w:rPr>
                    <w:t>应急物资。</w:t>
                  </w:r>
                </w:p>
              </w:tc>
              <w:tc>
                <w:tcPr>
                  <w:tcW w:w="1579" w:type="pct"/>
                  <w:tcBorders>
                    <w:tl2br w:val="nil"/>
                    <w:tr2bl w:val="nil"/>
                  </w:tcBorders>
                  <w:noWrap w:val="0"/>
                  <w:vAlign w:val="center"/>
                </w:tcPr>
                <w:p w14:paraId="5EE83441">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宋体" w:hAnsi="宋体" w:eastAsia="宋体" w:cs="宋体"/>
                      <w:spacing w:val="8"/>
                      <w:sz w:val="18"/>
                      <w:szCs w:val="18"/>
                      <w:highlight w:val="none"/>
                      <w:lang w:val="en-US" w:eastAsia="zh-CN"/>
                    </w:rPr>
                  </w:pPr>
                  <w:r>
                    <w:rPr>
                      <w:rFonts w:ascii="宋体" w:hAnsi="宋体" w:eastAsia="宋体" w:cs="宋体"/>
                      <w:spacing w:val="8"/>
                      <w:sz w:val="18"/>
                      <w:szCs w:val="18"/>
                      <w:highlight w:val="none"/>
                    </w:rPr>
                    <w:t>本工</w:t>
                  </w:r>
                  <w:r>
                    <w:rPr>
                      <w:rFonts w:hint="default" w:ascii="Times New Roman" w:hAnsi="Times New Roman" w:eastAsia="宋体" w:cs="Times New Roman"/>
                      <w:spacing w:val="8"/>
                      <w:sz w:val="18"/>
                      <w:szCs w:val="18"/>
                      <w:highlight w:val="none"/>
                    </w:rPr>
                    <w:t>程</w:t>
                  </w:r>
                  <w:r>
                    <w:rPr>
                      <w:rFonts w:hint="eastAsia" w:ascii="Times New Roman" w:hAnsi="Times New Roman" w:eastAsia="宋体" w:cs="Times New Roman"/>
                      <w:spacing w:val="8"/>
                      <w:sz w:val="18"/>
                      <w:szCs w:val="18"/>
                      <w:highlight w:val="none"/>
                      <w:lang w:val="en-US" w:eastAsia="zh-CN"/>
                    </w:rPr>
                    <w:t>未占用饮用水水源地</w:t>
                  </w:r>
                </w:p>
              </w:tc>
              <w:tc>
                <w:tcPr>
                  <w:tcW w:w="166" w:type="pct"/>
                  <w:tcBorders>
                    <w:tl2br w:val="nil"/>
                    <w:tr2bl w:val="nil"/>
                  </w:tcBorders>
                  <w:noWrap w:val="0"/>
                  <w:vAlign w:val="center"/>
                </w:tcPr>
                <w:p w14:paraId="2C4349E4">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hint="eastAsia" w:ascii="宋体" w:hAnsi="宋体" w:eastAsia="宋体" w:cs="宋体"/>
                      <w:spacing w:val="3"/>
                      <w:sz w:val="18"/>
                      <w:szCs w:val="18"/>
                      <w:highlight w:val="none"/>
                      <w:lang w:val="en-US" w:eastAsia="zh-CN"/>
                    </w:rPr>
                    <w:t>符</w:t>
                  </w:r>
                  <w:r>
                    <w:rPr>
                      <w:rFonts w:ascii="宋体" w:hAnsi="宋体" w:eastAsia="宋体" w:cs="宋体"/>
                      <w:spacing w:val="3"/>
                      <w:sz w:val="18"/>
                      <w:szCs w:val="18"/>
                      <w:highlight w:val="none"/>
                    </w:rPr>
                    <w:t>合</w:t>
                  </w:r>
                </w:p>
              </w:tc>
            </w:tr>
            <w:tr w14:paraId="169E9A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78A00C8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1F47148A">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p>
              </w:tc>
              <w:tc>
                <w:tcPr>
                  <w:tcW w:w="442" w:type="pct"/>
                  <w:vMerge w:val="continue"/>
                  <w:tcBorders>
                    <w:tl2br w:val="nil"/>
                    <w:tr2bl w:val="nil"/>
                  </w:tcBorders>
                  <w:noWrap w:val="0"/>
                  <w:vAlign w:val="center"/>
                </w:tcPr>
                <w:p w14:paraId="4568B557">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p>
              </w:tc>
              <w:tc>
                <w:tcPr>
                  <w:tcW w:w="2302" w:type="pct"/>
                  <w:tcBorders>
                    <w:tl2br w:val="nil"/>
                    <w:tr2bl w:val="nil"/>
                  </w:tcBorders>
                  <w:noWrap w:val="0"/>
                  <w:vAlign w:val="center"/>
                </w:tcPr>
                <w:p w14:paraId="2531ADE9">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A3.2-8</w:t>
                  </w:r>
                  <w:r>
                    <w:rPr>
                      <w:rFonts w:ascii="宋体" w:hAnsi="宋体" w:eastAsia="宋体" w:cs="宋体"/>
                      <w:spacing w:val="4"/>
                      <w:sz w:val="18"/>
                      <w:szCs w:val="18"/>
                      <w:highlight w:val="none"/>
                    </w:rPr>
                    <w:t>〕加强环境风险预警防控。加强涉危险废物企业、涉重金属企业、化工园区、集中式饮用水水源地及重点流域环境风险调查评估，实施分类分级风险管控，协同推进重点区域、流域生态环境污染综合防治、风险防控与生态修</w:t>
                  </w:r>
                  <w:r>
                    <w:rPr>
                      <w:rFonts w:ascii="宋体" w:hAnsi="宋体" w:eastAsia="宋体" w:cs="宋体"/>
                      <w:sz w:val="18"/>
                      <w:szCs w:val="18"/>
                      <w:highlight w:val="none"/>
                    </w:rPr>
                    <w:t>复。</w:t>
                  </w:r>
                </w:p>
              </w:tc>
              <w:tc>
                <w:tcPr>
                  <w:tcW w:w="1579" w:type="pct"/>
                  <w:tcBorders>
                    <w:tl2br w:val="nil"/>
                    <w:tr2bl w:val="nil"/>
                  </w:tcBorders>
                  <w:noWrap w:val="0"/>
                  <w:vAlign w:val="center"/>
                </w:tcPr>
                <w:p w14:paraId="10A9069F">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ascii="宋体" w:hAnsi="宋体" w:eastAsia="宋体" w:cs="宋体"/>
                      <w:spacing w:val="8"/>
                      <w:sz w:val="18"/>
                      <w:szCs w:val="18"/>
                      <w:highlight w:val="none"/>
                    </w:rPr>
                  </w:pPr>
                  <w:r>
                    <w:rPr>
                      <w:rFonts w:hint="eastAsia" w:ascii="宋体" w:hAnsi="宋体" w:eastAsia="宋体" w:cs="宋体"/>
                      <w:spacing w:val="7"/>
                      <w:sz w:val="18"/>
                      <w:szCs w:val="18"/>
                      <w:highlight w:val="none"/>
                      <w:lang w:val="en-US" w:eastAsia="zh-CN"/>
                    </w:rPr>
                    <w:t>本项目属于等级公路建设项目，不属于工业企业类项目，施工期及运营期不涉及危险废物产生和排放</w:t>
                  </w:r>
                  <w:r>
                    <w:rPr>
                      <w:rFonts w:ascii="宋体" w:hAnsi="宋体" w:eastAsia="宋体" w:cs="宋体"/>
                      <w:spacing w:val="7"/>
                      <w:sz w:val="18"/>
                      <w:szCs w:val="18"/>
                      <w:highlight w:val="none"/>
                    </w:rPr>
                    <w:t>。</w:t>
                  </w:r>
                </w:p>
              </w:tc>
              <w:tc>
                <w:tcPr>
                  <w:tcW w:w="166" w:type="pct"/>
                  <w:tcBorders>
                    <w:tl2br w:val="nil"/>
                    <w:tr2bl w:val="nil"/>
                  </w:tcBorders>
                  <w:noWrap w:val="0"/>
                  <w:vAlign w:val="center"/>
                </w:tcPr>
                <w:p w14:paraId="525CAED5">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074900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7261B53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4D57601F">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p>
              </w:tc>
              <w:tc>
                <w:tcPr>
                  <w:tcW w:w="442" w:type="pct"/>
                  <w:vMerge w:val="continue"/>
                  <w:tcBorders>
                    <w:tl2br w:val="nil"/>
                    <w:tr2bl w:val="nil"/>
                  </w:tcBorders>
                  <w:noWrap w:val="0"/>
                  <w:vAlign w:val="center"/>
                </w:tcPr>
                <w:p w14:paraId="14B89C97">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p>
              </w:tc>
              <w:tc>
                <w:tcPr>
                  <w:tcW w:w="2302" w:type="pct"/>
                  <w:tcBorders>
                    <w:tl2br w:val="nil"/>
                    <w:tr2bl w:val="nil"/>
                  </w:tcBorders>
                  <w:noWrap w:val="0"/>
                  <w:vAlign w:val="center"/>
                </w:tcPr>
                <w:p w14:paraId="4D9F5336">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A3.2-9</w:t>
                  </w:r>
                  <w:r>
                    <w:rPr>
                      <w:rFonts w:ascii="宋体" w:hAnsi="宋体" w:eastAsia="宋体" w:cs="宋体"/>
                      <w:spacing w:val="4"/>
                      <w:sz w:val="18"/>
                      <w:szCs w:val="18"/>
                      <w:highlight w:val="none"/>
                    </w:rPr>
                    <w:t>〕强化生态环境应急管理。实</w:t>
                  </w:r>
                  <w:r>
                    <w:rPr>
                      <w:rFonts w:ascii="宋体" w:hAnsi="宋体" w:eastAsia="宋体" w:cs="宋体"/>
                      <w:spacing w:val="17"/>
                      <w:sz w:val="18"/>
                      <w:szCs w:val="18"/>
                      <w:highlight w:val="none"/>
                    </w:rPr>
                    <w:t>施企业突发生态环境应急预案电子化</w:t>
                  </w:r>
                  <w:r>
                    <w:rPr>
                      <w:rFonts w:ascii="宋体" w:hAnsi="宋体" w:eastAsia="宋体" w:cs="宋体"/>
                      <w:spacing w:val="4"/>
                      <w:sz w:val="18"/>
                      <w:szCs w:val="18"/>
                      <w:highlight w:val="none"/>
                    </w:rPr>
                    <w:t>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w:t>
                  </w:r>
                  <w:r>
                    <w:rPr>
                      <w:rFonts w:ascii="宋体" w:hAnsi="宋体" w:eastAsia="宋体" w:cs="宋体"/>
                      <w:spacing w:val="8"/>
                      <w:sz w:val="18"/>
                      <w:szCs w:val="18"/>
                      <w:highlight w:val="none"/>
                    </w:rPr>
                    <w:t>开展应急演练，增强实战能力。</w:t>
                  </w:r>
                </w:p>
              </w:tc>
              <w:tc>
                <w:tcPr>
                  <w:tcW w:w="1579" w:type="pct"/>
                  <w:tcBorders>
                    <w:tl2br w:val="nil"/>
                    <w:tr2bl w:val="nil"/>
                  </w:tcBorders>
                  <w:noWrap w:val="0"/>
                  <w:vAlign w:val="center"/>
                </w:tcPr>
                <w:p w14:paraId="1CE4BC7D">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8"/>
                      <w:sz w:val="18"/>
                      <w:szCs w:val="18"/>
                      <w:highlight w:val="none"/>
                    </w:rPr>
                  </w:pPr>
                  <w:r>
                    <w:rPr>
                      <w:rFonts w:ascii="宋体" w:hAnsi="宋体" w:eastAsia="宋体" w:cs="宋体"/>
                      <w:spacing w:val="9"/>
                      <w:sz w:val="18"/>
                      <w:szCs w:val="18"/>
                      <w:highlight w:val="none"/>
                    </w:rPr>
                    <w:t>本</w:t>
                  </w:r>
                  <w:r>
                    <w:rPr>
                      <w:rFonts w:hint="eastAsia" w:ascii="宋体" w:hAnsi="宋体" w:eastAsia="宋体" w:cs="宋体"/>
                      <w:spacing w:val="9"/>
                      <w:sz w:val="18"/>
                      <w:szCs w:val="18"/>
                      <w:highlight w:val="none"/>
                      <w:lang w:val="en-US" w:eastAsia="zh-CN"/>
                    </w:rPr>
                    <w:t>项目为等级公路建设项目，要求施工期做好生态环境保护</w:t>
                  </w:r>
                  <w:r>
                    <w:rPr>
                      <w:rFonts w:ascii="宋体" w:hAnsi="宋体" w:eastAsia="宋体" w:cs="宋体"/>
                      <w:spacing w:val="6"/>
                      <w:sz w:val="18"/>
                      <w:szCs w:val="18"/>
                      <w:highlight w:val="none"/>
                    </w:rPr>
                    <w:t>。</w:t>
                  </w:r>
                </w:p>
              </w:tc>
              <w:tc>
                <w:tcPr>
                  <w:tcW w:w="166" w:type="pct"/>
                  <w:tcBorders>
                    <w:tl2br w:val="nil"/>
                    <w:tr2bl w:val="nil"/>
                  </w:tcBorders>
                  <w:noWrap w:val="0"/>
                  <w:vAlign w:val="center"/>
                </w:tcPr>
                <w:p w14:paraId="50B74038">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218CB2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0EDFDF93">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restart"/>
                  <w:tcBorders>
                    <w:tl2br w:val="nil"/>
                    <w:tr2bl w:val="nil"/>
                  </w:tcBorders>
                  <w:noWrap w:val="0"/>
                  <w:vAlign w:val="center"/>
                </w:tcPr>
                <w:p w14:paraId="5CC0B4A4">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r>
                    <w:rPr>
                      <w:rFonts w:ascii="Times New Roman" w:hAnsi="Times New Roman" w:eastAsia="Times New Roman" w:cs="Times New Roman"/>
                      <w:spacing w:val="4"/>
                      <w:sz w:val="18"/>
                      <w:szCs w:val="18"/>
                      <w:highlight w:val="none"/>
                    </w:rPr>
                    <w:t>A4</w:t>
                  </w:r>
                  <w:r>
                    <w:rPr>
                      <w:rFonts w:ascii="宋体" w:hAnsi="宋体" w:eastAsia="宋体" w:cs="宋体"/>
                      <w:spacing w:val="4"/>
                      <w:sz w:val="18"/>
                      <w:szCs w:val="18"/>
                      <w:highlight w:val="none"/>
                    </w:rPr>
                    <w:t>资源利用要求</w:t>
                  </w:r>
                </w:p>
              </w:tc>
              <w:tc>
                <w:tcPr>
                  <w:tcW w:w="442" w:type="pct"/>
                  <w:vMerge w:val="restart"/>
                  <w:tcBorders>
                    <w:tl2br w:val="nil"/>
                    <w:tr2bl w:val="nil"/>
                  </w:tcBorders>
                  <w:noWrap w:val="0"/>
                  <w:vAlign w:val="center"/>
                </w:tcPr>
                <w:p w14:paraId="3EF1C4A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5A048A0">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7F38DA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49B1A2B8">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Times New Roman" w:hAnsi="Times New Roman" w:eastAsia="Times New Roman" w:cs="Times New Roman"/>
                      <w:sz w:val="18"/>
                      <w:szCs w:val="18"/>
                      <w:highlight w:val="none"/>
                    </w:rPr>
                  </w:pPr>
                  <w:r>
                    <w:rPr>
                      <w:rFonts w:ascii="Times New Roman" w:hAnsi="Times New Roman" w:eastAsia="Times New Roman" w:cs="Times New Roman"/>
                      <w:spacing w:val="3"/>
                      <w:sz w:val="18"/>
                      <w:szCs w:val="18"/>
                      <w:highlight w:val="none"/>
                    </w:rPr>
                    <w:t>A4.1</w:t>
                  </w:r>
                </w:p>
                <w:p w14:paraId="61D4B4D4">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水资</w:t>
                  </w:r>
                </w:p>
                <w:p w14:paraId="009D09CB">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Times New Roman" w:hAnsi="Times New Roman" w:eastAsia="Times New Roman" w:cs="Times New Roman"/>
                      <w:spacing w:val="4"/>
                      <w:sz w:val="18"/>
                      <w:szCs w:val="18"/>
                      <w:highlight w:val="none"/>
                    </w:rPr>
                  </w:pPr>
                  <w:r>
                    <w:rPr>
                      <w:rFonts w:ascii="宋体" w:hAnsi="宋体" w:eastAsia="宋体" w:cs="宋体"/>
                      <w:spacing w:val="1"/>
                      <w:sz w:val="18"/>
                      <w:szCs w:val="18"/>
                      <w:highlight w:val="none"/>
                    </w:rPr>
                    <w:t>源</w:t>
                  </w:r>
                </w:p>
              </w:tc>
              <w:tc>
                <w:tcPr>
                  <w:tcW w:w="2302" w:type="pct"/>
                  <w:tcBorders>
                    <w:tl2br w:val="nil"/>
                    <w:tr2bl w:val="nil"/>
                  </w:tcBorders>
                  <w:noWrap w:val="0"/>
                  <w:vAlign w:val="center"/>
                </w:tcPr>
                <w:p w14:paraId="459BE8B8">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1"/>
                      <w:sz w:val="18"/>
                      <w:szCs w:val="18"/>
                      <w:highlight w:val="none"/>
                    </w:rPr>
                    <w:t>〔</w:t>
                  </w:r>
                  <w:r>
                    <w:rPr>
                      <w:rFonts w:ascii="Times New Roman" w:hAnsi="Times New Roman" w:eastAsia="Times New Roman" w:cs="Times New Roman"/>
                      <w:spacing w:val="1"/>
                      <w:sz w:val="18"/>
                      <w:szCs w:val="18"/>
                      <w:highlight w:val="none"/>
                    </w:rPr>
                    <w:t>A4.1-1</w:t>
                  </w:r>
                  <w:r>
                    <w:rPr>
                      <w:rFonts w:ascii="宋体" w:hAnsi="宋体" w:eastAsia="宋体" w:cs="宋体"/>
                      <w:spacing w:val="1"/>
                      <w:sz w:val="18"/>
                      <w:szCs w:val="18"/>
                      <w:highlight w:val="none"/>
                    </w:rPr>
                    <w:t>〕自治区用水总量</w:t>
                  </w:r>
                  <w:r>
                    <w:rPr>
                      <w:rFonts w:ascii="Times New Roman" w:hAnsi="Times New Roman" w:eastAsia="Times New Roman" w:cs="Times New Roman"/>
                      <w:spacing w:val="1"/>
                      <w:sz w:val="18"/>
                      <w:szCs w:val="18"/>
                      <w:highlight w:val="none"/>
                    </w:rPr>
                    <w:t>2025</w:t>
                  </w:r>
                  <w:r>
                    <w:rPr>
                      <w:rFonts w:ascii="宋体" w:hAnsi="宋体" w:eastAsia="宋体" w:cs="宋体"/>
                      <w:spacing w:val="1"/>
                      <w:sz w:val="18"/>
                      <w:szCs w:val="18"/>
                      <w:highlight w:val="none"/>
                    </w:rPr>
                    <w:t>年、</w:t>
                  </w:r>
                  <w:r>
                    <w:rPr>
                      <w:rFonts w:ascii="Times New Roman" w:hAnsi="Times New Roman" w:eastAsia="Times New Roman" w:cs="Times New Roman"/>
                      <w:spacing w:val="7"/>
                      <w:sz w:val="18"/>
                      <w:szCs w:val="18"/>
                      <w:highlight w:val="none"/>
                    </w:rPr>
                    <w:t>2030</w:t>
                  </w:r>
                  <w:r>
                    <w:rPr>
                      <w:rFonts w:ascii="宋体" w:hAnsi="宋体" w:eastAsia="宋体" w:cs="宋体"/>
                      <w:spacing w:val="7"/>
                      <w:sz w:val="18"/>
                      <w:szCs w:val="18"/>
                      <w:highlight w:val="none"/>
                    </w:rPr>
                    <w:t>年控制在国家下达的指标内。</w:t>
                  </w:r>
                </w:p>
              </w:tc>
              <w:tc>
                <w:tcPr>
                  <w:tcW w:w="1579" w:type="pct"/>
                  <w:vMerge w:val="restart"/>
                  <w:tcBorders>
                    <w:tl2br w:val="nil"/>
                    <w:tr2bl w:val="nil"/>
                  </w:tcBorders>
                  <w:noWrap w:val="0"/>
                  <w:vAlign w:val="center"/>
                </w:tcPr>
                <w:p w14:paraId="6BA2CE2B">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eastAsia" w:ascii="宋体" w:hAnsi="宋体" w:eastAsia="宋体" w:cs="宋体"/>
                      <w:spacing w:val="9"/>
                      <w:sz w:val="18"/>
                      <w:szCs w:val="18"/>
                      <w:highlight w:val="none"/>
                      <w:lang w:eastAsia="zh-CN"/>
                    </w:rPr>
                  </w:pPr>
                  <w:r>
                    <w:rPr>
                      <w:rFonts w:hint="eastAsia" w:ascii="宋体" w:hAnsi="宋体" w:eastAsia="宋体" w:cs="宋体"/>
                      <w:spacing w:val="1"/>
                      <w:sz w:val="18"/>
                      <w:szCs w:val="18"/>
                      <w:highlight w:val="none"/>
                      <w:lang w:val="en-US" w:eastAsia="zh-CN"/>
                    </w:rPr>
                    <w:t>不涉及</w:t>
                  </w:r>
                </w:p>
              </w:tc>
              <w:tc>
                <w:tcPr>
                  <w:tcW w:w="166" w:type="pct"/>
                  <w:tcBorders>
                    <w:tl2br w:val="nil"/>
                    <w:tr2bl w:val="nil"/>
                  </w:tcBorders>
                  <w:noWrap w:val="0"/>
                  <w:vAlign w:val="center"/>
                </w:tcPr>
                <w:p w14:paraId="27C91F9A">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124D9F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25F1CF66">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3EF91BE3">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p>
              </w:tc>
              <w:tc>
                <w:tcPr>
                  <w:tcW w:w="442" w:type="pct"/>
                  <w:vMerge w:val="continue"/>
                  <w:tcBorders>
                    <w:tl2br w:val="nil"/>
                    <w:tr2bl w:val="nil"/>
                  </w:tcBorders>
                  <w:noWrap w:val="0"/>
                  <w:vAlign w:val="center"/>
                </w:tcPr>
                <w:p w14:paraId="001F63E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Times New Roman" w:hAnsi="Times New Roman" w:eastAsia="Times New Roman" w:cs="Times New Roman"/>
                      <w:spacing w:val="4"/>
                      <w:sz w:val="18"/>
                      <w:szCs w:val="18"/>
                      <w:highlight w:val="none"/>
                    </w:rPr>
                  </w:pPr>
                </w:p>
              </w:tc>
              <w:tc>
                <w:tcPr>
                  <w:tcW w:w="2302" w:type="pct"/>
                  <w:tcBorders>
                    <w:tl2br w:val="nil"/>
                    <w:tr2bl w:val="nil"/>
                  </w:tcBorders>
                  <w:noWrap w:val="0"/>
                  <w:vAlign w:val="center"/>
                </w:tcPr>
                <w:p w14:paraId="167ACB58">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4"/>
                      <w:sz w:val="18"/>
                      <w:szCs w:val="18"/>
                      <w:highlight w:val="none"/>
                    </w:rPr>
                  </w:pPr>
                  <w:r>
                    <w:rPr>
                      <w:rFonts w:ascii="宋体" w:hAnsi="宋体" w:eastAsia="宋体" w:cs="宋体"/>
                      <w:spacing w:val="3"/>
                      <w:sz w:val="18"/>
                      <w:szCs w:val="18"/>
                      <w:highlight w:val="none"/>
                    </w:rPr>
                    <w:t>〔</w:t>
                  </w:r>
                  <w:r>
                    <w:rPr>
                      <w:rFonts w:ascii="Times New Roman" w:hAnsi="Times New Roman" w:eastAsia="Times New Roman" w:cs="Times New Roman"/>
                      <w:spacing w:val="3"/>
                      <w:sz w:val="18"/>
                      <w:szCs w:val="18"/>
                      <w:highlight w:val="none"/>
                    </w:rPr>
                    <w:t>A4.1-4</w:t>
                  </w:r>
                  <w:r>
                    <w:rPr>
                      <w:rFonts w:ascii="宋体" w:hAnsi="宋体" w:eastAsia="宋体" w:cs="宋体"/>
                      <w:spacing w:val="3"/>
                      <w:sz w:val="18"/>
                      <w:szCs w:val="18"/>
                      <w:highlight w:val="none"/>
                    </w:rPr>
                    <w:t>〕地下水资源利用实行总量控</w:t>
                  </w:r>
                  <w:r>
                    <w:rPr>
                      <w:rFonts w:ascii="宋体" w:hAnsi="宋体" w:eastAsia="宋体" w:cs="宋体"/>
                      <w:spacing w:val="4"/>
                      <w:sz w:val="18"/>
                      <w:szCs w:val="18"/>
                      <w:highlight w:val="none"/>
                    </w:rPr>
                    <w:t>制和水位控制。取用地下水资源，应当</w:t>
                  </w:r>
                  <w:r>
                    <w:rPr>
                      <w:rFonts w:ascii="宋体" w:hAnsi="宋体" w:eastAsia="宋体" w:cs="宋体"/>
                      <w:spacing w:val="17"/>
                      <w:sz w:val="18"/>
                      <w:szCs w:val="18"/>
                      <w:highlight w:val="none"/>
                    </w:rPr>
                    <w:t>按照国家和自治区有关规定申请取水</w:t>
                  </w:r>
                  <w:r>
                    <w:rPr>
                      <w:rFonts w:ascii="宋体" w:hAnsi="宋体" w:eastAsia="宋体" w:cs="宋体"/>
                      <w:spacing w:val="4"/>
                      <w:sz w:val="18"/>
                      <w:szCs w:val="18"/>
                      <w:highlight w:val="none"/>
                    </w:rPr>
                    <w:t>许可。地下水利用应当以浅层地下水为</w:t>
                  </w:r>
                  <w:r>
                    <w:rPr>
                      <w:rFonts w:ascii="宋体" w:hAnsi="宋体" w:eastAsia="宋体" w:cs="宋体"/>
                      <w:sz w:val="18"/>
                      <w:szCs w:val="18"/>
                      <w:highlight w:val="none"/>
                    </w:rPr>
                    <w:t>主。</w:t>
                  </w:r>
                </w:p>
              </w:tc>
              <w:tc>
                <w:tcPr>
                  <w:tcW w:w="1579" w:type="pct"/>
                  <w:vMerge w:val="continue"/>
                  <w:tcBorders>
                    <w:tl2br w:val="nil"/>
                    <w:tr2bl w:val="nil"/>
                  </w:tcBorders>
                  <w:noWrap w:val="0"/>
                  <w:vAlign w:val="center"/>
                </w:tcPr>
                <w:p w14:paraId="377B040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pacing w:val="9"/>
                      <w:sz w:val="18"/>
                      <w:szCs w:val="18"/>
                      <w:highlight w:val="none"/>
                    </w:rPr>
                  </w:pPr>
                </w:p>
              </w:tc>
              <w:tc>
                <w:tcPr>
                  <w:tcW w:w="166" w:type="pct"/>
                  <w:tcBorders>
                    <w:tl2br w:val="nil"/>
                    <w:tr2bl w:val="nil"/>
                  </w:tcBorders>
                  <w:noWrap w:val="0"/>
                  <w:vAlign w:val="center"/>
                </w:tcPr>
                <w:p w14:paraId="0DE283E5">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72124F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2B7035D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6023EA3C">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p>
              </w:tc>
              <w:tc>
                <w:tcPr>
                  <w:tcW w:w="442" w:type="pct"/>
                  <w:tcBorders>
                    <w:tl2br w:val="nil"/>
                    <w:tr2bl w:val="nil"/>
                  </w:tcBorders>
                  <w:noWrap w:val="0"/>
                  <w:vAlign w:val="center"/>
                </w:tcPr>
                <w:p w14:paraId="4B9BEB64">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r>
                    <w:rPr>
                      <w:rFonts w:ascii="Times New Roman" w:hAnsi="Times New Roman" w:eastAsia="Times New Roman" w:cs="Times New Roman"/>
                      <w:spacing w:val="4"/>
                      <w:sz w:val="18"/>
                      <w:szCs w:val="18"/>
                      <w:highlight w:val="none"/>
                    </w:rPr>
                    <w:t>A4.2</w:t>
                  </w:r>
                  <w:r>
                    <w:rPr>
                      <w:rFonts w:ascii="宋体" w:hAnsi="宋体" w:eastAsia="宋体" w:cs="宋体"/>
                      <w:spacing w:val="4"/>
                      <w:sz w:val="18"/>
                      <w:szCs w:val="18"/>
                      <w:highlight w:val="none"/>
                    </w:rPr>
                    <w:t>土地资源</w:t>
                  </w:r>
                </w:p>
              </w:tc>
              <w:tc>
                <w:tcPr>
                  <w:tcW w:w="2302" w:type="pct"/>
                  <w:tcBorders>
                    <w:tl2br w:val="nil"/>
                    <w:tr2bl w:val="nil"/>
                  </w:tcBorders>
                  <w:noWrap w:val="0"/>
                  <w:vAlign w:val="center"/>
                </w:tcPr>
                <w:p w14:paraId="68B37EBC">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宋体" w:hAnsi="宋体" w:eastAsia="宋体" w:cs="宋体"/>
                      <w:spacing w:val="3"/>
                      <w:sz w:val="18"/>
                      <w:szCs w:val="18"/>
                      <w:highlight w:val="none"/>
                    </w:rPr>
                  </w:pPr>
                  <w:r>
                    <w:rPr>
                      <w:rFonts w:ascii="宋体" w:hAnsi="宋体" w:eastAsia="宋体" w:cs="宋体"/>
                      <w:spacing w:val="4"/>
                      <w:sz w:val="18"/>
                      <w:szCs w:val="18"/>
                      <w:highlight w:val="none"/>
                    </w:rPr>
                    <w:t>〔</w:t>
                  </w:r>
                  <w:r>
                    <w:rPr>
                      <w:rFonts w:ascii="Times New Roman" w:hAnsi="Times New Roman" w:eastAsia="Times New Roman" w:cs="Times New Roman"/>
                      <w:spacing w:val="4"/>
                      <w:sz w:val="18"/>
                      <w:szCs w:val="18"/>
                      <w:highlight w:val="none"/>
                    </w:rPr>
                    <w:t>A4.2-1</w:t>
                  </w:r>
                  <w:r>
                    <w:rPr>
                      <w:rFonts w:ascii="宋体" w:hAnsi="宋体" w:eastAsia="宋体" w:cs="宋体"/>
                      <w:spacing w:val="4"/>
                      <w:sz w:val="18"/>
                      <w:szCs w:val="18"/>
                      <w:highlight w:val="none"/>
                    </w:rPr>
                    <w:t>〕土地资源上线指标控制在最</w:t>
                  </w:r>
                  <w:r>
                    <w:rPr>
                      <w:rFonts w:ascii="宋体" w:hAnsi="宋体" w:eastAsia="宋体" w:cs="宋体"/>
                      <w:spacing w:val="8"/>
                      <w:sz w:val="18"/>
                      <w:szCs w:val="18"/>
                      <w:highlight w:val="none"/>
                    </w:rPr>
                    <w:t>终批复的国土空间规划控制指标内。</w:t>
                  </w:r>
                </w:p>
              </w:tc>
              <w:tc>
                <w:tcPr>
                  <w:tcW w:w="1579" w:type="pct"/>
                  <w:tcBorders>
                    <w:tl2br w:val="nil"/>
                    <w:tr2bl w:val="nil"/>
                  </w:tcBorders>
                  <w:noWrap w:val="0"/>
                  <w:vAlign w:val="center"/>
                </w:tcPr>
                <w:p w14:paraId="116C121D">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pacing w:val="9"/>
                      <w:sz w:val="18"/>
                      <w:szCs w:val="18"/>
                      <w:highlight w:val="none"/>
                    </w:rPr>
                  </w:pPr>
                  <w:r>
                    <w:rPr>
                      <w:rFonts w:ascii="宋体" w:hAnsi="宋体" w:eastAsia="宋体" w:cs="宋体"/>
                      <w:spacing w:val="9"/>
                      <w:sz w:val="18"/>
                      <w:szCs w:val="18"/>
                      <w:highlight w:val="none"/>
                    </w:rPr>
                    <w:t>本工程占地应从土地资源节约</w:t>
                  </w:r>
                  <w:r>
                    <w:rPr>
                      <w:rFonts w:ascii="宋体" w:hAnsi="宋体" w:eastAsia="宋体" w:cs="宋体"/>
                      <w:spacing w:val="8"/>
                      <w:sz w:val="18"/>
                      <w:szCs w:val="18"/>
                      <w:highlight w:val="none"/>
                    </w:rPr>
                    <w:t>方面考虑，尽可能缩小占地面积</w:t>
                  </w:r>
                  <w:r>
                    <w:rPr>
                      <w:rFonts w:ascii="宋体" w:hAnsi="宋体" w:eastAsia="宋体" w:cs="宋体"/>
                      <w:spacing w:val="7"/>
                      <w:sz w:val="18"/>
                      <w:szCs w:val="18"/>
                      <w:highlight w:val="none"/>
                    </w:rPr>
                    <w:t>和控制施工范围。</w:t>
                  </w:r>
                </w:p>
              </w:tc>
              <w:tc>
                <w:tcPr>
                  <w:tcW w:w="166" w:type="pct"/>
                  <w:tcBorders>
                    <w:tl2br w:val="nil"/>
                    <w:tr2bl w:val="nil"/>
                  </w:tcBorders>
                  <w:noWrap w:val="0"/>
                  <w:vAlign w:val="center"/>
                </w:tcPr>
                <w:p w14:paraId="3AEAE6F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1350601E">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7B4510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02D3F909">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7" w:type="pct"/>
                  <w:vMerge w:val="continue"/>
                  <w:tcBorders>
                    <w:tl2br w:val="nil"/>
                    <w:tr2bl w:val="nil"/>
                  </w:tcBorders>
                  <w:noWrap w:val="0"/>
                  <w:vAlign w:val="center"/>
                </w:tcPr>
                <w:p w14:paraId="5D97EF84">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p>
              </w:tc>
              <w:tc>
                <w:tcPr>
                  <w:tcW w:w="442" w:type="pct"/>
                  <w:tcBorders>
                    <w:tl2br w:val="nil"/>
                    <w:tr2bl w:val="nil"/>
                  </w:tcBorders>
                  <w:noWrap w:val="0"/>
                  <w:vAlign w:val="center"/>
                </w:tcPr>
                <w:p w14:paraId="7989652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4824C6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4B597AA6">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55DF7E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2A7E09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BC32B3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6821FA7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3010403">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5B8EAE4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21A7D18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sz w:val="18"/>
                      <w:szCs w:val="18"/>
                      <w:highlight w:val="none"/>
                    </w:rPr>
                  </w:pPr>
                </w:p>
                <w:p w14:paraId="792C3F57">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4"/>
                      <w:sz w:val="18"/>
                      <w:szCs w:val="18"/>
                      <w:highlight w:val="none"/>
                    </w:rPr>
                  </w:pPr>
                  <w:r>
                    <w:rPr>
                      <w:rFonts w:ascii="Times New Roman" w:hAnsi="Times New Roman" w:eastAsia="Times New Roman" w:cs="Times New Roman"/>
                      <w:spacing w:val="4"/>
                      <w:sz w:val="18"/>
                      <w:szCs w:val="18"/>
                      <w:highlight w:val="none"/>
                    </w:rPr>
                    <w:t>A4.5</w:t>
                  </w:r>
                  <w:r>
                    <w:rPr>
                      <w:rFonts w:ascii="宋体" w:hAnsi="宋体" w:eastAsia="宋体" w:cs="宋体"/>
                      <w:spacing w:val="4"/>
                      <w:sz w:val="18"/>
                      <w:szCs w:val="18"/>
                      <w:highlight w:val="none"/>
                    </w:rPr>
                    <w:t>资源综合利用</w:t>
                  </w:r>
                </w:p>
              </w:tc>
              <w:tc>
                <w:tcPr>
                  <w:tcW w:w="2302" w:type="pct"/>
                  <w:tcBorders>
                    <w:tl2br w:val="nil"/>
                    <w:tr2bl w:val="nil"/>
                  </w:tcBorders>
                  <w:noWrap w:val="0"/>
                  <w:vAlign w:val="center"/>
                </w:tcPr>
                <w:p w14:paraId="34ACA76F">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ascii="宋体" w:hAnsi="宋体" w:eastAsia="宋体" w:cs="宋体"/>
                      <w:spacing w:val="10"/>
                      <w:sz w:val="18"/>
                      <w:szCs w:val="18"/>
                      <w:highlight w:val="none"/>
                    </w:rPr>
                  </w:pPr>
                  <w:r>
                    <w:rPr>
                      <w:rFonts w:ascii="宋体" w:hAnsi="宋体" w:eastAsia="宋体" w:cs="宋体"/>
                      <w:spacing w:val="2"/>
                      <w:sz w:val="18"/>
                      <w:szCs w:val="18"/>
                      <w:highlight w:val="none"/>
                    </w:rPr>
                    <w:t>〔</w:t>
                  </w:r>
                  <w:r>
                    <w:rPr>
                      <w:rFonts w:ascii="Times New Roman" w:hAnsi="Times New Roman" w:eastAsia="Times New Roman" w:cs="Times New Roman"/>
                      <w:spacing w:val="2"/>
                      <w:sz w:val="18"/>
                      <w:szCs w:val="18"/>
                      <w:highlight w:val="none"/>
                    </w:rPr>
                    <w:t>A4.5-1</w:t>
                  </w:r>
                  <w:r>
                    <w:rPr>
                      <w:rFonts w:ascii="宋体" w:hAnsi="宋体" w:eastAsia="宋体" w:cs="宋体"/>
                      <w:spacing w:val="2"/>
                      <w:sz w:val="18"/>
                      <w:szCs w:val="18"/>
                      <w:highlight w:val="none"/>
                    </w:rPr>
                    <w:t>〕加强固体废物源头减量、资</w:t>
                  </w:r>
                  <w:r>
                    <w:rPr>
                      <w:rFonts w:ascii="宋体" w:hAnsi="宋体" w:eastAsia="宋体" w:cs="宋体"/>
                      <w:spacing w:val="1"/>
                      <w:sz w:val="18"/>
                      <w:szCs w:val="18"/>
                      <w:highlight w:val="none"/>
                    </w:rPr>
                    <w:t>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w:t>
                  </w:r>
                  <w:r>
                    <w:rPr>
                      <w:rFonts w:ascii="宋体" w:hAnsi="宋体" w:eastAsia="宋体" w:cs="宋体"/>
                      <w:sz w:val="18"/>
                      <w:szCs w:val="18"/>
                      <w:highlight w:val="none"/>
                    </w:rPr>
                    <w:t>企业“逆向回收”等模式。以尾矿和共</w:t>
                  </w:r>
                  <w:r>
                    <w:rPr>
                      <w:rFonts w:ascii="宋体" w:hAnsi="宋体" w:eastAsia="宋体" w:cs="宋体"/>
                      <w:spacing w:val="1"/>
                      <w:sz w:val="18"/>
                      <w:szCs w:val="18"/>
                      <w:highlight w:val="none"/>
                    </w:rPr>
                    <w:t>伴生矿、煤矸石、炉渣、粉煤灰、脱硫石膏、冶炼渣、建筑垃圾等为重点，持</w:t>
                  </w:r>
                  <w:r>
                    <w:rPr>
                      <w:rFonts w:ascii="宋体" w:hAnsi="宋体" w:eastAsia="宋体" w:cs="宋体"/>
                      <w:spacing w:val="4"/>
                      <w:sz w:val="18"/>
                      <w:szCs w:val="18"/>
                      <w:highlight w:val="none"/>
                    </w:rPr>
                    <w:t>续推进固体废物综合利用和环境整治，</w:t>
                  </w:r>
                  <w:r>
                    <w:rPr>
                      <w:rFonts w:ascii="宋体" w:hAnsi="宋体" w:eastAsia="宋体" w:cs="宋体"/>
                      <w:spacing w:val="14"/>
                      <w:sz w:val="18"/>
                      <w:szCs w:val="18"/>
                      <w:highlight w:val="none"/>
                    </w:rPr>
                    <w:t>不断提高大宗固体废物资源化利用水平。推行生活垃圾分类，加快建设县</w:t>
                  </w:r>
                  <w:r>
                    <w:rPr>
                      <w:rFonts w:ascii="宋体" w:hAnsi="宋体" w:eastAsia="宋体" w:cs="宋体"/>
                      <w:spacing w:val="-2"/>
                      <w:sz w:val="18"/>
                      <w:szCs w:val="18"/>
                      <w:highlight w:val="none"/>
                    </w:rPr>
                    <w:t>（市）生活垃圾处理设施，到</w:t>
                  </w:r>
                  <w:r>
                    <w:rPr>
                      <w:rFonts w:ascii="Times New Roman" w:hAnsi="Times New Roman" w:eastAsia="Times New Roman" w:cs="Times New Roman"/>
                      <w:spacing w:val="-2"/>
                      <w:sz w:val="18"/>
                      <w:szCs w:val="18"/>
                      <w:highlight w:val="none"/>
                    </w:rPr>
                    <w:t>2025</w:t>
                  </w:r>
                  <w:r>
                    <w:rPr>
                      <w:rFonts w:ascii="宋体" w:hAnsi="宋体" w:eastAsia="宋体" w:cs="宋体"/>
                      <w:spacing w:val="-2"/>
                      <w:sz w:val="18"/>
                      <w:szCs w:val="18"/>
                      <w:highlight w:val="none"/>
                    </w:rPr>
                    <w:t>年，</w:t>
                  </w:r>
                  <w:r>
                    <w:rPr>
                      <w:rFonts w:ascii="宋体" w:hAnsi="宋体" w:eastAsia="宋体" w:cs="宋体"/>
                      <w:spacing w:val="14"/>
                      <w:sz w:val="18"/>
                      <w:szCs w:val="18"/>
                      <w:highlight w:val="none"/>
                    </w:rPr>
                    <w:t>全疆城市生活垃圾无害化处理率达到</w:t>
                  </w:r>
                  <w:r>
                    <w:rPr>
                      <w:rFonts w:ascii="Times New Roman" w:hAnsi="Times New Roman" w:eastAsia="Times New Roman" w:cs="Times New Roman"/>
                      <w:spacing w:val="2"/>
                      <w:sz w:val="18"/>
                      <w:szCs w:val="18"/>
                      <w:highlight w:val="none"/>
                    </w:rPr>
                    <w:t>99%</w:t>
                  </w:r>
                  <w:r>
                    <w:rPr>
                      <w:rFonts w:ascii="宋体" w:hAnsi="宋体" w:eastAsia="宋体" w:cs="宋体"/>
                      <w:spacing w:val="2"/>
                      <w:sz w:val="18"/>
                      <w:szCs w:val="18"/>
                      <w:highlight w:val="none"/>
                    </w:rPr>
                    <w:t>以上。</w:t>
                  </w:r>
                </w:p>
              </w:tc>
              <w:tc>
                <w:tcPr>
                  <w:tcW w:w="1579" w:type="pct"/>
                  <w:tcBorders>
                    <w:tl2br w:val="nil"/>
                    <w:tr2bl w:val="nil"/>
                  </w:tcBorders>
                  <w:noWrap w:val="0"/>
                  <w:vAlign w:val="center"/>
                </w:tcPr>
                <w:p w14:paraId="6FF32B22">
                  <w:pPr>
                    <w:keepNext w:val="0"/>
                    <w:keepLines w:val="0"/>
                    <w:pageBreakBefore w:val="0"/>
                    <w:widowControl w:val="0"/>
                    <w:shd w:val="clear" w:color="auto" w:fill="auto"/>
                    <w:kinsoku/>
                    <w:wordWrap/>
                    <w:overflowPunct/>
                    <w:topLinePunct w:val="0"/>
                    <w:bidi w:val="0"/>
                    <w:adjustRightInd/>
                    <w:snapToGrid/>
                    <w:spacing w:line="240" w:lineRule="auto"/>
                    <w:ind w:left="0" w:right="0" w:rightChars="0" w:firstLine="0"/>
                    <w:jc w:val="center"/>
                    <w:textAlignment w:val="auto"/>
                    <w:rPr>
                      <w:rFonts w:ascii="宋体" w:hAnsi="宋体" w:eastAsia="宋体" w:cs="宋体"/>
                      <w:spacing w:val="5"/>
                      <w:sz w:val="18"/>
                      <w:szCs w:val="18"/>
                      <w:highlight w:val="none"/>
                    </w:rPr>
                  </w:pPr>
                  <w:r>
                    <w:rPr>
                      <w:rFonts w:ascii="宋体" w:hAnsi="宋体" w:eastAsia="宋体" w:cs="宋体"/>
                      <w:spacing w:val="9"/>
                      <w:sz w:val="18"/>
                      <w:szCs w:val="18"/>
                      <w:highlight w:val="none"/>
                    </w:rPr>
                    <w:t>工程产生的</w:t>
                  </w:r>
                  <w:r>
                    <w:rPr>
                      <w:rFonts w:hint="eastAsia" w:ascii="宋体" w:hAnsi="宋体" w:eastAsia="宋体" w:cs="宋体"/>
                      <w:spacing w:val="9"/>
                      <w:sz w:val="18"/>
                      <w:szCs w:val="18"/>
                      <w:highlight w:val="none"/>
                      <w:lang w:val="en-US" w:eastAsia="zh-CN"/>
                    </w:rPr>
                    <w:t>施工弃土、沉淀池泥沙等全部拉运至项目取土场堆存用于生态恢复，废弃沥青集中收集运至主管部门指定地点处置，施工人员生活垃圾集中收集交由环卫部门清运处理，工程产生的各类固废</w:t>
                  </w:r>
                  <w:r>
                    <w:rPr>
                      <w:rFonts w:ascii="宋体" w:hAnsi="宋体" w:eastAsia="宋体" w:cs="宋体"/>
                      <w:spacing w:val="9"/>
                      <w:sz w:val="18"/>
                      <w:szCs w:val="18"/>
                      <w:highlight w:val="none"/>
                    </w:rPr>
                    <w:t>全部</w:t>
                  </w:r>
                  <w:r>
                    <w:rPr>
                      <w:rFonts w:ascii="宋体" w:hAnsi="宋体" w:eastAsia="宋体" w:cs="宋体"/>
                      <w:spacing w:val="5"/>
                      <w:sz w:val="18"/>
                      <w:szCs w:val="18"/>
                      <w:highlight w:val="none"/>
                    </w:rPr>
                    <w:t>妥善处置。</w:t>
                  </w:r>
                </w:p>
              </w:tc>
              <w:tc>
                <w:tcPr>
                  <w:tcW w:w="166" w:type="pct"/>
                  <w:tcBorders>
                    <w:tl2br w:val="nil"/>
                    <w:tr2bl w:val="nil"/>
                  </w:tcBorders>
                  <w:noWrap w:val="0"/>
                  <w:vAlign w:val="center"/>
                </w:tcPr>
                <w:p w14:paraId="410CC401">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bl>
          <w:p w14:paraId="0BC1B9CD">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2" w:firstLineChars="200"/>
              <w:textAlignment w:val="auto"/>
              <w:rPr>
                <w:b/>
                <w:color w:val="auto"/>
                <w:sz w:val="24"/>
                <w:highlight w:val="none"/>
              </w:rPr>
            </w:pPr>
            <w:r>
              <w:rPr>
                <w:rFonts w:hint="eastAsia"/>
                <w:b/>
                <w:color w:val="auto"/>
                <w:sz w:val="24"/>
                <w:highlight w:val="none"/>
                <w:lang w:val="en-US" w:eastAsia="zh-CN"/>
              </w:rPr>
              <w:t>3</w:t>
            </w:r>
            <w:r>
              <w:rPr>
                <w:b/>
                <w:color w:val="auto"/>
                <w:sz w:val="24"/>
                <w:highlight w:val="none"/>
              </w:rPr>
              <w:t>、与</w:t>
            </w:r>
            <w:r>
              <w:rPr>
                <w:rFonts w:hint="eastAsia"/>
                <w:b/>
                <w:color w:val="auto"/>
                <w:sz w:val="24"/>
                <w:highlight w:val="none"/>
              </w:rPr>
              <w:t>巴音郭楞蒙古自治州生态环境准入清单（2023年）</w:t>
            </w:r>
            <w:r>
              <w:rPr>
                <w:b/>
                <w:color w:val="auto"/>
                <w:sz w:val="24"/>
                <w:highlight w:val="none"/>
              </w:rPr>
              <w:t>的符合性分析</w:t>
            </w:r>
          </w:p>
          <w:p w14:paraId="5FCFF12A">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auto"/>
              <w:rPr>
                <w:b/>
                <w:bCs/>
                <w:color w:val="auto"/>
                <w:kern w:val="0"/>
                <w:sz w:val="24"/>
                <w:highlight w:val="none"/>
              </w:rPr>
            </w:pPr>
            <w:r>
              <w:rPr>
                <w:rFonts w:hint="default" w:ascii="Times New Roman" w:hAnsi="Times New Roman" w:cs="Times New Roman"/>
                <w:color w:val="auto"/>
                <w:sz w:val="24"/>
                <w:szCs w:val="20"/>
                <w:highlight w:val="none"/>
              </w:rPr>
              <w:t>通过对比巴音郭楞蒙古自治州生态环境准入清单（2023年），项目</w:t>
            </w:r>
            <w:r>
              <w:rPr>
                <w:rFonts w:hint="eastAsia" w:ascii="Times New Roman" w:hAnsi="Times New Roman" w:cs="Times New Roman"/>
                <w:color w:val="auto"/>
                <w:sz w:val="24"/>
                <w:szCs w:val="20"/>
                <w:highlight w:val="none"/>
                <w:lang w:val="en-US" w:eastAsia="zh-CN"/>
              </w:rPr>
              <w:t>占地为</w:t>
            </w:r>
            <w:r>
              <w:rPr>
                <w:rFonts w:hint="eastAsia" w:ascii="宋体" w:hAnsi="宋体" w:eastAsia="宋体" w:cs="宋体"/>
                <w:color w:val="auto"/>
                <w:sz w:val="24"/>
                <w:szCs w:val="20"/>
                <w:highlight w:val="none"/>
                <w:lang w:val="en-US" w:eastAsia="zh-CN"/>
              </w:rPr>
              <w:t>轮台县重点</w:t>
            </w:r>
            <w:r>
              <w:rPr>
                <w:rFonts w:hint="eastAsia" w:ascii="宋体" w:hAnsi="宋体" w:eastAsia="宋体" w:cs="宋体"/>
                <w:color w:val="auto"/>
                <w:sz w:val="24"/>
                <w:szCs w:val="20"/>
                <w:highlight w:val="none"/>
              </w:rPr>
              <w:t>管控单元</w:t>
            </w:r>
            <w:r>
              <w:rPr>
                <w:rFonts w:hint="eastAsia" w:ascii="宋体" w:hAnsi="宋体" w:eastAsia="宋体" w:cs="宋体"/>
                <w:color w:val="auto"/>
                <w:sz w:val="24"/>
                <w:szCs w:val="20"/>
                <w:highlight w:val="none"/>
                <w:lang w:eastAsia="zh-CN"/>
              </w:rPr>
              <w:t>，</w:t>
            </w:r>
            <w:r>
              <w:rPr>
                <w:rFonts w:hint="default" w:ascii="Times New Roman" w:hAnsi="Times New Roman" w:eastAsia="宋体" w:cs="Times New Roman"/>
                <w:color w:val="auto"/>
                <w:sz w:val="24"/>
                <w:szCs w:val="20"/>
                <w:highlight w:val="none"/>
              </w:rPr>
              <w:t>管控单元编码ZH65282220003、管控单元名</w:t>
            </w:r>
            <w:r>
              <w:rPr>
                <w:rFonts w:hint="eastAsia" w:ascii="宋体" w:hAnsi="宋体" w:eastAsia="宋体" w:cs="宋体"/>
                <w:color w:val="auto"/>
                <w:sz w:val="24"/>
                <w:szCs w:val="20"/>
                <w:highlight w:val="none"/>
              </w:rPr>
              <w:t>称“</w:t>
            </w:r>
            <w:r>
              <w:rPr>
                <w:rFonts w:hint="eastAsia" w:ascii="宋体" w:hAnsi="宋体" w:eastAsia="宋体" w:cs="宋体"/>
                <w:color w:val="auto"/>
                <w:sz w:val="24"/>
                <w:szCs w:val="20"/>
                <w:highlight w:val="none"/>
                <w:lang w:val="en-US" w:eastAsia="zh-CN"/>
              </w:rPr>
              <w:t>轮台县工业水污染重点管控区</w:t>
            </w:r>
            <w:r>
              <w:rPr>
                <w:rFonts w:hint="eastAsia" w:ascii="宋体" w:hAnsi="宋体" w:eastAsia="宋体" w:cs="宋体"/>
                <w:color w:val="auto"/>
                <w:sz w:val="24"/>
                <w:szCs w:val="20"/>
                <w:highlight w:val="none"/>
              </w:rPr>
              <w:t>”</w:t>
            </w:r>
            <w:r>
              <w:rPr>
                <w:rFonts w:hint="default" w:ascii="Times New Roman" w:hAnsi="Times New Roman" w:eastAsia="宋体" w:cs="Times New Roman"/>
                <w:color w:val="auto"/>
                <w:sz w:val="24"/>
                <w:szCs w:val="20"/>
                <w:highlight w:val="none"/>
              </w:rPr>
              <w:t>，</w:t>
            </w:r>
            <w:r>
              <w:rPr>
                <w:rFonts w:hint="default" w:ascii="Times New Roman" w:hAnsi="Times New Roman" w:cs="Times New Roman"/>
                <w:color w:val="auto"/>
                <w:sz w:val="24"/>
                <w:szCs w:val="20"/>
                <w:highlight w:val="none"/>
              </w:rPr>
              <w:t>管控单元类别：</w:t>
            </w:r>
            <w:r>
              <w:rPr>
                <w:rFonts w:hint="eastAsia" w:ascii="Times New Roman" w:hAnsi="Times New Roman" w:cs="Times New Roman"/>
                <w:color w:val="auto"/>
                <w:sz w:val="24"/>
                <w:szCs w:val="20"/>
                <w:highlight w:val="none"/>
                <w:lang w:val="en-US" w:eastAsia="zh-CN"/>
              </w:rPr>
              <w:t>重点</w:t>
            </w:r>
            <w:r>
              <w:rPr>
                <w:rFonts w:hint="default" w:ascii="Times New Roman" w:hAnsi="Times New Roman" w:cs="Times New Roman"/>
                <w:color w:val="auto"/>
                <w:sz w:val="24"/>
                <w:szCs w:val="20"/>
                <w:highlight w:val="none"/>
              </w:rPr>
              <w:t>管</w:t>
            </w:r>
            <w:r>
              <w:rPr>
                <w:color w:val="auto"/>
                <w:sz w:val="24"/>
                <w:szCs w:val="20"/>
                <w:highlight w:val="none"/>
              </w:rPr>
              <w:t>控单元</w:t>
            </w:r>
            <w:r>
              <w:rPr>
                <w:rFonts w:hint="eastAsia"/>
                <w:color w:val="auto"/>
                <w:sz w:val="24"/>
                <w:szCs w:val="20"/>
                <w:highlight w:val="none"/>
              </w:rPr>
              <w:t>。</w:t>
            </w:r>
          </w:p>
          <w:p w14:paraId="2AFCBC26">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center"/>
              <w:textAlignment w:val="auto"/>
              <w:rPr>
                <w:b/>
                <w:bCs/>
                <w:color w:val="auto"/>
                <w:kern w:val="0"/>
                <w:sz w:val="24"/>
                <w:highlight w:val="none"/>
              </w:rPr>
            </w:pPr>
            <w:r>
              <w:rPr>
                <w:b/>
                <w:bCs/>
                <w:color w:val="auto"/>
                <w:kern w:val="0"/>
                <w:sz w:val="21"/>
                <w:szCs w:val="21"/>
                <w:highlight w:val="none"/>
              </w:rPr>
              <w:t>表1-</w:t>
            </w:r>
            <w:r>
              <w:rPr>
                <w:rFonts w:hint="eastAsia"/>
                <w:b/>
                <w:bCs/>
                <w:color w:val="auto"/>
                <w:kern w:val="0"/>
                <w:sz w:val="21"/>
                <w:szCs w:val="21"/>
                <w:highlight w:val="none"/>
                <w:lang w:val="en-US" w:eastAsia="zh-CN"/>
              </w:rPr>
              <w:t>4</w:t>
            </w:r>
            <w:r>
              <w:rPr>
                <w:b/>
                <w:bCs/>
                <w:color w:val="auto"/>
                <w:kern w:val="0"/>
                <w:sz w:val="21"/>
                <w:szCs w:val="21"/>
                <w:highlight w:val="none"/>
              </w:rPr>
              <w:t xml:space="preserve">    项目与</w:t>
            </w:r>
            <w:r>
              <w:rPr>
                <w:rFonts w:hint="default" w:ascii="宋体" w:hAnsi="宋体" w:eastAsia="宋体" w:cs="宋体"/>
                <w:b/>
                <w:bCs/>
                <w:spacing w:val="-2"/>
                <w:sz w:val="21"/>
                <w:szCs w:val="21"/>
                <w:highlight w:val="none"/>
              </w:rPr>
              <w:t>巴音郭楞蒙古自治州生态环境准入清单（2023年）</w:t>
            </w:r>
            <w:r>
              <w:rPr>
                <w:rFonts w:ascii="宋体" w:hAnsi="宋体" w:eastAsia="宋体" w:cs="宋体"/>
                <w:b/>
                <w:bCs/>
                <w:spacing w:val="-2"/>
                <w:sz w:val="21"/>
                <w:szCs w:val="21"/>
                <w:highlight w:val="none"/>
              </w:rPr>
              <w:t>符合性分析</w:t>
            </w:r>
            <w:r>
              <w:rPr>
                <w:b/>
                <w:bCs/>
                <w:color w:val="auto"/>
                <w:kern w:val="0"/>
                <w:sz w:val="21"/>
                <w:szCs w:val="21"/>
                <w:highlight w:val="none"/>
              </w:rPr>
              <w:t>一览表</w:t>
            </w:r>
          </w:p>
          <w:tbl>
            <w:tblPr>
              <w:tblStyle w:val="71"/>
              <w:tblW w:w="49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04"/>
              <w:gridCol w:w="283"/>
              <w:gridCol w:w="3072"/>
              <w:gridCol w:w="2744"/>
              <w:gridCol w:w="223"/>
            </w:tblGrid>
            <w:tr w14:paraId="2427029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0" w:hRule="atLeast"/>
                <w:jc w:val="center"/>
              </w:trPr>
              <w:tc>
                <w:tcPr>
                  <w:tcW w:w="156" w:type="pct"/>
                  <w:tcBorders>
                    <w:tl2br w:val="nil"/>
                    <w:tr2bl w:val="nil"/>
                  </w:tcBorders>
                  <w:noWrap w:val="0"/>
                  <w:vAlign w:val="center"/>
                </w:tcPr>
                <w:p w14:paraId="58D01A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18"/>
                      <w:szCs w:val="18"/>
                      <w:highlight w:val="none"/>
                    </w:rPr>
                  </w:pPr>
                  <w:r>
                    <w:rPr>
                      <w:rFonts w:ascii="宋体" w:hAnsi="宋体" w:eastAsia="宋体" w:cs="宋体"/>
                      <w:b/>
                      <w:bCs/>
                      <w:spacing w:val="3"/>
                      <w:sz w:val="18"/>
                      <w:szCs w:val="18"/>
                      <w:highlight w:val="none"/>
                    </w:rPr>
                    <w:t>名称</w:t>
                  </w:r>
                </w:p>
              </w:tc>
              <w:tc>
                <w:tcPr>
                  <w:tcW w:w="2569" w:type="pct"/>
                  <w:gridSpan w:val="2"/>
                  <w:tcBorders>
                    <w:tl2br w:val="nil"/>
                    <w:tr2bl w:val="nil"/>
                  </w:tcBorders>
                  <w:noWrap w:val="0"/>
                  <w:vAlign w:val="center"/>
                </w:tcPr>
                <w:p w14:paraId="383DF34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18"/>
                      <w:szCs w:val="18"/>
                      <w:highlight w:val="none"/>
                    </w:rPr>
                  </w:pPr>
                  <w:r>
                    <w:rPr>
                      <w:rFonts w:ascii="宋体" w:hAnsi="宋体" w:eastAsia="宋体" w:cs="宋体"/>
                      <w:b/>
                      <w:bCs/>
                      <w:spacing w:val="6"/>
                      <w:sz w:val="18"/>
                      <w:szCs w:val="18"/>
                      <w:highlight w:val="none"/>
                    </w:rPr>
                    <w:t>管控要求</w:t>
                  </w:r>
                </w:p>
              </w:tc>
              <w:tc>
                <w:tcPr>
                  <w:tcW w:w="2101" w:type="pct"/>
                  <w:tcBorders>
                    <w:tl2br w:val="nil"/>
                    <w:tr2bl w:val="nil"/>
                  </w:tcBorders>
                  <w:noWrap w:val="0"/>
                  <w:vAlign w:val="center"/>
                </w:tcPr>
                <w:p w14:paraId="03CD0FE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18"/>
                      <w:szCs w:val="18"/>
                      <w:highlight w:val="none"/>
                    </w:rPr>
                  </w:pPr>
                  <w:r>
                    <w:rPr>
                      <w:rFonts w:ascii="宋体" w:hAnsi="宋体" w:eastAsia="宋体" w:cs="宋体"/>
                      <w:b/>
                      <w:bCs/>
                      <w:spacing w:val="6"/>
                      <w:sz w:val="18"/>
                      <w:szCs w:val="18"/>
                      <w:highlight w:val="none"/>
                    </w:rPr>
                    <w:t>本项目</w:t>
                  </w:r>
                </w:p>
              </w:tc>
              <w:tc>
                <w:tcPr>
                  <w:tcW w:w="171" w:type="pct"/>
                  <w:tcBorders>
                    <w:tl2br w:val="nil"/>
                    <w:tr2bl w:val="nil"/>
                  </w:tcBorders>
                  <w:noWrap w:val="0"/>
                  <w:vAlign w:val="center"/>
                </w:tcPr>
                <w:p w14:paraId="501876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18"/>
                      <w:szCs w:val="18"/>
                      <w:highlight w:val="none"/>
                    </w:rPr>
                  </w:pPr>
                  <w:r>
                    <w:rPr>
                      <w:rFonts w:ascii="宋体" w:hAnsi="宋体" w:eastAsia="宋体" w:cs="宋体"/>
                      <w:b/>
                      <w:bCs/>
                      <w:spacing w:val="6"/>
                      <w:sz w:val="18"/>
                      <w:szCs w:val="18"/>
                      <w:highlight w:val="none"/>
                    </w:rPr>
                    <w:t>符合性</w:t>
                  </w:r>
                </w:p>
              </w:tc>
            </w:tr>
            <w:tr w14:paraId="189C5D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56" w:type="pct"/>
                  <w:vMerge w:val="restart"/>
                  <w:tcBorders>
                    <w:tl2br w:val="nil"/>
                    <w:tr2bl w:val="nil"/>
                  </w:tcBorders>
                  <w:noWrap w:val="0"/>
                  <w:vAlign w:val="center"/>
                </w:tcPr>
                <w:p w14:paraId="6AD4920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hint="eastAsia" w:ascii="宋体" w:hAnsi="宋体" w:eastAsia="宋体" w:cs="宋体"/>
                      <w:sz w:val="18"/>
                      <w:szCs w:val="18"/>
                      <w:highlight w:val="none"/>
                      <w:lang w:val="en-US" w:eastAsia="zh-CN"/>
                    </w:rPr>
                    <w:t>巴州</w:t>
                  </w:r>
                  <w:r>
                    <w:rPr>
                      <w:rFonts w:ascii="宋体" w:hAnsi="宋体" w:eastAsia="宋体" w:cs="宋体"/>
                      <w:spacing w:val="-3"/>
                      <w:sz w:val="18"/>
                      <w:szCs w:val="18"/>
                      <w:highlight w:val="none"/>
                    </w:rPr>
                    <w:t>总</w:t>
                  </w:r>
                </w:p>
                <w:p w14:paraId="4D3A23B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4"/>
                      <w:sz w:val="18"/>
                      <w:szCs w:val="18"/>
                      <w:highlight w:val="none"/>
                    </w:rPr>
                    <w:t>体管</w:t>
                  </w:r>
                </w:p>
                <w:p w14:paraId="31BC6A9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5"/>
                      <w:sz w:val="18"/>
                      <w:szCs w:val="18"/>
                      <w:highlight w:val="none"/>
                    </w:rPr>
                    <w:t>控要</w:t>
                  </w:r>
                </w:p>
                <w:p w14:paraId="0B532AA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z w:val="18"/>
                      <w:szCs w:val="18"/>
                      <w:highlight w:val="none"/>
                    </w:rPr>
                    <w:t>求</w:t>
                  </w:r>
                </w:p>
              </w:tc>
              <w:tc>
                <w:tcPr>
                  <w:tcW w:w="217" w:type="pct"/>
                  <w:tcBorders>
                    <w:tl2br w:val="nil"/>
                    <w:tr2bl w:val="nil"/>
                  </w:tcBorders>
                  <w:noWrap w:val="0"/>
                  <w:vAlign w:val="center"/>
                </w:tcPr>
                <w:p w14:paraId="5E5DBCC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5"/>
                      <w:sz w:val="18"/>
                      <w:szCs w:val="18"/>
                      <w:highlight w:val="none"/>
                    </w:rPr>
                    <w:t>空间布局</w:t>
                  </w:r>
                  <w:r>
                    <w:rPr>
                      <w:rFonts w:ascii="宋体" w:hAnsi="宋体" w:eastAsia="宋体" w:cs="宋体"/>
                      <w:spacing w:val="2"/>
                      <w:sz w:val="18"/>
                      <w:szCs w:val="18"/>
                      <w:highlight w:val="none"/>
                    </w:rPr>
                    <w:t>约束</w:t>
                  </w:r>
                </w:p>
              </w:tc>
              <w:tc>
                <w:tcPr>
                  <w:tcW w:w="2351" w:type="pct"/>
                  <w:tcBorders>
                    <w:tl2br w:val="nil"/>
                    <w:tr2bl w:val="nil"/>
                  </w:tcBorders>
                  <w:noWrap w:val="0"/>
                  <w:vAlign w:val="center"/>
                </w:tcPr>
                <w:p w14:paraId="331C8A1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强化环境准入，促进产业升级。禁止不符合国家、自治区和地区产业政策，已列入淘汰生产能力、工艺和产品目录的项目建设。优化高耗水、重污染工业项目的布局与发展，逐步淘汰落后工艺和设备。</w:t>
                  </w:r>
                </w:p>
              </w:tc>
              <w:tc>
                <w:tcPr>
                  <w:tcW w:w="2101" w:type="pct"/>
                  <w:tcBorders>
                    <w:tl2br w:val="nil"/>
                    <w:tr2bl w:val="nil"/>
                  </w:tcBorders>
                  <w:noWrap w:val="0"/>
                  <w:vAlign w:val="center"/>
                </w:tcPr>
                <w:p w14:paraId="4CCA8FD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本项目</w:t>
                  </w:r>
                  <w:r>
                    <w:rPr>
                      <w:rFonts w:hint="default" w:ascii="Times New Roman" w:hAnsi="Times New Roman" w:eastAsia="宋体" w:cs="Times New Roman"/>
                      <w:sz w:val="18"/>
                      <w:szCs w:val="18"/>
                      <w:highlight w:val="none"/>
                    </w:rPr>
                    <w:t>属于《产业结构调整指导目录</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2024年本</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中鼓励类中“二十四、公路及道路运输2．公路智能运输系统开发：快速客货运输、公路甩挂运输系统开发与建设，公路集装箱和厢式运输，农村公路和客货运输网络开发与建设，出租汽车服务调度信息系统开发与建设，同时不属于《市场准入负面清单（202</w:t>
                  </w:r>
                  <w:r>
                    <w:rPr>
                      <w:rFonts w:hint="default" w:ascii="Times New Roman" w:hAnsi="Times New Roman" w:eastAsia="宋体" w:cs="Times New Roman"/>
                      <w:sz w:val="18"/>
                      <w:szCs w:val="18"/>
                      <w:highlight w:val="none"/>
                      <w:lang w:val="en-US" w:eastAsia="zh-CN"/>
                    </w:rPr>
                    <w:t>5</w:t>
                  </w:r>
                  <w:r>
                    <w:rPr>
                      <w:rFonts w:hint="default" w:ascii="Times New Roman" w:hAnsi="Times New Roman" w:eastAsia="宋体" w:cs="Times New Roman"/>
                      <w:sz w:val="18"/>
                      <w:szCs w:val="18"/>
                      <w:highlight w:val="none"/>
                    </w:rPr>
                    <w:t>年版）》禁止准入类事项。</w:t>
                  </w:r>
                </w:p>
              </w:tc>
              <w:tc>
                <w:tcPr>
                  <w:tcW w:w="171" w:type="pct"/>
                  <w:tcBorders>
                    <w:tl2br w:val="nil"/>
                    <w:tr2bl w:val="nil"/>
                  </w:tcBorders>
                  <w:noWrap w:val="0"/>
                  <w:vAlign w:val="center"/>
                </w:tcPr>
                <w:p w14:paraId="5E2123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符合</w:t>
                  </w:r>
                </w:p>
              </w:tc>
            </w:tr>
            <w:tr w14:paraId="4F70D4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56" w:type="pct"/>
                  <w:vMerge w:val="continue"/>
                  <w:tcBorders>
                    <w:tl2br w:val="nil"/>
                    <w:tr2bl w:val="nil"/>
                  </w:tcBorders>
                  <w:noWrap w:val="0"/>
                  <w:vAlign w:val="center"/>
                </w:tcPr>
                <w:p w14:paraId="69D75A5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7" w:type="pct"/>
                  <w:vMerge w:val="restart"/>
                  <w:tcBorders>
                    <w:tl2br w:val="nil"/>
                    <w:tr2bl w:val="nil"/>
                  </w:tcBorders>
                  <w:noWrap w:val="0"/>
                  <w:vAlign w:val="center"/>
                </w:tcPr>
                <w:p w14:paraId="782B5526">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eastAsia="宋体"/>
                      <w:sz w:val="18"/>
                      <w:szCs w:val="18"/>
                      <w:highlight w:val="none"/>
                      <w:lang w:val="en-US" w:eastAsia="zh-CN"/>
                    </w:rPr>
                  </w:pPr>
                  <w:r>
                    <w:rPr>
                      <w:rFonts w:hint="eastAsia"/>
                      <w:sz w:val="18"/>
                      <w:szCs w:val="18"/>
                      <w:highlight w:val="none"/>
                      <w:lang w:val="en-US" w:eastAsia="zh-CN"/>
                    </w:rPr>
                    <w:t>污染物排放管控</w:t>
                  </w:r>
                </w:p>
              </w:tc>
              <w:tc>
                <w:tcPr>
                  <w:tcW w:w="2351" w:type="pct"/>
                  <w:tcBorders>
                    <w:tl2br w:val="nil"/>
                    <w:tr2bl w:val="nil"/>
                  </w:tcBorders>
                  <w:noWrap w:val="0"/>
                  <w:vAlign w:val="center"/>
                </w:tcPr>
                <w:p w14:paraId="5D14B55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spacing w:val="7"/>
                      <w:sz w:val="18"/>
                      <w:szCs w:val="18"/>
                      <w:highlight w:val="none"/>
                    </w:rPr>
                  </w:pPr>
                  <w:r>
                    <w:rPr>
                      <w:rFonts w:hint="eastAsia" w:ascii="宋体" w:hAnsi="宋体" w:eastAsia="宋体" w:cs="宋体"/>
                      <w:spacing w:val="7"/>
                      <w:sz w:val="18"/>
                      <w:szCs w:val="18"/>
                      <w:highlight w:val="none"/>
                    </w:rPr>
                    <w:t>1.全面推行排污许可。全面完成重点污染源排污许可证的核发工作，加强日常监督检查，依法查处违反排污许可证管理规定的行为。以改善水质、防范环境风险为目标，将污染物排放种类、浓度、总量、排放去向等纳入许可证管理范围，实现对排污单位环境管理要求的全方位规范和全过程监管。</w:t>
                  </w:r>
                </w:p>
              </w:tc>
              <w:tc>
                <w:tcPr>
                  <w:tcW w:w="2101" w:type="pct"/>
                  <w:tcBorders>
                    <w:tl2br w:val="nil"/>
                    <w:tr2bl w:val="nil"/>
                  </w:tcBorders>
                  <w:noWrap w:val="0"/>
                  <w:vAlign w:val="center"/>
                </w:tcPr>
                <w:p w14:paraId="2F1F26E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jc w:val="center"/>
                    <w:textAlignment w:val="auto"/>
                    <w:rPr>
                      <w:rFonts w:hint="default" w:ascii="宋体" w:hAnsi="宋体" w:eastAsia="宋体" w:cs="宋体"/>
                      <w:spacing w:val="5"/>
                      <w:sz w:val="18"/>
                      <w:szCs w:val="18"/>
                      <w:highlight w:val="none"/>
                      <w:lang w:val="en-US" w:eastAsia="zh-CN"/>
                    </w:rPr>
                  </w:pPr>
                  <w:r>
                    <w:rPr>
                      <w:rFonts w:hint="eastAsia" w:ascii="宋体" w:hAnsi="宋体" w:eastAsia="宋体" w:cs="宋体"/>
                      <w:spacing w:val="5"/>
                      <w:sz w:val="18"/>
                      <w:szCs w:val="18"/>
                      <w:highlight w:val="none"/>
                      <w:lang w:val="en-US" w:eastAsia="zh-CN"/>
                    </w:rPr>
                    <w:t>本项目不纳入排污许可管理</w:t>
                  </w:r>
                </w:p>
              </w:tc>
              <w:tc>
                <w:tcPr>
                  <w:tcW w:w="171" w:type="pct"/>
                  <w:tcBorders>
                    <w:tl2br w:val="nil"/>
                    <w:tr2bl w:val="nil"/>
                  </w:tcBorders>
                  <w:noWrap w:val="0"/>
                  <w:vAlign w:val="center"/>
                </w:tcPr>
                <w:p w14:paraId="15C52380">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jc w:val="center"/>
                    <w:textAlignment w:val="auto"/>
                    <w:rPr>
                      <w:sz w:val="18"/>
                      <w:szCs w:val="18"/>
                      <w:highlight w:val="none"/>
                    </w:rPr>
                  </w:pPr>
                </w:p>
                <w:p w14:paraId="64946A69">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jc w:val="center"/>
                    <w:textAlignment w:val="auto"/>
                    <w:rPr>
                      <w:sz w:val="18"/>
                      <w:szCs w:val="18"/>
                      <w:highlight w:val="none"/>
                    </w:rPr>
                  </w:pPr>
                </w:p>
                <w:p w14:paraId="2E4B49B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1EC128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56" w:type="pct"/>
                  <w:vMerge w:val="continue"/>
                  <w:tcBorders>
                    <w:tl2br w:val="nil"/>
                    <w:tr2bl w:val="nil"/>
                  </w:tcBorders>
                  <w:noWrap w:val="0"/>
                  <w:vAlign w:val="center"/>
                </w:tcPr>
                <w:p w14:paraId="4F47452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7" w:type="pct"/>
                  <w:vMerge w:val="continue"/>
                  <w:tcBorders>
                    <w:tl2br w:val="nil"/>
                    <w:tr2bl w:val="nil"/>
                  </w:tcBorders>
                  <w:noWrap w:val="0"/>
                  <w:vAlign w:val="center"/>
                </w:tcPr>
                <w:p w14:paraId="01380B09">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351" w:type="pct"/>
                  <w:tcBorders>
                    <w:tl2br w:val="nil"/>
                    <w:tr2bl w:val="nil"/>
                  </w:tcBorders>
                  <w:noWrap w:val="0"/>
                  <w:vAlign w:val="center"/>
                </w:tcPr>
                <w:p w14:paraId="63AE26B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55" w:rightChars="0" w:firstLine="0" w:firstLineChars="0"/>
                    <w:jc w:val="center"/>
                    <w:textAlignment w:val="auto"/>
                    <w:rPr>
                      <w:rFonts w:ascii="宋体" w:hAnsi="宋体" w:eastAsia="宋体" w:cs="宋体"/>
                      <w:spacing w:val="7"/>
                      <w:sz w:val="18"/>
                      <w:szCs w:val="18"/>
                      <w:highlight w:val="none"/>
                    </w:rPr>
                  </w:pPr>
                  <w:r>
                    <w:rPr>
                      <w:rFonts w:hint="eastAsia" w:ascii="宋体" w:hAnsi="宋体" w:eastAsia="宋体" w:cs="宋体"/>
                      <w:spacing w:val="7"/>
                      <w:sz w:val="18"/>
                      <w:szCs w:val="18"/>
                      <w:highlight w:val="none"/>
                    </w:rPr>
                    <w:t>2.加快产业结构转型升级，完善农副产品加工业等工业企业污染治理设施，推进工业污水达标排放。县城规划区内生活污水处理率达到90%以上。</w:t>
                  </w:r>
                </w:p>
              </w:tc>
              <w:tc>
                <w:tcPr>
                  <w:tcW w:w="2101" w:type="pct"/>
                  <w:tcBorders>
                    <w:tl2br w:val="nil"/>
                    <w:tr2bl w:val="nil"/>
                  </w:tcBorders>
                  <w:noWrap w:val="0"/>
                  <w:vAlign w:val="center"/>
                </w:tcPr>
                <w:p w14:paraId="375F8D4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jc w:val="center"/>
                    <w:textAlignment w:val="auto"/>
                    <w:rPr>
                      <w:rFonts w:hint="default" w:ascii="宋体" w:hAnsi="宋体" w:eastAsia="宋体" w:cs="宋体"/>
                      <w:spacing w:val="5"/>
                      <w:sz w:val="18"/>
                      <w:szCs w:val="18"/>
                      <w:highlight w:val="none"/>
                      <w:lang w:val="en-US" w:eastAsia="zh-CN"/>
                    </w:rPr>
                  </w:pPr>
                  <w:r>
                    <w:rPr>
                      <w:rFonts w:hint="eastAsia" w:ascii="宋体" w:hAnsi="宋体" w:eastAsia="宋体" w:cs="宋体"/>
                      <w:spacing w:val="5"/>
                      <w:sz w:val="18"/>
                      <w:szCs w:val="18"/>
                      <w:highlight w:val="none"/>
                      <w:lang w:val="en-US" w:eastAsia="zh-CN"/>
                    </w:rPr>
                    <w:t>本项目不属于工业项目。</w:t>
                  </w:r>
                </w:p>
              </w:tc>
              <w:tc>
                <w:tcPr>
                  <w:tcW w:w="171" w:type="pct"/>
                  <w:tcBorders>
                    <w:tl2br w:val="nil"/>
                    <w:tr2bl w:val="nil"/>
                  </w:tcBorders>
                  <w:noWrap w:val="0"/>
                  <w:vAlign w:val="center"/>
                </w:tcPr>
                <w:p w14:paraId="7C20CF20">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jc w:val="center"/>
                    <w:textAlignment w:val="auto"/>
                    <w:rPr>
                      <w:sz w:val="18"/>
                      <w:szCs w:val="18"/>
                      <w:highlight w:val="none"/>
                    </w:rPr>
                  </w:pPr>
                </w:p>
                <w:p w14:paraId="4741A2A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jc w:val="center"/>
                    <w:textAlignment w:val="auto"/>
                    <w:rPr>
                      <w:sz w:val="18"/>
                      <w:szCs w:val="18"/>
                      <w:highlight w:val="none"/>
                    </w:rPr>
                  </w:pPr>
                </w:p>
                <w:p w14:paraId="34DD432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1DE38F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56" w:type="pct"/>
                  <w:vMerge w:val="continue"/>
                  <w:tcBorders>
                    <w:tl2br w:val="nil"/>
                    <w:tr2bl w:val="nil"/>
                  </w:tcBorders>
                  <w:noWrap w:val="0"/>
                  <w:vAlign w:val="center"/>
                </w:tcPr>
                <w:p w14:paraId="47F7AC5D">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7" w:type="pct"/>
                  <w:vMerge w:val="restart"/>
                  <w:tcBorders>
                    <w:tl2br w:val="nil"/>
                    <w:tr2bl w:val="nil"/>
                  </w:tcBorders>
                  <w:noWrap w:val="0"/>
                  <w:vAlign w:val="center"/>
                </w:tcPr>
                <w:p w14:paraId="48492FA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6FD1C8DD">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7C3F28B0">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56A0BCF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sz w:val="18"/>
                      <w:szCs w:val="18"/>
                      <w:highlight w:val="none"/>
                    </w:rPr>
                  </w:pPr>
                  <w:r>
                    <w:rPr>
                      <w:rFonts w:ascii="宋体" w:hAnsi="宋体" w:eastAsia="宋体" w:cs="宋体"/>
                      <w:spacing w:val="6"/>
                      <w:sz w:val="18"/>
                      <w:szCs w:val="18"/>
                      <w:highlight w:val="none"/>
                    </w:rPr>
                    <w:t>环境风</w:t>
                  </w:r>
                  <w:r>
                    <w:rPr>
                      <w:rFonts w:ascii="宋体" w:hAnsi="宋体" w:eastAsia="宋体" w:cs="宋体"/>
                      <w:spacing w:val="3"/>
                      <w:sz w:val="18"/>
                      <w:szCs w:val="18"/>
                      <w:highlight w:val="none"/>
                    </w:rPr>
                    <w:t>险防控</w:t>
                  </w:r>
                </w:p>
              </w:tc>
              <w:tc>
                <w:tcPr>
                  <w:tcW w:w="2351" w:type="pct"/>
                  <w:tcBorders>
                    <w:tl2br w:val="nil"/>
                    <w:tr2bl w:val="nil"/>
                  </w:tcBorders>
                  <w:noWrap w:val="0"/>
                  <w:vAlign w:val="center"/>
                </w:tcPr>
                <w:p w14:paraId="21BBFFC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7"/>
                      <w:sz w:val="18"/>
                      <w:szCs w:val="18"/>
                      <w:highlight w:val="none"/>
                      <w:lang w:eastAsia="zh-CN"/>
                    </w:rPr>
                  </w:pPr>
                  <w:r>
                    <w:rPr>
                      <w:rFonts w:hint="eastAsia" w:ascii="Times New Roman" w:hAnsi="Times New Roman" w:eastAsia="宋体" w:cs="Times New Roman"/>
                      <w:spacing w:val="7"/>
                      <w:sz w:val="18"/>
                      <w:szCs w:val="18"/>
                      <w:highlight w:val="none"/>
                      <w:lang w:eastAsia="zh-CN"/>
                    </w:rPr>
                    <w:t>1.严格环境风险控制。防范环境风险，定期评估工业集聚区环境和健康风险，加强预案管理，落实防控措施，排除水污染隐患。</w:t>
                  </w:r>
                </w:p>
              </w:tc>
              <w:tc>
                <w:tcPr>
                  <w:tcW w:w="2101" w:type="pct"/>
                  <w:tcBorders>
                    <w:tl2br w:val="nil"/>
                    <w:tr2bl w:val="nil"/>
                  </w:tcBorders>
                  <w:noWrap w:val="0"/>
                  <w:vAlign w:val="center"/>
                </w:tcPr>
                <w:p w14:paraId="1714DE5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spacing w:val="5"/>
                      <w:sz w:val="18"/>
                      <w:szCs w:val="18"/>
                      <w:highlight w:val="none"/>
                      <w:lang w:val="en-US" w:eastAsia="zh-CN"/>
                    </w:rPr>
                  </w:pPr>
                  <w:r>
                    <w:rPr>
                      <w:rFonts w:hint="eastAsia" w:ascii="宋体" w:hAnsi="宋体" w:eastAsia="宋体" w:cs="宋体"/>
                      <w:spacing w:val="5"/>
                      <w:sz w:val="18"/>
                      <w:szCs w:val="18"/>
                      <w:highlight w:val="none"/>
                      <w:lang w:val="en-US" w:eastAsia="zh-CN"/>
                    </w:rPr>
                    <w:t>本项目不涉及</w:t>
                  </w:r>
                </w:p>
              </w:tc>
              <w:tc>
                <w:tcPr>
                  <w:tcW w:w="171" w:type="pct"/>
                  <w:tcBorders>
                    <w:tl2br w:val="nil"/>
                    <w:tr2bl w:val="nil"/>
                  </w:tcBorders>
                  <w:noWrap w:val="0"/>
                  <w:vAlign w:val="center"/>
                </w:tcPr>
                <w:p w14:paraId="73629C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53A750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56" w:type="pct"/>
                  <w:vMerge w:val="continue"/>
                  <w:tcBorders>
                    <w:tl2br w:val="nil"/>
                    <w:tr2bl w:val="nil"/>
                  </w:tcBorders>
                  <w:noWrap w:val="0"/>
                  <w:vAlign w:val="center"/>
                </w:tcPr>
                <w:p w14:paraId="6E4938AD">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7" w:type="pct"/>
                  <w:vMerge w:val="continue"/>
                  <w:tcBorders>
                    <w:tl2br w:val="nil"/>
                    <w:tr2bl w:val="nil"/>
                  </w:tcBorders>
                  <w:noWrap w:val="0"/>
                  <w:vAlign w:val="center"/>
                </w:tcPr>
                <w:p w14:paraId="4D944F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宋体" w:hAnsi="宋体" w:eastAsia="宋体" w:cs="宋体"/>
                      <w:spacing w:val="6"/>
                      <w:sz w:val="18"/>
                      <w:szCs w:val="18"/>
                      <w:highlight w:val="none"/>
                    </w:rPr>
                  </w:pPr>
                </w:p>
              </w:tc>
              <w:tc>
                <w:tcPr>
                  <w:tcW w:w="2351" w:type="pct"/>
                  <w:tcBorders>
                    <w:tl2br w:val="nil"/>
                    <w:tr2bl w:val="nil"/>
                  </w:tcBorders>
                  <w:noWrap w:val="0"/>
                  <w:vAlign w:val="center"/>
                </w:tcPr>
                <w:p w14:paraId="767C2F8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7"/>
                      <w:sz w:val="18"/>
                      <w:szCs w:val="18"/>
                      <w:highlight w:val="none"/>
                      <w:lang w:eastAsia="zh-CN"/>
                    </w:rPr>
                  </w:pPr>
                  <w:r>
                    <w:rPr>
                      <w:rFonts w:hint="eastAsia" w:ascii="Times New Roman" w:hAnsi="Times New Roman" w:eastAsia="宋体" w:cs="Times New Roman"/>
                      <w:spacing w:val="7"/>
                      <w:sz w:val="18"/>
                      <w:szCs w:val="18"/>
                      <w:highlight w:val="none"/>
                      <w:lang w:eastAsia="zh-CN"/>
                    </w:rPr>
                    <w:t>2.加强对地下水、地表水污染的动态监测，禁止利用渗坑、渗井排放工业废水和生活污水，控制或杜绝污染。</w:t>
                  </w:r>
                </w:p>
              </w:tc>
              <w:tc>
                <w:tcPr>
                  <w:tcW w:w="2101" w:type="pct"/>
                  <w:tcBorders>
                    <w:tl2br w:val="nil"/>
                    <w:tr2bl w:val="nil"/>
                  </w:tcBorders>
                  <w:noWrap w:val="0"/>
                  <w:vAlign w:val="center"/>
                </w:tcPr>
                <w:p w14:paraId="0687EB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spacing w:val="5"/>
                      <w:sz w:val="18"/>
                      <w:szCs w:val="18"/>
                      <w:highlight w:val="none"/>
                      <w:lang w:val="en-US" w:eastAsia="zh-CN"/>
                    </w:rPr>
                  </w:pPr>
                  <w:r>
                    <w:rPr>
                      <w:rFonts w:hint="eastAsia" w:ascii="宋体" w:hAnsi="宋体" w:eastAsia="宋体" w:cs="宋体"/>
                      <w:spacing w:val="5"/>
                      <w:sz w:val="18"/>
                      <w:szCs w:val="18"/>
                      <w:highlight w:val="none"/>
                      <w:lang w:val="en-US" w:eastAsia="zh-CN"/>
                    </w:rPr>
                    <w:t>本项目不涉及</w:t>
                  </w:r>
                </w:p>
              </w:tc>
              <w:tc>
                <w:tcPr>
                  <w:tcW w:w="171" w:type="pct"/>
                  <w:tcBorders>
                    <w:tl2br w:val="nil"/>
                    <w:tr2bl w:val="nil"/>
                  </w:tcBorders>
                  <w:noWrap w:val="0"/>
                  <w:vAlign w:val="center"/>
                </w:tcPr>
                <w:p w14:paraId="2CEC879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p>
              </w:tc>
            </w:tr>
            <w:tr w14:paraId="15A6E0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56" w:type="pct"/>
                  <w:vMerge w:val="continue"/>
                  <w:tcBorders>
                    <w:tl2br w:val="nil"/>
                    <w:tr2bl w:val="nil"/>
                  </w:tcBorders>
                  <w:noWrap w:val="0"/>
                  <w:vAlign w:val="center"/>
                </w:tcPr>
                <w:p w14:paraId="58381E5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7" w:type="pct"/>
                  <w:tcBorders>
                    <w:tl2br w:val="nil"/>
                    <w:tr2bl w:val="nil"/>
                  </w:tcBorders>
                  <w:noWrap w:val="0"/>
                  <w:vAlign w:val="center"/>
                </w:tcPr>
                <w:p w14:paraId="262F336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0E746D3F">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p w14:paraId="360D4CE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宋体" w:hAnsi="宋体" w:eastAsia="宋体" w:cs="宋体"/>
                      <w:spacing w:val="6"/>
                      <w:sz w:val="18"/>
                      <w:szCs w:val="18"/>
                      <w:highlight w:val="none"/>
                    </w:rPr>
                  </w:pPr>
                  <w:r>
                    <w:rPr>
                      <w:rFonts w:ascii="宋体" w:hAnsi="宋体" w:eastAsia="宋体" w:cs="宋体"/>
                      <w:spacing w:val="3"/>
                      <w:sz w:val="18"/>
                      <w:szCs w:val="18"/>
                      <w:highlight w:val="none"/>
                    </w:rPr>
                    <w:t>资源利</w:t>
                  </w:r>
                  <w:r>
                    <w:rPr>
                      <w:rFonts w:ascii="宋体" w:hAnsi="宋体" w:eastAsia="宋体" w:cs="宋体"/>
                      <w:spacing w:val="6"/>
                      <w:sz w:val="18"/>
                      <w:szCs w:val="18"/>
                      <w:highlight w:val="none"/>
                    </w:rPr>
                    <w:t>用要求</w:t>
                  </w:r>
                </w:p>
              </w:tc>
              <w:tc>
                <w:tcPr>
                  <w:tcW w:w="2351" w:type="pct"/>
                  <w:tcBorders>
                    <w:tl2br w:val="nil"/>
                    <w:tr2bl w:val="nil"/>
                  </w:tcBorders>
                  <w:noWrap w:val="0"/>
                  <w:vAlign w:val="center"/>
                </w:tcPr>
                <w:p w14:paraId="443E17A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8"/>
                      <w:sz w:val="18"/>
                      <w:szCs w:val="18"/>
                      <w:highlight w:val="none"/>
                    </w:rPr>
                  </w:pPr>
                  <w:r>
                    <w:rPr>
                      <w:rFonts w:hint="eastAsia" w:ascii="Times New Roman" w:hAnsi="Times New Roman" w:eastAsia="Times New Roman" w:cs="Times New Roman"/>
                      <w:spacing w:val="8"/>
                      <w:sz w:val="18"/>
                      <w:szCs w:val="18"/>
                      <w:highlight w:val="none"/>
                    </w:rPr>
                    <w:t>控制用水总量。实施最严格水资源管理。调整和优化用水结构，切实保障用水总量与当地水资源、水环境承载能力相适应。加强相关规划和项目建设布局水资源论证工作，充分考虑当地水资源条件和防洪要求，对水资源论证不过关的用水项目一律不予批准。对取用水总量已达到或超过控制指标的地区，暂停审批其建设项目新增取水许可。严格实施取水许可制度，对纳入取水许可管理的单位和其他用水大户实行计划用水管理。</w:t>
                  </w:r>
                </w:p>
              </w:tc>
              <w:tc>
                <w:tcPr>
                  <w:tcW w:w="2101" w:type="pct"/>
                  <w:tcBorders>
                    <w:tl2br w:val="nil"/>
                    <w:tr2bl w:val="nil"/>
                  </w:tcBorders>
                  <w:noWrap w:val="0"/>
                  <w:vAlign w:val="center"/>
                </w:tcPr>
                <w:p w14:paraId="01A01D6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pacing w:val="9"/>
                      <w:sz w:val="18"/>
                      <w:szCs w:val="18"/>
                      <w:highlight w:val="none"/>
                      <w:lang w:val="en-US" w:eastAsia="zh-CN"/>
                    </w:rPr>
                  </w:pPr>
                  <w:r>
                    <w:rPr>
                      <w:rFonts w:hint="eastAsia" w:ascii="宋体" w:hAnsi="宋体" w:eastAsia="宋体" w:cs="宋体"/>
                      <w:spacing w:val="9"/>
                      <w:sz w:val="18"/>
                      <w:szCs w:val="18"/>
                      <w:highlight w:val="none"/>
                      <w:lang w:val="en-US" w:eastAsia="zh-CN"/>
                    </w:rPr>
                    <w:t>本项目不涉及</w:t>
                  </w:r>
                </w:p>
              </w:tc>
              <w:tc>
                <w:tcPr>
                  <w:tcW w:w="171" w:type="pct"/>
                  <w:tcBorders>
                    <w:tl2br w:val="nil"/>
                    <w:tr2bl w:val="nil"/>
                  </w:tcBorders>
                  <w:noWrap w:val="0"/>
                  <w:vAlign w:val="center"/>
                </w:tcPr>
                <w:p w14:paraId="6E6D85D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bl>
          <w:p w14:paraId="6D48F5ED">
            <w:pPr>
              <w:pStyle w:val="2"/>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color w:val="auto"/>
                <w:sz w:val="24"/>
                <w:highlight w:val="none"/>
              </w:rPr>
              <w:t>综上所述，建设项目符合国家及地方的相关产业政策，符</w:t>
            </w:r>
            <w:r>
              <w:rPr>
                <w:rFonts w:hint="eastAsia" w:ascii="宋体" w:hAnsi="宋体" w:eastAsia="宋体" w:cs="宋体"/>
                <w:color w:val="auto"/>
                <w:sz w:val="24"/>
                <w:highlight w:val="none"/>
              </w:rPr>
              <w:t>合生态环境准入</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相关</w:t>
            </w:r>
            <w:r>
              <w:rPr>
                <w:color w:val="auto"/>
                <w:sz w:val="24"/>
                <w:highlight w:val="none"/>
              </w:rPr>
              <w:t>要求</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w:t>
            </w:r>
          </w:p>
          <w:p w14:paraId="450EC7DE">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4、与《新疆生态环境保护“十四五”规划》符合性分析</w:t>
            </w:r>
          </w:p>
          <w:p w14:paraId="4F96F4D4">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表1-5   与《新疆生态环境保护“十四五”规划》符合性分析</w:t>
            </w:r>
          </w:p>
          <w:tbl>
            <w:tblPr>
              <w:tblStyle w:val="28"/>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06"/>
              <w:gridCol w:w="1888"/>
              <w:gridCol w:w="432"/>
            </w:tblGrid>
            <w:tr w14:paraId="5F454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21" w:type="pct"/>
                  <w:tcBorders>
                    <w:tl2br w:val="nil"/>
                    <w:tr2bl w:val="nil"/>
                  </w:tcBorders>
                  <w:noWrap w:val="0"/>
                  <w:vAlign w:val="top"/>
                </w:tcPr>
                <w:p w14:paraId="14769090">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文件要求</w:t>
                  </w:r>
                </w:p>
              </w:tc>
              <w:tc>
                <w:tcPr>
                  <w:tcW w:w="1446" w:type="pct"/>
                  <w:tcBorders>
                    <w:tl2br w:val="nil"/>
                    <w:tr2bl w:val="nil"/>
                  </w:tcBorders>
                  <w:noWrap w:val="0"/>
                  <w:vAlign w:val="top"/>
                </w:tcPr>
                <w:p w14:paraId="04744031">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项目情况</w:t>
                  </w:r>
                </w:p>
              </w:tc>
              <w:tc>
                <w:tcPr>
                  <w:tcW w:w="331" w:type="pct"/>
                  <w:tcBorders>
                    <w:tl2br w:val="nil"/>
                    <w:tr2bl w:val="nil"/>
                  </w:tcBorders>
                  <w:noWrap w:val="0"/>
                  <w:vAlign w:val="top"/>
                </w:tcPr>
                <w:p w14:paraId="70AB14BC">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符合性</w:t>
                  </w:r>
                </w:p>
              </w:tc>
            </w:tr>
            <w:tr w14:paraId="5156A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21" w:type="pct"/>
                  <w:tcBorders>
                    <w:tl2br w:val="nil"/>
                    <w:tr2bl w:val="nil"/>
                  </w:tcBorders>
                  <w:noWrap w:val="0"/>
                  <w:vAlign w:val="center"/>
                </w:tcPr>
                <w:p w14:paraId="2026AB80">
                  <w:pPr>
                    <w:shd w:val="clear" w:color="auto" w:fill="auto"/>
                    <w:spacing w:line="240" w:lineRule="auto"/>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sz w:val="18"/>
                      <w:szCs w:val="18"/>
                      <w:highlight w:val="none"/>
                    </w:rPr>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tc>
              <w:tc>
                <w:tcPr>
                  <w:tcW w:w="1446" w:type="pct"/>
                  <w:tcBorders>
                    <w:tl2br w:val="nil"/>
                    <w:tr2bl w:val="nil"/>
                  </w:tcBorders>
                  <w:noWrap w:val="0"/>
                  <w:vAlign w:val="center"/>
                </w:tcPr>
                <w:p w14:paraId="3B938F53">
                  <w:pPr>
                    <w:shd w:val="clear" w:color="auto" w:fill="auto"/>
                    <w:spacing w:line="240" w:lineRule="auto"/>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sz w:val="18"/>
                      <w:szCs w:val="18"/>
                      <w:highlight w:val="none"/>
                    </w:rPr>
                    <w:t>本项目属于</w:t>
                  </w:r>
                  <w:r>
                    <w:rPr>
                      <w:rFonts w:hint="eastAsia" w:ascii="Times New Roman" w:hAnsi="Times New Roman" w:eastAsia="宋体" w:cs="Times New Roman"/>
                      <w:color w:val="auto"/>
                      <w:sz w:val="18"/>
                      <w:szCs w:val="18"/>
                      <w:highlight w:val="none"/>
                      <w:lang w:val="en-US" w:eastAsia="zh-CN"/>
                    </w:rPr>
                    <w:t>等级</w:t>
                  </w:r>
                  <w:r>
                    <w:rPr>
                      <w:rFonts w:ascii="Times New Roman" w:hAnsi="Times New Roman" w:eastAsia="宋体" w:cs="Times New Roman"/>
                      <w:color w:val="auto"/>
                      <w:sz w:val="18"/>
                      <w:szCs w:val="18"/>
                      <w:highlight w:val="none"/>
                    </w:rPr>
                    <w:t>公路建设项目，</w:t>
                  </w:r>
                  <w:r>
                    <w:rPr>
                      <w:rFonts w:hint="eastAsia" w:ascii="Times New Roman" w:hAnsi="Times New Roman" w:eastAsia="宋体" w:cs="Times New Roman"/>
                      <w:color w:val="auto"/>
                      <w:sz w:val="18"/>
                      <w:szCs w:val="18"/>
                      <w:highlight w:val="none"/>
                      <w:lang w:val="en-US" w:eastAsia="zh-CN"/>
                    </w:rPr>
                    <w:t>施工期有少量施工扬尘、沥青烟排放，不涉及有组织VOCs持续产排，运营期仅有过往车辆尾气排放</w:t>
                  </w:r>
                  <w:r>
                    <w:rPr>
                      <w:rFonts w:ascii="Times New Roman" w:hAnsi="Times New Roman" w:eastAsia="宋体" w:cs="Times New Roman"/>
                      <w:color w:val="auto"/>
                      <w:sz w:val="18"/>
                      <w:szCs w:val="18"/>
                      <w:highlight w:val="none"/>
                    </w:rPr>
                    <w:t>。</w:t>
                  </w:r>
                </w:p>
              </w:tc>
              <w:tc>
                <w:tcPr>
                  <w:tcW w:w="331" w:type="pct"/>
                  <w:tcBorders>
                    <w:tl2br w:val="nil"/>
                    <w:tr2bl w:val="nil"/>
                  </w:tcBorders>
                  <w:noWrap w:val="0"/>
                  <w:vAlign w:val="center"/>
                </w:tcPr>
                <w:p w14:paraId="5491F331">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kern w:val="0"/>
                      <w:sz w:val="18"/>
                      <w:szCs w:val="18"/>
                      <w:highlight w:val="none"/>
                    </w:rPr>
                    <w:t>符合</w:t>
                  </w:r>
                </w:p>
              </w:tc>
            </w:tr>
            <w:tr w14:paraId="0C07C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21" w:type="pct"/>
                  <w:tcBorders>
                    <w:tl2br w:val="nil"/>
                    <w:tr2bl w:val="nil"/>
                  </w:tcBorders>
                  <w:noWrap w:val="0"/>
                  <w:vAlign w:val="center"/>
                </w:tcPr>
                <w:p w14:paraId="54E7A526">
                  <w:pPr>
                    <w:shd w:val="clear" w:color="auto" w:fill="auto"/>
                    <w:autoSpaceDE w:val="0"/>
                    <w:autoSpaceDN w:val="0"/>
                    <w:spacing w:line="240" w:lineRule="auto"/>
                    <w:jc w:val="left"/>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sz w:val="18"/>
                      <w:szCs w:val="18"/>
                      <w:highlight w:val="none"/>
                    </w:rPr>
                    <w:t>加强环评与排污许可监管。全面实行排污许可制，构建以排污许可制为核心的固定污染源监管制度体系，全面落实排污许可</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一证式</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管理。</w:t>
                  </w:r>
                </w:p>
              </w:tc>
              <w:tc>
                <w:tcPr>
                  <w:tcW w:w="1446" w:type="pct"/>
                  <w:tcBorders>
                    <w:tl2br w:val="nil"/>
                    <w:tr2bl w:val="nil"/>
                  </w:tcBorders>
                  <w:noWrap w:val="0"/>
                  <w:vAlign w:val="center"/>
                </w:tcPr>
                <w:p w14:paraId="3A994E30">
                  <w:pPr>
                    <w:shd w:val="clear" w:color="auto" w:fill="auto"/>
                    <w:autoSpaceDE w:val="0"/>
                    <w:autoSpaceDN w:val="0"/>
                    <w:spacing w:line="24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本项目为公路建设项目，不设加油站，</w:t>
                  </w:r>
                  <w:r>
                    <w:rPr>
                      <w:rFonts w:hint="eastAsia" w:ascii="Times New Roman" w:hAnsi="Times New Roman" w:eastAsia="宋体" w:cs="Times New Roman"/>
                      <w:color w:val="auto"/>
                      <w:sz w:val="18"/>
                      <w:szCs w:val="18"/>
                      <w:highlight w:val="none"/>
                      <w:lang w:val="en-US" w:eastAsia="zh-CN"/>
                    </w:rPr>
                    <w:t>无需申领</w:t>
                  </w:r>
                  <w:r>
                    <w:rPr>
                      <w:rFonts w:ascii="Times New Roman" w:hAnsi="Times New Roman" w:eastAsia="宋体" w:cs="Times New Roman"/>
                      <w:color w:val="auto"/>
                      <w:sz w:val="18"/>
                      <w:szCs w:val="18"/>
                      <w:highlight w:val="none"/>
                    </w:rPr>
                    <w:t>排污许可。</w:t>
                  </w:r>
                </w:p>
              </w:tc>
              <w:tc>
                <w:tcPr>
                  <w:tcW w:w="331" w:type="pct"/>
                  <w:tcBorders>
                    <w:tl2br w:val="nil"/>
                    <w:tr2bl w:val="nil"/>
                  </w:tcBorders>
                  <w:noWrap w:val="0"/>
                  <w:vAlign w:val="center"/>
                </w:tcPr>
                <w:p w14:paraId="4429FE1A">
                  <w:pPr>
                    <w:shd w:val="clear" w:color="auto" w:fill="auto"/>
                    <w:autoSpaceDE w:val="0"/>
                    <w:autoSpaceDN w:val="0"/>
                    <w:spacing w:line="24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符合</w:t>
                  </w:r>
                </w:p>
              </w:tc>
            </w:tr>
          </w:tbl>
          <w:p w14:paraId="12C19F96">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lang w:val="en-US" w:eastAsia="zh-CN"/>
              </w:rPr>
              <w:t>、与《</w:t>
            </w:r>
            <w:r>
              <w:rPr>
                <w:rFonts w:hint="eastAsia" w:ascii="Times New Roman" w:hAnsi="Times New Roman" w:eastAsia="宋体" w:cs="Times New Roman"/>
                <w:b/>
                <w:color w:val="auto"/>
                <w:sz w:val="24"/>
                <w:highlight w:val="none"/>
                <w:lang w:val="en-US" w:eastAsia="zh-CN"/>
              </w:rPr>
              <w:t>巴音郭楞蒙古自治州生态环境保护“十四五”规划</w:t>
            </w:r>
            <w:r>
              <w:rPr>
                <w:rFonts w:hint="default" w:ascii="Times New Roman" w:hAnsi="Times New Roman" w:eastAsia="宋体" w:cs="Times New Roman"/>
                <w:b/>
                <w:color w:val="auto"/>
                <w:sz w:val="24"/>
                <w:highlight w:val="none"/>
                <w:lang w:val="en-US" w:eastAsia="zh-CN"/>
              </w:rPr>
              <w:t>》符合性分析</w:t>
            </w:r>
          </w:p>
          <w:p w14:paraId="64505581">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表1-</w:t>
            </w:r>
            <w:r>
              <w:rPr>
                <w:rFonts w:hint="eastAsia" w:ascii="Times New Roman" w:hAnsi="Times New Roman" w:eastAsia="宋体" w:cs="Times New Roman"/>
                <w:b/>
                <w:color w:val="auto"/>
                <w:sz w:val="21"/>
                <w:szCs w:val="21"/>
                <w:highlight w:val="none"/>
                <w:lang w:val="en-US" w:eastAsia="zh-CN"/>
              </w:rPr>
              <w:t xml:space="preserve">6  </w:t>
            </w:r>
            <w:r>
              <w:rPr>
                <w:rFonts w:hint="default" w:ascii="Times New Roman" w:hAnsi="Times New Roman" w:eastAsia="宋体" w:cs="Times New Roman"/>
                <w:b/>
                <w:color w:val="auto"/>
                <w:sz w:val="21"/>
                <w:szCs w:val="21"/>
                <w:highlight w:val="none"/>
                <w:lang w:val="en-US" w:eastAsia="zh-CN"/>
              </w:rPr>
              <w:t>与《</w:t>
            </w:r>
            <w:r>
              <w:rPr>
                <w:rFonts w:hint="eastAsia" w:ascii="Times New Roman" w:hAnsi="Times New Roman" w:eastAsia="宋体" w:cs="Times New Roman"/>
                <w:b/>
                <w:color w:val="auto"/>
                <w:sz w:val="21"/>
                <w:szCs w:val="21"/>
                <w:highlight w:val="none"/>
                <w:lang w:val="en-US" w:eastAsia="zh-CN"/>
              </w:rPr>
              <w:t>巴音郭楞蒙古自治州生态环境保护“十四五”规划</w:t>
            </w:r>
            <w:r>
              <w:rPr>
                <w:rFonts w:hint="default" w:ascii="Times New Roman" w:hAnsi="Times New Roman" w:eastAsia="宋体" w:cs="Times New Roman"/>
                <w:b/>
                <w:color w:val="auto"/>
                <w:sz w:val="21"/>
                <w:szCs w:val="21"/>
                <w:highlight w:val="none"/>
                <w:lang w:val="en-US" w:eastAsia="zh-CN"/>
              </w:rPr>
              <w:t>》符合性分析</w:t>
            </w:r>
          </w:p>
          <w:tbl>
            <w:tblPr>
              <w:tblStyle w:val="28"/>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84"/>
              <w:gridCol w:w="2335"/>
              <w:gridCol w:w="807"/>
            </w:tblGrid>
            <w:tr w14:paraId="02C1E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2" w:type="pct"/>
                  <w:tcBorders>
                    <w:tl2br w:val="nil"/>
                    <w:tr2bl w:val="nil"/>
                  </w:tcBorders>
                  <w:noWrap w:val="0"/>
                  <w:vAlign w:val="top"/>
                </w:tcPr>
                <w:p w14:paraId="4CF3A7CB">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文件要求</w:t>
                  </w:r>
                </w:p>
              </w:tc>
              <w:tc>
                <w:tcPr>
                  <w:tcW w:w="1788" w:type="pct"/>
                  <w:tcBorders>
                    <w:tl2br w:val="nil"/>
                    <w:tr2bl w:val="nil"/>
                  </w:tcBorders>
                  <w:noWrap w:val="0"/>
                  <w:vAlign w:val="top"/>
                </w:tcPr>
                <w:p w14:paraId="150C9B77">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项目情况</w:t>
                  </w:r>
                </w:p>
              </w:tc>
              <w:tc>
                <w:tcPr>
                  <w:tcW w:w="618" w:type="pct"/>
                  <w:tcBorders>
                    <w:tl2br w:val="nil"/>
                    <w:tr2bl w:val="nil"/>
                  </w:tcBorders>
                  <w:noWrap w:val="0"/>
                  <w:vAlign w:val="top"/>
                </w:tcPr>
                <w:p w14:paraId="13A56109">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符合性</w:t>
                  </w:r>
                </w:p>
              </w:tc>
            </w:tr>
            <w:tr w14:paraId="299EF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2" w:type="pct"/>
                  <w:tcBorders>
                    <w:tl2br w:val="nil"/>
                    <w:tr2bl w:val="nil"/>
                  </w:tcBorders>
                  <w:noWrap w:val="0"/>
                  <w:vAlign w:val="center"/>
                </w:tcPr>
                <w:p w14:paraId="26EFF8D4">
                  <w:pPr>
                    <w:widowControl w:val="0"/>
                    <w:shd w:val="clear" w:color="auto" w:fill="auto"/>
                    <w:spacing w:line="240" w:lineRule="auto"/>
                    <w:jc w:val="center"/>
                    <w:rPr>
                      <w:rFonts w:ascii="Times New Roman" w:hAnsi="Times New Roman" w:eastAsia="宋体" w:cs="宋体"/>
                      <w:b/>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rPr>
                    <w:t>加强重点行业VOCs协同控制。深入实施《自治州重点行业挥发性有机物综合治理方案》，切实推进重点行业VOCs污染治理。重点推进石化、化工、包装印刷、工业涂装等重点行业以及机动车、油品储运销等交通源VOCs污染防治，加强芳香烃、烯烃、炔烃、醛类等活性强的VOCs排放控制，持续削减重点企业VOCs排放量。建立健全以改善环境空气质量为核心的VOCs污染防治管理体系，加强石化、煤化工、表面处理、印刷、油气储罐等重点排放行业的精细化管控，持续实施LARD治理。强化新增污染物排放控制，推进VOCs与NOx等的协同减排，改善环境空气质量。</w:t>
                  </w:r>
                </w:p>
              </w:tc>
              <w:tc>
                <w:tcPr>
                  <w:tcW w:w="1788" w:type="pct"/>
                  <w:tcBorders>
                    <w:tl2br w:val="nil"/>
                    <w:tr2bl w:val="nil"/>
                  </w:tcBorders>
                  <w:noWrap w:val="0"/>
                  <w:vAlign w:val="center"/>
                </w:tcPr>
                <w:p w14:paraId="468D06D1">
                  <w:pPr>
                    <w:shd w:val="clear" w:color="auto" w:fill="auto"/>
                    <w:spacing w:line="240" w:lineRule="auto"/>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sz w:val="18"/>
                      <w:szCs w:val="18"/>
                      <w:highlight w:val="none"/>
                    </w:rPr>
                    <w:t>本项目属于公路建设项目，</w:t>
                  </w:r>
                  <w:r>
                    <w:rPr>
                      <w:rFonts w:hint="eastAsia" w:ascii="Times New Roman" w:hAnsi="Times New Roman" w:eastAsia="宋体" w:cs="Times New Roman"/>
                      <w:color w:val="auto"/>
                      <w:sz w:val="18"/>
                      <w:szCs w:val="18"/>
                      <w:highlight w:val="none"/>
                      <w:lang w:val="en-US" w:eastAsia="zh-CN"/>
                    </w:rPr>
                    <w:t>施工期有少量施工扬尘、沥青烟排放，不涉及VOCs产排，运营期仅有过往车辆尾气排放</w:t>
                  </w:r>
                  <w:r>
                    <w:rPr>
                      <w:rFonts w:ascii="Times New Roman" w:hAnsi="Times New Roman" w:eastAsia="宋体" w:cs="Times New Roman"/>
                      <w:color w:val="auto"/>
                      <w:sz w:val="18"/>
                      <w:szCs w:val="18"/>
                      <w:highlight w:val="none"/>
                    </w:rPr>
                    <w:t>。</w:t>
                  </w:r>
                </w:p>
              </w:tc>
              <w:tc>
                <w:tcPr>
                  <w:tcW w:w="618" w:type="pct"/>
                  <w:tcBorders>
                    <w:tl2br w:val="nil"/>
                    <w:tr2bl w:val="nil"/>
                  </w:tcBorders>
                  <w:noWrap w:val="0"/>
                  <w:vAlign w:val="center"/>
                </w:tcPr>
                <w:p w14:paraId="09D5D6CE">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kern w:val="0"/>
                      <w:sz w:val="18"/>
                      <w:szCs w:val="18"/>
                      <w:highlight w:val="none"/>
                    </w:rPr>
                    <w:t>符合</w:t>
                  </w:r>
                </w:p>
              </w:tc>
            </w:tr>
            <w:tr w14:paraId="04367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2" w:type="pct"/>
                  <w:tcBorders>
                    <w:tl2br w:val="nil"/>
                    <w:tr2bl w:val="nil"/>
                  </w:tcBorders>
                  <w:noWrap w:val="0"/>
                  <w:vAlign w:val="center"/>
                </w:tcPr>
                <w:p w14:paraId="3444F0DD">
                  <w:pPr>
                    <w:widowControl w:val="0"/>
                    <w:shd w:val="clear" w:color="auto" w:fill="auto"/>
                    <w:spacing w:line="240" w:lineRule="auto"/>
                    <w:jc w:val="center"/>
                    <w:rPr>
                      <w:rFonts w:ascii="Times New Roman" w:hAnsi="Times New Roman" w:eastAsia="宋体" w:cs="宋体"/>
                      <w:b/>
                      <w:bCs/>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强化面源污染防控。加强城市扬尘综合防控，积极推进绿色工地和“阳光施工”创建，县级及以上城市建成区建筑工地扬尘防控标准化管理全覆盖；控制道路交通扬尘污染，加强城市道路清扫保洁和洒水抑尘，提高机械化作业水平；加强矿山粉尘治理，充分运用新型、高效的防尘、降尘、除尘技术，全面加强矿山开采各环节粉尘防控措施；全面推进秸秆实现资源化利用，推进农业大气氨污染防治，加强种植业氨排放控制，调整氮肥结构，加速挥发性氮肥产品的应用。</w:t>
                  </w:r>
                </w:p>
              </w:tc>
              <w:tc>
                <w:tcPr>
                  <w:tcW w:w="1788" w:type="pct"/>
                  <w:tcBorders>
                    <w:tl2br w:val="nil"/>
                    <w:tr2bl w:val="nil"/>
                  </w:tcBorders>
                  <w:noWrap w:val="0"/>
                  <w:vAlign w:val="center"/>
                </w:tcPr>
                <w:p w14:paraId="42BDA45C">
                  <w:pPr>
                    <w:shd w:val="clear" w:color="auto" w:fill="auto"/>
                    <w:spacing w:line="240" w:lineRule="auto"/>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val="en-US" w:eastAsia="zh-CN"/>
                    </w:rPr>
                    <w:t>项目施工期采取以下措施控制扬尘：①道路洒水降尘，控制车辆车速，禁止大风天气施工，缩短基层施工和面层施工之间的时间，道路施工采取湿法作业；②施工场地设置围挡抑制扬尘扩散；③施工现场出现四级及以上的大风天气时禁止进行土方施工；运输砂石，清运建筑垃圾时，要捆扎封闭严密，防止遗洒飞扬；④运输车辆按当地政府规定线路行驶，不得随意更改路线，经过居民点时，减速慢行。</w:t>
                  </w:r>
                </w:p>
              </w:tc>
              <w:tc>
                <w:tcPr>
                  <w:tcW w:w="618" w:type="pct"/>
                  <w:tcBorders>
                    <w:tl2br w:val="nil"/>
                    <w:tr2bl w:val="nil"/>
                  </w:tcBorders>
                  <w:noWrap w:val="0"/>
                  <w:vAlign w:val="center"/>
                </w:tcPr>
                <w:p w14:paraId="3EC5B60C">
                  <w:pPr>
                    <w:shd w:val="clear" w:color="auto" w:fill="auto"/>
                    <w:autoSpaceDE w:val="0"/>
                    <w:autoSpaceDN w:val="0"/>
                    <w:spacing w:line="240"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符合</w:t>
                  </w:r>
                </w:p>
              </w:tc>
            </w:tr>
          </w:tbl>
          <w:p w14:paraId="221A6100">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2F503F78">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489C655A">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0D425BAB">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24BB4245">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677D2F7">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7321EB1">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6A8C94B9">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130826CA">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27784218">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3C211E5A">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473FB7EA">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6D636DFB">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20082DA9">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1AF6E798">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9C86DD2">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330C9D3E">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40549F76">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0CBF0A2D">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34FAD2E7">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C871014">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148B97B7">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433C4724">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653A111">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2FB6F4B7">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2B30318E">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273861DA">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19CB9789">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0115630E">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792CA216">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31F07A5B">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1F0B3163">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F04ED65">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29B2C65F">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0DCC06C">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749F9DEB">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10E4536C">
            <w:pPr>
              <w:pageBreakBefore w:val="0"/>
              <w:wordWrap/>
              <w:topLinePunct w:val="0"/>
              <w:autoSpaceDE w:val="0"/>
              <w:autoSpaceDN w:val="0"/>
              <w:bidi w:val="0"/>
              <w:adjustRightInd w:val="0"/>
              <w:snapToGrid w:val="0"/>
              <w:spacing w:beforeAutospacing="0" w:afterAutospacing="0"/>
              <w:ind w:left="0" w:leftChars="0" w:right="0" w:rightChars="0"/>
              <w:rPr>
                <w:rFonts w:hint="default" w:ascii="Times New Roman" w:hAnsi="Times New Roman" w:eastAsia="宋体" w:cs="Times New Roman"/>
                <w:caps w:val="0"/>
                <w:smallCaps w:val="0"/>
                <w:color w:val="auto"/>
                <w:spacing w:val="0"/>
                <w:w w:val="100"/>
                <w:kern w:val="2"/>
                <w:position w:val="0"/>
                <w:sz w:val="24"/>
                <w:szCs w:val="24"/>
                <w:highlight w:val="none"/>
              </w:rPr>
            </w:pPr>
          </w:p>
        </w:tc>
      </w:tr>
    </w:tbl>
    <w:p w14:paraId="1EF7BC5B">
      <w:pPr>
        <w:pageBreakBefore w:val="0"/>
        <w:wordWrap/>
        <w:topLinePunct w:val="0"/>
        <w:bidi w:val="0"/>
        <w:spacing w:beforeAutospacing="0" w:afterAutospacing="0" w:line="360" w:lineRule="auto"/>
        <w:ind w:left="0" w:leftChars="0" w:right="0"/>
        <w:outlineLvl w:val="9"/>
        <w:rPr>
          <w:rFonts w:hint="default" w:ascii="Times New Roman" w:hAnsi="Times New Roman" w:eastAsia="黑体" w:cs="Times New Roman"/>
          <w:caps w:val="0"/>
          <w:smallCaps w:val="0"/>
          <w:color w:val="auto"/>
          <w:spacing w:val="0"/>
          <w:w w:val="100"/>
          <w:kern w:val="2"/>
          <w:position w:val="0"/>
          <w:sz w:val="30"/>
          <w:highlight w:val="none"/>
        </w:rPr>
        <w:sectPr>
          <w:footerReference r:id="rId8" w:type="default"/>
          <w:pgSz w:w="11906" w:h="16838"/>
          <w:pgMar w:top="1440" w:right="1803" w:bottom="1440" w:left="1803"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8B419CD">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b w:val="0"/>
          <w:bCs w:val="0"/>
          <w:caps w:val="0"/>
          <w:smallCaps w:val="0"/>
          <w:snapToGrid w:val="0"/>
          <w:color w:val="auto"/>
          <w:spacing w:val="0"/>
          <w:w w:val="100"/>
          <w:kern w:val="2"/>
          <w:position w:val="0"/>
          <w:sz w:val="30"/>
          <w:szCs w:val="30"/>
          <w:highlight w:val="none"/>
        </w:rPr>
      </w:pPr>
      <w:bookmarkStart w:id="5" w:name="_Toc7521"/>
      <w:r>
        <w:rPr>
          <w:rFonts w:hint="default" w:ascii="Times New Roman" w:hAnsi="Times New Roman" w:eastAsia="黑体" w:cs="Times New Roman"/>
          <w:b w:val="0"/>
          <w:bCs w:val="0"/>
          <w:caps w:val="0"/>
          <w:smallCaps w:val="0"/>
          <w:snapToGrid w:val="0"/>
          <w:color w:val="auto"/>
          <w:spacing w:val="0"/>
          <w:w w:val="100"/>
          <w:kern w:val="2"/>
          <w:position w:val="0"/>
          <w:sz w:val="30"/>
          <w:szCs w:val="30"/>
          <w:highlight w:val="none"/>
        </w:rPr>
        <w:t>二、建设内容</w:t>
      </w:r>
      <w:bookmarkEnd w:id="5"/>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537CA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5834A04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地理位置</w:t>
            </w:r>
          </w:p>
        </w:tc>
        <w:tc>
          <w:tcPr>
            <w:tcW w:w="4734" w:type="pct"/>
            <w:tcBorders>
              <w:tl2br w:val="nil"/>
              <w:tr2bl w:val="nil"/>
            </w:tcBorders>
            <w:noWrap w:val="0"/>
            <w:vAlign w:val="center"/>
          </w:tcPr>
          <w:p w14:paraId="62971AA0">
            <w:pPr>
              <w:pStyle w:val="79"/>
              <w:keepNext w:val="0"/>
              <w:keepLines w:val="0"/>
              <w:pageBreakBefore w:val="0"/>
              <w:widowControl w:val="0"/>
              <w:kinsoku/>
              <w:wordWrap w:val="0"/>
              <w:overflowPunct/>
              <w:topLinePunct w:val="0"/>
              <w:autoSpaceDE/>
              <w:autoSpaceDN/>
              <w:bidi w:val="0"/>
              <w:adjustRightInd/>
              <w:snapToGrid/>
              <w:spacing w:before="0" w:beforeLines="0" w:after="0" w:afterLines="0" w:line="360" w:lineRule="auto"/>
              <w:ind w:left="0" w:leftChars="0" w:right="0" w:rightChars="0" w:firstLine="482" w:firstLineChars="200"/>
              <w:textAlignment w:val="auto"/>
              <w:rPr>
                <w:rFonts w:hint="eastAsia"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cs="Times New Roman"/>
                <w:b/>
                <w:bCs/>
                <w:color w:val="auto"/>
                <w:spacing w:val="0"/>
                <w:w w:val="100"/>
                <w:position w:val="0"/>
                <w:sz w:val="24"/>
                <w:szCs w:val="24"/>
                <w:highlight w:val="none"/>
                <w:lang w:val="en-US" w:eastAsia="zh-CN"/>
              </w:rPr>
              <w:t>地理位置：</w:t>
            </w:r>
            <w:r>
              <w:rPr>
                <w:rFonts w:hint="default" w:ascii="Times New Roman" w:hAnsi="Times New Roman" w:eastAsia="宋体" w:cs="Times New Roman"/>
                <w:color w:val="auto"/>
                <w:spacing w:val="0"/>
                <w:w w:val="100"/>
                <w:position w:val="0"/>
                <w:sz w:val="24"/>
                <w:szCs w:val="24"/>
                <w:highlight w:val="none"/>
                <w:lang w:val="en-US" w:eastAsia="zh-CN"/>
              </w:rPr>
              <w:t>本项目</w:t>
            </w:r>
            <w:r>
              <w:rPr>
                <w:rFonts w:hint="eastAsia" w:ascii="Times New Roman" w:hAnsi="Times New Roman" w:eastAsia="宋体" w:cs="Times New Roman"/>
                <w:color w:val="auto"/>
                <w:spacing w:val="0"/>
                <w:w w:val="100"/>
                <w:position w:val="0"/>
                <w:sz w:val="24"/>
                <w:szCs w:val="24"/>
                <w:highlight w:val="none"/>
                <w:lang w:val="en-US" w:eastAsia="zh-CN"/>
              </w:rPr>
              <w:t>建设点</w:t>
            </w:r>
            <w:r>
              <w:rPr>
                <w:rFonts w:hint="default" w:ascii="Times New Roman" w:hAnsi="Times New Roman" w:eastAsia="宋体" w:cs="Times New Roman"/>
                <w:color w:val="auto"/>
                <w:spacing w:val="0"/>
                <w:w w:val="100"/>
                <w:position w:val="0"/>
                <w:sz w:val="24"/>
                <w:szCs w:val="24"/>
                <w:highlight w:val="none"/>
                <w:lang w:val="en-US" w:eastAsia="zh-CN"/>
              </w:rPr>
              <w:t>位于</w:t>
            </w:r>
            <w:r>
              <w:rPr>
                <w:rFonts w:hint="eastAsia" w:ascii="Times New Roman" w:hAnsi="Times New Roman" w:eastAsia="宋体" w:cs="Times New Roman"/>
                <w:color w:val="auto"/>
                <w:spacing w:val="0"/>
                <w:w w:val="100"/>
                <w:position w:val="0"/>
                <w:sz w:val="24"/>
                <w:szCs w:val="24"/>
                <w:highlight w:val="none"/>
                <w:lang w:val="en-US" w:eastAsia="zh-CN"/>
              </w:rPr>
              <w:t>轮台县阳霞镇</w:t>
            </w:r>
            <w:r>
              <w:rPr>
                <w:rFonts w:hint="default" w:ascii="Times New Roman" w:hAnsi="Times New Roman" w:eastAsia="宋体" w:cs="Times New Roman"/>
                <w:color w:val="auto"/>
                <w:spacing w:val="0"/>
                <w:w w:val="100"/>
                <w:position w:val="0"/>
                <w:sz w:val="24"/>
                <w:szCs w:val="24"/>
                <w:highlight w:val="none"/>
                <w:lang w:val="en-US" w:eastAsia="zh-CN"/>
              </w:rPr>
              <w:t>，</w:t>
            </w:r>
            <w:r>
              <w:rPr>
                <w:rFonts w:hint="eastAsia" w:ascii="Times New Roman" w:hAnsi="Times New Roman" w:eastAsia="宋体" w:cs="Times New Roman"/>
                <w:color w:val="auto"/>
                <w:spacing w:val="0"/>
                <w:w w:val="100"/>
                <w:position w:val="0"/>
                <w:sz w:val="24"/>
                <w:szCs w:val="24"/>
                <w:highlight w:val="none"/>
                <w:lang w:val="en-US" w:eastAsia="zh-CN"/>
              </w:rPr>
              <w:t>对现有G216国道上的阳霞3号桥进行危桥改造。</w:t>
            </w:r>
          </w:p>
          <w:p w14:paraId="219BFC8F">
            <w:pPr>
              <w:pStyle w:val="79"/>
              <w:keepNext w:val="0"/>
              <w:keepLines w:val="0"/>
              <w:pageBreakBefore w:val="0"/>
              <w:widowControl w:val="0"/>
              <w:kinsoku/>
              <w:wordWrap w:val="0"/>
              <w:overflowPunct/>
              <w:topLinePunct w:val="0"/>
              <w:autoSpaceDE/>
              <w:autoSpaceDN/>
              <w:bidi w:val="0"/>
              <w:adjustRightInd/>
              <w:snapToGrid/>
              <w:spacing w:before="0" w:beforeLines="0" w:after="0" w:afterLines="0" w:line="360" w:lineRule="auto"/>
              <w:ind w:left="0" w:leftChars="0" w:right="0" w:rightChars="0" w:firstLine="480" w:firstLineChars="200"/>
              <w:textAlignment w:val="auto"/>
              <w:rPr>
                <w:rFonts w:hint="default" w:ascii="Times New Roman" w:hAnsi="Times New Roman" w:eastAsia="宋体" w:cs="Times New Roman"/>
                <w:caps w:val="0"/>
                <w:smallCaps w:val="0"/>
                <w:color w:val="auto"/>
                <w:spacing w:val="0"/>
                <w:w w:val="100"/>
                <w:kern w:val="2"/>
                <w:position w:val="0"/>
                <w:highlight w:val="none"/>
                <w:lang w:val="en-US" w:eastAsia="zh-CN"/>
              </w:rPr>
            </w:pPr>
            <w:r>
              <w:rPr>
                <w:rFonts w:hint="eastAsia" w:ascii="Times New Roman" w:hAnsi="Times New Roman" w:eastAsia="宋体" w:cs="Times New Roman"/>
                <w:color w:val="auto"/>
                <w:spacing w:val="0"/>
                <w:w w:val="100"/>
                <w:position w:val="0"/>
                <w:sz w:val="24"/>
                <w:szCs w:val="24"/>
                <w:highlight w:val="none"/>
                <w:lang w:val="en-US" w:eastAsia="zh-CN"/>
              </w:rPr>
              <w:t>起点：E：84°35′9.386″，N：41°56′53.921″；终点：E：84°35′11.245″，N：41°56′54.366″</w:t>
            </w:r>
          </w:p>
        </w:tc>
      </w:tr>
      <w:tr w14:paraId="094C9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5BB9E24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项目组成及规模</w:t>
            </w:r>
          </w:p>
        </w:tc>
        <w:tc>
          <w:tcPr>
            <w:tcW w:w="4734" w:type="pct"/>
            <w:tcBorders>
              <w:tl2br w:val="nil"/>
              <w:tr2bl w:val="nil"/>
            </w:tcBorders>
            <w:noWrap w:val="0"/>
            <w:vAlign w:val="center"/>
          </w:tcPr>
          <w:p w14:paraId="106B6A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、项目背景</w:t>
            </w:r>
          </w:p>
          <w:p w14:paraId="52F58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老桥基本状况</w:t>
            </w:r>
          </w:p>
          <w:p w14:paraId="5BD04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阳霞3号桥位于G216，桥梁中心桩号为K1337+892。桥梁全长41.90m，桥梁跨径组合为3×10.70m，桥面全宽为12.00m，桥宽组合为0.50m（护栏）+11.00m（桥面净宽）+0.50m（护栏）。桥梁建成于1975年，桥梁于1975年通车。设计荷载等级为汽车-15级。</w:t>
            </w:r>
          </w:p>
          <w:p w14:paraId="46D42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桥梁上部结构为混凝土双曲拱。</w:t>
            </w:r>
          </w:p>
          <w:p w14:paraId="3588B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桥梁下部结构桥墩为钢筋混凝土重力式墩、扩大基础，桥梁下部结构桥台为钢筋混凝土重力式桥台、扩大基础。</w:t>
            </w:r>
          </w:p>
          <w:p w14:paraId="1D2472D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本桥桥面铺装为沥青混凝土铺装，桥面设钢筋混凝土防撞墙。</w:t>
            </w:r>
          </w:p>
          <w:p w14:paraId="1C98F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原桥主要病害情况</w:t>
            </w:r>
          </w:p>
          <w:p w14:paraId="3FF62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根据调阅2024年8月桥检相关资料及现场调查，以下为主要病害情况。</w:t>
            </w:r>
          </w:p>
          <w:p w14:paraId="4526F18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上部结构:</w:t>
            </w:r>
          </w:p>
          <w:p w14:paraId="5B2C339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（1）拱肋裂缝病害</w:t>
            </w:r>
          </w:p>
          <w:p w14:paraId="3687E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①拱肋横向刚度太差：这会导致拱肋在受到外力作用时容易发生变形，从而产生裂缝。</w:t>
            </w:r>
          </w:p>
          <w:p w14:paraId="4A711A2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②拱肋强度不够：如果拱肋的强度不足以承受车辆荷载和其他外部力量，就会发生裂缝。</w:t>
            </w:r>
          </w:p>
          <w:p w14:paraId="6697707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③横向联系太弱：横向联系是指拱肋之间的连接，如果连接不够牢固，会导致拱肋在受力时出现裂缝。</w:t>
            </w:r>
          </w:p>
          <w:p w14:paraId="28DAD6A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④拱脚移位：拱脚的移位会导致整个拱肋结构的受力不均衡，从而引发裂缝。</w:t>
            </w:r>
          </w:p>
          <w:p w14:paraId="5FD9E72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⑤此外，还有一些其他因素会导致或加剧拱肋裂缝的形成，例如：混凝土收缩和徐变：混凝土在硬化过程中会收缩，如果收缩受到限制，就会产生裂缝。温度变化：温度的变化会导致混凝土的热胀冷缩，从而产生应力，可能导致裂缝。长期超负荷运营：长期的超负荷运营会使拱肋逐渐疲劳，最终导致裂缝的出现。综上所述，双曲拱桥拱肋裂缝的原因多种多样，包括结构设计上的缺陷、材料强度不足以及长期使用中的疲劳损伤等。</w:t>
            </w:r>
          </w:p>
          <w:p w14:paraId="0BDFEF1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（2）拱波裂缝病害</w:t>
            </w:r>
          </w:p>
          <w:p w14:paraId="274A7DF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拱波可视为支撑于拱肋之上的拱式结构，在荷载作用下，拱波对拱肋产生推力，当拱肋产生位移时易在拱波中部产生沿纵桥向裂缝。由于拱肋在拱脚附近受约束较强，而在拱顶最弱，因此拱波顶部纵向开裂也主要出现在跨中附近。</w:t>
            </w:r>
          </w:p>
          <w:p w14:paraId="7CA52D8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下部结构</w:t>
            </w:r>
          </w:p>
          <w:p w14:paraId="41369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桥墩台剥落、掉角病害是由于混凝土保护层厚度不足，浇筑质量不佳；在冰雪凝冻天气采用除冰盐进行融冰、融雪，导致氯离子侵蚀混凝土，继而造成钢筋锈胀、混凝土开裂剥落、掉角。</w:t>
            </w:r>
          </w:p>
          <w:p w14:paraId="13B8564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桥面系</w:t>
            </w:r>
          </w:p>
          <w:p w14:paraId="5265B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桥面铺装裂缝病害是由于运营过程中，车辆反复作用产生的局部冲击力和剪切力致使路面产生裂缝。</w:t>
            </w:r>
          </w:p>
          <w:p w14:paraId="4AD6C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2、建设项目基本情况</w:t>
            </w:r>
          </w:p>
          <w:p w14:paraId="6FE5FEA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项目名称：</w:t>
            </w:r>
            <w:r>
              <w:rPr>
                <w:rFonts w:hint="eastAsia" w:cs="Times New Roman"/>
                <w:caps w:val="0"/>
                <w:smallCaps w:val="0"/>
                <w:color w:val="auto"/>
                <w:spacing w:val="0"/>
                <w:w w:val="100"/>
                <w:kern w:val="2"/>
                <w:position w:val="0"/>
                <w:sz w:val="24"/>
                <w:szCs w:val="24"/>
                <w:highlight w:val="none"/>
                <w:lang w:val="en-US" w:eastAsia="zh-CN"/>
              </w:rPr>
              <w:t>2026年危旧桥改造项目G216线K1337+892处阳霞3号桥改造工程</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w:t>
            </w:r>
          </w:p>
          <w:p w14:paraId="18DE6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建设单位：库尔勒公路事业发展中心；</w:t>
            </w:r>
          </w:p>
          <w:p w14:paraId="6194610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建设地点：新疆巴州轮台县阳霞镇；</w:t>
            </w:r>
          </w:p>
          <w:p w14:paraId="5C68D64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建设性质：改建；</w:t>
            </w:r>
          </w:p>
          <w:p w14:paraId="1134B6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项目投资：项目总投资364.1487万元，其中环保投资31万元，占总投资的8.51%；</w:t>
            </w:r>
          </w:p>
          <w:p w14:paraId="5305110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建设周期：2026年4月-2026年8月，共计4个月。</w:t>
            </w:r>
          </w:p>
          <w:p w14:paraId="0BE18EA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3、主要建设内容及项目组成</w:t>
            </w:r>
          </w:p>
          <w:p w14:paraId="45D55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本次项目对G216线K1337+892.0处阳霞3号桥进行老桥拆除后重建。本桥全长46.00m，宽12m，上部采用预应力混凝土简支小箱梁，下部结构桥台采用柱式台，桥墩采用柱式墩，墩台采用桩基础。</w:t>
            </w:r>
          </w:p>
          <w:p w14:paraId="471081E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cs="Times New Roman"/>
                <w:b/>
                <w:bCs/>
                <w:caps w:val="0"/>
                <w:smallCaps w:val="0"/>
                <w:color w:val="auto"/>
                <w:spacing w:val="0"/>
                <w:w w:val="100"/>
                <w:kern w:val="2"/>
                <w:position w:val="0"/>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项目主要工程</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内容及规模</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详见下表：</w:t>
            </w:r>
          </w:p>
          <w:p w14:paraId="2264468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16"/>
                <w:highlight w:val="none"/>
                <w:lang w:val="en-US" w:eastAsia="zh-CN" w:bidi="ar-SA"/>
              </w:rPr>
            </w:pPr>
            <w:r>
              <w:rPr>
                <w:rFonts w:hint="default" w:ascii="Times New Roman" w:hAnsi="Times New Roman" w:eastAsia="宋体" w:cs="Times New Roman"/>
                <w:b/>
                <w:bCs/>
                <w:caps w:val="0"/>
                <w:smallCaps w:val="0"/>
                <w:color w:val="auto"/>
                <w:spacing w:val="0"/>
                <w:w w:val="100"/>
                <w:kern w:val="2"/>
                <w:position w:val="0"/>
                <w:sz w:val="21"/>
                <w:szCs w:val="16"/>
                <w:highlight w:val="none"/>
                <w:lang w:val="en-US" w:eastAsia="zh-CN" w:bidi="ar-SA"/>
              </w:rPr>
              <w:t>表2</w:t>
            </w:r>
            <w:r>
              <w:rPr>
                <w:rFonts w:hint="eastAsia" w:cs="Times New Roman"/>
                <w:b/>
                <w:bCs/>
                <w:caps w:val="0"/>
                <w:smallCaps w:val="0"/>
                <w:color w:val="auto"/>
                <w:spacing w:val="0"/>
                <w:w w:val="100"/>
                <w:kern w:val="2"/>
                <w:position w:val="0"/>
                <w:sz w:val="21"/>
                <w:szCs w:val="16"/>
                <w:highlight w:val="none"/>
                <w:lang w:val="en-US" w:eastAsia="zh-CN" w:bidi="ar-SA"/>
              </w:rPr>
              <w:t>-1</w:t>
            </w:r>
            <w:r>
              <w:rPr>
                <w:rFonts w:hint="eastAsia" w:ascii="Times New Roman" w:hAnsi="Times New Roman" w:eastAsia="宋体" w:cs="Times New Roman"/>
                <w:b/>
                <w:bCs/>
                <w:caps w:val="0"/>
                <w:smallCaps w:val="0"/>
                <w:color w:val="auto"/>
                <w:spacing w:val="0"/>
                <w:w w:val="100"/>
                <w:kern w:val="2"/>
                <w:position w:val="0"/>
                <w:sz w:val="21"/>
                <w:szCs w:val="16"/>
                <w:highlight w:val="none"/>
                <w:lang w:val="en-US" w:eastAsia="zh-CN" w:bidi="ar-SA"/>
              </w:rPr>
              <w:t xml:space="preserve">    工程</w:t>
            </w:r>
            <w:r>
              <w:rPr>
                <w:rFonts w:hint="default" w:ascii="Times New Roman" w:hAnsi="Times New Roman" w:eastAsia="宋体" w:cs="Times New Roman"/>
                <w:b/>
                <w:bCs/>
                <w:caps w:val="0"/>
                <w:smallCaps w:val="0"/>
                <w:color w:val="auto"/>
                <w:spacing w:val="0"/>
                <w:w w:val="100"/>
                <w:kern w:val="2"/>
                <w:position w:val="0"/>
                <w:sz w:val="21"/>
                <w:szCs w:val="16"/>
                <w:highlight w:val="none"/>
                <w:lang w:val="en-US" w:eastAsia="zh-CN" w:bidi="ar-SA"/>
              </w:rPr>
              <w:t>建设</w:t>
            </w:r>
            <w:r>
              <w:rPr>
                <w:rFonts w:hint="eastAsia" w:ascii="Times New Roman" w:hAnsi="Times New Roman" w:eastAsia="宋体" w:cs="Times New Roman"/>
                <w:b/>
                <w:bCs/>
                <w:caps w:val="0"/>
                <w:smallCaps w:val="0"/>
                <w:color w:val="auto"/>
                <w:spacing w:val="0"/>
                <w:w w:val="100"/>
                <w:kern w:val="2"/>
                <w:position w:val="0"/>
                <w:sz w:val="21"/>
                <w:szCs w:val="16"/>
                <w:highlight w:val="none"/>
                <w:lang w:val="en-US" w:eastAsia="zh-CN" w:bidi="ar-SA"/>
              </w:rPr>
              <w:t>内容</w:t>
            </w:r>
            <w:r>
              <w:rPr>
                <w:rFonts w:hint="default" w:ascii="Times New Roman" w:hAnsi="Times New Roman" w:eastAsia="宋体" w:cs="Times New Roman"/>
                <w:b/>
                <w:bCs/>
                <w:caps w:val="0"/>
                <w:smallCaps w:val="0"/>
                <w:color w:val="auto"/>
                <w:spacing w:val="0"/>
                <w:w w:val="100"/>
                <w:kern w:val="2"/>
                <w:position w:val="0"/>
                <w:sz w:val="21"/>
                <w:szCs w:val="16"/>
                <w:highlight w:val="none"/>
                <w:lang w:val="en-US" w:eastAsia="zh-CN" w:bidi="ar-SA"/>
              </w:rPr>
              <w:t>一览表</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704"/>
              <w:gridCol w:w="738"/>
              <w:gridCol w:w="6408"/>
            </w:tblGrid>
            <w:tr w14:paraId="7626306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tcBorders>
                    <w:tl2br w:val="nil"/>
                    <w:tr2bl w:val="nil"/>
                  </w:tcBorders>
                  <w:noWrap w:val="0"/>
                  <w:vAlign w:val="center"/>
                </w:tcPr>
                <w:p w14:paraId="42AFBA20">
                  <w:pPr>
                    <w:keepNext w:val="0"/>
                    <w:keepLines w:val="0"/>
                    <w:widowControl/>
                    <w:suppressLineNumbers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smallCaps w:val="0"/>
                      <w:color w:val="auto"/>
                      <w:spacing w:val="0"/>
                      <w:w w:val="100"/>
                      <w:kern w:val="2"/>
                      <w:position w:val="0"/>
                      <w:sz w:val="18"/>
                      <w:szCs w:val="18"/>
                      <w:highlight w:val="none"/>
                      <w:vertAlign w:val="baseline"/>
                      <w:lang w:val="en-US" w:eastAsia="zh-CN"/>
                    </w:rPr>
                  </w:pPr>
                  <w:r>
                    <w:rPr>
                      <w:rFonts w:hint="default" w:ascii="Times New Roman" w:hAnsi="Times New Roman" w:eastAsia="宋体" w:cs="Times New Roman"/>
                      <w:kern w:val="0"/>
                      <w:sz w:val="18"/>
                      <w:szCs w:val="18"/>
                      <w:highlight w:val="none"/>
                      <w:lang w:val="en-US" w:eastAsia="zh-CN" w:bidi="ar-SA"/>
                    </w:rPr>
                    <w:t>项目组成</w:t>
                  </w:r>
                </w:p>
              </w:tc>
              <w:tc>
                <w:tcPr>
                  <w:tcW w:w="470" w:type="pct"/>
                  <w:tcBorders>
                    <w:tl2br w:val="nil"/>
                    <w:tr2bl w:val="nil"/>
                  </w:tcBorders>
                  <w:noWrap w:val="0"/>
                  <w:vAlign w:val="center"/>
                </w:tcPr>
                <w:p w14:paraId="078C937C">
                  <w:pPr>
                    <w:keepNext w:val="0"/>
                    <w:keepLines w:val="0"/>
                    <w:widowControl/>
                    <w:suppressLineNumbers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aps w:val="0"/>
                      <w:smallCaps w:val="0"/>
                      <w:color w:val="auto"/>
                      <w:spacing w:val="0"/>
                      <w:w w:val="100"/>
                      <w:kern w:val="2"/>
                      <w:position w:val="0"/>
                      <w:sz w:val="18"/>
                      <w:szCs w:val="18"/>
                      <w:highlight w:val="none"/>
                      <w:vertAlign w:val="baseline"/>
                      <w:lang w:val="en-US" w:eastAsia="zh-CN"/>
                    </w:rPr>
                  </w:pPr>
                  <w:r>
                    <w:rPr>
                      <w:rFonts w:hint="default" w:ascii="Times New Roman" w:hAnsi="Times New Roman" w:eastAsia="宋体" w:cs="Times New Roman"/>
                      <w:kern w:val="0"/>
                      <w:sz w:val="18"/>
                      <w:szCs w:val="18"/>
                      <w:highlight w:val="none"/>
                      <w:lang w:val="en-US" w:eastAsia="zh-CN" w:bidi="ar-SA"/>
                    </w:rPr>
                    <w:t>建设内容</w:t>
                  </w:r>
                </w:p>
              </w:tc>
              <w:tc>
                <w:tcPr>
                  <w:tcW w:w="4080" w:type="pct"/>
                  <w:tcBorders>
                    <w:tl2br w:val="nil"/>
                    <w:tr2bl w:val="nil"/>
                  </w:tcBorders>
                  <w:noWrap w:val="0"/>
                  <w:vAlign w:val="center"/>
                </w:tcPr>
                <w:p w14:paraId="660E5274">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bCs/>
                      <w:caps w:val="0"/>
                      <w:smallCaps w:val="0"/>
                      <w:color w:val="auto"/>
                      <w:spacing w:val="0"/>
                      <w:w w:val="100"/>
                      <w:kern w:val="2"/>
                      <w:position w:val="0"/>
                      <w:sz w:val="18"/>
                      <w:szCs w:val="18"/>
                      <w:highlight w:val="none"/>
                      <w:vertAlign w:val="baseline"/>
                      <w:lang w:val="en-US" w:eastAsia="zh-CN"/>
                    </w:rPr>
                  </w:pPr>
                  <w:r>
                    <w:rPr>
                      <w:rFonts w:hint="default" w:ascii="Times New Roman" w:hAnsi="Times New Roman" w:cs="Times New Roman"/>
                      <w:b/>
                      <w:bCs/>
                      <w:caps w:val="0"/>
                      <w:smallCaps w:val="0"/>
                      <w:color w:val="auto"/>
                      <w:spacing w:val="0"/>
                      <w:w w:val="100"/>
                      <w:kern w:val="2"/>
                      <w:position w:val="0"/>
                      <w:sz w:val="18"/>
                      <w:szCs w:val="18"/>
                      <w:highlight w:val="none"/>
                      <w:vertAlign w:val="baseline"/>
                      <w:lang w:val="en-US" w:eastAsia="zh-CN"/>
                    </w:rPr>
                    <w:t>建设内容</w:t>
                  </w:r>
                </w:p>
              </w:tc>
            </w:tr>
            <w:tr w14:paraId="5C9AF23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84" w:hRule="atLeast"/>
              </w:trPr>
              <w:tc>
                <w:tcPr>
                  <w:tcW w:w="448" w:type="pct"/>
                  <w:tcBorders>
                    <w:tl2br w:val="nil"/>
                    <w:tr2bl w:val="nil"/>
                  </w:tcBorders>
                  <w:noWrap w:val="0"/>
                  <w:vAlign w:val="center"/>
                </w:tcPr>
                <w:p w14:paraId="4B657366">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pPr>
                  <w:r>
                    <w:rPr>
                      <w:rFonts w:hint="default" w:ascii="Times New Roman" w:hAnsi="Times New Roman" w:cs="Times New Roman"/>
                      <w:caps w:val="0"/>
                      <w:smallCaps w:val="0"/>
                      <w:color w:val="auto"/>
                      <w:spacing w:val="0"/>
                      <w:w w:val="100"/>
                      <w:kern w:val="2"/>
                      <w:position w:val="0"/>
                      <w:sz w:val="18"/>
                      <w:szCs w:val="18"/>
                      <w:highlight w:val="none"/>
                      <w:vertAlign w:val="baseline"/>
                      <w:lang w:val="en-US" w:eastAsia="zh-CN"/>
                    </w:rPr>
                    <w:t>主体工程</w:t>
                  </w:r>
                </w:p>
              </w:tc>
              <w:tc>
                <w:tcPr>
                  <w:tcW w:w="470" w:type="pct"/>
                  <w:tcBorders>
                    <w:tl2br w:val="nil"/>
                    <w:tr2bl w:val="nil"/>
                  </w:tcBorders>
                  <w:noWrap w:val="0"/>
                  <w:vAlign w:val="center"/>
                </w:tcPr>
                <w:p w14:paraId="2603E9F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pPr>
                  <w:r>
                    <w:rPr>
                      <w:rFonts w:hint="eastAsia"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t>阳霞3号桥</w:t>
                  </w:r>
                </w:p>
              </w:tc>
              <w:tc>
                <w:tcPr>
                  <w:tcW w:w="4080" w:type="pct"/>
                  <w:tcBorders>
                    <w:tl2br w:val="nil"/>
                    <w:tr2bl w:val="nil"/>
                  </w:tcBorders>
                  <w:noWrap w:val="0"/>
                  <w:vAlign w:val="center"/>
                </w:tcPr>
                <w:p w14:paraId="5190009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pPr>
                  <w:r>
                    <w:rPr>
                      <w:rFonts w:hint="eastAsia"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t>G216线K1337+892.0阳霞3号桥平面位于直线上，桥梁角度为90°，桥面双向1.5%横坡，纵断面纵坡0.083%。本桥全长46.00m，宽12m。桥梁所处地区地震动峰值加速度为0.20g，地震反应谱周期为0.40s，地震烈度为Ⅷ度。</w:t>
                  </w:r>
                </w:p>
                <w:p w14:paraId="117F931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pacing w:val="0"/>
                      <w:w w:val="100"/>
                      <w:kern w:val="2"/>
                      <w:position w:val="0"/>
                      <w:sz w:val="18"/>
                      <w:szCs w:val="18"/>
                      <w:highlight w:val="none"/>
                      <w:vertAlign w:val="baseline"/>
                      <w:lang w:eastAsia="zh-CN"/>
                    </w:rPr>
                  </w:pPr>
                  <w:r>
                    <w:rPr>
                      <w:rFonts w:hint="eastAsia"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t>全桥共1联：2×20；上部结构采用预应力混凝土(后张)简支小箱梁；下部结构桥台采用柱式台，桥墩采用柱式墩，墩台采用桩基础。桥台采用GBZYH350*87滑板式橡胶支座；桥墩采用GYZ350x85型板式橡胶支座；0、2号桥台采用D80伸缩缝。</w:t>
                  </w:r>
                </w:p>
              </w:tc>
            </w:tr>
            <w:tr w14:paraId="0A06991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restart"/>
                  <w:tcBorders>
                    <w:tl2br w:val="nil"/>
                    <w:tr2bl w:val="nil"/>
                  </w:tcBorders>
                  <w:noWrap w:val="0"/>
                  <w:vAlign w:val="center"/>
                </w:tcPr>
                <w:p w14:paraId="40AC1089">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pPr>
                  <w:r>
                    <w:rPr>
                      <w:rFonts w:hint="eastAsia" w:ascii="Times New Roman" w:hAnsi="Times New Roman" w:cs="Times New Roman"/>
                      <w:caps w:val="0"/>
                      <w:smallCaps w:val="0"/>
                      <w:color w:val="auto"/>
                      <w:spacing w:val="0"/>
                      <w:w w:val="100"/>
                      <w:kern w:val="2"/>
                      <w:position w:val="0"/>
                      <w:sz w:val="18"/>
                      <w:szCs w:val="18"/>
                      <w:highlight w:val="none"/>
                      <w:vertAlign w:val="baseline"/>
                      <w:lang w:val="en-US" w:eastAsia="zh-CN"/>
                    </w:rPr>
                    <w:t>临时工程</w:t>
                  </w:r>
                </w:p>
              </w:tc>
              <w:tc>
                <w:tcPr>
                  <w:tcW w:w="470" w:type="pct"/>
                  <w:tcBorders>
                    <w:tl2br w:val="nil"/>
                    <w:tr2bl w:val="nil"/>
                  </w:tcBorders>
                  <w:noWrap w:val="0"/>
                  <w:vAlign w:val="center"/>
                </w:tcPr>
                <w:p w14:paraId="3269143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预制场</w:t>
                  </w:r>
                </w:p>
              </w:tc>
              <w:tc>
                <w:tcPr>
                  <w:tcW w:w="4080" w:type="pct"/>
                  <w:tcBorders>
                    <w:tl2br w:val="nil"/>
                    <w:tr2bl w:val="nil"/>
                  </w:tcBorders>
                  <w:noWrap w:val="0"/>
                  <w:vAlign w:val="center"/>
                </w:tcPr>
                <w:p w14:paraId="368EB88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本项目不设置临时预制场，水稳料、沥青混凝土、商混料等均从周边既有商品料场采购。</w:t>
                  </w:r>
                </w:p>
              </w:tc>
            </w:tr>
            <w:tr w14:paraId="0385E07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22C2301D">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aps w:val="0"/>
                      <w:smallCaps w:val="0"/>
                      <w:color w:val="auto"/>
                      <w:spacing w:val="0"/>
                      <w:w w:val="100"/>
                      <w:kern w:val="2"/>
                      <w:position w:val="0"/>
                      <w:sz w:val="18"/>
                      <w:szCs w:val="18"/>
                      <w:highlight w:val="none"/>
                      <w:vertAlign w:val="baseline"/>
                    </w:rPr>
                  </w:pPr>
                </w:p>
              </w:tc>
              <w:tc>
                <w:tcPr>
                  <w:tcW w:w="470" w:type="pct"/>
                  <w:tcBorders>
                    <w:tl2br w:val="nil"/>
                    <w:tr2bl w:val="nil"/>
                  </w:tcBorders>
                  <w:noWrap w:val="0"/>
                  <w:vAlign w:val="center"/>
                </w:tcPr>
                <w:p w14:paraId="652D950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施工营地</w:t>
                  </w:r>
                </w:p>
              </w:tc>
              <w:tc>
                <w:tcPr>
                  <w:tcW w:w="4080" w:type="pct"/>
                  <w:tcBorders>
                    <w:tl2br w:val="nil"/>
                    <w:tr2bl w:val="nil"/>
                  </w:tcBorders>
                  <w:noWrap w:val="0"/>
                  <w:vAlign w:val="center"/>
                </w:tcPr>
                <w:p w14:paraId="2AA8ECB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本项目位于轮台县阳霞镇附近，施工人员租住项目周边村民房屋，不新增临时生活区。</w:t>
                  </w:r>
                </w:p>
              </w:tc>
            </w:tr>
            <w:tr w14:paraId="41BDDBB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8" w:hRule="atLeast"/>
              </w:trPr>
              <w:tc>
                <w:tcPr>
                  <w:tcW w:w="448" w:type="pct"/>
                  <w:vMerge w:val="continue"/>
                  <w:tcBorders>
                    <w:tl2br w:val="nil"/>
                    <w:tr2bl w:val="nil"/>
                  </w:tcBorders>
                  <w:noWrap w:val="0"/>
                  <w:vAlign w:val="center"/>
                </w:tcPr>
                <w:p w14:paraId="28271907">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aps w:val="0"/>
                      <w:smallCaps w:val="0"/>
                      <w:color w:val="auto"/>
                      <w:spacing w:val="0"/>
                      <w:w w:val="100"/>
                      <w:kern w:val="2"/>
                      <w:position w:val="0"/>
                      <w:sz w:val="18"/>
                      <w:szCs w:val="18"/>
                      <w:highlight w:val="none"/>
                      <w:vertAlign w:val="baseline"/>
                    </w:rPr>
                  </w:pPr>
                </w:p>
              </w:tc>
              <w:tc>
                <w:tcPr>
                  <w:tcW w:w="470" w:type="pct"/>
                  <w:tcBorders>
                    <w:tl2br w:val="nil"/>
                    <w:tr2bl w:val="nil"/>
                  </w:tcBorders>
                  <w:noWrap w:val="0"/>
                  <w:vAlign w:val="center"/>
                </w:tcPr>
                <w:p w14:paraId="542E0DA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施工便道</w:t>
                  </w:r>
                </w:p>
              </w:tc>
              <w:tc>
                <w:tcPr>
                  <w:tcW w:w="4080" w:type="pct"/>
                  <w:tcBorders>
                    <w:tl2br w:val="nil"/>
                    <w:tr2bl w:val="nil"/>
                  </w:tcBorders>
                  <w:noWrap w:val="0"/>
                  <w:vAlign w:val="center"/>
                </w:tcPr>
                <w:p w14:paraId="06C9F397">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本项目施工便道与社会便道合并设置，采用双车道四级公路技术标准建设，便道设置与前进方向右侧，全长120.146m，采用沥青混凝土路面，路基宽7.0m，路面宽6.0m。</w:t>
                  </w:r>
                </w:p>
              </w:tc>
            </w:tr>
            <w:tr w14:paraId="6C63F8E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8" w:hRule="atLeast"/>
              </w:trPr>
              <w:tc>
                <w:tcPr>
                  <w:tcW w:w="448" w:type="pct"/>
                  <w:vMerge w:val="continue"/>
                  <w:tcBorders>
                    <w:tl2br w:val="nil"/>
                    <w:tr2bl w:val="nil"/>
                  </w:tcBorders>
                  <w:noWrap w:val="0"/>
                  <w:vAlign w:val="center"/>
                </w:tcPr>
                <w:p w14:paraId="6DAF18E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aps w:val="0"/>
                      <w:smallCaps w:val="0"/>
                      <w:color w:val="auto"/>
                      <w:spacing w:val="0"/>
                      <w:w w:val="100"/>
                      <w:kern w:val="2"/>
                      <w:position w:val="0"/>
                      <w:sz w:val="18"/>
                      <w:szCs w:val="18"/>
                      <w:highlight w:val="none"/>
                      <w:vertAlign w:val="baseline"/>
                    </w:rPr>
                  </w:pPr>
                </w:p>
              </w:tc>
              <w:tc>
                <w:tcPr>
                  <w:tcW w:w="470" w:type="pct"/>
                  <w:tcBorders>
                    <w:tl2br w:val="nil"/>
                    <w:tr2bl w:val="nil"/>
                  </w:tcBorders>
                  <w:noWrap w:val="0"/>
                  <w:vAlign w:val="center"/>
                </w:tcPr>
                <w:p w14:paraId="0368474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t>取土场</w:t>
                  </w:r>
                </w:p>
              </w:tc>
              <w:tc>
                <w:tcPr>
                  <w:tcW w:w="4080" w:type="pct"/>
                  <w:tcBorders>
                    <w:tl2br w:val="nil"/>
                    <w:tr2bl w:val="nil"/>
                  </w:tcBorders>
                  <w:noWrap w:val="0"/>
                  <w:vAlign w:val="center"/>
                </w:tcPr>
                <w:p w14:paraId="4561A390">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本项目不单独设置取土场，</w:t>
                  </w: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依托周边</w:t>
                  </w: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既有社会料场为项目全线提供基础用砂石料。</w:t>
                  </w:r>
                </w:p>
              </w:tc>
            </w:tr>
            <w:tr w14:paraId="37FF19E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8" w:hRule="atLeast"/>
              </w:trPr>
              <w:tc>
                <w:tcPr>
                  <w:tcW w:w="448" w:type="pct"/>
                  <w:vMerge w:val="continue"/>
                  <w:tcBorders>
                    <w:tl2br w:val="nil"/>
                    <w:tr2bl w:val="nil"/>
                  </w:tcBorders>
                  <w:noWrap w:val="0"/>
                  <w:vAlign w:val="center"/>
                </w:tcPr>
                <w:p w14:paraId="36644744">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sz w:val="18"/>
                      <w:szCs w:val="18"/>
                      <w:highlight w:val="none"/>
                    </w:rPr>
                  </w:pPr>
                </w:p>
              </w:tc>
              <w:tc>
                <w:tcPr>
                  <w:tcW w:w="470" w:type="pct"/>
                  <w:tcBorders>
                    <w:tl2br w:val="nil"/>
                    <w:tr2bl w:val="nil"/>
                  </w:tcBorders>
                  <w:noWrap w:val="0"/>
                  <w:vAlign w:val="center"/>
                </w:tcPr>
                <w:p w14:paraId="2A825B5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弃土场</w:t>
                  </w:r>
                </w:p>
              </w:tc>
              <w:tc>
                <w:tcPr>
                  <w:tcW w:w="4080" w:type="pct"/>
                  <w:tcBorders>
                    <w:tl2br w:val="nil"/>
                    <w:tr2bl w:val="nil"/>
                  </w:tcBorders>
                  <w:noWrap w:val="0"/>
                  <w:vAlign w:val="center"/>
                </w:tcPr>
                <w:p w14:paraId="4DE0BB47">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本项目不设置独立的弃土场，道路挖方过程产生的弃土集中收集运至政府主管部门指定的弃土坑内堆存。</w:t>
                  </w:r>
                </w:p>
              </w:tc>
            </w:tr>
            <w:tr w14:paraId="2E3ADBF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39" w:hRule="atLeast"/>
              </w:trPr>
              <w:tc>
                <w:tcPr>
                  <w:tcW w:w="448" w:type="pct"/>
                  <w:vMerge w:val="restart"/>
                  <w:tcBorders>
                    <w:tl2br w:val="nil"/>
                    <w:tr2bl w:val="nil"/>
                  </w:tcBorders>
                  <w:noWrap w:val="0"/>
                  <w:vAlign w:val="center"/>
                </w:tcPr>
                <w:p w14:paraId="3FCFB6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公用工程</w:t>
                  </w:r>
                </w:p>
              </w:tc>
              <w:tc>
                <w:tcPr>
                  <w:tcW w:w="470" w:type="pct"/>
                  <w:tcBorders>
                    <w:tl2br w:val="nil"/>
                    <w:tr2bl w:val="nil"/>
                  </w:tcBorders>
                  <w:noWrap w:val="0"/>
                  <w:vAlign w:val="center"/>
                </w:tcPr>
                <w:p w14:paraId="1C9CEF9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供电系统</w:t>
                  </w:r>
                </w:p>
              </w:tc>
              <w:tc>
                <w:tcPr>
                  <w:tcW w:w="4080" w:type="pct"/>
                  <w:tcBorders>
                    <w:tl2br w:val="nil"/>
                    <w:tr2bl w:val="nil"/>
                  </w:tcBorders>
                  <w:noWrap w:val="0"/>
                  <w:vAlign w:val="center"/>
                </w:tcPr>
                <w:p w14:paraId="33BD800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施工用电由施工单位自备柴油发电机提供，燃料油从周边乡镇加油站购买。</w:t>
                  </w:r>
                </w:p>
              </w:tc>
            </w:tr>
            <w:tr w14:paraId="34283A2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39" w:hRule="atLeast"/>
              </w:trPr>
              <w:tc>
                <w:tcPr>
                  <w:tcW w:w="448" w:type="pct"/>
                  <w:vMerge w:val="continue"/>
                  <w:tcBorders>
                    <w:tl2br w:val="nil"/>
                    <w:tr2bl w:val="nil"/>
                  </w:tcBorders>
                  <w:noWrap w:val="0"/>
                  <w:vAlign w:val="center"/>
                </w:tcPr>
                <w:p w14:paraId="0070F48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sz w:val="18"/>
                      <w:szCs w:val="18"/>
                      <w:highlight w:val="none"/>
                    </w:rPr>
                  </w:pPr>
                </w:p>
              </w:tc>
              <w:tc>
                <w:tcPr>
                  <w:tcW w:w="470" w:type="pct"/>
                  <w:tcBorders>
                    <w:tl2br w:val="nil"/>
                    <w:tr2bl w:val="nil"/>
                  </w:tcBorders>
                  <w:noWrap w:val="0"/>
                  <w:vAlign w:val="center"/>
                </w:tcPr>
                <w:p w14:paraId="45EB744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给水系统</w:t>
                  </w:r>
                </w:p>
              </w:tc>
              <w:tc>
                <w:tcPr>
                  <w:tcW w:w="4080" w:type="pct"/>
                  <w:tcBorders>
                    <w:tl2br w:val="nil"/>
                    <w:tr2bl w:val="nil"/>
                  </w:tcBorders>
                  <w:noWrap w:val="0"/>
                  <w:vAlign w:val="center"/>
                </w:tcPr>
                <w:p w14:paraId="0209C15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施工人员生活用水依托租住房屋既有的自来水系统；生产用水从道路工程附近的村镇拉运。</w:t>
                  </w:r>
                </w:p>
              </w:tc>
            </w:tr>
            <w:tr w14:paraId="0B5A3E6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77" w:hRule="atLeast"/>
              </w:trPr>
              <w:tc>
                <w:tcPr>
                  <w:tcW w:w="448" w:type="pct"/>
                  <w:vMerge w:val="restart"/>
                  <w:tcBorders>
                    <w:tl2br w:val="nil"/>
                    <w:tr2bl w:val="nil"/>
                  </w:tcBorders>
                  <w:noWrap w:val="0"/>
                  <w:vAlign w:val="center"/>
                </w:tcPr>
                <w:p w14:paraId="1EBCA06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环保工程</w:t>
                  </w:r>
                </w:p>
              </w:tc>
              <w:tc>
                <w:tcPr>
                  <w:tcW w:w="470" w:type="pct"/>
                  <w:vMerge w:val="restart"/>
                  <w:tcBorders>
                    <w:tl2br w:val="nil"/>
                    <w:tr2bl w:val="nil"/>
                  </w:tcBorders>
                  <w:noWrap w:val="0"/>
                  <w:vAlign w:val="center"/>
                </w:tcPr>
                <w:p w14:paraId="00F5BB9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废气治理</w:t>
                  </w:r>
                </w:p>
              </w:tc>
              <w:tc>
                <w:tcPr>
                  <w:tcW w:w="4080" w:type="pct"/>
                  <w:tcBorders>
                    <w:tl2br w:val="nil"/>
                    <w:tr2bl w:val="nil"/>
                  </w:tcBorders>
                  <w:noWrap w:val="0"/>
                  <w:vAlign w:val="center"/>
                </w:tcPr>
                <w:p w14:paraId="24D3B4F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原材料运输途中要加苫盖；砂石料外购运输至临时堆土场堆放，设置防尘网覆盖，定期洒水；施工机械使用符合国家标准的优质燃油，减少机械和车辆尾气排放。施工道路路面洒水降尘。</w:t>
                  </w:r>
                </w:p>
              </w:tc>
            </w:tr>
            <w:tr w14:paraId="684C3B1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60C8FEC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70" w:type="pct"/>
                  <w:vMerge w:val="continue"/>
                  <w:tcBorders>
                    <w:tl2br w:val="nil"/>
                    <w:tr2bl w:val="nil"/>
                  </w:tcBorders>
                  <w:noWrap w:val="0"/>
                  <w:vAlign w:val="center"/>
                </w:tcPr>
                <w:p w14:paraId="4B429E9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80" w:type="pct"/>
                  <w:tcBorders>
                    <w:tl2br w:val="nil"/>
                    <w:tr2bl w:val="nil"/>
                  </w:tcBorders>
                  <w:noWrap w:val="0"/>
                  <w:vAlign w:val="center"/>
                </w:tcPr>
                <w:p w14:paraId="4500584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运营期加强道路运营管理，禁止尾气超标车辆上路，避免车辆怠速行驶。</w:t>
                  </w:r>
                </w:p>
              </w:tc>
            </w:tr>
            <w:tr w14:paraId="28C4A50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45A2270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70" w:type="pct"/>
                  <w:tcBorders>
                    <w:tl2br w:val="nil"/>
                    <w:tr2bl w:val="nil"/>
                  </w:tcBorders>
                  <w:noWrap w:val="0"/>
                  <w:vAlign w:val="center"/>
                </w:tcPr>
                <w:p w14:paraId="3B7A8B5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废水治理</w:t>
                  </w:r>
                </w:p>
              </w:tc>
              <w:tc>
                <w:tcPr>
                  <w:tcW w:w="4080" w:type="pct"/>
                  <w:tcBorders>
                    <w:tl2br w:val="nil"/>
                    <w:tr2bl w:val="nil"/>
                  </w:tcBorders>
                  <w:noWrap w:val="0"/>
                  <w:vAlign w:val="center"/>
                </w:tcPr>
                <w:p w14:paraId="20BF81A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施工期</w:t>
                  </w: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设置临时沉淀池收集施工废水及车轮冲洗废水，经沉淀处理后回用于施工现场；本项目不设置临时施工生活区无生活污水排放</w:t>
                  </w: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w:t>
                  </w:r>
                </w:p>
              </w:tc>
            </w:tr>
            <w:tr w14:paraId="1AF8F6D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1E03488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70" w:type="pct"/>
                  <w:vMerge w:val="restart"/>
                  <w:tcBorders>
                    <w:tl2br w:val="nil"/>
                    <w:tr2bl w:val="nil"/>
                  </w:tcBorders>
                  <w:noWrap w:val="0"/>
                  <w:vAlign w:val="center"/>
                </w:tcPr>
                <w:p w14:paraId="1DA67EE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噪声治理</w:t>
                  </w:r>
                </w:p>
              </w:tc>
              <w:tc>
                <w:tcPr>
                  <w:tcW w:w="4080" w:type="pct"/>
                  <w:tcBorders>
                    <w:tl2br w:val="nil"/>
                    <w:tr2bl w:val="nil"/>
                  </w:tcBorders>
                  <w:noWrap w:val="0"/>
                  <w:vAlign w:val="center"/>
                </w:tcPr>
                <w:p w14:paraId="25D93B2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施工期合理安排工期，选用低噪声设备。</w:t>
                  </w:r>
                </w:p>
              </w:tc>
            </w:tr>
            <w:tr w14:paraId="5B280BF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0B13E0F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70" w:type="pct"/>
                  <w:vMerge w:val="continue"/>
                  <w:tcBorders>
                    <w:tl2br w:val="nil"/>
                    <w:tr2bl w:val="nil"/>
                  </w:tcBorders>
                  <w:noWrap w:val="0"/>
                  <w:vAlign w:val="center"/>
                </w:tcPr>
                <w:p w14:paraId="38D4351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80" w:type="pct"/>
                  <w:tcBorders>
                    <w:tl2br w:val="nil"/>
                    <w:tr2bl w:val="nil"/>
                  </w:tcBorders>
                  <w:noWrap w:val="0"/>
                  <w:vAlign w:val="center"/>
                </w:tcPr>
                <w:p w14:paraId="05D53A4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运营期加强道路交通管理，如限制车速，设置限速标志灯等。</w:t>
                  </w:r>
                </w:p>
              </w:tc>
            </w:tr>
            <w:tr w14:paraId="309D927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5AA6B18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70" w:type="pct"/>
                  <w:vMerge w:val="restart"/>
                  <w:tcBorders>
                    <w:tl2br w:val="nil"/>
                    <w:tr2bl w:val="nil"/>
                  </w:tcBorders>
                  <w:noWrap w:val="0"/>
                  <w:vAlign w:val="center"/>
                </w:tcPr>
                <w:p w14:paraId="188ACE6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固废治理</w:t>
                  </w:r>
                </w:p>
              </w:tc>
              <w:tc>
                <w:tcPr>
                  <w:tcW w:w="4080" w:type="pct"/>
                  <w:tcBorders>
                    <w:tl2br w:val="nil"/>
                    <w:tr2bl w:val="nil"/>
                  </w:tcBorders>
                  <w:noWrap w:val="0"/>
                  <w:vAlign w:val="center"/>
                </w:tcPr>
                <w:p w14:paraId="35B6DFF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施工期</w:t>
                  </w: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产生的废弃钢筋、废塑料等建筑材料统一收集外售综合利用；不可回收建筑垃圾集中收集运至政府部门指定垃圾填埋场处置；工程弃方运至项目政府主管部门指定弃土场堆存；施工人员生活垃圾集中收集交由环卫部门清运处置。</w:t>
                  </w:r>
                </w:p>
              </w:tc>
            </w:tr>
            <w:tr w14:paraId="3A410D8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721FC2E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70" w:type="pct"/>
                  <w:vMerge w:val="continue"/>
                  <w:tcBorders>
                    <w:tl2br w:val="nil"/>
                    <w:tr2bl w:val="nil"/>
                  </w:tcBorders>
                  <w:noWrap w:val="0"/>
                  <w:vAlign w:val="center"/>
                </w:tcPr>
                <w:p w14:paraId="2E3B880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80" w:type="pct"/>
                  <w:tcBorders>
                    <w:tl2br w:val="nil"/>
                    <w:tr2bl w:val="nil"/>
                  </w:tcBorders>
                  <w:noWrap w:val="0"/>
                  <w:vAlign w:val="center"/>
                </w:tcPr>
                <w:p w14:paraId="0F353A2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运营期道路维护产生的废沥青等少量废料统一收集运至市政部门指定地点处置。</w:t>
                  </w:r>
                </w:p>
              </w:tc>
            </w:tr>
            <w:tr w14:paraId="78F4670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2B3996B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70" w:type="pct"/>
                  <w:tcBorders>
                    <w:tl2br w:val="nil"/>
                    <w:tr2bl w:val="nil"/>
                  </w:tcBorders>
                  <w:noWrap w:val="0"/>
                  <w:vAlign w:val="center"/>
                </w:tcPr>
                <w:p w14:paraId="02DA37B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生态保护</w:t>
                  </w:r>
                </w:p>
              </w:tc>
              <w:tc>
                <w:tcPr>
                  <w:tcW w:w="4080" w:type="pct"/>
                  <w:tcBorders>
                    <w:tl2br w:val="nil"/>
                    <w:tr2bl w:val="nil"/>
                  </w:tcBorders>
                  <w:noWrap w:val="0"/>
                  <w:vAlign w:val="center"/>
                </w:tcPr>
                <w:p w14:paraId="3B038C8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施工期严格控制施工占地范围，严禁随意扩大，减少对施工区及周围土壤和植被的破坏，落实水土保持方案中有关生态保护和水土保持措施；运营期加强日常管理</w:t>
                  </w: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w:t>
                  </w:r>
                </w:p>
              </w:tc>
            </w:tr>
            <w:tr w14:paraId="2D5E982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restart"/>
                  <w:tcBorders>
                    <w:tl2br w:val="nil"/>
                    <w:tr2bl w:val="nil"/>
                  </w:tcBorders>
                  <w:noWrap w:val="0"/>
                  <w:vAlign w:val="center"/>
                </w:tcPr>
                <w:p w14:paraId="2731229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依托工程</w:t>
                  </w:r>
                </w:p>
              </w:tc>
              <w:tc>
                <w:tcPr>
                  <w:tcW w:w="470" w:type="pct"/>
                  <w:tcBorders>
                    <w:tl2br w:val="nil"/>
                    <w:tr2bl w:val="nil"/>
                  </w:tcBorders>
                  <w:noWrap w:val="0"/>
                  <w:vAlign w:val="center"/>
                </w:tcPr>
                <w:p w14:paraId="356D0B1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沥青拌合站</w:t>
                  </w:r>
                </w:p>
              </w:tc>
              <w:tc>
                <w:tcPr>
                  <w:tcW w:w="4080" w:type="pct"/>
                  <w:tcBorders>
                    <w:tl2br w:val="nil"/>
                    <w:tr2bl w:val="nil"/>
                  </w:tcBorders>
                  <w:noWrap w:val="0"/>
                  <w:vAlign w:val="center"/>
                </w:tcPr>
                <w:p w14:paraId="5B162A3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本项目不</w:t>
                  </w: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设置独立沥青拌合站，</w:t>
                  </w: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依托周边既有拌合站提供。</w:t>
                  </w:r>
                </w:p>
              </w:tc>
            </w:tr>
            <w:tr w14:paraId="0BF6815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3" w:hRule="atLeast"/>
              </w:trPr>
              <w:tc>
                <w:tcPr>
                  <w:tcW w:w="448" w:type="pct"/>
                  <w:vMerge w:val="continue"/>
                  <w:tcBorders>
                    <w:tl2br w:val="nil"/>
                    <w:tr2bl w:val="nil"/>
                  </w:tcBorders>
                  <w:noWrap w:val="0"/>
                  <w:vAlign w:val="center"/>
                </w:tcPr>
                <w:p w14:paraId="6E5B39F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70" w:type="pct"/>
                  <w:tcBorders>
                    <w:tl2br w:val="nil"/>
                    <w:tr2bl w:val="nil"/>
                  </w:tcBorders>
                  <w:noWrap w:val="0"/>
                  <w:vAlign w:val="center"/>
                </w:tcPr>
                <w:p w14:paraId="33068C4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商品料场</w:t>
                  </w:r>
                </w:p>
              </w:tc>
              <w:tc>
                <w:tcPr>
                  <w:tcW w:w="4080" w:type="pct"/>
                  <w:tcBorders>
                    <w:tl2br w:val="nil"/>
                    <w:tr2bl w:val="nil"/>
                  </w:tcBorders>
                  <w:noWrap w:val="0"/>
                  <w:vAlign w:val="center"/>
                </w:tcPr>
                <w:p w14:paraId="2C62418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本项目桥涵工程施工原料依托周边的商品料场提供。</w:t>
                  </w:r>
                </w:p>
              </w:tc>
            </w:tr>
          </w:tbl>
          <w:p w14:paraId="4712587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4、主要技术指标</w:t>
            </w:r>
          </w:p>
          <w:p w14:paraId="68827EA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公路等级：二级公路；</w:t>
            </w:r>
          </w:p>
          <w:p w14:paraId="30D61C0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设计荷载：公路-Ⅰ级；</w:t>
            </w:r>
          </w:p>
          <w:p w14:paraId="5BDBD1E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设计时速：60km/h；</w:t>
            </w:r>
          </w:p>
          <w:p w14:paraId="11E30DD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桥面宽度：12.0m=0.5m护栏+11.0m行车道+0.5m护栏；</w:t>
            </w:r>
          </w:p>
          <w:p w14:paraId="1822CBD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桥涵结构设计基准期：100年；</w:t>
            </w:r>
          </w:p>
          <w:p w14:paraId="5981DE4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设计洪水频率：1/100；</w:t>
            </w:r>
          </w:p>
          <w:p w14:paraId="231F45F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桥面铺装：7cm厚沥青混凝土桥面铺装+防水层+10cm厚C50混凝土现浇层；</w:t>
            </w:r>
          </w:p>
          <w:p w14:paraId="67BFD78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抗震设计：桥梁抗震设防类别为B类，地震动峰值加速度为0.20g，地震反应谱周期为0.40s，抗震设防烈度为Ⅷ度，桥梁抗震设防等级为四级；</w:t>
            </w:r>
          </w:p>
          <w:p w14:paraId="616CF03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5、桥梁参数</w:t>
            </w:r>
          </w:p>
          <w:p w14:paraId="2790208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5.1上部结构</w:t>
            </w:r>
          </w:p>
          <w:p w14:paraId="5C97C1E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①上部结构采用先简支后连续的结构，桥台处设置H80型伸缩缝，按A类预应力混凝土构件设计。标准跨径20m，斜度0°,桥梁片数为4片，梁间距2.9m，梁高1.2m，20m预制梁最大吊装重量：边梁606kN，中梁559kN。</w:t>
            </w:r>
          </w:p>
          <w:p w14:paraId="447F6BC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②结构设计采用不同的软件进行分析；荷载横向分配系数采用刚性横梁法、刚接板（梁）法和梁格法三种计算方法进行对比分析，取大值控制设计。</w:t>
            </w:r>
          </w:p>
          <w:p w14:paraId="7AD4CBA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③设计参数</w:t>
            </w:r>
          </w:p>
          <w:p w14:paraId="2081658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混凝土：重力密度γ=26.0kN/m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，弹性模量为Ec=3.45×104MPa；</w:t>
            </w:r>
          </w:p>
          <w:p w14:paraId="5C78268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沥青混凝土：重力密度γ=24.0kN/m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p>
          <w:p w14:paraId="3228C4A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预应力钢筋：弹性模量Ep=1.95×105MPa；</w:t>
            </w:r>
          </w:p>
          <w:p w14:paraId="00A747A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锚具：锚具变形、钢筋回缩取6mm（一端）；</w:t>
            </w:r>
          </w:p>
          <w:p w14:paraId="046B9FA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管道摩擦系数：u=0.25；</w:t>
            </w:r>
          </w:p>
          <w:p w14:paraId="3FE9E9F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管道偏差系数：κ=0.0015；</w:t>
            </w:r>
          </w:p>
          <w:p w14:paraId="36BD33F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支座不均匀沉降：Δ=5mm；</w:t>
            </w:r>
          </w:p>
          <w:p w14:paraId="6C54F2C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竖向梯度温度效应：考虑沥青铺装层和调平层（含水泥混凝土铺装）对梯度温度的影响，按现行规范规定取值。</w:t>
            </w:r>
          </w:p>
          <w:p w14:paraId="5BEA2C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年平均相对湿度：55％。</w:t>
            </w:r>
          </w:p>
          <w:p w14:paraId="0F79A7B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④桥面板按单向板和悬臂板进行计算。</w:t>
            </w:r>
          </w:p>
          <w:p w14:paraId="7012C38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⑤一片梁梁端支点最大反力（汽车荷载考虑冲击系数）：</w:t>
            </w:r>
          </w:p>
          <w:p w14:paraId="44ED59D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20m跨径一片梁梁端支点最大反力</w:t>
            </w:r>
          </w:p>
          <w:tbl>
            <w:tblPr>
              <w:tblStyle w:val="71"/>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798"/>
              <w:gridCol w:w="1187"/>
              <w:gridCol w:w="1187"/>
              <w:gridCol w:w="2675"/>
            </w:tblGrid>
            <w:tr w14:paraId="72792D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82" w:type="pct"/>
                  <w:vMerge w:val="restart"/>
                  <w:tcBorders>
                    <w:tl2br w:val="nil"/>
                    <w:tr2bl w:val="nil"/>
                  </w:tcBorders>
                  <w:noWrap w:val="0"/>
                  <w:vAlign w:val="center"/>
                </w:tcPr>
                <w:p w14:paraId="235E182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跨径（m）</w:t>
                  </w:r>
                </w:p>
              </w:tc>
              <w:tc>
                <w:tcPr>
                  <w:tcW w:w="756" w:type="pct"/>
                  <w:vMerge w:val="restart"/>
                  <w:tcBorders>
                    <w:tl2br w:val="nil"/>
                    <w:tr2bl w:val="nil"/>
                  </w:tcBorders>
                  <w:noWrap w:val="0"/>
                  <w:vAlign w:val="center"/>
                </w:tcPr>
                <w:p w14:paraId="749CB6C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部位</w:t>
                  </w:r>
                </w:p>
              </w:tc>
              <w:tc>
                <w:tcPr>
                  <w:tcW w:w="2460" w:type="pct"/>
                  <w:gridSpan w:val="2"/>
                  <w:tcBorders>
                    <w:tl2br w:val="nil"/>
                    <w:tr2bl w:val="nil"/>
                  </w:tcBorders>
                  <w:noWrap w:val="0"/>
                  <w:vAlign w:val="center"/>
                </w:tcPr>
                <w:p w14:paraId="38F113E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反力（kN）</w:t>
                  </w:r>
                </w:p>
              </w:tc>
            </w:tr>
            <w:tr w14:paraId="45D79B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82" w:type="pct"/>
                  <w:vMerge w:val="continue"/>
                  <w:tcBorders>
                    <w:tl2br w:val="nil"/>
                    <w:tr2bl w:val="nil"/>
                  </w:tcBorders>
                  <w:noWrap w:val="0"/>
                  <w:vAlign w:val="center"/>
                </w:tcPr>
                <w:p w14:paraId="65EC31B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756" w:type="pct"/>
                  <w:vMerge w:val="continue"/>
                  <w:tcBorders>
                    <w:tl2br w:val="nil"/>
                    <w:tr2bl w:val="nil"/>
                  </w:tcBorders>
                  <w:noWrap w:val="0"/>
                  <w:vAlign w:val="center"/>
                </w:tcPr>
                <w:p w14:paraId="1DFBAAA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756" w:type="pct"/>
                  <w:tcBorders>
                    <w:tl2br w:val="nil"/>
                    <w:tr2bl w:val="nil"/>
                  </w:tcBorders>
                  <w:noWrap w:val="0"/>
                  <w:vAlign w:val="center"/>
                </w:tcPr>
                <w:p w14:paraId="049D32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恒载</w:t>
                  </w:r>
                </w:p>
              </w:tc>
              <w:tc>
                <w:tcPr>
                  <w:tcW w:w="1703" w:type="pct"/>
                  <w:tcBorders>
                    <w:tl2br w:val="nil"/>
                    <w:tr2bl w:val="nil"/>
                  </w:tcBorders>
                  <w:noWrap w:val="0"/>
                  <w:vAlign w:val="center"/>
                </w:tcPr>
                <w:p w14:paraId="6FDC33B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恒载+汽车</w:t>
                  </w:r>
                </w:p>
              </w:tc>
            </w:tr>
            <w:tr w14:paraId="69E88B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82" w:type="pct"/>
                  <w:vMerge w:val="restart"/>
                  <w:tcBorders>
                    <w:tl2br w:val="nil"/>
                    <w:tr2bl w:val="nil"/>
                  </w:tcBorders>
                  <w:noWrap w:val="0"/>
                  <w:vAlign w:val="center"/>
                </w:tcPr>
                <w:p w14:paraId="6954C87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20</w:t>
                  </w:r>
                </w:p>
              </w:tc>
              <w:tc>
                <w:tcPr>
                  <w:tcW w:w="756" w:type="pct"/>
                  <w:tcBorders>
                    <w:tl2br w:val="nil"/>
                    <w:tr2bl w:val="nil"/>
                  </w:tcBorders>
                  <w:noWrap w:val="0"/>
                  <w:vAlign w:val="center"/>
                </w:tcPr>
                <w:p w14:paraId="2A44AC9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边梁</w:t>
                  </w:r>
                </w:p>
              </w:tc>
              <w:tc>
                <w:tcPr>
                  <w:tcW w:w="756" w:type="pct"/>
                  <w:tcBorders>
                    <w:tl2br w:val="nil"/>
                    <w:tr2bl w:val="nil"/>
                  </w:tcBorders>
                  <w:noWrap w:val="0"/>
                  <w:vAlign w:val="center"/>
                </w:tcPr>
                <w:p w14:paraId="27825CB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535</w:t>
                  </w:r>
                </w:p>
              </w:tc>
              <w:tc>
                <w:tcPr>
                  <w:tcW w:w="1703" w:type="pct"/>
                  <w:tcBorders>
                    <w:tl2br w:val="nil"/>
                    <w:tr2bl w:val="nil"/>
                  </w:tcBorders>
                  <w:noWrap w:val="0"/>
                  <w:vAlign w:val="center"/>
                </w:tcPr>
                <w:p w14:paraId="64A2240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1142</w:t>
                  </w:r>
                </w:p>
              </w:tc>
            </w:tr>
            <w:tr w14:paraId="4608DD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82" w:type="pct"/>
                  <w:vMerge w:val="continue"/>
                  <w:tcBorders>
                    <w:tl2br w:val="nil"/>
                    <w:tr2bl w:val="nil"/>
                  </w:tcBorders>
                  <w:noWrap w:val="0"/>
                  <w:vAlign w:val="center"/>
                </w:tcPr>
                <w:p w14:paraId="0630756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756" w:type="pct"/>
                  <w:tcBorders>
                    <w:tl2br w:val="nil"/>
                    <w:tr2bl w:val="nil"/>
                  </w:tcBorders>
                  <w:noWrap w:val="0"/>
                  <w:vAlign w:val="center"/>
                </w:tcPr>
                <w:p w14:paraId="0831BB7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中梁</w:t>
                  </w:r>
                </w:p>
              </w:tc>
              <w:tc>
                <w:tcPr>
                  <w:tcW w:w="756" w:type="pct"/>
                  <w:tcBorders>
                    <w:tl2br w:val="nil"/>
                    <w:tr2bl w:val="nil"/>
                  </w:tcBorders>
                  <w:noWrap w:val="0"/>
                  <w:vAlign w:val="center"/>
                </w:tcPr>
                <w:p w14:paraId="420099F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613</w:t>
                  </w:r>
                </w:p>
              </w:tc>
              <w:tc>
                <w:tcPr>
                  <w:tcW w:w="1703" w:type="pct"/>
                  <w:tcBorders>
                    <w:tl2br w:val="nil"/>
                    <w:tr2bl w:val="nil"/>
                  </w:tcBorders>
                  <w:noWrap w:val="0"/>
                  <w:vAlign w:val="center"/>
                </w:tcPr>
                <w:p w14:paraId="74EB7B7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1256</w:t>
                  </w:r>
                </w:p>
              </w:tc>
            </w:tr>
          </w:tbl>
          <w:p w14:paraId="170ADDB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⑥耐久性设计</w:t>
            </w:r>
          </w:p>
          <w:p w14:paraId="6540867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上部结构混凝土强度为C50，混凝土配合比、最大氯离子计最大碱含量应满足耐久性要求。对于特殊的环境条件，建议按照《公路工程混凝土结构耐久性设计规范》（JTG/T 3310-2019）作特殊的设计。</w:t>
            </w:r>
          </w:p>
          <w:p w14:paraId="14E7A2C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对于有抗冻要求的混凝土结构，应提出抗冻等级要求。抗冻混凝土中应掺入适量引气剂，其性能指标应符合《混凝土外加剂》（GB8076-2008）的规定。</w:t>
            </w:r>
          </w:p>
          <w:p w14:paraId="7DF89B3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为保证主梁钢筋保护层厚度满足设计要求，在钢筋保护层厚度范围内设置与主梁结构相同标号的混凝土垫块，水平面垫块间距不大于40cm，垫块数不少于6个/m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，竖向面垫块间距不大于50cm，垫块数不少于4个/m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，对于任何短边尺寸超过70cm的面，其任一边上垫块数目不能小于3个。</w:t>
            </w:r>
          </w:p>
          <w:p w14:paraId="13A9137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⑦桥面横坡由预制梁顶横坡和墩台盖梁（台帽）横坡共同调节而形成。墩台盖梁（台帽）横坡由其浇筑形成。盖梁（台帽）纵桥向保持水平，纵坡通过梁底楔形块进行调整。</w:t>
            </w:r>
          </w:p>
          <w:p w14:paraId="2519C7D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⑧为了增加主梁施工安装稳定性，避免支座受恒载作用产生剪切变形，应使支座保持水平。</w:t>
            </w:r>
          </w:p>
          <w:p w14:paraId="329B45A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5.2下部结构</w:t>
            </w:r>
          </w:p>
          <w:p w14:paraId="4E12C5D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①墩、台盖梁按照《公路钢筋混凝土及预应力混凝土桥涵设计规范》（JTG 3362-2018）中规定简化计算模型。</w:t>
            </w:r>
          </w:p>
          <w:p w14:paraId="2690A91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②考虑支座与柱、桩的抗推刚度，采用其联合抗推刚度计算纵向水平力和径向力在各个墩顶的分配。</w:t>
            </w:r>
          </w:p>
          <w:p w14:paraId="0FDECF7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③墩帽在横桥向设有防止落梁的防震挡块，挡块与板之间设5cm的缝隙，缝隙间垫2cm厚的橡胶块。</w:t>
            </w:r>
          </w:p>
          <w:p w14:paraId="0B2419A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④车辆荷载换算成等代均布土层厚度，计算其引起的土侧压力。台后主动土压力按库伦理论计算，并考虑土与台背的摩擦作用，台前的被动土压力不予考虑。台内回填土内摩擦角φ=30°,容重γ=18kN/m3。</w:t>
            </w:r>
          </w:p>
          <w:p w14:paraId="3331945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⑤桩的内力按“m法”计算。</w:t>
            </w:r>
          </w:p>
          <w:p w14:paraId="24C556A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⑥桥头搭板的长度采用8m。</w:t>
            </w:r>
          </w:p>
          <w:p w14:paraId="3E8A368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⑦桩基础按摩擦桩设计时，桩底沉渣厚度：桩径D≤1.5m时，沉渣厚度≤20cm。</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drawing>
                <wp:inline distT="0" distB="0" distL="114300" distR="114300">
                  <wp:extent cx="4982845" cy="3730625"/>
                  <wp:effectExtent l="0" t="0" r="8255" b="3175"/>
                  <wp:docPr id="1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3"/>
                          <pic:cNvPicPr>
                            <a:picLocks noChangeAspect="1"/>
                          </pic:cNvPicPr>
                        </pic:nvPicPr>
                        <pic:blipFill>
                          <a:blip r:embed="rId18"/>
                          <a:stretch>
                            <a:fillRect/>
                          </a:stretch>
                        </pic:blipFill>
                        <pic:spPr>
                          <a:xfrm>
                            <a:off x="0" y="0"/>
                            <a:ext cx="4982845" cy="3730625"/>
                          </a:xfrm>
                          <a:prstGeom prst="rect">
                            <a:avLst/>
                          </a:prstGeom>
                          <a:noFill/>
                          <a:ln>
                            <a:noFill/>
                          </a:ln>
                        </pic:spPr>
                      </pic:pic>
                    </a:graphicData>
                  </a:graphic>
                </wp:inline>
              </w:drawing>
            </w:r>
          </w:p>
          <w:p w14:paraId="430A9899">
            <w:pPr>
              <w:pStyle w:val="46"/>
              <w:keepNext w:val="0"/>
              <w:keepLines w:val="0"/>
              <w:pageBreakBefore w:val="0"/>
              <w:widowControl w:val="0"/>
              <w:kinsoku/>
              <w:wordWrap/>
              <w:overflowPunct/>
              <w:topLinePunct w:val="0"/>
              <w:bidi w:val="0"/>
              <w:snapToGrid/>
              <w:spacing w:beforeAutospacing="0" w:afterAutospacing="0" w:line="360" w:lineRule="auto"/>
              <w:ind w:right="0"/>
              <w:jc w:val="both"/>
              <w:textAlignment w:val="auto"/>
              <w:rPr>
                <w:rFonts w:hint="eastAsia" w:ascii="Times New Roman" w:hAnsi="Times New Roman" w:eastAsia="宋体" w:cs="Times New Roman"/>
                <w:b/>
                <w:bCs w:val="0"/>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val="0"/>
                <w:caps w:val="0"/>
                <w:smallCaps w:val="0"/>
                <w:color w:val="auto"/>
                <w:spacing w:val="0"/>
                <w:w w:val="100"/>
                <w:kern w:val="2"/>
                <w:position w:val="0"/>
                <w:sz w:val="24"/>
                <w:szCs w:val="24"/>
                <w:highlight w:val="none"/>
                <w:lang w:val="en-US" w:eastAsia="zh-CN" w:bidi="ar-SA"/>
              </w:rPr>
              <w:drawing>
                <wp:inline distT="0" distB="0" distL="114300" distR="114300">
                  <wp:extent cx="4973955" cy="3453130"/>
                  <wp:effectExtent l="0" t="0" r="17145" b="13970"/>
                  <wp:docPr id="1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4"/>
                          <pic:cNvPicPr>
                            <a:picLocks noChangeAspect="1"/>
                          </pic:cNvPicPr>
                        </pic:nvPicPr>
                        <pic:blipFill>
                          <a:blip r:embed="rId19"/>
                          <a:stretch>
                            <a:fillRect/>
                          </a:stretch>
                        </pic:blipFill>
                        <pic:spPr>
                          <a:xfrm>
                            <a:off x="0" y="0"/>
                            <a:ext cx="4973955" cy="3453130"/>
                          </a:xfrm>
                          <a:prstGeom prst="rect">
                            <a:avLst/>
                          </a:prstGeom>
                          <a:noFill/>
                          <a:ln>
                            <a:noFill/>
                          </a:ln>
                        </pic:spPr>
                      </pic:pic>
                    </a:graphicData>
                  </a:graphic>
                </wp:inline>
              </w:drawing>
            </w:r>
            <w:r>
              <w:rPr>
                <w:rFonts w:hint="eastAsia" w:ascii="Times New Roman" w:hAnsi="Times New Roman" w:eastAsia="宋体" w:cs="Times New Roman"/>
                <w:b/>
                <w:bCs w:val="0"/>
                <w:caps w:val="0"/>
                <w:smallCaps w:val="0"/>
                <w:color w:val="auto"/>
                <w:spacing w:val="0"/>
                <w:w w:val="100"/>
                <w:kern w:val="2"/>
                <w:position w:val="0"/>
                <w:sz w:val="24"/>
                <w:szCs w:val="24"/>
                <w:highlight w:val="none"/>
                <w:lang w:val="en-US" w:eastAsia="zh-CN" w:bidi="ar-SA"/>
              </w:rPr>
              <w:t>6主要施工机械设备</w:t>
            </w:r>
          </w:p>
          <w:p w14:paraId="3DB9AD61">
            <w:pPr>
              <w:pStyle w:val="46"/>
              <w:keepNext w:val="0"/>
              <w:keepLines w:val="0"/>
              <w:pageBreakBefore w:val="0"/>
              <w:widowControl w:val="0"/>
              <w:kinsoku/>
              <w:wordWrap/>
              <w:overflowPunct/>
              <w:topLinePunct w:val="0"/>
              <w:bidi w:val="0"/>
              <w:snapToGrid/>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pPr>
            <w:r>
              <w:rPr>
                <w:rFonts w:hint="eastAsia" w:ascii="Times New Roman" w:hAnsi="Times New Roman" w:eastAsia="宋体" w:cs="Times New Roman"/>
                <w:b w:val="0"/>
                <w:bCs/>
                <w:caps w:val="0"/>
                <w:smallCaps w:val="0"/>
                <w:color w:val="auto"/>
                <w:spacing w:val="0"/>
                <w:w w:val="100"/>
                <w:kern w:val="2"/>
                <w:position w:val="0"/>
                <w:sz w:val="24"/>
                <w:szCs w:val="24"/>
                <w:highlight w:val="none"/>
                <w:lang w:val="en-US" w:eastAsia="zh-CN" w:bidi="ar-SA"/>
              </w:rPr>
              <w:t>施工期主要生产设施及机械等设备清单：</w:t>
            </w:r>
          </w:p>
          <w:p w14:paraId="406D8476">
            <w:pPr>
              <w:pStyle w:val="76"/>
              <w:spacing w:line="240" w:lineRule="auto"/>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pPr>
            <w:r>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表</w:t>
            </w:r>
            <w:r>
              <w:rPr>
                <w:rFonts w:hint="eastAsia"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2-</w:t>
            </w:r>
            <w:r>
              <w:rPr>
                <w:rFonts w:hint="eastAsia" w:ascii="Times New Roman" w:cs="Times New Roman"/>
                <w:b/>
                <w:bCs/>
                <w:caps w:val="0"/>
                <w:smallCaps w:val="0"/>
                <w:snapToGrid/>
                <w:color w:val="auto"/>
                <w:spacing w:val="0"/>
                <w:w w:val="100"/>
                <w:kern w:val="2"/>
                <w:position w:val="0"/>
                <w:sz w:val="21"/>
                <w:szCs w:val="16"/>
                <w:highlight w:val="none"/>
                <w:lang w:val="en-US" w:eastAsia="zh-CN" w:bidi="ar-SA"/>
              </w:rPr>
              <w:t>2</w:t>
            </w:r>
            <w:r>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 xml:space="preserve">    </w:t>
            </w:r>
            <w:r>
              <w:rPr>
                <w:rFonts w:hint="eastAsia"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施工期</w:t>
            </w:r>
            <w:r>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主要生产</w:t>
            </w:r>
            <w:r>
              <w:rPr>
                <w:rFonts w:hint="eastAsia"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设施及机械</w:t>
            </w:r>
            <w:r>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设备一览表</w:t>
            </w:r>
          </w:p>
          <w:tbl>
            <w:tblPr>
              <w:tblStyle w:val="29"/>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68"/>
              <w:gridCol w:w="4025"/>
              <w:gridCol w:w="718"/>
              <w:gridCol w:w="718"/>
            </w:tblGrid>
            <w:tr w14:paraId="233A67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737E0C3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序号</w:t>
                  </w:r>
                </w:p>
              </w:tc>
              <w:tc>
                <w:tcPr>
                  <w:tcW w:w="1062" w:type="pct"/>
                  <w:tcBorders>
                    <w:tl2br w:val="nil"/>
                    <w:tr2bl w:val="nil"/>
                  </w:tcBorders>
                  <w:noWrap w:val="0"/>
                  <w:vAlign w:val="center"/>
                </w:tcPr>
                <w:p w14:paraId="100BE51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设备名称</w:t>
                  </w:r>
                </w:p>
              </w:tc>
              <w:tc>
                <w:tcPr>
                  <w:tcW w:w="2563" w:type="pct"/>
                  <w:tcBorders>
                    <w:tl2br w:val="nil"/>
                    <w:tr2bl w:val="nil"/>
                  </w:tcBorders>
                  <w:noWrap w:val="0"/>
                  <w:vAlign w:val="center"/>
                </w:tcPr>
                <w:p w14:paraId="3218D3FB">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型号规格</w:t>
                  </w:r>
                </w:p>
              </w:tc>
              <w:tc>
                <w:tcPr>
                  <w:tcW w:w="457" w:type="pct"/>
                  <w:tcBorders>
                    <w:tl2br w:val="nil"/>
                    <w:tr2bl w:val="nil"/>
                  </w:tcBorders>
                  <w:noWrap w:val="0"/>
                  <w:vAlign w:val="center"/>
                </w:tcPr>
                <w:p w14:paraId="63D99BE6">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单位</w:t>
                  </w:r>
                </w:p>
              </w:tc>
              <w:tc>
                <w:tcPr>
                  <w:tcW w:w="457" w:type="pct"/>
                  <w:tcBorders>
                    <w:tl2br w:val="nil"/>
                    <w:tr2bl w:val="nil"/>
                  </w:tcBorders>
                  <w:noWrap w:val="0"/>
                  <w:vAlign w:val="center"/>
                </w:tcPr>
                <w:p w14:paraId="369996E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数量</w:t>
                  </w:r>
                </w:p>
              </w:tc>
            </w:tr>
            <w:tr w14:paraId="0A157F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49A090E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w:t>
                  </w:r>
                </w:p>
              </w:tc>
              <w:tc>
                <w:tcPr>
                  <w:tcW w:w="1062" w:type="pct"/>
                  <w:tcBorders>
                    <w:tl2br w:val="nil"/>
                    <w:tr2bl w:val="nil"/>
                  </w:tcBorders>
                  <w:noWrap w:val="0"/>
                  <w:vAlign w:val="center"/>
                </w:tcPr>
                <w:p w14:paraId="72FCF0C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发电机</w:t>
                  </w:r>
                </w:p>
              </w:tc>
              <w:tc>
                <w:tcPr>
                  <w:tcW w:w="2563" w:type="pct"/>
                  <w:tcBorders>
                    <w:tl2br w:val="nil"/>
                    <w:tr2bl w:val="nil"/>
                  </w:tcBorders>
                  <w:noWrap w:val="0"/>
                  <w:vAlign w:val="center"/>
                </w:tcPr>
                <w:p w14:paraId="415CB81F">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额定容量：</w:t>
                  </w:r>
                  <w:r>
                    <w:rPr>
                      <w:rFonts w:hint="default" w:ascii="Times New Roman" w:hAnsi="Times New Roman" w:eastAsia="宋体" w:cs="Times New Roman"/>
                      <w:b w:val="0"/>
                      <w:bCs w:val="0"/>
                      <w:color w:val="auto"/>
                      <w:sz w:val="21"/>
                      <w:szCs w:val="21"/>
                      <w:highlight w:val="none"/>
                      <w:vertAlign w:val="baseline"/>
                      <w:lang w:val="en-US" w:eastAsia="zh-CN"/>
                    </w:rPr>
                    <w:t>80kW</w:t>
                  </w:r>
                  <w:r>
                    <w:rPr>
                      <w:rFonts w:hint="eastAsia" w:ascii="Times New Roman" w:hAnsi="Times New Roman" w:eastAsia="宋体" w:cs="Times New Roman"/>
                      <w:b w:val="0"/>
                      <w:bCs w:val="0"/>
                      <w:color w:val="auto"/>
                      <w:sz w:val="21"/>
                      <w:szCs w:val="21"/>
                      <w:highlight w:val="none"/>
                      <w:vertAlign w:val="baseline"/>
                      <w:lang w:val="en-US" w:eastAsia="zh-CN"/>
                    </w:rPr>
                    <w:t>，额定电压：</w:t>
                  </w:r>
                  <w:r>
                    <w:rPr>
                      <w:rFonts w:hint="default" w:ascii="Times New Roman" w:hAnsi="Times New Roman" w:eastAsia="宋体" w:cs="Times New Roman"/>
                      <w:b w:val="0"/>
                      <w:bCs w:val="0"/>
                      <w:color w:val="auto"/>
                      <w:sz w:val="21"/>
                      <w:szCs w:val="21"/>
                      <w:highlight w:val="none"/>
                      <w:vertAlign w:val="baseline"/>
                      <w:lang w:val="en-US" w:eastAsia="zh-CN"/>
                    </w:rPr>
                    <w:t>0.4kV</w:t>
                  </w:r>
                </w:p>
              </w:tc>
              <w:tc>
                <w:tcPr>
                  <w:tcW w:w="457" w:type="pct"/>
                  <w:tcBorders>
                    <w:tl2br w:val="nil"/>
                    <w:tr2bl w:val="nil"/>
                  </w:tcBorders>
                  <w:noWrap w:val="0"/>
                  <w:vAlign w:val="center"/>
                </w:tcPr>
                <w:p w14:paraId="5C038597">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台</w:t>
                  </w:r>
                </w:p>
              </w:tc>
              <w:tc>
                <w:tcPr>
                  <w:tcW w:w="457" w:type="pct"/>
                  <w:tcBorders>
                    <w:tl2br w:val="nil"/>
                    <w:tr2bl w:val="nil"/>
                  </w:tcBorders>
                  <w:noWrap w:val="0"/>
                  <w:vAlign w:val="center"/>
                </w:tcPr>
                <w:p w14:paraId="1E1BB6C8">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0FE2EA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331ADAA3">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1062" w:type="pct"/>
                  <w:tcBorders>
                    <w:tl2br w:val="nil"/>
                    <w:tr2bl w:val="nil"/>
                  </w:tcBorders>
                  <w:noWrap w:val="0"/>
                  <w:vAlign w:val="center"/>
                </w:tcPr>
                <w:p w14:paraId="7A766209">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挖掘机</w:t>
                  </w:r>
                </w:p>
              </w:tc>
              <w:tc>
                <w:tcPr>
                  <w:tcW w:w="2563" w:type="pct"/>
                  <w:tcBorders>
                    <w:tl2br w:val="nil"/>
                    <w:tr2bl w:val="nil"/>
                  </w:tcBorders>
                  <w:noWrap w:val="0"/>
                  <w:vAlign w:val="center"/>
                </w:tcPr>
                <w:p w14:paraId="720E5106">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66900F5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0B467B2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w:t>
                  </w:r>
                </w:p>
              </w:tc>
            </w:tr>
            <w:tr w14:paraId="276DA7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58938DF7">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w:t>
                  </w:r>
                </w:p>
              </w:tc>
              <w:tc>
                <w:tcPr>
                  <w:tcW w:w="1062" w:type="pct"/>
                  <w:tcBorders>
                    <w:tl2br w:val="nil"/>
                    <w:tr2bl w:val="nil"/>
                  </w:tcBorders>
                  <w:noWrap w:val="0"/>
                  <w:vAlign w:val="center"/>
                </w:tcPr>
                <w:p w14:paraId="665E115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推土机</w:t>
                  </w:r>
                </w:p>
              </w:tc>
              <w:tc>
                <w:tcPr>
                  <w:tcW w:w="2563" w:type="pct"/>
                  <w:tcBorders>
                    <w:tl2br w:val="nil"/>
                    <w:tr2bl w:val="nil"/>
                  </w:tcBorders>
                  <w:noWrap w:val="0"/>
                  <w:vAlign w:val="center"/>
                </w:tcPr>
                <w:p w14:paraId="6EF4E0EE">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3A3AC429">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41CDCB7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7704AD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59D7EC28">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w:t>
                  </w:r>
                </w:p>
              </w:tc>
              <w:tc>
                <w:tcPr>
                  <w:tcW w:w="1062" w:type="pct"/>
                  <w:tcBorders>
                    <w:tl2br w:val="nil"/>
                    <w:tr2bl w:val="nil"/>
                  </w:tcBorders>
                  <w:noWrap w:val="0"/>
                  <w:vAlign w:val="center"/>
                </w:tcPr>
                <w:p w14:paraId="15F2043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装载机</w:t>
                  </w:r>
                </w:p>
              </w:tc>
              <w:tc>
                <w:tcPr>
                  <w:tcW w:w="2563" w:type="pct"/>
                  <w:tcBorders>
                    <w:tl2br w:val="nil"/>
                    <w:tr2bl w:val="nil"/>
                  </w:tcBorders>
                  <w:noWrap w:val="0"/>
                  <w:vAlign w:val="center"/>
                </w:tcPr>
                <w:p w14:paraId="29DAAE7A">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361B90E6">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7B5D836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3362AE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192CE2A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1062" w:type="pct"/>
                  <w:tcBorders>
                    <w:tl2br w:val="nil"/>
                    <w:tr2bl w:val="nil"/>
                  </w:tcBorders>
                  <w:noWrap w:val="0"/>
                  <w:vAlign w:val="center"/>
                </w:tcPr>
                <w:p w14:paraId="108BB8FB">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振动压路机</w:t>
                  </w:r>
                </w:p>
              </w:tc>
              <w:tc>
                <w:tcPr>
                  <w:tcW w:w="2563" w:type="pct"/>
                  <w:tcBorders>
                    <w:tl2br w:val="nil"/>
                    <w:tr2bl w:val="nil"/>
                  </w:tcBorders>
                  <w:noWrap w:val="0"/>
                  <w:vAlign w:val="center"/>
                </w:tcPr>
                <w:p w14:paraId="198F30DF">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1107A7E1">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10D4B63A">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64ADD0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15C9F9F0">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w:t>
                  </w:r>
                </w:p>
              </w:tc>
              <w:tc>
                <w:tcPr>
                  <w:tcW w:w="1062" w:type="pct"/>
                  <w:tcBorders>
                    <w:tl2br w:val="nil"/>
                    <w:tr2bl w:val="nil"/>
                  </w:tcBorders>
                  <w:noWrap w:val="0"/>
                  <w:vAlign w:val="center"/>
                </w:tcPr>
                <w:p w14:paraId="6D083F0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平地机</w:t>
                  </w:r>
                </w:p>
              </w:tc>
              <w:tc>
                <w:tcPr>
                  <w:tcW w:w="2563" w:type="pct"/>
                  <w:tcBorders>
                    <w:tl2br w:val="nil"/>
                    <w:tr2bl w:val="nil"/>
                  </w:tcBorders>
                  <w:noWrap w:val="0"/>
                  <w:vAlign w:val="center"/>
                </w:tcPr>
                <w:p w14:paraId="487FFA41">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0E86397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6D0F13F3">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174D8F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21F036A7">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w:t>
                  </w:r>
                </w:p>
              </w:tc>
              <w:tc>
                <w:tcPr>
                  <w:tcW w:w="1062" w:type="pct"/>
                  <w:tcBorders>
                    <w:tl2br w:val="nil"/>
                    <w:tr2bl w:val="nil"/>
                  </w:tcBorders>
                  <w:noWrap w:val="0"/>
                  <w:vAlign w:val="center"/>
                </w:tcPr>
                <w:p w14:paraId="6BDC0609">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沥青摊铺机</w:t>
                  </w:r>
                </w:p>
              </w:tc>
              <w:tc>
                <w:tcPr>
                  <w:tcW w:w="2563" w:type="pct"/>
                  <w:tcBorders>
                    <w:tl2br w:val="nil"/>
                    <w:tr2bl w:val="nil"/>
                  </w:tcBorders>
                  <w:noWrap w:val="0"/>
                  <w:vAlign w:val="center"/>
                </w:tcPr>
                <w:p w14:paraId="2CF4ADC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1A6A98EE">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4F1A08DE">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1A128A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21067F76">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w:t>
                  </w:r>
                </w:p>
              </w:tc>
              <w:tc>
                <w:tcPr>
                  <w:tcW w:w="1062" w:type="pct"/>
                  <w:tcBorders>
                    <w:tl2br w:val="nil"/>
                    <w:tr2bl w:val="nil"/>
                  </w:tcBorders>
                  <w:noWrap w:val="0"/>
                  <w:vAlign w:val="center"/>
                </w:tcPr>
                <w:p w14:paraId="415E2B7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双钢轮压路机</w:t>
                  </w:r>
                </w:p>
              </w:tc>
              <w:tc>
                <w:tcPr>
                  <w:tcW w:w="2563" w:type="pct"/>
                  <w:tcBorders>
                    <w:tl2br w:val="nil"/>
                    <w:tr2bl w:val="nil"/>
                  </w:tcBorders>
                  <w:noWrap w:val="0"/>
                  <w:vAlign w:val="center"/>
                </w:tcPr>
                <w:p w14:paraId="328E780A">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4AB8637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2E51109F">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1D1ADA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5846828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9</w:t>
                  </w:r>
                </w:p>
              </w:tc>
              <w:tc>
                <w:tcPr>
                  <w:tcW w:w="1062" w:type="pct"/>
                  <w:tcBorders>
                    <w:tl2br w:val="nil"/>
                    <w:tr2bl w:val="nil"/>
                  </w:tcBorders>
                  <w:noWrap w:val="0"/>
                  <w:vAlign w:val="center"/>
                </w:tcPr>
                <w:p w14:paraId="5F6A1FA8">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胶轮压路机</w:t>
                  </w:r>
                </w:p>
              </w:tc>
              <w:tc>
                <w:tcPr>
                  <w:tcW w:w="2563" w:type="pct"/>
                  <w:tcBorders>
                    <w:tl2br w:val="nil"/>
                    <w:tr2bl w:val="nil"/>
                  </w:tcBorders>
                  <w:noWrap w:val="0"/>
                  <w:vAlign w:val="center"/>
                </w:tcPr>
                <w:p w14:paraId="133B5693">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5384D020">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422F2123">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12B8C2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73F18FAB">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w:t>
                  </w:r>
                </w:p>
              </w:tc>
              <w:tc>
                <w:tcPr>
                  <w:tcW w:w="1062" w:type="pct"/>
                  <w:tcBorders>
                    <w:tl2br w:val="nil"/>
                    <w:tr2bl w:val="nil"/>
                  </w:tcBorders>
                  <w:noWrap w:val="0"/>
                  <w:vAlign w:val="center"/>
                </w:tcPr>
                <w:p w14:paraId="0D60DC9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自卸汽车</w:t>
                  </w:r>
                </w:p>
              </w:tc>
              <w:tc>
                <w:tcPr>
                  <w:tcW w:w="2563" w:type="pct"/>
                  <w:tcBorders>
                    <w:tl2br w:val="nil"/>
                    <w:tr2bl w:val="nil"/>
                  </w:tcBorders>
                  <w:noWrap w:val="0"/>
                  <w:vAlign w:val="center"/>
                </w:tcPr>
                <w:p w14:paraId="243AAE6A">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451FF447">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05EE1C5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5BC4E4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5EF5349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w:t>
                  </w:r>
                </w:p>
              </w:tc>
              <w:tc>
                <w:tcPr>
                  <w:tcW w:w="1062" w:type="pct"/>
                  <w:tcBorders>
                    <w:tl2br w:val="nil"/>
                    <w:tr2bl w:val="nil"/>
                  </w:tcBorders>
                  <w:noWrap w:val="0"/>
                  <w:vAlign w:val="center"/>
                </w:tcPr>
                <w:p w14:paraId="2FBFD698">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洒水车</w:t>
                  </w:r>
                </w:p>
              </w:tc>
              <w:tc>
                <w:tcPr>
                  <w:tcW w:w="2563" w:type="pct"/>
                  <w:tcBorders>
                    <w:tl2br w:val="nil"/>
                    <w:tr2bl w:val="nil"/>
                  </w:tcBorders>
                  <w:noWrap w:val="0"/>
                  <w:vAlign w:val="center"/>
                </w:tcPr>
                <w:p w14:paraId="133996F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67BF457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0461D48A">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bl>
          <w:p w14:paraId="0A6564A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cs="Times New Roman"/>
                <w:caps w:val="0"/>
                <w:smallCaps w:val="0"/>
                <w:color w:val="auto"/>
                <w:spacing w:val="0"/>
                <w:w w:val="100"/>
                <w:kern w:val="2"/>
                <w:position w:val="0"/>
                <w:highlight w:val="none"/>
              </w:rPr>
            </w:pPr>
            <w:r>
              <w:rPr>
                <w:rFonts w:hint="eastAsia" w:cs="Times New Roman"/>
                <w:b/>
                <w:bCs/>
                <w:caps w:val="0"/>
                <w:smallCaps w:val="0"/>
                <w:color w:val="auto"/>
                <w:spacing w:val="0"/>
                <w:w w:val="100"/>
                <w:kern w:val="2"/>
                <w:position w:val="0"/>
                <w:sz w:val="24"/>
                <w:szCs w:val="24"/>
                <w:highlight w:val="none"/>
                <w:lang w:val="en-US" w:eastAsia="zh-CN" w:bidi="ar"/>
              </w:rPr>
              <w:t>7</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工程交通量预测</w:t>
            </w:r>
          </w:p>
          <w:p w14:paraId="1379B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根据交通运输部2010年4月颁布的《公路建设项目可行性研究编制办法》规定，预测年限为通车年到项目建成后20年。预测基年为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2027</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年，预测特征年定为</w:t>
            </w:r>
            <w:r>
              <w:rPr>
                <w:rFonts w:hint="eastAsia" w:cs="Times New Roman"/>
                <w:caps w:val="0"/>
                <w:smallCaps w:val="0"/>
                <w:color w:val="auto"/>
                <w:spacing w:val="0"/>
                <w:w w:val="100"/>
                <w:kern w:val="2"/>
                <w:position w:val="0"/>
                <w:sz w:val="24"/>
                <w:szCs w:val="24"/>
                <w:highlight w:val="none"/>
                <w:lang w:val="en-US" w:eastAsia="zh-CN"/>
              </w:rPr>
              <w:t>2027</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w:t>
            </w:r>
            <w:r>
              <w:rPr>
                <w:rFonts w:hint="eastAsia" w:cs="Times New Roman"/>
                <w:caps w:val="0"/>
                <w:smallCaps w:val="0"/>
                <w:color w:val="auto"/>
                <w:spacing w:val="0"/>
                <w:w w:val="100"/>
                <w:kern w:val="2"/>
                <w:position w:val="0"/>
                <w:sz w:val="24"/>
                <w:szCs w:val="24"/>
                <w:highlight w:val="none"/>
                <w:lang w:val="en-US" w:eastAsia="zh-CN"/>
              </w:rPr>
              <w:t>2033</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年和</w:t>
            </w:r>
            <w:r>
              <w:rPr>
                <w:rFonts w:hint="eastAsia" w:cs="Times New Roman"/>
                <w:caps w:val="0"/>
                <w:smallCaps w:val="0"/>
                <w:color w:val="auto"/>
                <w:spacing w:val="0"/>
                <w:w w:val="100"/>
                <w:kern w:val="2"/>
                <w:position w:val="0"/>
                <w:sz w:val="24"/>
                <w:szCs w:val="24"/>
                <w:highlight w:val="none"/>
                <w:lang w:val="en-US" w:eastAsia="zh-CN"/>
              </w:rPr>
              <w:t>2041</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w:t>
            </w:r>
          </w:p>
          <w:p w14:paraId="03634CA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根据预测项目设计资料交通量及车型比例预测结果见下表。</w:t>
            </w:r>
          </w:p>
          <w:p w14:paraId="3486789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 xml:space="preserve">                   未来特征年交通量预测结果（pcu/d）</w:t>
            </w:r>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2696"/>
              <w:gridCol w:w="2522"/>
            </w:tblGrid>
            <w:tr w14:paraId="58685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6" w:type="dxa"/>
                  <w:tcBorders>
                    <w:tl2br w:val="nil"/>
                    <w:tr2bl w:val="nil"/>
                  </w:tcBorders>
                  <w:noWrap w:val="0"/>
                  <w:vAlign w:val="center"/>
                </w:tcPr>
                <w:p w14:paraId="166FDC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2027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年</w:t>
                  </w:r>
                </w:p>
              </w:tc>
              <w:tc>
                <w:tcPr>
                  <w:tcW w:w="2693" w:type="dxa"/>
                  <w:tcBorders>
                    <w:tl2br w:val="nil"/>
                    <w:tr2bl w:val="nil"/>
                  </w:tcBorders>
                  <w:noWrap w:val="0"/>
                  <w:vAlign w:val="center"/>
                </w:tcPr>
                <w:p w14:paraId="0A7578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2033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年</w:t>
                  </w:r>
                </w:p>
              </w:tc>
              <w:tc>
                <w:tcPr>
                  <w:tcW w:w="2518" w:type="dxa"/>
                  <w:tcBorders>
                    <w:tl2br w:val="nil"/>
                    <w:tr2bl w:val="nil"/>
                  </w:tcBorders>
                  <w:noWrap w:val="0"/>
                  <w:vAlign w:val="center"/>
                </w:tcPr>
                <w:p w14:paraId="1C19F8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2041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年</w:t>
                  </w:r>
                </w:p>
              </w:tc>
            </w:tr>
            <w:tr w14:paraId="7D921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6" w:type="dxa"/>
                  <w:tcBorders>
                    <w:tl2br w:val="nil"/>
                    <w:tr2bl w:val="nil"/>
                  </w:tcBorders>
                  <w:noWrap w:val="0"/>
                  <w:vAlign w:val="center"/>
                </w:tcPr>
                <w:p w14:paraId="3C4BF9D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2693" w:type="dxa"/>
                  <w:tcBorders>
                    <w:tl2br w:val="nil"/>
                    <w:tr2bl w:val="nil"/>
                  </w:tcBorders>
                  <w:noWrap w:val="0"/>
                  <w:vAlign w:val="center"/>
                </w:tcPr>
                <w:p w14:paraId="43CF4B5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2516</w:t>
                  </w:r>
                </w:p>
              </w:tc>
              <w:tc>
                <w:tcPr>
                  <w:tcW w:w="2518" w:type="dxa"/>
                  <w:tcBorders>
                    <w:tl2br w:val="nil"/>
                    <w:tr2bl w:val="nil"/>
                  </w:tcBorders>
                  <w:noWrap w:val="0"/>
                  <w:vAlign w:val="center"/>
                </w:tcPr>
                <w:p w14:paraId="5B379C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3168</w:t>
                  </w:r>
                </w:p>
              </w:tc>
            </w:tr>
          </w:tbl>
          <w:p w14:paraId="144775A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根据设计单位提供资料，结合项目区域交通特点、道路昼夜车流量比例及本项目实际情况，各车型比见下表。</w:t>
            </w:r>
          </w:p>
          <w:p w14:paraId="35EA98D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 xml:space="preserve">                     道路车型比</w:t>
            </w:r>
            <w:r>
              <w:rPr>
                <w:rFonts w:hint="eastAsia"/>
                <w:highlight w:val="none"/>
                <w:lang w:val="en-US" w:eastAsia="zh-CN"/>
              </w:rPr>
              <w:t xml:space="preserve">                             </w:t>
            </w:r>
            <w:r>
              <w:rPr>
                <w:rFonts w:hint="eastAsia"/>
                <w:b/>
                <w:bCs/>
                <w:highlight w:val="none"/>
                <w:lang w:eastAsia="zh-CN"/>
              </w:rPr>
              <w:t>（</w:t>
            </w:r>
            <w:r>
              <w:rPr>
                <w:rFonts w:hint="eastAsia"/>
                <w:b/>
                <w:bCs/>
                <w:highlight w:val="none"/>
                <w:lang w:val="en-US" w:eastAsia="zh-CN"/>
              </w:rPr>
              <w:t>%</w:t>
            </w:r>
            <w:r>
              <w:rPr>
                <w:rFonts w:hint="eastAsia"/>
                <w:b/>
                <w:bCs/>
                <w:highlight w:val="none"/>
                <w:lang w:eastAsia="zh-CN"/>
              </w:rPr>
              <w:t>）</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962"/>
              <w:gridCol w:w="1963"/>
              <w:gridCol w:w="1963"/>
            </w:tblGrid>
            <w:tr w14:paraId="73016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250" w:type="pct"/>
                  <w:tcBorders>
                    <w:tl2br w:val="nil"/>
                    <w:tr2bl w:val="nil"/>
                  </w:tcBorders>
                  <w:noWrap w:val="0"/>
                  <w:vAlign w:val="top"/>
                </w:tcPr>
                <w:p w14:paraId="7B5370C9">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车型</w:t>
                  </w:r>
                </w:p>
              </w:tc>
              <w:tc>
                <w:tcPr>
                  <w:tcW w:w="1250" w:type="pct"/>
                  <w:tcBorders>
                    <w:tl2br w:val="nil"/>
                    <w:tr2bl w:val="nil"/>
                  </w:tcBorders>
                  <w:noWrap w:val="0"/>
                  <w:vAlign w:val="top"/>
                </w:tcPr>
                <w:p w14:paraId="249FE3C4">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小型车</w:t>
                  </w:r>
                </w:p>
              </w:tc>
              <w:tc>
                <w:tcPr>
                  <w:tcW w:w="1250" w:type="pct"/>
                  <w:tcBorders>
                    <w:tl2br w:val="nil"/>
                    <w:tr2bl w:val="nil"/>
                  </w:tcBorders>
                  <w:noWrap w:val="0"/>
                  <w:vAlign w:val="top"/>
                </w:tcPr>
                <w:p w14:paraId="161A9574">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中型车</w:t>
                  </w:r>
                </w:p>
              </w:tc>
              <w:tc>
                <w:tcPr>
                  <w:tcW w:w="1250" w:type="pct"/>
                  <w:tcBorders>
                    <w:tl2br w:val="nil"/>
                    <w:tr2bl w:val="nil"/>
                  </w:tcBorders>
                  <w:noWrap w:val="0"/>
                  <w:vAlign w:val="top"/>
                </w:tcPr>
                <w:p w14:paraId="2F11BBCC">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大型车</w:t>
                  </w:r>
                </w:p>
              </w:tc>
            </w:tr>
            <w:tr w14:paraId="6BA34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noWrap w:val="0"/>
                  <w:vAlign w:val="top"/>
                </w:tcPr>
                <w:p w14:paraId="74F07E15">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车型比</w:t>
                  </w:r>
                </w:p>
              </w:tc>
              <w:tc>
                <w:tcPr>
                  <w:tcW w:w="1250" w:type="pct"/>
                  <w:tcBorders>
                    <w:tl2br w:val="nil"/>
                    <w:tr2bl w:val="nil"/>
                  </w:tcBorders>
                  <w:noWrap w:val="0"/>
                  <w:vAlign w:val="top"/>
                </w:tcPr>
                <w:p w14:paraId="3D25C360">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82</w:t>
                  </w:r>
                </w:p>
              </w:tc>
              <w:tc>
                <w:tcPr>
                  <w:tcW w:w="1250" w:type="pct"/>
                  <w:tcBorders>
                    <w:tl2br w:val="nil"/>
                    <w:tr2bl w:val="nil"/>
                  </w:tcBorders>
                  <w:noWrap w:val="0"/>
                  <w:vAlign w:val="top"/>
                </w:tcPr>
                <w:p w14:paraId="5C392650">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14</w:t>
                  </w:r>
                </w:p>
              </w:tc>
              <w:tc>
                <w:tcPr>
                  <w:tcW w:w="1250" w:type="pct"/>
                  <w:tcBorders>
                    <w:tl2br w:val="nil"/>
                    <w:tr2bl w:val="nil"/>
                  </w:tcBorders>
                  <w:noWrap w:val="0"/>
                  <w:vAlign w:val="top"/>
                </w:tcPr>
                <w:p w14:paraId="173D1669">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w:t>
                  </w:r>
                </w:p>
              </w:tc>
            </w:tr>
            <w:tr w14:paraId="10A2B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noWrap w:val="0"/>
                  <w:vAlign w:val="top"/>
                </w:tcPr>
                <w:p w14:paraId="03795419">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昼夜比</w:t>
                  </w:r>
                </w:p>
              </w:tc>
              <w:tc>
                <w:tcPr>
                  <w:tcW w:w="3750" w:type="pct"/>
                  <w:gridSpan w:val="3"/>
                  <w:tcBorders>
                    <w:tl2br w:val="nil"/>
                    <w:tr2bl w:val="nil"/>
                  </w:tcBorders>
                  <w:noWrap w:val="0"/>
                  <w:vAlign w:val="top"/>
                </w:tcPr>
                <w:p w14:paraId="4F6A382B">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9:1</w:t>
                  </w:r>
                </w:p>
              </w:tc>
            </w:tr>
          </w:tbl>
          <w:p w14:paraId="2AD0D57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pPr>
            <w:r>
              <w:rPr>
                <w:rFonts w:hint="eastAsia" w:cs="Times New Roman"/>
                <w:b/>
                <w:bCs/>
                <w:caps w:val="0"/>
                <w:smallCaps w:val="0"/>
                <w:color w:val="auto"/>
                <w:spacing w:val="0"/>
                <w:w w:val="100"/>
                <w:kern w:val="2"/>
                <w:position w:val="0"/>
                <w:sz w:val="24"/>
                <w:szCs w:val="24"/>
                <w:highlight w:val="none"/>
                <w:lang w:val="en-US" w:eastAsia="zh-CN" w:bidi="ar"/>
              </w:rPr>
              <w:t>8</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t>工程占地情况</w:t>
            </w:r>
          </w:p>
          <w:p w14:paraId="1826853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（1）永久占地</w:t>
            </w:r>
          </w:p>
          <w:p w14:paraId="5749247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本项目拆除原有老桥后在原址新建，无新增用地，用地性质为公路用地。</w:t>
            </w:r>
          </w:p>
          <w:p w14:paraId="4E9BBF5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（2）临时用地</w:t>
            </w:r>
          </w:p>
          <w:p w14:paraId="2D5D09A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aps w:val="0"/>
                <w:smallCaps w:val="0"/>
                <w:color w:val="auto"/>
                <w:spacing w:val="0"/>
                <w:w w:val="100"/>
                <w:kern w:val="2"/>
                <w:position w:val="0"/>
                <w:highlight w:val="none"/>
                <w:lang w:val="en-US" w:eastAsia="zh-CN"/>
              </w:rPr>
            </w:pPr>
            <w:r>
              <w:rPr>
                <w:rFonts w:hint="eastAsia" w:ascii="Times New Roman" w:hAnsi="Times New Roman" w:eastAsia="宋体" w:cs="Times New Roman"/>
                <w:color w:val="auto"/>
                <w:sz w:val="24"/>
                <w:highlight w:val="none"/>
                <w:lang w:val="en-US" w:eastAsia="zh-CN"/>
              </w:rPr>
              <w:t>本项目临时用地主要为施工便道，占地面积为841.022m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，主要占用河流水面、村庄。</w:t>
            </w:r>
          </w:p>
        </w:tc>
      </w:tr>
      <w:tr w14:paraId="0833D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516F72F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总平面及现场布置</w:t>
            </w:r>
          </w:p>
        </w:tc>
        <w:tc>
          <w:tcPr>
            <w:tcW w:w="4734" w:type="pct"/>
            <w:tcBorders>
              <w:tl2br w:val="nil"/>
              <w:tr2bl w:val="nil"/>
            </w:tcBorders>
            <w:noWrap w:val="0"/>
            <w:vAlign w:val="center"/>
          </w:tcPr>
          <w:p w14:paraId="09B7B71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1</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t>平面</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布置</w:t>
            </w:r>
          </w:p>
          <w:p w14:paraId="4AEEF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cs="Times New Roman"/>
                <w:b w:val="0"/>
                <w:bCs w:val="0"/>
                <w:caps w:val="0"/>
                <w:smallCaps w:val="0"/>
                <w:color w:val="auto"/>
                <w:spacing w:val="0"/>
                <w:w w:val="100"/>
                <w:kern w:val="2"/>
                <w:position w:val="0"/>
                <w:highlight w:val="none"/>
                <w:lang w:val="en-US"/>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本项目位于新疆巴州轮台县阳霞镇，本次项目对G216线K1337+892.0处阳霞3号桥进行老桥拆除后重建。</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项目</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平面</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布置图详见</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附图4</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w:t>
            </w:r>
          </w:p>
          <w:p w14:paraId="3A88BA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2</w:t>
            </w:r>
            <w:r>
              <w:rPr>
                <w:rFonts w:hint="default" w:ascii="Times New Roman" w:hAnsi="Times New Roman" w:cs="Times New Roman"/>
                <w:b/>
                <w:bCs/>
                <w:caps w:val="0"/>
                <w:smallCaps w:val="0"/>
                <w:color w:val="auto"/>
                <w:spacing w:val="0"/>
                <w:w w:val="100"/>
                <w:kern w:val="2"/>
                <w:position w:val="0"/>
                <w:sz w:val="24"/>
                <w:szCs w:val="24"/>
                <w:highlight w:val="none"/>
              </w:rPr>
              <w:t>施工布置</w:t>
            </w:r>
          </w:p>
          <w:p w14:paraId="48F781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w:t>
            </w:r>
            <w:r>
              <w:rPr>
                <w:color w:val="auto"/>
                <w:sz w:val="24"/>
                <w:highlight w:val="none"/>
              </w:rPr>
              <w:t>项目不设置施工临时生产区、生活区，临时租用附近村庄房屋作为施工人员生活场所，施工作业带占地为路面工程中永久占地范围内</w:t>
            </w:r>
            <w:r>
              <w:rPr>
                <w:rFonts w:hint="eastAsia"/>
                <w:color w:val="auto"/>
                <w:sz w:val="24"/>
                <w:highlight w:val="none"/>
                <w:lang w:eastAsia="zh-CN"/>
              </w:rPr>
              <w:t>，</w:t>
            </w:r>
            <w:r>
              <w:rPr>
                <w:color w:val="auto"/>
                <w:sz w:val="24"/>
                <w:highlight w:val="none"/>
              </w:rPr>
              <w:t>项目</w:t>
            </w:r>
            <w:r>
              <w:rPr>
                <w:rFonts w:hint="eastAsia"/>
                <w:color w:val="auto"/>
                <w:sz w:val="24"/>
                <w:highlight w:val="none"/>
                <w:lang w:val="en-US" w:eastAsia="zh-CN"/>
              </w:rPr>
              <w:t>主要</w:t>
            </w:r>
            <w:r>
              <w:rPr>
                <w:color w:val="auto"/>
                <w:sz w:val="24"/>
                <w:highlight w:val="none"/>
              </w:rPr>
              <w:t>原料外购</w:t>
            </w:r>
            <w:r>
              <w:rPr>
                <w:rFonts w:hint="eastAsia"/>
                <w:color w:val="auto"/>
                <w:sz w:val="24"/>
                <w:highlight w:val="none"/>
                <w:lang w:eastAsia="zh-CN"/>
              </w:rPr>
              <w:t>，</w:t>
            </w:r>
            <w:r>
              <w:rPr>
                <w:rFonts w:hint="eastAsia"/>
                <w:color w:val="auto"/>
                <w:sz w:val="24"/>
                <w:highlight w:val="none"/>
                <w:lang w:val="en-US" w:eastAsia="zh-CN"/>
              </w:rPr>
              <w:t>利用周边既有社会料场提供原料</w:t>
            </w:r>
            <w:r>
              <w:rPr>
                <w:color w:val="auto"/>
                <w:sz w:val="24"/>
                <w:highlight w:val="none"/>
              </w:rPr>
              <w:t>，不另设预制场、水泥搅拌站及沥青搅拌站</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w:t>
            </w:r>
          </w:p>
          <w:p w14:paraId="5ACC3F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3施工便道</w:t>
            </w:r>
          </w:p>
          <w:p w14:paraId="4B1FB9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便道平面基本平行原有老桥布设，尽量避免新增用地及拆迁。全线设置交点2处，最小转弯半径为80m，平面线形满足四级公路相关规范要求。</w:t>
            </w:r>
          </w:p>
          <w:p w14:paraId="6BC237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项目施工便道布置图详见附图5。</w:t>
            </w:r>
          </w:p>
        </w:tc>
      </w:tr>
      <w:tr w14:paraId="05DC9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1AC7BE6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施工方案</w:t>
            </w:r>
          </w:p>
        </w:tc>
        <w:tc>
          <w:tcPr>
            <w:tcW w:w="4734" w:type="pct"/>
            <w:tcBorders>
              <w:tl2br w:val="nil"/>
              <w:tr2bl w:val="nil"/>
            </w:tcBorders>
            <w:noWrap w:val="0"/>
            <w:vAlign w:val="center"/>
          </w:tcPr>
          <w:p w14:paraId="65E5B7A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highlight w:val="none"/>
                <w:lang w:val="en-US" w:eastAsia="zh-CN"/>
              </w:rPr>
            </w:pPr>
            <w:r>
              <w:rPr>
                <w:rFonts w:hint="eastAsia"/>
                <w:b/>
                <w:bCs/>
                <w:color w:val="auto"/>
                <w:sz w:val="24"/>
                <w:highlight w:val="none"/>
                <w:lang w:val="en-US" w:eastAsia="zh-CN"/>
              </w:rPr>
              <w:t>1、桥梁拆除方案</w:t>
            </w:r>
          </w:p>
          <w:p w14:paraId="5AE4C5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1.1拆除前准备工作</w:t>
            </w:r>
          </w:p>
          <w:p w14:paraId="134820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（1）现场准备</w:t>
            </w:r>
          </w:p>
          <w:p w14:paraId="3E7FAC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①施工区域全封闭并设置安全警示标志，禁止非施工人员靠近。</w:t>
            </w:r>
          </w:p>
          <w:p w14:paraId="044F8A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②封闭完成后设备进场调试，包括桥面切割平台车、汽车吊等。</w:t>
            </w:r>
          </w:p>
          <w:p w14:paraId="76A77A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③桥底设置防护网或防护土工布收集施工过程中产生的坠落物、混凝土碎渣等，严格防止建筑垃圾侵入河道范围。</w:t>
            </w:r>
          </w:p>
          <w:p w14:paraId="1745D6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（2）人员组织</w:t>
            </w:r>
          </w:p>
          <w:p w14:paraId="777FEE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①所有参与拆除人员需经过安全教育培训，包括项目经理、技术负责人、施工员、安全员等。</w:t>
            </w:r>
          </w:p>
          <w:p w14:paraId="7AA4C0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②明确各岗位职责，建立环境保护责任体系。</w:t>
            </w:r>
          </w:p>
          <w:p w14:paraId="5C9BC5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1.2拆除施工方案</w:t>
            </w:r>
          </w:p>
          <w:p w14:paraId="673BE7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（1）总体拆除原则</w:t>
            </w:r>
          </w:p>
          <w:p w14:paraId="56B7CE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采用“竖向分层、横向分条、纵向分段、对称拆除、平衡受力”的原则：竖向从上至下逐层拆除；横向从桥两侧向中间拆除；纵向从桥中向桥头对称拆除。</w:t>
            </w:r>
          </w:p>
          <w:p w14:paraId="70E4D3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（2）拆除顺序</w:t>
            </w:r>
          </w:p>
          <w:p w14:paraId="7BA502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①附属设施拆除</w:t>
            </w:r>
          </w:p>
          <w:p w14:paraId="713608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优先拆除桥面防撞护栏及桥面现有的管件装置。</w:t>
            </w:r>
          </w:p>
          <w:p w14:paraId="1A4D71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②桥面系统拆除</w:t>
            </w:r>
          </w:p>
          <w:p w14:paraId="4914CC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桥面板按跨中线划分3×6米区块，横向切割采用高硅链锯(切割转速270r/min)破碎至40cm大小，然后按对称卸载的方式逐步清除。</w:t>
            </w:r>
          </w:p>
          <w:p w14:paraId="13F92C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③拱上建筑拆除</w:t>
            </w:r>
          </w:p>
          <w:p w14:paraId="7569AF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先拆除腹拱及立柱及拱顶侧墙，按照全桥对称及单孔对称的方式卸载拱顶侧墙及拱顶填料。</w:t>
            </w:r>
          </w:p>
          <w:p w14:paraId="50EA42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④主拱圈拆除</w:t>
            </w:r>
          </w:p>
          <w:p w14:paraId="2EFC0E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a.拱波：采用机械配合人工方式分段拆除，注意病害部位的纵向裂缝风险。</w:t>
            </w:r>
          </w:p>
          <w:p w14:paraId="4839A9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b.拱肋：按“先边肋后中肋”的顺序拆除，拆除过程中特别注意对拱肋接头部位变形。</w:t>
            </w:r>
          </w:p>
          <w:p w14:paraId="15E01C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c.横向联系：最后拆除，保持结构稳定性至最后阶段。</w:t>
            </w:r>
          </w:p>
          <w:p w14:paraId="63358F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⑤下部结构拆除</w:t>
            </w:r>
          </w:p>
          <w:p w14:paraId="1D601A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a.桥墩、桥台采用分段切割方式或机械破碎方式拆除。</w:t>
            </w:r>
          </w:p>
          <w:p w14:paraId="4FAFE2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b.承台可采用机械破碎方式拆除。</w:t>
            </w:r>
          </w:p>
          <w:p w14:paraId="09526C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c.桩基础应拆除至现状河道地面线以下0.5m位置。</w:t>
            </w:r>
          </w:p>
          <w:p w14:paraId="26714F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（3）关键部位拆除技术</w:t>
            </w:r>
          </w:p>
          <w:p w14:paraId="057B2C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①拱肋拆除</w:t>
            </w:r>
          </w:p>
          <w:p w14:paraId="47F272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采用分段切割法，每段长度控制在1.5-4m。</w:t>
            </w:r>
          </w:p>
          <w:p w14:paraId="5121C9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切割位置避开拱顶区域，选择在跨径的0.29～0.32倍附近。</w:t>
            </w:r>
          </w:p>
          <w:p w14:paraId="309930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使用大吨位吊车进行吊装转运。</w:t>
            </w:r>
          </w:p>
          <w:p w14:paraId="74587F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②拱波拆除</w:t>
            </w:r>
          </w:p>
          <w:p w14:paraId="60A04E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拱波不考虑利用，尽量采用机械拆除方式。</w:t>
            </w:r>
          </w:p>
          <w:p w14:paraId="2145A6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沿拱肋纵向将拱波分割成长短不一的大块，单块长度不大于3m左右。</w:t>
            </w:r>
          </w:p>
          <w:p w14:paraId="4B1DF1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拆除过程中应注意防止拱波整体坍塌，注意提前预判坍塌位置，防止发生安全事故。</w:t>
            </w:r>
          </w:p>
          <w:p w14:paraId="7A13FD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③横向联系拆除</w:t>
            </w:r>
          </w:p>
          <w:p w14:paraId="412B0C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最后阶段拆除横向联系，采用对称、平衡的方式逐步拆除，并监控结构变形，控制拆除节奏。</w:t>
            </w:r>
          </w:p>
          <w:p w14:paraId="6CAFCF6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2、箱梁安装</w:t>
            </w:r>
          </w:p>
          <w:p w14:paraId="037842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（1）箱梁施工工艺流程</w:t>
            </w:r>
          </w:p>
          <w:p w14:paraId="08CB63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①箱梁施工工艺流程：</w:t>
            </w:r>
          </w:p>
          <w:p w14:paraId="546574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1）设置好永久支座，逐孔安装箱梁。预制梁运输、起吊过程中应注意采取有效措施确保箱梁的横向稳定，架梁后及时连接桥面板钢筋及端横梁钢筋。</w:t>
            </w:r>
          </w:p>
          <w:p w14:paraId="113AA6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2）浇筑桥面板湿接缝混凝土及端横梁混凝土。混凝土浇筑顺序应从跨中向两端一次浇筑完成，不得先浇筑端横梁。</w:t>
            </w:r>
          </w:p>
          <w:p w14:paraId="7FEBAF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3）施工护栏。</w:t>
            </w:r>
          </w:p>
          <w:p w14:paraId="535A5D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4）设置好调平层钢筋和桥面连续钢筋，浇筑调平层混凝土形成桥面连续。</w:t>
            </w:r>
          </w:p>
          <w:p w14:paraId="16D5E5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5）喷洒防水层、进行桥面铺装施工及安装伸缩缝。</w:t>
            </w:r>
          </w:p>
          <w:p w14:paraId="7E0374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预制箱梁采用设吊孔穿束兜托梁底的吊装方法，吊点位置到梁端的垂直距离采用1100mm，横桥向距离悬臂根部100mm，吊装预留孔可采用PVC管，孔径根据吊索尺寸确定。捆绑钢丝绳与梁片底面、侧面等拐角接触处，必须安放护梁铁瓦或胶皮垫。</w:t>
            </w:r>
          </w:p>
          <w:p w14:paraId="5E6FE2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③裸梁堆放不应超过两层，应适当遮盖，不宜曝晒曝寒。</w:t>
            </w:r>
          </w:p>
          <w:p w14:paraId="131C98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施工单位应根据架梁方案对箱梁进行施工荷载验算，验算通过后方可施工。在采取可靠的横向临时支撑措施以确保梁体的稳定性和整体性后，裸梁跨中截面允许承受的最大施工荷载弯矩为4890kN.m；在采取有效的压力扩散措施后，每米桥面板允许最大施工荷载弯矩为支点：42kN.m，跨中：28kN.m。</w:t>
            </w:r>
          </w:p>
          <w:p w14:paraId="7D5D32F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3、湿接缝施工</w:t>
            </w:r>
          </w:p>
          <w:p w14:paraId="5964CF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①预制梁混凝土凿毛。梁顶板要浇筑混凝土的范围内的梁板表层混凝土凿去5～10mm，在浇筑混凝土时湿润表面并座浆，以保证新老混凝土的良好结合。</w:t>
            </w:r>
          </w:p>
          <w:p w14:paraId="4CE7EB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②模板安装。按施工规范要求安装底模，为严防漏浆，模板周围采用高强止浆橡胶条止浆。</w:t>
            </w:r>
          </w:p>
          <w:p w14:paraId="4595C3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③钢筋绑扎。钢筋绑扎、安装时应准确定位，翼缘环形钢筋、端部横向连接筋必须使用钢筋定位辅助措施进行定位。</w:t>
            </w:r>
          </w:p>
          <w:p w14:paraId="6C8008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④混凝土浇筑。湿接缝混凝土应用平板振动器振捣。混凝土振捣浇筑完成后，梁顶用木抹子抹光，初凝之前再进行二次收浆并拉毛处理。</w:t>
            </w:r>
          </w:p>
          <w:p w14:paraId="4396A48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4、小箱梁其他</w:t>
            </w:r>
          </w:p>
          <w:p w14:paraId="3ADC15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所有混凝土浇筑后均需进行保湿养护。预制梁拆模时梁体混凝土芯部与表层、箱内与箱外、表层与环境温度差均不宜大于15℃，气温急剧变化时不宜拆模。预制梁拆模后应安装自动喷淋养护措施进行养护，并用土工布覆盖至梁底保持足够的湿度和温度，不能只覆盖梁顶部分，封锚混凝土浇筑后，静置1～2h，带模浇水养护，常温下一般养护时间不少于14d。现场浇筑的湿接缝、端横梁在收浆后均需覆盖和洒水养护，覆盖时不得损伤或污染混凝土表面，混凝土面有模板覆盖时,应在养护期间使模板保持湿润，常温下需保湿养护14d以上。冬季气温低于5℃时不得浇水，养护时间适当增长，并采取保温措施。</w:t>
            </w:r>
          </w:p>
          <w:p w14:paraId="72794B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②箱梁施工中钢筋的连接方式：如设计图纸中未说明，钢筋直径≥12mm时，钢筋连接应采用焊接，钢筋直径＜12mm时，钢筋连接可采用绑扎。绑扎及焊接长度应按照《公路桥涵施工技术规范》JTG/T 3650-2020的有关规定严格执行。</w:t>
            </w:r>
          </w:p>
          <w:p w14:paraId="5055D3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③由于梁底横向设置单支座，梁就位后需采取临时措施确保箱梁的横向稳定。</w:t>
            </w:r>
          </w:p>
          <w:p w14:paraId="1A34D1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④所有新、老混凝土结合面均应严格凿毛处理。</w:t>
            </w:r>
          </w:p>
          <w:p w14:paraId="090191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⑤浇筑调平层混凝土前应将梁顶浮浆、油污清除干净，以保证新、老混凝土良好结合。采用沥青混凝土桥面铺装时，调平层的施工技术要求应参照水泥混凝土桥面铺装相关施工技术要求执行。</w:t>
            </w:r>
          </w:p>
          <w:p w14:paraId="0D26E41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5、下部结构施工</w:t>
            </w:r>
          </w:p>
          <w:p w14:paraId="08C6FF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①施工单位进行施工放样之前，必须对各桥梁墩台控制里程桩号、桩位坐标、设计标高等数据进行复核计算，如发现计算结果与设计图中提供数据不符，应及时通知设计单位复查。</w:t>
            </w:r>
          </w:p>
          <w:p w14:paraId="275B49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②基桩应严格按基桩坐标表中的坐标精确放样。必要时搭建工作平台以保证有足够的操作空间。</w:t>
            </w:r>
          </w:p>
          <w:p w14:paraId="3A674E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③孔径与垂直度检查合格后，进行清孔作业，清孔必须满足规范要求，防止坍孔等现象的发生。</w:t>
            </w:r>
          </w:p>
          <w:p w14:paraId="4B4388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④施工时，如发现地质情况与图纸不符时，经监理工程师和设计代表确认后，可按实际地质情况调整。</w:t>
            </w:r>
          </w:p>
          <w:p w14:paraId="3F9518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⑤一根桩的所有混凝土灌注时间要求控制在首批混凝土初凝以内。</w:t>
            </w:r>
          </w:p>
          <w:p w14:paraId="7FD1BC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⑥无破损检验的检测管，应沿圆周三分点布置绑扎在钢筋笼上，其接头必须密封且应保证其位置垂直，以确保水泥浆不会渗入管内而影响检测质量。</w:t>
            </w:r>
          </w:p>
          <w:p w14:paraId="7A3A85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⑦在浇筑墩身时应注意固定件、支座检修平台及人梯的型钢、钢板的预埋。</w:t>
            </w:r>
          </w:p>
          <w:p w14:paraId="346BB6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⑧盖梁同墩柱交界处应注意新老混凝土的结合，在浇筑盖梁混凝土前，应仔细清除柱头浮浆、凿毛接触面、冲刷干净。</w:t>
            </w:r>
          </w:p>
          <w:p w14:paraId="2A4E87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⑨施工时应严格控制孔底沉渣厚度，桩孔底沉渣厚度按≤20cm控制。桩基的质量检测必须严格按规范要求执行。</w:t>
            </w:r>
          </w:p>
          <w:p w14:paraId="6A2A4C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⑩桥台台后填土不得用大型机械推土筑高和填压，应采用小型压实机械严格按照分层压实的原则进行压实。桥台台背填料宜采用碎石土（碎石含量不小于50%），并须分层夯实，夯实度达96％以上，施工时要严加控制，以免通车后出现沉陷。</w:t>
            </w:r>
          </w:p>
          <w:p w14:paraId="138D88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lang w:val="en-US" w:eastAsia="zh-CN"/>
              </w:rPr>
              <w:t>⑪</w:t>
            </w:r>
            <w:r>
              <w:rPr>
                <w:rFonts w:hint="eastAsia"/>
                <w:color w:val="auto"/>
                <w:sz w:val="24"/>
                <w:highlight w:val="none"/>
                <w:lang w:val="en-US" w:eastAsia="zh-CN"/>
              </w:rPr>
              <w:t>墩帽混凝土浇筑应采取先悬臂后跨中，然后逐次向支点合拢的顺序。</w:t>
            </w:r>
          </w:p>
          <w:p w14:paraId="51166A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⑫</w:t>
            </w:r>
            <w:r>
              <w:rPr>
                <w:rFonts w:hint="eastAsia"/>
                <w:color w:val="auto"/>
                <w:sz w:val="24"/>
                <w:highlight w:val="none"/>
                <w:lang w:val="en-US" w:eastAsia="zh-CN"/>
              </w:rPr>
              <w:t>浇筑桥台背墙时，应根据实际纵坡，适当调整台背的倾角。</w:t>
            </w:r>
          </w:p>
          <w:p w14:paraId="46DACE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⑬</w:t>
            </w:r>
            <w:r>
              <w:rPr>
                <w:rFonts w:hint="eastAsia"/>
                <w:color w:val="auto"/>
                <w:sz w:val="24"/>
                <w:highlight w:val="none"/>
                <w:lang w:val="en-US" w:eastAsia="zh-CN"/>
              </w:rPr>
              <w:t>浇筑桥台耳墙、侧墙、背墙时注意相关预埋钢筋的预埋。</w:t>
            </w:r>
          </w:p>
          <w:p w14:paraId="53F808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⑭</w:t>
            </w:r>
            <w:r>
              <w:rPr>
                <w:rFonts w:hint="eastAsia"/>
                <w:color w:val="auto"/>
                <w:sz w:val="24"/>
                <w:highlight w:val="none"/>
                <w:lang w:val="en-US" w:eastAsia="zh-CN"/>
              </w:rPr>
              <w:t>桥址区禁止乱挖乱弃，严禁堆载。</w:t>
            </w:r>
          </w:p>
          <w:p w14:paraId="4D66B7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⑮</w:t>
            </w:r>
            <w:r>
              <w:rPr>
                <w:rFonts w:hint="eastAsia"/>
                <w:color w:val="auto"/>
                <w:sz w:val="24"/>
                <w:highlight w:val="none"/>
                <w:lang w:val="en-US" w:eastAsia="zh-CN"/>
              </w:rPr>
              <w:t>施工前需进一步核查桥址内现有各种管线，探明其位置后再进行下部结构施工，必须采取可靠措施确保管线安全。</w:t>
            </w:r>
          </w:p>
          <w:p w14:paraId="45F903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⑯</w:t>
            </w:r>
            <w:r>
              <w:rPr>
                <w:rFonts w:hint="eastAsia"/>
                <w:color w:val="auto"/>
                <w:sz w:val="24"/>
                <w:highlight w:val="none"/>
                <w:lang w:val="en-US" w:eastAsia="zh-CN"/>
              </w:rPr>
              <w:t>桥梁下部与土体相接触表面需涂刷聚氨酯漆或环氧煤沥青材料两层,厚度不小于1.5mm。</w:t>
            </w:r>
          </w:p>
          <w:p w14:paraId="5C39DB5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6、路基施工</w:t>
            </w:r>
          </w:p>
          <w:p w14:paraId="09558C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①原地表基层压实度不小于90%，路基范围内的草皮及植物根系应清除。当路堤基底有垃圾及其他非适用性材料时，应将其完全清除后，回填砾类土，并作压实处理，压实度不小于90%。</w:t>
            </w:r>
          </w:p>
          <w:p w14:paraId="18D09F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②路基坡脚范围以内的废方、原有路基均应按设计要求清除，并用砾类土填筑路基，监理工程师应严格要求，做好现场监督工作。</w:t>
            </w:r>
          </w:p>
          <w:p w14:paraId="1B9EFD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③路基填筑前，应对填料密度、含水量、最大干密度进行检测，压实过程中应对填料的含水量严格控制，压实后应检查填料的密实度是否符合设计要求。</w:t>
            </w:r>
          </w:p>
          <w:p w14:paraId="348563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④为保证路基全断面压实质量，路基每侧需施工加宽30cm，边坡加宽部分应与填方主体同时施工，均匀压实。</w:t>
            </w:r>
          </w:p>
          <w:p w14:paraId="5ACB28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⑤路基排水设施应顺直圆滑，力求做到排水顺畅，方向明确。施工时应首先做好临时排水设施，防止降水浸泡路基或施工工作面。</w:t>
            </w:r>
          </w:p>
          <w:p w14:paraId="4A0ACA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⑥路基弃方应按设计弃至指定位置，不得随意倾倒，挖除的旧路面必须按指定的掩埋方式进行处理掩埋。</w:t>
            </w:r>
          </w:p>
          <w:p w14:paraId="495FA0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⑦施工期间应做好各种临时施工的施工便道及时养护，及时洒水，避免扬尘，保护环境，减少环境污染。</w:t>
            </w:r>
          </w:p>
          <w:p w14:paraId="40404D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⑧施工时，应注意对地埋管线及周围环境的保护，避免在管线保护范围内及植被生长处取土。</w:t>
            </w:r>
          </w:p>
          <w:p w14:paraId="2F07A9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当路基等工程与管线等交叉时，应先与相关部门取得联系，在采取相应保护措施后方可施工。</w:t>
            </w:r>
          </w:p>
          <w:p w14:paraId="118AD4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⑨填筑路堤分段作业时，两个相邻段交接处不在同一时间填筑，则先填段应按1:1坡度分层留台阶；如两段同时施工，则应分层相互交叠衔接，其搭接长度不小于2m。</w:t>
            </w:r>
          </w:p>
          <w:p w14:paraId="2DAE0D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⑩施工时，应采取必要的措施防止施工中的染料、油、沥青、污水、废料和垃圾等有害物质对河流、水渠等水资源及植被的污染，防止扬尘、汽油等物质对环境空气的污染，把施工对环境、空气和居民生活的影响减少到法规允许的范围之内。</w:t>
            </w:r>
          </w:p>
          <w:p w14:paraId="2B437C1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7、路面施工</w:t>
            </w:r>
          </w:p>
          <w:p w14:paraId="2A95D0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①沥青混合料、水泥稳定砂砾混合料施工前必须进行各种混合料配合比设计及相关试验，以进一步确定混合料的配合比、含油量以及含水量，并在施工中严格控制。各种路用材料在检验合格后方可使用。</w:t>
            </w:r>
          </w:p>
          <w:p w14:paraId="4CE667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③路面面层均采用集中拌和、机械化运输、机械化摊铺和碾压的方法施工，施工中应严格按国家及部颁有关标准和规范办理，确保工程质量。</w:t>
            </w:r>
          </w:p>
          <w:p w14:paraId="4FE48C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水泥稳定砂砾基层施工采用集中厂拌和分层碾压的施工方法进行施工，碾压时应严格按《公路路面基层施工技术细则》规定的碾压方法进行。水泥稳定砂砾基层铺筑完成后，必须进行养生和交通管理。水泥稳定砂砾基层施工必须符合《公路路面基层施工技术细则》（JTG/T F20-2015）的规定。</w:t>
            </w:r>
          </w:p>
          <w:p w14:paraId="70A894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⑤天然砂砾底基层施工天然砂砾底基层按《公路路面基层施工技术细则》（JTG/T F20-2015）的规定实施。</w:t>
            </w:r>
          </w:p>
          <w:p w14:paraId="438A2A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8、施工便道</w:t>
            </w:r>
          </w:p>
          <w:p w14:paraId="0C31AA0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本项目施工便道与社会便道合并设置，采用双车道四级公路技术标准建设，便道设置与前进方向右侧，全长120.146m，采用沥青混凝土路面，路基宽7.0m，路面宽6.0m。</w:t>
            </w:r>
          </w:p>
          <w:p w14:paraId="27464E3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（1）</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路线</w:t>
            </w:r>
          </w:p>
          <w:p w14:paraId="6760173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便道平面基本平行原有老桥布设，尽量避免新增用地及拆迁。全线设置交点2处，最小转弯半径为80m，平面线形满足四级公路相关规范要求。</w:t>
            </w:r>
          </w:p>
          <w:p w14:paraId="771EF12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为危旧桥梁改造项目，考虑便道为临时性工程，便道路基高度满足施工便涵及桥下灌溉渠过水需求，尽量减少路基高度以节约投资、减少征拆。本桥施工便道全线共设置变坡点3处，最大纵坡5%，最小纵坡0.23%，满足四级公路相关规范要求。</w:t>
            </w:r>
          </w:p>
          <w:p w14:paraId="73D20A6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（2）</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路基工程</w:t>
            </w:r>
          </w:p>
          <w:p w14:paraId="0E6F74E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路基设计按照《公路工程技术标准》（JTG B01-2014）、《公路路基设计规范》（JTG D30-2015）有关具体规定进行设计。</w:t>
            </w:r>
          </w:p>
          <w:p w14:paraId="2DDC958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路基标准横断面按四级公路技术标准布设，路基宽度为7.0m，路面宽度为6.0m。</w:t>
            </w:r>
          </w:p>
          <w:p w14:paraId="63E207E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路拱横坡采用双向坡为1.5％，土路肩横向坡度为3.0%。</w:t>
            </w:r>
          </w:p>
          <w:p w14:paraId="51A01CA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填方路基边坡坡率采用1:1.5，挖方路基边坡坡率1:1。</w:t>
            </w:r>
          </w:p>
          <w:p w14:paraId="10DEF10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路基填料采用透水性较好的砾类土，且满足部颁规范要求；对于挖除原有老路材料（沥青面层除外）可用与便道路基填筑。压实度控制标准参考本篇桥头引道相关说明。</w:t>
            </w:r>
          </w:p>
          <w:p w14:paraId="2FD4C56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本项目路基其他工程主要包括：清除表土、填前压实、挖除老路等内容。</w:t>
            </w:r>
          </w:p>
          <w:p w14:paraId="79DF876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施工之前，须先清除地表草皮、腐殖土、建筑垃圾、生活垃圾等非适用性材料，清表后将地基表层碾压密实，在一般土质地段压实度(重型)不应小于路表所处层位压实度标准（原有老路不进行清表处理），并将弃方弃至指定弃土场中。地基表层处理段落及清除厚度具体详见本篇《清除表土工程数量表》。</w:t>
            </w:r>
          </w:p>
          <w:p w14:paraId="4EDE95D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清除表土厚度按20cm，填前压实沉降量按5cm计算；挖除老路面层与基层应分别挖除，水泥面层厚度按20cm，砂砾基层按照18cm，具体厚度可根据实际情况适当调整</w:t>
            </w:r>
          </w:p>
          <w:p w14:paraId="7F78B94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路面工程</w:t>
            </w:r>
          </w:p>
          <w:p w14:paraId="3EC82A2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考虑便道为临时性工程，同时结合环保及周边居民出行需求，便道路面结构采用以下方案：</w:t>
            </w:r>
          </w:p>
          <w:p w14:paraId="418C171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上面层：4cm AC-16C中粒式沥青混凝土</w:t>
            </w:r>
          </w:p>
          <w:p w14:paraId="6579AA9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封层：热沥青同步碎石封层</w:t>
            </w:r>
          </w:p>
          <w:p w14:paraId="25438F4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基层：20cm级配砂砾</w:t>
            </w:r>
          </w:p>
          <w:p w14:paraId="79D0174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路面结构总厚度24cm。</w:t>
            </w:r>
          </w:p>
          <w:p w14:paraId="1DD70043">
            <w:pPr>
              <w:pageBreakBefore w:val="0"/>
              <w:widowControl w:val="0"/>
              <w:kinsoku/>
              <w:wordWrap/>
              <w:overflowPunct/>
              <w:topLinePunct w:val="0"/>
              <w:bidi w:val="0"/>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9、</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施工时序及建设周期</w:t>
            </w:r>
          </w:p>
          <w:p w14:paraId="73D93F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结合项目所在区域及周边路网规划建设现况、资金来源，计划本项目202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月开工，202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月建成通车，工期为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个月。</w:t>
            </w:r>
          </w:p>
          <w:p w14:paraId="2987CA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eastAsia="宋体"/>
                <w:sz w:val="24"/>
                <w:szCs w:val="24"/>
                <w:highlight w:val="none"/>
                <w:lang w:val="en-US" w:eastAsia="zh-CN"/>
              </w:rPr>
              <w:t>阳霞艾肯河的丰水期为每年6月-8月，本项目在6月前完成下部结构施工。</w:t>
            </w:r>
          </w:p>
        </w:tc>
      </w:tr>
      <w:tr w14:paraId="642D3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34535A7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其他</w:t>
            </w:r>
          </w:p>
        </w:tc>
        <w:tc>
          <w:tcPr>
            <w:tcW w:w="4734" w:type="pct"/>
            <w:tcBorders>
              <w:tl2br w:val="nil"/>
              <w:tr2bl w:val="nil"/>
            </w:tcBorders>
            <w:noWrap w:val="0"/>
            <w:vAlign w:val="center"/>
          </w:tcPr>
          <w:p w14:paraId="550C61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cs="Times New Roman"/>
                <w:caps w:val="0"/>
                <w:smallCaps w:val="0"/>
                <w:color w:val="auto"/>
                <w:spacing w:val="0"/>
                <w:w w:val="100"/>
                <w:kern w:val="2"/>
                <w:position w:val="0"/>
                <w:sz w:val="24"/>
                <w:szCs w:val="24"/>
                <w:highlight w:val="none"/>
                <w:lang w:val="en-US" w:eastAsia="zh-CN"/>
              </w:rPr>
            </w:pPr>
            <w:r>
              <w:rPr>
                <w:rFonts w:hint="eastAsia" w:ascii="Times New Roman" w:hAnsi="Times New Roman" w:cs="Times New Roman"/>
                <w:caps w:val="0"/>
                <w:smallCaps w:val="0"/>
                <w:color w:val="auto"/>
                <w:spacing w:val="0"/>
                <w:w w:val="100"/>
                <w:kern w:val="2"/>
                <w:position w:val="0"/>
                <w:sz w:val="24"/>
                <w:szCs w:val="24"/>
                <w:highlight w:val="none"/>
                <w:lang w:val="en-US" w:eastAsia="zh-CN"/>
              </w:rPr>
              <w:t>无</w:t>
            </w:r>
          </w:p>
          <w:p w14:paraId="38D4FF5F">
            <w:pPr>
              <w:pStyle w:val="2"/>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5159CD42">
            <w:pPr>
              <w:pStyle w:val="2"/>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339E6281">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7D73AE1D">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3736F3FC">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426F7377">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49C0C36B">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31E29E5E">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198E6248">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6E0AA5D0">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595B95B8">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59834181">
            <w:pPr>
              <w:pStyle w:val="2"/>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78F21F38">
            <w:pPr>
              <w:pStyle w:val="2"/>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73D39177">
            <w:pPr>
              <w:pStyle w:val="2"/>
              <w:ind w:left="0" w:leftChars="0" w:firstLine="0" w:firstLineChars="0"/>
              <w:rPr>
                <w:rFonts w:hint="default" w:ascii="Times New Roman" w:hAnsi="Times New Roman" w:cs="Times New Roman"/>
                <w:caps w:val="0"/>
                <w:smallCaps w:val="0"/>
                <w:color w:val="auto"/>
                <w:spacing w:val="0"/>
                <w:w w:val="100"/>
                <w:kern w:val="2"/>
                <w:position w:val="0"/>
                <w:sz w:val="24"/>
                <w:szCs w:val="24"/>
                <w:highlight w:val="none"/>
                <w:lang w:val="en-US" w:eastAsia="zh-CN"/>
              </w:rPr>
            </w:pPr>
          </w:p>
        </w:tc>
      </w:tr>
    </w:tbl>
    <w:p w14:paraId="20F88574">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r>
        <w:rPr>
          <w:rFonts w:hint="default" w:ascii="Times New Roman" w:hAnsi="Times New Roman" w:eastAsia="仿宋_GB2312" w:cs="Times New Roman"/>
          <w:b/>
          <w:bCs/>
          <w:caps w:val="0"/>
          <w:smallCaps w:val="0"/>
          <w:color w:val="auto"/>
          <w:spacing w:val="0"/>
          <w:w w:val="100"/>
          <w:kern w:val="2"/>
          <w:position w:val="0"/>
          <w:highlight w:val="none"/>
        </w:rPr>
        <w:br w:type="page"/>
      </w:r>
      <w:bookmarkStart w:id="6" w:name="_Toc21973"/>
      <w:r>
        <w:rPr>
          <w:rFonts w:hint="default" w:ascii="Times New Roman" w:hAnsi="Times New Roman" w:eastAsia="黑体" w:cs="Times New Roman"/>
          <w:caps w:val="0"/>
          <w:smallCaps w:val="0"/>
          <w:snapToGrid w:val="0"/>
          <w:color w:val="auto"/>
          <w:spacing w:val="0"/>
          <w:w w:val="100"/>
          <w:kern w:val="2"/>
          <w:position w:val="0"/>
          <w:sz w:val="30"/>
          <w:szCs w:val="30"/>
          <w:highlight w:val="none"/>
        </w:rPr>
        <w:t>三、生态环境现状、保护目标及评价标准</w:t>
      </w:r>
      <w:bookmarkEnd w:id="6"/>
    </w:p>
    <w:tbl>
      <w:tblPr>
        <w:tblStyle w:val="2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8028"/>
      </w:tblGrid>
      <w:tr w14:paraId="7D701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1AAE14FB">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Cs w:val="21"/>
                <w:highlight w:val="none"/>
              </w:rPr>
            </w:pPr>
            <w:r>
              <w:rPr>
                <w:rFonts w:hint="default" w:ascii="Times New Roman" w:hAnsi="Times New Roman" w:cs="Times New Roman"/>
                <w:b/>
                <w:bCs/>
                <w:caps w:val="0"/>
                <w:smallCaps w:val="0"/>
                <w:color w:val="auto"/>
                <w:spacing w:val="0"/>
                <w:w w:val="100"/>
                <w:kern w:val="2"/>
                <w:position w:val="0"/>
                <w:sz w:val="24"/>
                <w:szCs w:val="24"/>
                <w:highlight w:val="none"/>
              </w:rPr>
              <w:t>生态环境现状</w:t>
            </w:r>
          </w:p>
        </w:tc>
        <w:tc>
          <w:tcPr>
            <w:tcW w:w="0" w:type="auto"/>
            <w:tcBorders>
              <w:tl2br w:val="nil"/>
              <w:tr2bl w:val="nil"/>
            </w:tcBorders>
            <w:noWrap w:val="0"/>
            <w:vAlign w:val="center"/>
          </w:tcPr>
          <w:p w14:paraId="66AD1F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default" w:ascii="Times New Roman" w:hAnsi="Times New Roman" w:eastAsia="宋体" w:cs="Times New Roman"/>
                <w:b/>
                <w:bCs/>
                <w:caps w:val="0"/>
                <w:smallCaps w:val="0"/>
                <w:color w:val="auto"/>
                <w:spacing w:val="0"/>
                <w:w w:val="100"/>
                <w:kern w:val="2"/>
                <w:position w:val="0"/>
                <w:sz w:val="24"/>
                <w:highlight w:val="none"/>
              </w:rPr>
              <w:t>生态环境</w:t>
            </w:r>
            <w:r>
              <w:rPr>
                <w:rFonts w:hint="default" w:ascii="Times New Roman" w:hAnsi="Times New Roman" w:eastAsia="宋体" w:cs="Times New Roman"/>
                <w:b/>
                <w:bCs/>
                <w:caps w:val="0"/>
                <w:smallCaps w:val="0"/>
                <w:color w:val="auto"/>
                <w:spacing w:val="0"/>
                <w:w w:val="100"/>
                <w:kern w:val="2"/>
                <w:position w:val="0"/>
                <w:sz w:val="24"/>
                <w:highlight w:val="none"/>
                <w:lang w:eastAsia="zh-CN"/>
              </w:rPr>
              <w:t>现状评价</w:t>
            </w:r>
          </w:p>
          <w:p w14:paraId="182818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1.1生态环境影响评价等级及范围</w:t>
            </w:r>
          </w:p>
          <w:p w14:paraId="79AB71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t>根据《环境影响评价技术导则生态影响》（HJ19-2022），生态影响评价工作等级划分表如下：</w:t>
            </w:r>
          </w:p>
          <w:p w14:paraId="3C66E03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表3-1生态影响评价工作等级划分表</w:t>
            </w:r>
          </w:p>
          <w:tbl>
            <w:tblPr>
              <w:tblStyle w:val="29"/>
              <w:tblW w:w="7603" w:type="dxa"/>
              <w:tblInd w:w="-5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2846"/>
            </w:tblGrid>
            <w:tr w14:paraId="2B8D4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bottom w:val="single" w:color="auto" w:sz="12" w:space="0"/>
                  </w:tcBorders>
                  <w:noWrap w:val="0"/>
                  <w:vAlign w:val="center"/>
                </w:tcPr>
                <w:p w14:paraId="7141017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t>评价等级判定原则</w:t>
                  </w:r>
                </w:p>
              </w:tc>
              <w:tc>
                <w:tcPr>
                  <w:tcW w:w="1871" w:type="pct"/>
                  <w:tcBorders>
                    <w:bottom w:val="single" w:color="auto" w:sz="12" w:space="0"/>
                  </w:tcBorders>
                  <w:noWrap w:val="0"/>
                  <w:vAlign w:val="center"/>
                </w:tcPr>
                <w:p w14:paraId="4F62513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t>项目情况</w:t>
                  </w:r>
                </w:p>
              </w:tc>
            </w:tr>
            <w:tr w14:paraId="0A468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28" w:type="pct"/>
                  <w:tcBorders>
                    <w:top w:val="single" w:color="auto" w:sz="12" w:space="0"/>
                    <w:tl2br w:val="nil"/>
                    <w:tr2bl w:val="nil"/>
                  </w:tcBorders>
                  <w:noWrap w:val="0"/>
                  <w:vAlign w:val="center"/>
                </w:tcPr>
                <w:p w14:paraId="5294E25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a）涉及国家公园、自然保护区、世界自然遗产、重要生境时，评价等级为一级</w:t>
                  </w:r>
                </w:p>
              </w:tc>
              <w:tc>
                <w:tcPr>
                  <w:tcW w:w="1871" w:type="pct"/>
                  <w:tcBorders>
                    <w:top w:val="single" w:color="auto" w:sz="12" w:space="0"/>
                    <w:tl2br w:val="nil"/>
                    <w:tr2bl w:val="nil"/>
                  </w:tcBorders>
                  <w:noWrap w:val="0"/>
                  <w:vAlign w:val="center"/>
                </w:tcPr>
                <w:p w14:paraId="03EEBA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不涉及国家公园、自然保护区、世界自然遗产、重要生境</w:t>
                  </w:r>
                </w:p>
              </w:tc>
            </w:tr>
            <w:tr w14:paraId="61649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128" w:type="pct"/>
                  <w:tcBorders>
                    <w:tl2br w:val="nil"/>
                    <w:tr2bl w:val="nil"/>
                  </w:tcBorders>
                  <w:noWrap w:val="0"/>
                  <w:vAlign w:val="center"/>
                </w:tcPr>
                <w:p w14:paraId="2E7952C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b）涉及自然公园时，评价等级为二级</w:t>
                  </w:r>
                </w:p>
              </w:tc>
              <w:tc>
                <w:tcPr>
                  <w:tcW w:w="1871" w:type="pct"/>
                  <w:tcBorders>
                    <w:tl2br w:val="nil"/>
                    <w:tr2bl w:val="nil"/>
                  </w:tcBorders>
                  <w:noWrap w:val="0"/>
                  <w:vAlign w:val="center"/>
                </w:tcPr>
                <w:p w14:paraId="116DBAF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不涉及自然公园</w:t>
                  </w:r>
                </w:p>
              </w:tc>
            </w:tr>
            <w:tr w14:paraId="62E6A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4804D1B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c）涉及生态保护红线时，评价等级不低于二级</w:t>
                  </w:r>
                </w:p>
              </w:tc>
              <w:tc>
                <w:tcPr>
                  <w:tcW w:w="1871" w:type="pct"/>
                  <w:tcBorders>
                    <w:tl2br w:val="nil"/>
                    <w:tr2bl w:val="nil"/>
                  </w:tcBorders>
                  <w:noWrap w:val="0"/>
                  <w:vAlign w:val="center"/>
                </w:tcPr>
                <w:p w14:paraId="30F8C14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不涉及生态保护红线</w:t>
                  </w:r>
                </w:p>
              </w:tc>
            </w:tr>
            <w:tr w14:paraId="39A7D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0DB742D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d）根据HJ2.3判断属于水文要素影响型且地表水评价等级不低于二级的建设项目，生态影响评价等级不低于二级</w:t>
                  </w:r>
                </w:p>
              </w:tc>
              <w:tc>
                <w:tcPr>
                  <w:tcW w:w="1871" w:type="pct"/>
                  <w:tcBorders>
                    <w:tl2br w:val="nil"/>
                    <w:tr2bl w:val="nil"/>
                  </w:tcBorders>
                  <w:noWrap w:val="0"/>
                  <w:vAlign w:val="center"/>
                </w:tcPr>
                <w:p w14:paraId="5F14014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本项目不属于水文要素影响型且地表水评价等级为三级</w:t>
                  </w:r>
                </w:p>
              </w:tc>
            </w:tr>
            <w:tr w14:paraId="49434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2003BDB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e）根据HJ610、HJ964判断地下水水位或土壤影响范围内分布有天然林、公益林、湿地等生态保护目标的建设项目，生态影响评价等级不低于二级</w:t>
                  </w:r>
                </w:p>
              </w:tc>
              <w:tc>
                <w:tcPr>
                  <w:tcW w:w="1871" w:type="pct"/>
                  <w:tcBorders>
                    <w:tl2br w:val="nil"/>
                    <w:tr2bl w:val="nil"/>
                  </w:tcBorders>
                  <w:noWrap w:val="0"/>
                  <w:vAlign w:val="center"/>
                </w:tcPr>
                <w:p w14:paraId="58F16BE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不涉及天然林、公益林、湿地等生态保护目标</w:t>
                  </w:r>
                </w:p>
              </w:tc>
            </w:tr>
            <w:tr w14:paraId="21750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1F9796A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f）当工程占地规模大于20km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时（包括永久和临时占用陆域和水域），评价等级不低于二级；改扩建项目的占地范围以新增占地（包括陆域和水域）确定</w:t>
                  </w:r>
                </w:p>
              </w:tc>
              <w:tc>
                <w:tcPr>
                  <w:tcW w:w="1871" w:type="pct"/>
                  <w:tcBorders>
                    <w:tl2br w:val="nil"/>
                    <w:tr2bl w:val="nil"/>
                  </w:tcBorders>
                  <w:noWrap w:val="0"/>
                  <w:vAlign w:val="center"/>
                </w:tcPr>
                <w:p w14:paraId="3DCEA63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拟建项目占地面积为</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0.0552</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hm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，小于20km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p>
              </w:tc>
            </w:tr>
            <w:tr w14:paraId="54BD8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2F8B71D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rPr>
                    <w:t>g）除本条a）、b）、c）、d）、e）、f）以外的情况，评价等级为三级</w:t>
                  </w:r>
                </w:p>
              </w:tc>
              <w:tc>
                <w:tcPr>
                  <w:tcW w:w="1871" w:type="pct"/>
                  <w:tcBorders>
                    <w:tl2br w:val="nil"/>
                    <w:tr2bl w:val="nil"/>
                  </w:tcBorders>
                  <w:noWrap w:val="0"/>
                  <w:vAlign w:val="center"/>
                </w:tcPr>
                <w:p w14:paraId="33F9F18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rPr>
                    <w:t>评价等级确定为三级</w:t>
                  </w:r>
                </w:p>
              </w:tc>
            </w:tr>
          </w:tbl>
          <w:p w14:paraId="00CBF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根据上表对生态影响评价工作等级划分规定，本项目生态影响评价等级为三级。根据《环境影响评价技术导则生态影响》（HJ19-2022），穿越非生态敏感区时，以线路</w:t>
            </w:r>
            <w:r>
              <w:rPr>
                <w:rFonts w:hint="eastAsia" w:cs="Times New Roman"/>
                <w:caps w:val="0"/>
                <w:smallCaps w:val="0"/>
                <w:color w:val="auto"/>
                <w:spacing w:val="0"/>
                <w:w w:val="100"/>
                <w:kern w:val="2"/>
                <w:position w:val="0"/>
                <w:sz w:val="24"/>
                <w:szCs w:val="24"/>
                <w:highlight w:val="none"/>
                <w:lang w:val="en-US" w:eastAsia="zh-CN" w:bidi="ar"/>
              </w:rPr>
              <w:t>/施工便道</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中心线向两侧外延</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2</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00m为参考评价范围</w:t>
            </w:r>
            <w:r>
              <w:rPr>
                <w:rFonts w:hint="eastAsia" w:cs="Times New Roman"/>
                <w:caps w:val="0"/>
                <w:smallCaps w:val="0"/>
                <w:color w:val="auto"/>
                <w:spacing w:val="0"/>
                <w:w w:val="100"/>
                <w:kern w:val="2"/>
                <w:positio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因此确定本项目评价范围为以线路/施工便道中心线向两侧外延</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2</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00m的区域。</w:t>
            </w:r>
          </w:p>
          <w:p w14:paraId="4778E9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1.2新疆维吾尔自治区主体功能区规划</w:t>
            </w:r>
          </w:p>
          <w:p w14:paraId="246ADCFF">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根据《新疆维吾尔自治区主体功能区规划》，将新疆分为以下主体功能区：按开发方式，分为优化开发区域、重点开发区域、限制开发区域和禁止开发区域四类；按开发内容，分为城市化地区、农产品主产区和重点生态功能区三类；按层级，分为国家和省级两个层面。项目</w:t>
            </w:r>
            <w:r>
              <w:rPr>
                <w:rFonts w:hint="eastAsia" w:ascii="Times New Roman" w:hAnsi="Times New Roman" w:eastAsia="宋体" w:cs="Times New Roman"/>
                <w:color w:val="auto"/>
                <w:sz w:val="24"/>
                <w:lang w:val="en-US" w:eastAsia="zh-CN"/>
              </w:rPr>
              <w:t>所在区域隶属于巴州轮台县阳霞镇</w:t>
            </w:r>
            <w:r>
              <w:rPr>
                <w:rFonts w:hint="eastAsia" w:ascii="Times New Roman" w:hAnsi="Times New Roman" w:eastAsia="宋体" w:cs="Times New Roman"/>
                <w:color w:val="auto"/>
                <w:sz w:val="24"/>
              </w:rPr>
              <w:t>，属于新疆农产品主产区中的天山南坡主产区</w:t>
            </w:r>
            <w:r>
              <w:rPr>
                <w:rFonts w:hint="eastAsia" w:ascii="Times New Roman" w:hAnsi="Times New Roman" w:eastAsia="宋体" w:cs="Times New Roman"/>
                <w:color w:val="auto"/>
                <w:sz w:val="24"/>
                <w:lang w:eastAsia="zh-CN"/>
              </w:rPr>
              <w:t>。</w:t>
            </w:r>
          </w:p>
          <w:p w14:paraId="0DF18837">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项目属于</w:t>
            </w:r>
            <w:r>
              <w:rPr>
                <w:rFonts w:hint="eastAsia" w:ascii="Times New Roman" w:hAnsi="Times New Roman" w:eastAsia="宋体" w:cs="Times New Roman"/>
                <w:color w:val="auto"/>
                <w:sz w:val="24"/>
                <w:lang w:val="en-US" w:eastAsia="zh-CN"/>
              </w:rPr>
              <w:t>等级公路建设项目</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所在位置属于“国家级农产品主产区”，</w:t>
            </w:r>
            <w:r>
              <w:rPr>
                <w:rFonts w:hint="eastAsia" w:ascii="Times New Roman" w:hAnsi="Times New Roman" w:eastAsia="宋体" w:cs="Times New Roman"/>
                <w:color w:val="auto"/>
                <w:sz w:val="24"/>
              </w:rPr>
              <w:t>永久</w:t>
            </w:r>
            <w:r>
              <w:rPr>
                <w:rFonts w:ascii="Times New Roman" w:hAnsi="Times New Roman" w:eastAsia="宋体" w:cs="Times New Roman"/>
                <w:color w:val="auto"/>
                <w:sz w:val="24"/>
              </w:rPr>
              <w:t>占地面积</w:t>
            </w:r>
            <w:r>
              <w:rPr>
                <w:rFonts w:hint="eastAsia" w:ascii="Times New Roman" w:hAnsi="Times New Roman" w:eastAsia="宋体" w:cs="Times New Roman"/>
                <w:color w:val="auto"/>
                <w:sz w:val="24"/>
                <w:lang w:val="en-US" w:eastAsia="zh-CN"/>
              </w:rPr>
              <w:t>大部分均为现有交通用地</w:t>
            </w:r>
            <w:r>
              <w:rPr>
                <w:rFonts w:ascii="Times New Roman" w:hAnsi="Times New Roman" w:eastAsia="宋体" w:cs="Times New Roman"/>
                <w:color w:val="auto"/>
                <w:sz w:val="24"/>
              </w:rPr>
              <w:t>，不占用</w:t>
            </w:r>
            <w:r>
              <w:rPr>
                <w:rFonts w:hint="eastAsia" w:ascii="Times New Roman" w:hAnsi="Times New Roman" w:eastAsia="宋体" w:cs="Times New Roman"/>
                <w:color w:val="auto"/>
                <w:sz w:val="24"/>
              </w:rPr>
              <w:t>农业生产空间，工程对生态环境的影响主要体现在施工期，施工期具有临时性、短暂性特点，施工结束后，</w:t>
            </w:r>
            <w:r>
              <w:rPr>
                <w:rFonts w:hint="eastAsia" w:ascii="Times New Roman" w:hAnsi="Times New Roman" w:eastAsia="宋体" w:cs="Times New Roman"/>
                <w:color w:val="auto"/>
                <w:sz w:val="24"/>
                <w:lang w:val="en-US" w:eastAsia="zh-CN"/>
              </w:rPr>
              <w:t>道路沿线</w:t>
            </w:r>
            <w:r>
              <w:rPr>
                <w:rFonts w:hint="eastAsia" w:ascii="Times New Roman" w:hAnsi="Times New Roman" w:eastAsia="宋体" w:cs="Times New Roman"/>
                <w:color w:val="auto"/>
                <w:sz w:val="24"/>
              </w:rPr>
              <w:t>采取</w:t>
            </w:r>
            <w:r>
              <w:rPr>
                <w:rFonts w:hint="eastAsia" w:ascii="Times New Roman" w:hAnsi="Times New Roman" w:eastAsia="宋体" w:cs="Times New Roman"/>
                <w:color w:val="auto"/>
                <w:sz w:val="24"/>
                <w:lang w:val="en-US" w:eastAsia="zh-CN"/>
              </w:rPr>
              <w:t>人工种植、</w:t>
            </w:r>
            <w:r>
              <w:rPr>
                <w:rFonts w:hint="eastAsia" w:ascii="Times New Roman" w:hAnsi="Times New Roman" w:eastAsia="宋体" w:cs="Times New Roman"/>
                <w:color w:val="auto"/>
                <w:sz w:val="24"/>
              </w:rPr>
              <w:t>自然恢复</w:t>
            </w:r>
            <w:r>
              <w:rPr>
                <w:rFonts w:hint="eastAsia" w:ascii="Times New Roman" w:hAnsi="Times New Roman" w:eastAsia="宋体" w:cs="Times New Roman"/>
                <w:color w:val="auto"/>
                <w:sz w:val="24"/>
                <w:lang w:val="en-US" w:eastAsia="zh-CN"/>
              </w:rPr>
              <w:t>等</w:t>
            </w:r>
            <w:r>
              <w:rPr>
                <w:rFonts w:hint="eastAsia" w:ascii="Times New Roman" w:hAnsi="Times New Roman" w:eastAsia="宋体" w:cs="Times New Roman"/>
                <w:color w:val="auto"/>
                <w:sz w:val="24"/>
              </w:rPr>
              <w:t>措施</w:t>
            </w:r>
            <w:r>
              <w:rPr>
                <w:rFonts w:hint="eastAsia" w:ascii="Times New Roman" w:hAnsi="Times New Roman" w:eastAsia="宋体" w:cs="Times New Roman"/>
                <w:color w:val="auto"/>
                <w:sz w:val="24"/>
                <w:lang w:val="en-US" w:eastAsia="zh-CN"/>
              </w:rPr>
              <w:t>恢复道路沿线生态环境</w:t>
            </w:r>
            <w:r>
              <w:rPr>
                <w:rFonts w:hint="eastAsia" w:ascii="Times New Roman" w:hAnsi="Times New Roman" w:eastAsia="宋体" w:cs="Times New Roman"/>
                <w:color w:val="auto"/>
                <w:sz w:val="24"/>
              </w:rPr>
              <w:t>、完善的防沙治沙及水土保持措施</w:t>
            </w:r>
            <w:r>
              <w:rPr>
                <w:rFonts w:ascii="Times New Roman" w:hAnsi="Times New Roman" w:eastAsia="宋体" w:cs="Times New Roman"/>
                <w:color w:val="auto"/>
                <w:sz w:val="24"/>
              </w:rPr>
              <w:t>，不会对</w:t>
            </w:r>
            <w:r>
              <w:rPr>
                <w:rFonts w:hint="eastAsia" w:ascii="Times New Roman" w:hAnsi="Times New Roman" w:eastAsia="宋体" w:cs="Times New Roman"/>
                <w:color w:val="auto"/>
                <w:sz w:val="24"/>
              </w:rPr>
              <w:t>该区域的主体功能</w:t>
            </w:r>
            <w:r>
              <w:rPr>
                <w:rFonts w:ascii="Times New Roman" w:hAnsi="Times New Roman" w:eastAsia="宋体" w:cs="Times New Roman"/>
                <w:color w:val="auto"/>
                <w:sz w:val="24"/>
              </w:rPr>
              <w:t>造成影响，能够符合自治区对该区域的功能定位要求。项目在主体功能区划图中的位置详见</w:t>
            </w:r>
            <w:r>
              <w:rPr>
                <w:rFonts w:hint="eastAsia" w:ascii="Times New Roman" w:hAnsi="Times New Roman" w:eastAsia="宋体" w:cs="Times New Roman"/>
                <w:color w:val="auto"/>
                <w:sz w:val="24"/>
                <w:lang w:val="en-US" w:eastAsia="zh-CN"/>
              </w:rPr>
              <w:t>附图</w:t>
            </w:r>
            <w:r>
              <w:rPr>
                <w:rFonts w:ascii="Times New Roman" w:hAnsi="Times New Roman" w:eastAsia="宋体" w:cs="Times New Roman"/>
                <w:color w:val="auto"/>
                <w:sz w:val="24"/>
              </w:rPr>
              <w:t>。</w:t>
            </w:r>
          </w:p>
          <w:p w14:paraId="3EB8A30F">
            <w:pPr>
              <w:keepNext w:val="0"/>
              <w:keepLines w:val="0"/>
              <w:pageBreakBefore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3</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生态功能区划</w:t>
            </w:r>
          </w:p>
          <w:p w14:paraId="37FC8B11">
            <w:pPr>
              <w:keepNext w:val="0"/>
              <w:keepLines w:val="0"/>
              <w:pageBreakBefore w:val="0"/>
              <w:widowControl w:val="0"/>
              <w:kinsoku/>
              <w:wordWrap/>
              <w:overflowPunct/>
              <w:topLinePunct w:val="0"/>
              <w:autoSpaceDE/>
              <w:autoSpaceDN/>
              <w:bidi w:val="0"/>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根据《新疆生态功</w:t>
            </w:r>
            <w:r>
              <w:rPr>
                <w:rFonts w:hint="default" w:ascii="Times New Roman" w:hAnsi="Times New Roman" w:eastAsia="宋体" w:cs="Times New Roman"/>
                <w:caps w:val="0"/>
                <w:smallCaps w:val="0"/>
                <w:color w:val="auto"/>
                <w:spacing w:val="0"/>
                <w:w w:val="100"/>
                <w:kern w:val="2"/>
                <w:position w:val="0"/>
                <w:sz w:val="24"/>
                <w:szCs w:val="24"/>
                <w:highlight w:val="none"/>
              </w:rPr>
              <w:t>能区划》，</w:t>
            </w:r>
            <w:r>
              <w:rPr>
                <w:rFonts w:hint="default" w:ascii="Times New Roman" w:hAnsi="Times New Roman" w:eastAsia="宋体" w:cs="Times New Roman"/>
                <w:color w:val="auto"/>
                <w:spacing w:val="0"/>
                <w:w w:val="100"/>
                <w:position w:val="0"/>
                <w:sz w:val="24"/>
                <w:szCs w:val="24"/>
                <w:highlight w:val="none"/>
                <w:lang w:val="en-US" w:eastAsia="zh-CN"/>
              </w:rPr>
              <w:t>项目所在区域属于天山山地温性草原、森林生态区—天山南坡草原牧业、绿洲农业生态亚区—42.托木尔峰和天山南坡中段冰雪水源及生物多样性保护生态功能区。项目占地范围内无林地和永久基本农田</w:t>
            </w:r>
            <w:r>
              <w:rPr>
                <w:rFonts w:hint="default" w:ascii="Times New Roman" w:hAnsi="Times New Roman" w:eastAsia="宋体" w:cs="Times New Roman"/>
                <w:caps w:val="0"/>
                <w:smallCaps w:val="0"/>
                <w:color w:val="auto"/>
                <w:spacing w:val="0"/>
                <w:w w:val="100"/>
                <w:kern w:val="2"/>
                <w:position w:val="0"/>
                <w:sz w:val="24"/>
                <w:szCs w:val="24"/>
                <w:highlight w:val="none"/>
              </w:rPr>
              <w:t>。详见表</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3-2</w:t>
            </w:r>
            <w:r>
              <w:rPr>
                <w:rFonts w:hint="default" w:ascii="Times New Roman" w:hAnsi="Times New Roman" w:eastAsia="宋体" w:cs="Times New Roman"/>
                <w:caps w:val="0"/>
                <w:smallCaps w:val="0"/>
                <w:color w:val="auto"/>
                <w:spacing w:val="0"/>
                <w:w w:val="100"/>
                <w:kern w:val="2"/>
                <w:position w:val="0"/>
                <w:sz w:val="24"/>
                <w:szCs w:val="24"/>
                <w:highlight w:val="none"/>
              </w:rPr>
              <w:t>生态功能区划及主要环境问题和保护目标。</w:t>
            </w:r>
          </w:p>
          <w:p w14:paraId="3F51442D">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表3-2生态功能区划及主要环境问题和保护目标</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5412"/>
            </w:tblGrid>
            <w:tr w14:paraId="4CC01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00B83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项目</w:t>
                  </w:r>
                </w:p>
              </w:tc>
              <w:tc>
                <w:tcPr>
                  <w:tcW w:w="3464" w:type="pct"/>
                  <w:tcBorders>
                    <w:tl2br w:val="nil"/>
                    <w:tr2bl w:val="nil"/>
                  </w:tcBorders>
                  <w:noWrap w:val="0"/>
                  <w:vAlign w:val="center"/>
                </w:tcPr>
                <w:p w14:paraId="76F2A8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区划</w:t>
                  </w:r>
                </w:p>
              </w:tc>
            </w:tr>
            <w:tr w14:paraId="78D96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4D6445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生态区</w:t>
                  </w:r>
                </w:p>
              </w:tc>
              <w:tc>
                <w:tcPr>
                  <w:tcW w:w="3464" w:type="pct"/>
                  <w:tcBorders>
                    <w:tl2br w:val="nil"/>
                    <w:tr2bl w:val="nil"/>
                  </w:tcBorders>
                  <w:noWrap w:val="0"/>
                  <w:vAlign w:val="center"/>
                </w:tcPr>
                <w:p w14:paraId="7552F9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III</w:t>
                  </w:r>
                  <w:r>
                    <w:rPr>
                      <w:rFonts w:hint="eastAsia" w:cs="Times New Roman"/>
                      <w:color w:val="000000"/>
                      <w:sz w:val="21"/>
                      <w:szCs w:val="21"/>
                      <w:lang w:val="en-US" w:eastAsia="zh-CN"/>
                    </w:rPr>
                    <w:t>天山山地温性草原、森林生态区</w:t>
                  </w:r>
                </w:p>
              </w:tc>
            </w:tr>
            <w:tr w14:paraId="068F9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77FCD9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生态亚区</w:t>
                  </w:r>
                </w:p>
              </w:tc>
              <w:tc>
                <w:tcPr>
                  <w:tcW w:w="3464" w:type="pct"/>
                  <w:tcBorders>
                    <w:tl2br w:val="nil"/>
                    <w:tr2bl w:val="nil"/>
                  </w:tcBorders>
                  <w:noWrap w:val="0"/>
                  <w:vAlign w:val="center"/>
                </w:tcPr>
                <w:p w14:paraId="0484DD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III</w:t>
                  </w:r>
                  <w:r>
                    <w:rPr>
                      <w:rFonts w:hint="eastAsia" w:cs="Times New Roman"/>
                      <w:color w:val="000000"/>
                      <w:sz w:val="21"/>
                      <w:szCs w:val="21"/>
                      <w:vertAlign w:val="subscript"/>
                      <w:lang w:val="en-US" w:eastAsia="zh-CN"/>
                    </w:rPr>
                    <w:t>3</w:t>
                  </w:r>
                  <w:r>
                    <w:rPr>
                      <w:rFonts w:hint="eastAsia" w:cs="Times New Roman"/>
                      <w:color w:val="000000"/>
                      <w:sz w:val="21"/>
                      <w:szCs w:val="21"/>
                      <w:lang w:val="en-US" w:eastAsia="zh-CN"/>
                    </w:rPr>
                    <w:t>天山南坡草原牧业、绿洲农业生态亚区</w:t>
                  </w:r>
                </w:p>
              </w:tc>
            </w:tr>
            <w:tr w14:paraId="1387E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2C796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生态功能区</w:t>
                  </w:r>
                </w:p>
              </w:tc>
              <w:tc>
                <w:tcPr>
                  <w:tcW w:w="3464" w:type="pct"/>
                  <w:tcBorders>
                    <w:tl2br w:val="nil"/>
                    <w:tr2bl w:val="nil"/>
                  </w:tcBorders>
                  <w:noWrap w:val="0"/>
                  <w:vAlign w:val="center"/>
                </w:tcPr>
                <w:p w14:paraId="58359F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42.托木尔峰和天山南坡中段冰雪水源及生物多样性保护生态功能区</w:t>
                  </w:r>
                </w:p>
              </w:tc>
            </w:tr>
            <w:tr w14:paraId="1C38D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762630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隶属行政区</w:t>
                  </w:r>
                </w:p>
              </w:tc>
              <w:tc>
                <w:tcPr>
                  <w:tcW w:w="3464" w:type="pct"/>
                  <w:tcBorders>
                    <w:tl2br w:val="nil"/>
                    <w:tr2bl w:val="nil"/>
                  </w:tcBorders>
                  <w:noWrap w:val="0"/>
                  <w:vAlign w:val="center"/>
                </w:tcPr>
                <w:p w14:paraId="0D6BC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温宿县、</w:t>
                  </w:r>
                  <w:r>
                    <w:rPr>
                      <w:rFonts w:hint="eastAsia" w:eastAsia="宋体" w:cs="Times New Roman"/>
                      <w:color w:val="000000"/>
                      <w:sz w:val="21"/>
                      <w:szCs w:val="21"/>
                      <w:vertAlign w:val="baseline"/>
                      <w:lang w:val="en-US" w:eastAsia="zh-CN"/>
                    </w:rPr>
                    <w:t>轮台县</w:t>
                  </w:r>
                  <w:r>
                    <w:rPr>
                      <w:rFonts w:hint="default" w:eastAsia="宋体" w:cs="Times New Roman"/>
                      <w:color w:val="000000"/>
                      <w:sz w:val="21"/>
                      <w:szCs w:val="21"/>
                      <w:vertAlign w:val="baseline"/>
                      <w:lang w:val="en-US" w:eastAsia="zh-CN"/>
                    </w:rPr>
                    <w:t>、库车县、轮台县、新和县、库尔勒市、焉耆县、和硕县</w:t>
                  </w:r>
                </w:p>
              </w:tc>
            </w:tr>
            <w:tr w14:paraId="18E74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47FBF3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主要生态服务功能</w:t>
                  </w:r>
                </w:p>
              </w:tc>
              <w:tc>
                <w:tcPr>
                  <w:tcW w:w="3464" w:type="pct"/>
                  <w:tcBorders>
                    <w:tl2br w:val="nil"/>
                    <w:tr2bl w:val="nil"/>
                  </w:tcBorders>
                  <w:noWrap w:val="0"/>
                  <w:vAlign w:val="center"/>
                </w:tcPr>
                <w:p w14:paraId="2F08E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水源补给、生物多样性维护、土壤保持</w:t>
                  </w:r>
                </w:p>
              </w:tc>
            </w:tr>
            <w:tr w14:paraId="7FC6D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0077AE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主要生态环境问题</w:t>
                  </w:r>
                </w:p>
              </w:tc>
              <w:tc>
                <w:tcPr>
                  <w:tcW w:w="3464" w:type="pct"/>
                  <w:tcBorders>
                    <w:tl2br w:val="nil"/>
                    <w:tr2bl w:val="nil"/>
                  </w:tcBorders>
                  <w:noWrap w:val="0"/>
                  <w:vAlign w:val="center"/>
                </w:tcPr>
                <w:p w14:paraId="20AE64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水土流失、野生动物减少、土壤侵蚀、森林破坏</w:t>
                  </w:r>
                </w:p>
              </w:tc>
            </w:tr>
            <w:tr w14:paraId="4A716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70AE3B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主要生态敏感因子、敏感程度</w:t>
                  </w:r>
                </w:p>
              </w:tc>
              <w:tc>
                <w:tcPr>
                  <w:tcW w:w="3464" w:type="pct"/>
                  <w:tcBorders>
                    <w:tl2br w:val="nil"/>
                    <w:tr2bl w:val="nil"/>
                  </w:tcBorders>
                  <w:noWrap w:val="0"/>
                  <w:vAlign w:val="center"/>
                </w:tcPr>
                <w:p w14:paraId="1FF384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生物多样性及其生境极度敏感，土壤侵蚀轻度敏感</w:t>
                  </w:r>
                </w:p>
              </w:tc>
            </w:tr>
            <w:tr w14:paraId="2CF98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340A80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主保护目标</w:t>
                  </w:r>
                </w:p>
              </w:tc>
              <w:tc>
                <w:tcPr>
                  <w:tcW w:w="3464" w:type="pct"/>
                  <w:tcBorders>
                    <w:tl2br w:val="nil"/>
                    <w:tr2bl w:val="nil"/>
                  </w:tcBorders>
                  <w:noWrap w:val="0"/>
                  <w:vAlign w:val="center"/>
                </w:tcPr>
                <w:p w14:paraId="16E421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保护托木尔峰自然景观、保护高山冰川、保护野生动物、保护森林和草原</w:t>
                  </w:r>
                </w:p>
              </w:tc>
            </w:tr>
            <w:tr w14:paraId="114E5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6DC511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主要保护措施</w:t>
                  </w:r>
                </w:p>
              </w:tc>
              <w:tc>
                <w:tcPr>
                  <w:tcW w:w="3464" w:type="pct"/>
                  <w:tcBorders>
                    <w:tl2br w:val="nil"/>
                    <w:tr2bl w:val="nil"/>
                  </w:tcBorders>
                  <w:noWrap w:val="0"/>
                  <w:vAlign w:val="center"/>
                </w:tcPr>
                <w:p w14:paraId="095EE8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草地减牧、森林禁伐、禁猎、加强保护区管理</w:t>
                  </w:r>
                </w:p>
              </w:tc>
            </w:tr>
            <w:tr w14:paraId="6E9B4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0BFC2B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适宜发展方向</w:t>
                  </w:r>
                </w:p>
              </w:tc>
              <w:tc>
                <w:tcPr>
                  <w:tcW w:w="3464" w:type="pct"/>
                  <w:tcBorders>
                    <w:tl2br w:val="nil"/>
                    <w:tr2bl w:val="nil"/>
                  </w:tcBorders>
                  <w:noWrap w:val="0"/>
                  <w:vAlign w:val="center"/>
                </w:tcPr>
                <w:p w14:paraId="575B0B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vertAlign w:val="baseline"/>
                      <w:lang w:val="en-US" w:eastAsia="zh-CN"/>
                    </w:rPr>
                  </w:pPr>
                  <w:r>
                    <w:rPr>
                      <w:rFonts w:hint="default" w:eastAsia="宋体" w:cs="Times New Roman"/>
                      <w:color w:val="000000"/>
                      <w:sz w:val="21"/>
                      <w:szCs w:val="21"/>
                      <w:vertAlign w:val="baseline"/>
                      <w:lang w:val="en-US" w:eastAsia="zh-CN"/>
                    </w:rPr>
                    <w:t>合理利用天然草地，维护自然景观和生物多样性</w:t>
                  </w:r>
                </w:p>
              </w:tc>
            </w:tr>
          </w:tbl>
          <w:p w14:paraId="091E63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4</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土地利用类型</w:t>
            </w:r>
          </w:p>
          <w:p w14:paraId="1FFC3CE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（1）永久占地</w:t>
            </w:r>
          </w:p>
          <w:p w14:paraId="406C364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本项目拆除原有老桥后在原址新建，无新增用地，用地性质为公路用地。</w:t>
            </w:r>
          </w:p>
          <w:p w14:paraId="29E7C54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（2）临时用地</w:t>
            </w:r>
          </w:p>
          <w:p w14:paraId="7CA48E8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本项目临时用地主要为施工便道，占地面积为841.022m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主要占用河流水面、村庄。</w:t>
            </w:r>
          </w:p>
          <w:p w14:paraId="4F3EFC49">
            <w:pPr>
              <w:pStyle w:val="2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lang w:val="en-US" w:eastAsia="zh-CN"/>
              </w:rPr>
            </w:pPr>
            <w:r>
              <w:rPr>
                <w:rFonts w:hint="eastAsia"/>
                <w:lang w:val="en-US" w:eastAsia="zh-CN"/>
              </w:rPr>
              <w:drawing>
                <wp:inline distT="0" distB="0" distL="114300" distR="114300">
                  <wp:extent cx="4823460" cy="3410585"/>
                  <wp:effectExtent l="0" t="0" r="15240" b="18415"/>
                  <wp:docPr id="4" name="图片 4" descr="13f0afba058446bf186d9dfabfbcd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f0afba058446bf186d9dfabfbcd310"/>
                          <pic:cNvPicPr>
                            <a:picLocks noChangeAspect="1"/>
                          </pic:cNvPicPr>
                        </pic:nvPicPr>
                        <pic:blipFill>
                          <a:blip r:embed="rId20"/>
                          <a:stretch>
                            <a:fillRect/>
                          </a:stretch>
                        </pic:blipFill>
                        <pic:spPr>
                          <a:xfrm>
                            <a:off x="0" y="0"/>
                            <a:ext cx="4823460" cy="3410585"/>
                          </a:xfrm>
                          <a:prstGeom prst="rect">
                            <a:avLst/>
                          </a:prstGeom>
                        </pic:spPr>
                      </pic:pic>
                    </a:graphicData>
                  </a:graphic>
                </wp:inline>
              </w:drawing>
            </w:r>
          </w:p>
          <w:p w14:paraId="674E4D4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eastAsia" w:cs="Times New Roman"/>
                <w:b/>
                <w:bCs/>
                <w:caps w:val="0"/>
                <w:smallCaps w:val="0"/>
                <w:color w:val="auto"/>
                <w:spacing w:val="0"/>
                <w:w w:val="100"/>
                <w:kern w:val="2"/>
                <w:position w:val="0"/>
                <w:sz w:val="24"/>
                <w:highlight w:val="none"/>
                <w:lang w:val="en-US" w:eastAsia="zh-CN"/>
              </w:rPr>
              <w:t>图3-1    项目区土地利用类型图</w:t>
            </w:r>
          </w:p>
          <w:p w14:paraId="17CB55C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5</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项目区植被</w:t>
            </w:r>
          </w:p>
          <w:p w14:paraId="7724B4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本项目工程</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路段沿线植物类型以</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人工植被为主</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，种</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类</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相对较少，植被盖度</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适中</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。评价范围内没有濒危、珍稀植物种类。</w:t>
            </w:r>
          </w:p>
          <w:p w14:paraId="5206B9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主要</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植被类型</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杨树、柳树、假木贼、苦豆子、芦苇</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等。</w:t>
            </w:r>
          </w:p>
          <w:p w14:paraId="4EAFF79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drawing>
                <wp:inline distT="0" distB="0" distL="114300" distR="114300">
                  <wp:extent cx="4819650" cy="3410585"/>
                  <wp:effectExtent l="0" t="0" r="0" b="18415"/>
                  <wp:docPr id="15" name="图片 289" descr="aaff6d7d6d2f3078a067d0b59405f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9" descr="aaff6d7d6d2f3078a067d0b59405f459"/>
                          <pic:cNvPicPr>
                            <a:picLocks noChangeAspect="1"/>
                          </pic:cNvPicPr>
                        </pic:nvPicPr>
                        <pic:blipFill>
                          <a:blip r:embed="rId21"/>
                          <a:stretch>
                            <a:fillRect/>
                          </a:stretch>
                        </pic:blipFill>
                        <pic:spPr>
                          <a:xfrm>
                            <a:off x="0" y="0"/>
                            <a:ext cx="4819650" cy="3410585"/>
                          </a:xfrm>
                          <a:prstGeom prst="rect">
                            <a:avLst/>
                          </a:prstGeom>
                          <a:noFill/>
                          <a:ln>
                            <a:noFill/>
                          </a:ln>
                        </pic:spPr>
                      </pic:pic>
                    </a:graphicData>
                  </a:graphic>
                </wp:inline>
              </w:drawing>
            </w:r>
          </w:p>
          <w:p w14:paraId="1AB1DCD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图3-2   植被类型图</w:t>
            </w:r>
          </w:p>
          <w:p w14:paraId="0077E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6</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土壤</w:t>
            </w:r>
          </w:p>
          <w:p w14:paraId="7BCD1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color w:val="auto"/>
                <w:sz w:val="24"/>
              </w:rPr>
              <w:t>本项目气候类型属极端干旱的暖湿带气候，干旱少雨，不利于土壤中矿物质分解，土壤发育交叉，类型较为简单，成土母质由风积物和洪冲积物组成</w:t>
            </w:r>
            <w:r>
              <w:rPr>
                <w:rFonts w:hint="eastAsia"/>
                <w:color w:val="auto"/>
                <w:sz w:val="24"/>
                <w:lang w:eastAsia="zh-CN"/>
              </w:rPr>
              <w:t>，</w:t>
            </w:r>
            <w:r>
              <w:rPr>
                <w:rFonts w:hint="eastAsia"/>
                <w:color w:val="auto"/>
                <w:sz w:val="24"/>
                <w:lang w:val="en-US" w:eastAsia="zh-CN"/>
              </w:rPr>
              <w:t>项目工程</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经过区域的土壤类型以</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棕漠</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土为主</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w:t>
            </w:r>
          </w:p>
          <w:p w14:paraId="2063ED1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left"/>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drawing>
                <wp:inline distT="0" distB="0" distL="114300" distR="114300">
                  <wp:extent cx="4819650" cy="3410585"/>
                  <wp:effectExtent l="0" t="0" r="0" b="18415"/>
                  <wp:docPr id="16" name="图片 287" descr="91065ea312c9f40fe4bc31510d821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7" descr="91065ea312c9f40fe4bc31510d8214bb"/>
                          <pic:cNvPicPr>
                            <a:picLocks noChangeAspect="1"/>
                          </pic:cNvPicPr>
                        </pic:nvPicPr>
                        <pic:blipFill>
                          <a:blip r:embed="rId22"/>
                          <a:stretch>
                            <a:fillRect/>
                          </a:stretch>
                        </pic:blipFill>
                        <pic:spPr>
                          <a:xfrm>
                            <a:off x="0" y="0"/>
                            <a:ext cx="4819650" cy="3410585"/>
                          </a:xfrm>
                          <a:prstGeom prst="rect">
                            <a:avLst/>
                          </a:prstGeom>
                          <a:noFill/>
                          <a:ln>
                            <a:noFill/>
                          </a:ln>
                        </pic:spPr>
                      </pic:pic>
                    </a:graphicData>
                  </a:graphic>
                </wp:inline>
              </w:drawing>
            </w:r>
          </w:p>
          <w:p w14:paraId="425E23A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图3-3   土壤类型图</w:t>
            </w:r>
          </w:p>
          <w:p w14:paraId="6D8D79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7</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项目区动物</w:t>
            </w:r>
          </w:p>
          <w:p w14:paraId="38C1B5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0"/>
                <w:highlight w:val="none"/>
                <w:lang w:val="en-US" w:eastAsia="zh-CN" w:bidi="ar-SA"/>
              </w:rPr>
              <w:t>项目区受人类活动的影响，未见大型兽类活动痕迹，</w:t>
            </w:r>
            <w:r>
              <w:rPr>
                <w:rFonts w:hint="default" w:ascii="Times New Roman" w:hAnsi="Times New Roman" w:eastAsia="宋体" w:cs="Times New Roman"/>
                <w:caps w:val="0"/>
                <w:smallCaps w:val="0"/>
                <w:color w:val="auto"/>
                <w:spacing w:val="0"/>
                <w:w w:val="100"/>
                <w:kern w:val="2"/>
                <w:position w:val="0"/>
                <w:sz w:val="24"/>
                <w:szCs w:val="24"/>
                <w:highlight w:val="none"/>
              </w:rPr>
              <w:t>以鸟类和小型兽类为主，主要有</w:t>
            </w: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小型</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乌鸦、麻雀</w:t>
            </w:r>
            <w:r>
              <w:rPr>
                <w:rFonts w:hint="default" w:ascii="Times New Roman" w:hAnsi="Times New Roman" w:eastAsia="宋体" w:cs="Times New Roman"/>
                <w:caps w:val="0"/>
                <w:smallCaps w:val="0"/>
                <w:color w:val="auto"/>
                <w:spacing w:val="0"/>
                <w:w w:val="100"/>
                <w:kern w:val="2"/>
                <w:position w:val="0"/>
                <w:sz w:val="24"/>
                <w:szCs w:val="24"/>
                <w:highlight w:val="none"/>
              </w:rPr>
              <w:t>等常见鸟类，兽类中以田鼠、灰仓鼠、小家鼠较为常见。</w:t>
            </w:r>
          </w:p>
          <w:p w14:paraId="7E3201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评价水域土著鱼类叶尔羌高原鳅、长身高原鳅2种鱼类均为定居性种类，无洄游习性。叶尔羌高原鳅、长身高原鳅在静水或缓流即可完成其生活史的全部阶段。繁殖时，亲鱼多游至近岸处，主要在沿岸带适宜的小环境中产卵，它们产粘性卵，早期发育阶段对低溶氧的耐受能力较强。相关鱼类名录、在国内河流的分布情况如下表所示。</w:t>
            </w:r>
          </w:p>
          <w:p w14:paraId="6F9C3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表</w:t>
            </w:r>
            <w:r>
              <w:rPr>
                <w:rFonts w:hint="eastAsia" w:ascii="Times New Roman" w:hAnsi="Times New Roman" w:eastAsia="宋体" w:cs="Times New Roman"/>
                <w:b/>
                <w:color w:val="000000"/>
                <w:kern w:val="2"/>
                <w:sz w:val="21"/>
                <w:szCs w:val="21"/>
                <w:lang w:val="en-US" w:eastAsia="zh-CN" w:bidi="ar-SA"/>
              </w:rPr>
              <w:t>3-3</w:t>
            </w:r>
            <w:r>
              <w:rPr>
                <w:rFonts w:hint="default" w:ascii="Times New Roman" w:hAnsi="Times New Roman" w:eastAsia="宋体" w:cs="Times New Roman"/>
                <w:b/>
                <w:color w:val="000000"/>
                <w:kern w:val="2"/>
                <w:sz w:val="21"/>
                <w:szCs w:val="21"/>
                <w:lang w:val="en-US" w:eastAsia="zh-CN" w:bidi="ar-SA"/>
              </w:rPr>
              <w:t xml:space="preserve">  </w:t>
            </w:r>
            <w:r>
              <w:rPr>
                <w:rFonts w:hint="eastAsia" w:ascii="Times New Roman" w:hAnsi="Times New Roman" w:eastAsia="宋体" w:cs="Times New Roman"/>
                <w:b/>
                <w:color w:val="000000"/>
                <w:kern w:val="2"/>
                <w:sz w:val="21"/>
                <w:szCs w:val="21"/>
                <w:lang w:val="en-US" w:eastAsia="zh-CN" w:bidi="ar-SA"/>
              </w:rPr>
              <w:t xml:space="preserve">    </w:t>
            </w:r>
            <w:r>
              <w:rPr>
                <w:rFonts w:hint="default" w:ascii="Times New Roman" w:hAnsi="Times New Roman" w:eastAsia="宋体" w:cs="Times New Roman"/>
                <w:b/>
                <w:color w:val="000000"/>
                <w:kern w:val="2"/>
                <w:sz w:val="21"/>
                <w:szCs w:val="21"/>
                <w:lang w:val="en-US" w:eastAsia="zh-CN" w:bidi="ar-SA"/>
              </w:rPr>
              <w:t>评价水域珍稀保护鱼类名录</w:t>
            </w:r>
          </w:p>
          <w:tbl>
            <w:tblPr>
              <w:tblStyle w:val="71"/>
              <w:tblW w:w="4999"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7"/>
              <w:gridCol w:w="3475"/>
              <w:gridCol w:w="3008"/>
            </w:tblGrid>
            <w:tr w14:paraId="15A95D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74" w:type="pct"/>
                  <w:gridSpan w:val="2"/>
                  <w:tcBorders>
                    <w:tl2br w:val="nil"/>
                    <w:tr2bl w:val="nil"/>
                  </w:tcBorders>
                  <w:noWrap w:val="0"/>
                  <w:vAlign w:val="center"/>
                </w:tcPr>
                <w:p w14:paraId="7C72A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种类</w:t>
                  </w:r>
                </w:p>
              </w:tc>
              <w:tc>
                <w:tcPr>
                  <w:tcW w:w="1925" w:type="pct"/>
                  <w:tcBorders>
                    <w:tl2br w:val="nil"/>
                    <w:tr2bl w:val="nil"/>
                  </w:tcBorders>
                  <w:noWrap w:val="0"/>
                  <w:vAlign w:val="center"/>
                </w:tcPr>
                <w:p w14:paraId="0CBD02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备注</w:t>
                  </w:r>
                </w:p>
              </w:tc>
            </w:tr>
            <w:tr w14:paraId="5AD367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50" w:type="pct"/>
                  <w:vMerge w:val="restart"/>
                  <w:tcBorders>
                    <w:tl2br w:val="nil"/>
                    <w:tr2bl w:val="nil"/>
                  </w:tcBorders>
                  <w:noWrap w:val="0"/>
                  <w:vAlign w:val="center"/>
                </w:tcPr>
                <w:p w14:paraId="13499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鳅科 Cobitidae</w:t>
                  </w:r>
                </w:p>
              </w:tc>
              <w:tc>
                <w:tcPr>
                  <w:tcW w:w="2224" w:type="pct"/>
                  <w:tcBorders>
                    <w:tl2br w:val="nil"/>
                    <w:tr2bl w:val="nil"/>
                  </w:tcBorders>
                  <w:noWrap w:val="0"/>
                  <w:vAlign w:val="center"/>
                </w:tcPr>
                <w:p w14:paraId="08BE79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叶尔羌高原鳅 Triplophysa yarkandensis</w:t>
                  </w:r>
                </w:p>
              </w:tc>
              <w:tc>
                <w:tcPr>
                  <w:tcW w:w="1925" w:type="pct"/>
                  <w:tcBorders>
                    <w:tl2br w:val="nil"/>
                    <w:tr2bl w:val="nil"/>
                  </w:tcBorders>
                  <w:noWrap w:val="0"/>
                  <w:vAlign w:val="center"/>
                </w:tcPr>
                <w:p w14:paraId="636AD5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土著鱼类、 自治区二级保护动物</w:t>
                  </w:r>
                </w:p>
              </w:tc>
            </w:tr>
            <w:tr w14:paraId="723171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50" w:type="pct"/>
                  <w:vMerge w:val="continue"/>
                  <w:tcBorders>
                    <w:tl2br w:val="nil"/>
                    <w:tr2bl w:val="nil"/>
                  </w:tcBorders>
                  <w:noWrap w:val="0"/>
                  <w:vAlign w:val="center"/>
                </w:tcPr>
                <w:p w14:paraId="704F74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lang w:val="en-US" w:eastAsia="zh-CN" w:bidi="ar-SA"/>
                    </w:rPr>
                  </w:pPr>
                </w:p>
              </w:tc>
              <w:tc>
                <w:tcPr>
                  <w:tcW w:w="2224" w:type="pct"/>
                  <w:tcBorders>
                    <w:tl2br w:val="nil"/>
                    <w:tr2bl w:val="nil"/>
                  </w:tcBorders>
                  <w:noWrap w:val="0"/>
                  <w:vAlign w:val="center"/>
                </w:tcPr>
                <w:p w14:paraId="3A3D7C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长身高原鳅 Triplophysa tenuis</w:t>
                  </w:r>
                </w:p>
              </w:tc>
              <w:tc>
                <w:tcPr>
                  <w:tcW w:w="1925" w:type="pct"/>
                  <w:tcBorders>
                    <w:tl2br w:val="nil"/>
                    <w:tr2bl w:val="nil"/>
                  </w:tcBorders>
                  <w:noWrap w:val="0"/>
                  <w:vAlign w:val="center"/>
                </w:tcPr>
                <w:p w14:paraId="088D0B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土著鱼类</w:t>
                  </w:r>
                </w:p>
              </w:tc>
            </w:tr>
          </w:tbl>
          <w:p w14:paraId="09B9EA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rPr>
              <w:t>项目区域无国家、地方及濒危野生动植物种、国际贸易公约所列的濒危物种。</w:t>
            </w:r>
          </w:p>
          <w:p w14:paraId="65CE2E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8</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水土流失现状</w:t>
            </w:r>
          </w:p>
          <w:p w14:paraId="748697B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参考《新疆维吾尔自治区2023年度水土流失动态监测年报》，</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2023年轮台县水土流失面积4254.57km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bidi="ar"/>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占水土流失面积29.99%。其中水力侵蚀面积为644.91km</w:t>
            </w:r>
            <w:r>
              <w:rPr>
                <w:rFonts w:hint="default"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bidi="ar"/>
              </w:rPr>
              <w:t>2</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，占水土流失面积的15.16%</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风力侵蚀面积为3609.66km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bidi="ar"/>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占水土流失面积的84.84%。</w:t>
            </w:r>
          </w:p>
          <w:p w14:paraId="7BCFC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轮台县2023年水土流失面积比2022年减少了5.17km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bidi="ar"/>
              </w:rPr>
              <w:t>2</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w:t>
            </w:r>
          </w:p>
          <w:p w14:paraId="6E10255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本项目主要以轻度风力侵蚀为主。</w:t>
            </w:r>
          </w:p>
          <w:p w14:paraId="5C18D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center"/>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pPr>
            <w:r>
              <w:rPr>
                <w:sz w:val="21"/>
              </w:rPr>
              <mc:AlternateContent>
                <mc:Choice Requires="wps">
                  <w:drawing>
                    <wp:anchor distT="0" distB="0" distL="114300" distR="114300" simplePos="0" relativeHeight="251661312" behindDoc="0" locked="0" layoutInCell="1" allowOverlap="1">
                      <wp:simplePos x="0" y="0"/>
                      <wp:positionH relativeFrom="column">
                        <wp:posOffset>2352040</wp:posOffset>
                      </wp:positionH>
                      <wp:positionV relativeFrom="paragraph">
                        <wp:posOffset>1661160</wp:posOffset>
                      </wp:positionV>
                      <wp:extent cx="657225" cy="302895"/>
                      <wp:effectExtent l="5080" t="356235" r="4445" b="7620"/>
                      <wp:wrapNone/>
                      <wp:docPr id="2" name="自选图形 20"/>
                      <wp:cNvGraphicFramePr/>
                      <a:graphic xmlns:a="http://schemas.openxmlformats.org/drawingml/2006/main">
                        <a:graphicData uri="http://schemas.microsoft.com/office/word/2010/wordprocessingShape">
                          <wps:wsp>
                            <wps:cNvSpPr/>
                            <wps:spPr>
                              <a:xfrm>
                                <a:off x="0" y="0"/>
                                <a:ext cx="657225" cy="302895"/>
                              </a:xfrm>
                              <a:prstGeom prst="wedgeRectCallout">
                                <a:avLst>
                                  <a:gd name="adj1" fmla="val -37921"/>
                                  <a:gd name="adj2" fmla="val -160602"/>
                                </a:avLst>
                              </a:prstGeom>
                              <a:noFill/>
                              <a:ln w="9525" cap="flat" cmpd="sng">
                                <a:solidFill>
                                  <a:srgbClr val="FF0000"/>
                                </a:solidFill>
                                <a:prstDash val="solid"/>
                                <a:miter/>
                                <a:headEnd type="none" w="med" len="med"/>
                                <a:tailEnd type="none" w="med" len="med"/>
                              </a:ln>
                            </wps:spPr>
                            <wps:txbx>
                              <w:txbxContent>
                                <w:p w14:paraId="3E5187AF">
                                  <w:pPr>
                                    <w:jc w:val="center"/>
                                    <w:rPr>
                                      <w:rFonts w:hint="eastAsia" w:eastAsia="宋体"/>
                                      <w:color w:val="FF0000"/>
                                      <w:lang w:val="en-US" w:eastAsia="zh-CN"/>
                                    </w:rPr>
                                  </w:pPr>
                                  <w:r>
                                    <w:rPr>
                                      <w:rFonts w:hint="eastAsia"/>
                                      <w:color w:val="FF0000"/>
                                      <w:lang w:val="en-US" w:eastAsia="zh-CN"/>
                                    </w:rPr>
                                    <w:t>项目区</w:t>
                                  </w:r>
                                </w:p>
                              </w:txbxContent>
                            </wps:txbx>
                            <wps:bodyPr vert="horz" wrap="square" anchor="t" anchorCtr="0" upright="1"/>
                          </wps:wsp>
                        </a:graphicData>
                      </a:graphic>
                    </wp:anchor>
                  </w:drawing>
                </mc:Choice>
                <mc:Fallback>
                  <w:pict>
                    <v:shape id="自选图形 20" o:spid="_x0000_s1026" o:spt="61" type="#_x0000_t61" style="position:absolute;left:0pt;margin-left:185.2pt;margin-top:130.8pt;height:23.85pt;width:51.75pt;z-index:251661312;mso-width-relative:page;mso-height-relative:page;" filled="f" stroked="t" coordsize="21600,21600" o:gfxdata="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131e1wAAAAsB&#10;AAAPAAAAAAAAAAEAIAAAACIAAABkcnMvZG93bnJldi54bWxQSwECFAAUAAAACACHTuJAeE3IelUC&#10;AACZBAAADgAAAAAAAAABACAAAAAmAQAAZHJzL2Uyb0RvYy54bWxQSwUGAAAAAAYABgBZAQAA7QUA&#10;AAAA&#10;" adj="2609,-23890">
                      <v:fill on="f" focussize="0,0"/>
                      <v:stroke color="#FF0000" joinstyle="miter"/>
                      <v:imagedata o:title=""/>
                      <o:lock v:ext="edit" aspectratio="f"/>
                      <v:textbox>
                        <w:txbxContent>
                          <w:p w14:paraId="3E5187AF">
                            <w:pPr>
                              <w:jc w:val="center"/>
                              <w:rPr>
                                <w:rFonts w:hint="eastAsia" w:eastAsia="宋体"/>
                                <w:color w:val="FF0000"/>
                                <w:lang w:val="en-US" w:eastAsia="zh-CN"/>
                              </w:rPr>
                            </w:pPr>
                            <w:r>
                              <w:rPr>
                                <w:rFonts w:hint="eastAsia"/>
                                <w:color w:val="FF0000"/>
                                <w:lang w:val="en-US" w:eastAsia="zh-CN"/>
                              </w:rPr>
                              <w:t>项目区</w:t>
                            </w:r>
                          </w:p>
                        </w:txbxContent>
                      </v:textbox>
                    </v:shape>
                  </w:pict>
                </mc:Fallback>
              </mc:AlternateContent>
            </w:r>
            <w:r>
              <w:rPr>
                <w:rFonts w:hint="eastAsia"/>
                <w:sz w:val="21"/>
                <w:lang w:val="en-US" w:eastAsia="zh-CN"/>
              </w:rPr>
              <w:drawing>
                <wp:inline distT="0" distB="0" distL="114300" distR="114300">
                  <wp:extent cx="3308350" cy="4736465"/>
                  <wp:effectExtent l="0" t="0" r="6985" b="6350"/>
                  <wp:docPr id="17" name="图片 285" descr="d0644184-a082-472e-9b65-0fab319ca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5" descr="d0644184-a082-472e-9b65-0fab319ca551"/>
                          <pic:cNvPicPr>
                            <a:picLocks noChangeAspect="1"/>
                          </pic:cNvPicPr>
                        </pic:nvPicPr>
                        <pic:blipFill>
                          <a:blip r:embed="rId23"/>
                          <a:stretch>
                            <a:fillRect/>
                          </a:stretch>
                        </pic:blipFill>
                        <pic:spPr>
                          <a:xfrm rot="5400000">
                            <a:off x="0" y="0"/>
                            <a:ext cx="3308350" cy="4736465"/>
                          </a:xfrm>
                          <a:prstGeom prst="rect">
                            <a:avLst/>
                          </a:prstGeom>
                          <a:noFill/>
                          <a:ln>
                            <a:noFill/>
                          </a:ln>
                        </pic:spPr>
                      </pic:pic>
                    </a:graphicData>
                  </a:graphic>
                </wp:inline>
              </w:drawing>
            </w:r>
          </w:p>
          <w:p w14:paraId="242FC05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图3-4   水土流失现状图</w:t>
            </w:r>
          </w:p>
          <w:p w14:paraId="0C4E08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2</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环境空气</w:t>
            </w:r>
            <w:r>
              <w:rPr>
                <w:rFonts w:hint="default" w:ascii="Times New Roman" w:hAnsi="Times New Roman" w:eastAsia="宋体" w:cs="Times New Roman"/>
                <w:b/>
                <w:bCs/>
                <w:caps w:val="0"/>
                <w:smallCaps w:val="0"/>
                <w:color w:val="auto"/>
                <w:spacing w:val="0"/>
                <w:w w:val="100"/>
                <w:kern w:val="2"/>
                <w:position w:val="0"/>
                <w:sz w:val="24"/>
                <w:highlight w:val="none"/>
                <w:lang w:eastAsia="zh-CN"/>
              </w:rPr>
              <w:t>现状评价</w:t>
            </w:r>
          </w:p>
          <w:p w14:paraId="4B825DB9">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szCs w:val="20"/>
              </w:rPr>
            </w:pPr>
            <w:r>
              <w:rPr>
                <w:rFonts w:hint="default" w:ascii="Times New Roman" w:hAnsi="Times New Roman" w:eastAsia="宋体" w:cs="Times New Roman"/>
                <w:color w:val="000000"/>
                <w:sz w:val="24"/>
                <w:highlight w:val="none"/>
                <w:lang w:val="en-US" w:eastAsia="zh-CN"/>
              </w:rPr>
              <w:t>本次环境空气质量</w:t>
            </w:r>
            <w:bookmarkStart w:id="24" w:name="_GoBack"/>
            <w:bookmarkEnd w:id="24"/>
            <w:r>
              <w:rPr>
                <w:rFonts w:hint="default" w:ascii="Times New Roman" w:hAnsi="Times New Roman" w:eastAsia="宋体" w:cs="Times New Roman"/>
                <w:color w:val="000000"/>
                <w:sz w:val="24"/>
                <w:highlight w:val="none"/>
                <w:lang w:val="en-US" w:eastAsia="zh-CN"/>
              </w:rPr>
              <w:t>现状采用</w:t>
            </w:r>
            <w:r>
              <w:rPr>
                <w:rFonts w:hint="eastAsia" w:cs="Times New Roman"/>
                <w:color w:val="000000"/>
                <w:sz w:val="24"/>
                <w:highlight w:val="none"/>
                <w:lang w:val="en-US" w:eastAsia="zh-CN"/>
              </w:rPr>
              <w:t>2024年巴音郭楞蒙古自治州轮台县环境空气质量监测站中公布的轮台县</w:t>
            </w:r>
            <w:r>
              <w:rPr>
                <w:rFonts w:hint="default" w:ascii="Times New Roman" w:hAnsi="Times New Roman" w:eastAsia="宋体" w:cs="Times New Roman"/>
                <w:color w:val="000000"/>
                <w:sz w:val="24"/>
                <w:highlight w:val="none"/>
                <w:lang w:val="en-US" w:eastAsia="zh-CN"/>
              </w:rPr>
              <w:t>SO</w:t>
            </w:r>
            <w:r>
              <w:rPr>
                <w:rFonts w:hint="default" w:ascii="Times New Roman" w:hAnsi="Times New Roman" w:eastAsia="宋体" w:cs="Times New Roman"/>
                <w:color w:val="000000"/>
                <w:sz w:val="24"/>
                <w:highlight w:val="none"/>
                <w:vertAlign w:val="subscript"/>
                <w:lang w:val="en-US" w:eastAsia="zh-CN"/>
              </w:rPr>
              <w:t>2</w:t>
            </w:r>
            <w:r>
              <w:rPr>
                <w:rFonts w:hint="default" w:ascii="Times New Roman" w:hAnsi="Times New Roman" w:eastAsia="宋体" w:cs="Times New Roman"/>
                <w:color w:val="000000"/>
                <w:sz w:val="24"/>
                <w:highlight w:val="none"/>
                <w:lang w:val="en-US" w:eastAsia="zh-CN"/>
              </w:rPr>
              <w:t>、NO</w:t>
            </w:r>
            <w:r>
              <w:rPr>
                <w:rFonts w:hint="default" w:ascii="Times New Roman" w:hAnsi="Times New Roman" w:eastAsia="宋体" w:cs="Times New Roman"/>
                <w:color w:val="000000"/>
                <w:sz w:val="24"/>
                <w:highlight w:val="none"/>
                <w:vertAlign w:val="subscript"/>
                <w:lang w:val="en-US" w:eastAsia="zh-CN"/>
              </w:rPr>
              <w:t>2</w:t>
            </w:r>
            <w:r>
              <w:rPr>
                <w:rFonts w:hint="default" w:ascii="Times New Roman" w:hAnsi="Times New Roman" w:eastAsia="宋体" w:cs="Times New Roman"/>
                <w:color w:val="000000"/>
                <w:sz w:val="24"/>
                <w:highlight w:val="none"/>
                <w:lang w:val="en-US" w:eastAsia="zh-CN"/>
              </w:rPr>
              <w:t>、CO、O</w:t>
            </w:r>
            <w:r>
              <w:rPr>
                <w:rFonts w:hint="default" w:ascii="Times New Roman" w:hAnsi="Times New Roman" w:eastAsia="宋体" w:cs="Times New Roman"/>
                <w:color w:val="000000"/>
                <w:sz w:val="24"/>
                <w:highlight w:val="none"/>
                <w:vertAlign w:val="subscript"/>
                <w:lang w:val="en-US" w:eastAsia="zh-CN"/>
              </w:rPr>
              <w:t>3</w:t>
            </w:r>
            <w:r>
              <w:rPr>
                <w:rFonts w:hint="default" w:ascii="Times New Roman" w:hAnsi="Times New Roman" w:eastAsia="宋体" w:cs="Times New Roman"/>
                <w:color w:val="000000"/>
                <w:sz w:val="24"/>
                <w:highlight w:val="none"/>
                <w:lang w:val="en-US" w:eastAsia="zh-CN"/>
              </w:rPr>
              <w:t>、PM</w:t>
            </w:r>
            <w:r>
              <w:rPr>
                <w:rFonts w:hint="default" w:ascii="Times New Roman" w:hAnsi="Times New Roman" w:eastAsia="宋体" w:cs="Times New Roman"/>
                <w:color w:val="000000"/>
                <w:sz w:val="24"/>
                <w:highlight w:val="none"/>
                <w:vertAlign w:val="subscript"/>
                <w:lang w:val="en-US" w:eastAsia="zh-CN"/>
              </w:rPr>
              <w:t>10</w:t>
            </w:r>
            <w:r>
              <w:rPr>
                <w:rFonts w:hint="default" w:ascii="Times New Roman" w:hAnsi="Times New Roman" w:eastAsia="宋体" w:cs="Times New Roman"/>
                <w:color w:val="000000"/>
                <w:sz w:val="24"/>
                <w:highlight w:val="none"/>
                <w:lang w:val="en-US" w:eastAsia="zh-CN"/>
              </w:rPr>
              <w:t>、PM</w:t>
            </w:r>
            <w:r>
              <w:rPr>
                <w:rFonts w:hint="eastAsia" w:ascii="Times New Roman" w:hAnsi="Times New Roman" w:eastAsia="宋体" w:cs="Times New Roman"/>
                <w:color w:val="000000"/>
                <w:sz w:val="24"/>
                <w:highlight w:val="none"/>
                <w:vertAlign w:val="subscript"/>
                <w:lang w:val="en-US" w:eastAsia="zh-CN"/>
              </w:rPr>
              <w:t>2.5</w:t>
            </w:r>
            <w:r>
              <w:rPr>
                <w:rFonts w:hint="eastAsia" w:ascii="Times New Roman" w:hAnsi="Times New Roman" w:eastAsia="宋体" w:cs="Times New Roman"/>
                <w:color w:val="000000"/>
                <w:sz w:val="24"/>
                <w:highlight w:val="none"/>
                <w:lang w:val="en-US" w:eastAsia="zh-CN"/>
              </w:rPr>
              <w:t>等</w:t>
            </w:r>
            <w:r>
              <w:rPr>
                <w:rFonts w:hint="default" w:ascii="Times New Roman" w:hAnsi="Times New Roman" w:eastAsia="宋体" w:cs="Times New Roman"/>
                <w:color w:val="000000"/>
                <w:sz w:val="24"/>
                <w:highlight w:val="none"/>
                <w:lang w:val="en-US" w:eastAsia="zh-CN"/>
              </w:rPr>
              <w:t>六项基本污染物环境空气质量现状数据</w:t>
            </w:r>
            <w:r>
              <w:rPr>
                <w:rFonts w:hint="eastAsia" w:ascii="Times New Roman" w:hAnsi="Times New Roman" w:eastAsia="宋体" w:cs="Times New Roman"/>
                <w:color w:val="000000"/>
                <w:sz w:val="24"/>
                <w:highlight w:val="none"/>
                <w:lang w:val="en-US" w:eastAsia="zh-CN"/>
              </w:rPr>
              <w:t>，详见下表</w:t>
            </w:r>
            <w:r>
              <w:rPr>
                <w:bCs/>
                <w:color w:val="auto"/>
                <w:sz w:val="24"/>
              </w:rPr>
              <w:t>。</w:t>
            </w:r>
          </w:p>
          <w:p w14:paraId="1BB16D6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表3-</w:t>
            </w:r>
            <w:r>
              <w:rPr>
                <w:rFonts w:hint="eastAsia"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3</w:t>
            </w:r>
            <w:r>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 xml:space="preserve">    </w:t>
            </w:r>
            <w:r>
              <w:rPr>
                <w:rFonts w:hint="eastAsia"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 xml:space="preserve">   </w:t>
            </w:r>
            <w:r>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轮台县2024年环境空气质量数据</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873"/>
              <w:gridCol w:w="1379"/>
              <w:gridCol w:w="1710"/>
              <w:gridCol w:w="783"/>
              <w:gridCol w:w="687"/>
            </w:tblGrid>
            <w:tr w14:paraId="68D53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tcBorders>
                    <w:tl2br w:val="nil"/>
                    <w:tr2bl w:val="nil"/>
                  </w:tcBorders>
                  <w:noWrap w:val="0"/>
                  <w:vAlign w:val="center"/>
                </w:tcPr>
                <w:p w14:paraId="4F9514E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污染物</w:t>
                  </w:r>
                </w:p>
              </w:tc>
              <w:tc>
                <w:tcPr>
                  <w:tcW w:w="1198" w:type="pct"/>
                  <w:tcBorders>
                    <w:tl2br w:val="nil"/>
                    <w:tr2bl w:val="nil"/>
                  </w:tcBorders>
                  <w:noWrap w:val="0"/>
                  <w:vAlign w:val="center"/>
                </w:tcPr>
                <w:p w14:paraId="714AC72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评价项目</w:t>
                  </w:r>
                </w:p>
              </w:tc>
              <w:tc>
                <w:tcPr>
                  <w:tcW w:w="882" w:type="pct"/>
                  <w:tcBorders>
                    <w:tl2br w:val="nil"/>
                    <w:tr2bl w:val="nil"/>
                  </w:tcBorders>
                  <w:noWrap w:val="0"/>
                  <w:vAlign w:val="center"/>
                </w:tcPr>
                <w:p w14:paraId="794E713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浓度（μg/m3）</w:t>
                  </w:r>
                </w:p>
              </w:tc>
              <w:tc>
                <w:tcPr>
                  <w:tcW w:w="1094" w:type="pct"/>
                  <w:tcBorders>
                    <w:tl2br w:val="nil"/>
                    <w:tr2bl w:val="nil"/>
                  </w:tcBorders>
                  <w:noWrap w:val="0"/>
                  <w:vAlign w:val="center"/>
                </w:tcPr>
                <w:p w14:paraId="7C2A0EB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标准（二级）（μg/m3）</w:t>
                  </w:r>
                </w:p>
              </w:tc>
              <w:tc>
                <w:tcPr>
                  <w:tcW w:w="501" w:type="pct"/>
                  <w:tcBorders>
                    <w:tl2br w:val="nil"/>
                    <w:tr2bl w:val="nil"/>
                  </w:tcBorders>
                  <w:noWrap w:val="0"/>
                  <w:vAlign w:val="center"/>
                </w:tcPr>
                <w:p w14:paraId="2406411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占标率%</w:t>
                  </w:r>
                </w:p>
              </w:tc>
              <w:tc>
                <w:tcPr>
                  <w:tcW w:w="439" w:type="pct"/>
                  <w:tcBorders>
                    <w:tl2br w:val="nil"/>
                    <w:tr2bl w:val="nil"/>
                  </w:tcBorders>
                  <w:noWrap w:val="0"/>
                  <w:vAlign w:val="center"/>
                </w:tcPr>
                <w:p w14:paraId="6E6416B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达标情况</w:t>
                  </w:r>
                </w:p>
              </w:tc>
            </w:tr>
            <w:tr w14:paraId="705FD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restart"/>
                  <w:tcBorders>
                    <w:tl2br w:val="nil"/>
                    <w:tr2bl w:val="nil"/>
                  </w:tcBorders>
                  <w:noWrap w:val="0"/>
                  <w:vAlign w:val="center"/>
                </w:tcPr>
                <w:p w14:paraId="19CEAF9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SO</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2</w:t>
                  </w:r>
                </w:p>
              </w:tc>
              <w:tc>
                <w:tcPr>
                  <w:tcW w:w="1198" w:type="pct"/>
                  <w:tcBorders>
                    <w:tl2br w:val="nil"/>
                    <w:tr2bl w:val="nil"/>
                  </w:tcBorders>
                  <w:noWrap w:val="0"/>
                  <w:vAlign w:val="center"/>
                </w:tcPr>
                <w:p w14:paraId="1DBE10B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年平均</w:t>
                  </w:r>
                </w:p>
              </w:tc>
              <w:tc>
                <w:tcPr>
                  <w:tcW w:w="882" w:type="pct"/>
                  <w:tcBorders>
                    <w:tl2br w:val="nil"/>
                    <w:tr2bl w:val="nil"/>
                  </w:tcBorders>
                  <w:noWrap w:val="0"/>
                  <w:vAlign w:val="center"/>
                </w:tcPr>
                <w:p w14:paraId="6BBAF0B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5</w:t>
                  </w:r>
                </w:p>
              </w:tc>
              <w:tc>
                <w:tcPr>
                  <w:tcW w:w="1094" w:type="pct"/>
                  <w:tcBorders>
                    <w:tl2br w:val="nil"/>
                    <w:tr2bl w:val="nil"/>
                  </w:tcBorders>
                  <w:noWrap w:val="0"/>
                  <w:vAlign w:val="center"/>
                </w:tcPr>
                <w:p w14:paraId="470BB8C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60</w:t>
                  </w:r>
                </w:p>
              </w:tc>
              <w:tc>
                <w:tcPr>
                  <w:tcW w:w="501" w:type="pct"/>
                  <w:tcBorders>
                    <w:tl2br w:val="nil"/>
                    <w:tr2bl w:val="nil"/>
                  </w:tcBorders>
                  <w:noWrap w:val="0"/>
                  <w:vAlign w:val="center"/>
                </w:tcPr>
                <w:p w14:paraId="3727D5C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8</w:t>
                  </w:r>
                </w:p>
              </w:tc>
              <w:tc>
                <w:tcPr>
                  <w:tcW w:w="439" w:type="pct"/>
                  <w:tcBorders>
                    <w:tl2br w:val="nil"/>
                    <w:tr2bl w:val="nil"/>
                  </w:tcBorders>
                  <w:noWrap w:val="0"/>
                  <w:vAlign w:val="center"/>
                </w:tcPr>
                <w:p w14:paraId="47E3102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4C8D8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continue"/>
                  <w:tcBorders>
                    <w:tl2br w:val="nil"/>
                    <w:tr2bl w:val="nil"/>
                  </w:tcBorders>
                  <w:noWrap w:val="0"/>
                  <w:vAlign w:val="center"/>
                </w:tcPr>
                <w:p w14:paraId="133766A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p>
              </w:tc>
              <w:tc>
                <w:tcPr>
                  <w:tcW w:w="1198" w:type="pct"/>
                  <w:tcBorders>
                    <w:tl2br w:val="nil"/>
                    <w:tr2bl w:val="nil"/>
                  </w:tcBorders>
                  <w:noWrap w:val="0"/>
                  <w:vAlign w:val="center"/>
                </w:tcPr>
                <w:p w14:paraId="3EAF7C2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24h平均第98百分位数</w:t>
                  </w:r>
                </w:p>
              </w:tc>
              <w:tc>
                <w:tcPr>
                  <w:tcW w:w="882" w:type="pct"/>
                  <w:tcBorders>
                    <w:tl2br w:val="nil"/>
                    <w:tr2bl w:val="nil"/>
                  </w:tcBorders>
                  <w:noWrap w:val="0"/>
                  <w:vAlign w:val="center"/>
                </w:tcPr>
                <w:p w14:paraId="54AE78F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10</w:t>
                  </w:r>
                </w:p>
              </w:tc>
              <w:tc>
                <w:tcPr>
                  <w:tcW w:w="1094" w:type="pct"/>
                  <w:tcBorders>
                    <w:tl2br w:val="nil"/>
                    <w:tr2bl w:val="nil"/>
                  </w:tcBorders>
                  <w:noWrap w:val="0"/>
                  <w:vAlign w:val="center"/>
                </w:tcPr>
                <w:p w14:paraId="0EE0D51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150</w:t>
                  </w:r>
                </w:p>
              </w:tc>
              <w:tc>
                <w:tcPr>
                  <w:tcW w:w="501" w:type="pct"/>
                  <w:tcBorders>
                    <w:tl2br w:val="nil"/>
                    <w:tr2bl w:val="nil"/>
                  </w:tcBorders>
                  <w:noWrap w:val="0"/>
                  <w:vAlign w:val="center"/>
                </w:tcPr>
                <w:p w14:paraId="1F3C8E4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7</w:t>
                  </w:r>
                </w:p>
              </w:tc>
              <w:tc>
                <w:tcPr>
                  <w:tcW w:w="439" w:type="pct"/>
                  <w:tcBorders>
                    <w:tl2br w:val="nil"/>
                    <w:tr2bl w:val="nil"/>
                  </w:tcBorders>
                  <w:noWrap w:val="0"/>
                  <w:vAlign w:val="center"/>
                </w:tcPr>
                <w:p w14:paraId="38E679B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6A458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restart"/>
                  <w:tcBorders>
                    <w:tl2br w:val="nil"/>
                    <w:tr2bl w:val="nil"/>
                  </w:tcBorders>
                  <w:noWrap w:val="0"/>
                  <w:vAlign w:val="center"/>
                </w:tcPr>
                <w:p w14:paraId="00564E7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NO</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2</w:t>
                  </w:r>
                </w:p>
              </w:tc>
              <w:tc>
                <w:tcPr>
                  <w:tcW w:w="1198" w:type="pct"/>
                  <w:tcBorders>
                    <w:tl2br w:val="nil"/>
                    <w:tr2bl w:val="nil"/>
                  </w:tcBorders>
                  <w:noWrap w:val="0"/>
                  <w:vAlign w:val="center"/>
                </w:tcPr>
                <w:p w14:paraId="5C85DF4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年平均</w:t>
                  </w:r>
                </w:p>
              </w:tc>
              <w:tc>
                <w:tcPr>
                  <w:tcW w:w="882" w:type="pct"/>
                  <w:tcBorders>
                    <w:tl2br w:val="nil"/>
                    <w:tr2bl w:val="nil"/>
                  </w:tcBorders>
                  <w:noWrap w:val="0"/>
                  <w:vAlign w:val="center"/>
                </w:tcPr>
                <w:p w14:paraId="160F07B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19</w:t>
                  </w:r>
                </w:p>
              </w:tc>
              <w:tc>
                <w:tcPr>
                  <w:tcW w:w="1094" w:type="pct"/>
                  <w:tcBorders>
                    <w:tl2br w:val="nil"/>
                    <w:tr2bl w:val="nil"/>
                  </w:tcBorders>
                  <w:noWrap w:val="0"/>
                  <w:vAlign w:val="center"/>
                </w:tcPr>
                <w:p w14:paraId="64F2A1B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40</w:t>
                  </w:r>
                </w:p>
              </w:tc>
              <w:tc>
                <w:tcPr>
                  <w:tcW w:w="501" w:type="pct"/>
                  <w:tcBorders>
                    <w:tl2br w:val="nil"/>
                    <w:tr2bl w:val="nil"/>
                  </w:tcBorders>
                  <w:noWrap w:val="0"/>
                  <w:vAlign w:val="center"/>
                </w:tcPr>
                <w:p w14:paraId="4567A2D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48</w:t>
                  </w:r>
                </w:p>
              </w:tc>
              <w:tc>
                <w:tcPr>
                  <w:tcW w:w="439" w:type="pct"/>
                  <w:tcBorders>
                    <w:tl2br w:val="nil"/>
                    <w:tr2bl w:val="nil"/>
                  </w:tcBorders>
                  <w:noWrap w:val="0"/>
                  <w:vAlign w:val="center"/>
                </w:tcPr>
                <w:p w14:paraId="594F0F6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08D25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continue"/>
                  <w:tcBorders>
                    <w:tl2br w:val="nil"/>
                    <w:tr2bl w:val="nil"/>
                  </w:tcBorders>
                  <w:noWrap w:val="0"/>
                  <w:vAlign w:val="center"/>
                </w:tcPr>
                <w:p w14:paraId="566B618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p>
              </w:tc>
              <w:tc>
                <w:tcPr>
                  <w:tcW w:w="1198" w:type="pct"/>
                  <w:tcBorders>
                    <w:tl2br w:val="nil"/>
                    <w:tr2bl w:val="nil"/>
                  </w:tcBorders>
                  <w:noWrap w:val="0"/>
                  <w:vAlign w:val="center"/>
                </w:tcPr>
                <w:p w14:paraId="630C2FA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24h平均第98百分位数</w:t>
                  </w:r>
                </w:p>
              </w:tc>
              <w:tc>
                <w:tcPr>
                  <w:tcW w:w="882" w:type="pct"/>
                  <w:tcBorders>
                    <w:tl2br w:val="nil"/>
                    <w:tr2bl w:val="nil"/>
                  </w:tcBorders>
                  <w:noWrap w:val="0"/>
                  <w:vAlign w:val="center"/>
                </w:tcPr>
                <w:p w14:paraId="7EED0E4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43</w:t>
                  </w:r>
                </w:p>
              </w:tc>
              <w:tc>
                <w:tcPr>
                  <w:tcW w:w="1094" w:type="pct"/>
                  <w:tcBorders>
                    <w:tl2br w:val="nil"/>
                    <w:tr2bl w:val="nil"/>
                  </w:tcBorders>
                  <w:noWrap w:val="0"/>
                  <w:vAlign w:val="center"/>
                </w:tcPr>
                <w:p w14:paraId="3E8016B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80</w:t>
                  </w:r>
                </w:p>
              </w:tc>
              <w:tc>
                <w:tcPr>
                  <w:tcW w:w="501" w:type="pct"/>
                  <w:tcBorders>
                    <w:tl2br w:val="nil"/>
                    <w:tr2bl w:val="nil"/>
                  </w:tcBorders>
                  <w:noWrap w:val="0"/>
                  <w:vAlign w:val="center"/>
                </w:tcPr>
                <w:p w14:paraId="25FD70A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54</w:t>
                  </w:r>
                </w:p>
              </w:tc>
              <w:tc>
                <w:tcPr>
                  <w:tcW w:w="439" w:type="pct"/>
                  <w:tcBorders>
                    <w:tl2br w:val="nil"/>
                    <w:tr2bl w:val="nil"/>
                  </w:tcBorders>
                  <w:noWrap w:val="0"/>
                  <w:vAlign w:val="center"/>
                </w:tcPr>
                <w:p w14:paraId="605FC24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38E4C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tcBorders>
                    <w:tl2br w:val="nil"/>
                    <w:tr2bl w:val="nil"/>
                  </w:tcBorders>
                  <w:noWrap w:val="0"/>
                  <w:vAlign w:val="center"/>
                </w:tcPr>
                <w:p w14:paraId="4A44AA8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CO（mg/m</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perscript"/>
                      <w:lang w:val="en-US" w:eastAsia="zh-CN" w:bidi="ar-SA"/>
                    </w:rPr>
                    <w:t>3</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w:t>
                  </w:r>
                </w:p>
              </w:tc>
              <w:tc>
                <w:tcPr>
                  <w:tcW w:w="1198" w:type="pct"/>
                  <w:tcBorders>
                    <w:tl2br w:val="nil"/>
                    <w:tr2bl w:val="nil"/>
                  </w:tcBorders>
                  <w:noWrap w:val="0"/>
                  <w:vAlign w:val="center"/>
                </w:tcPr>
                <w:p w14:paraId="44D48E6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24h平均第95百分位数</w:t>
                  </w:r>
                </w:p>
              </w:tc>
              <w:tc>
                <w:tcPr>
                  <w:tcW w:w="882" w:type="pct"/>
                  <w:tcBorders>
                    <w:tl2br w:val="nil"/>
                    <w:tr2bl w:val="nil"/>
                  </w:tcBorders>
                  <w:noWrap w:val="0"/>
                  <w:vAlign w:val="center"/>
                </w:tcPr>
                <w:p w14:paraId="09102F5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1.8</w:t>
                  </w:r>
                </w:p>
              </w:tc>
              <w:tc>
                <w:tcPr>
                  <w:tcW w:w="1094" w:type="pct"/>
                  <w:tcBorders>
                    <w:tl2br w:val="nil"/>
                    <w:tr2bl w:val="nil"/>
                  </w:tcBorders>
                  <w:noWrap w:val="0"/>
                  <w:vAlign w:val="center"/>
                </w:tcPr>
                <w:p w14:paraId="32E2BB4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w:t>
                  </w:r>
                </w:p>
              </w:tc>
              <w:tc>
                <w:tcPr>
                  <w:tcW w:w="501" w:type="pct"/>
                  <w:tcBorders>
                    <w:tl2br w:val="nil"/>
                    <w:tr2bl w:val="nil"/>
                  </w:tcBorders>
                  <w:noWrap w:val="0"/>
                  <w:vAlign w:val="center"/>
                </w:tcPr>
                <w:p w14:paraId="7975AE0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45</w:t>
                  </w:r>
                </w:p>
              </w:tc>
              <w:tc>
                <w:tcPr>
                  <w:tcW w:w="439" w:type="pct"/>
                  <w:tcBorders>
                    <w:tl2br w:val="nil"/>
                    <w:tr2bl w:val="nil"/>
                  </w:tcBorders>
                  <w:noWrap w:val="0"/>
                  <w:vAlign w:val="center"/>
                </w:tcPr>
                <w:p w14:paraId="226919B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5CFE0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tcBorders>
                    <w:tl2br w:val="nil"/>
                    <w:tr2bl w:val="nil"/>
                  </w:tcBorders>
                  <w:noWrap w:val="0"/>
                  <w:vAlign w:val="center"/>
                </w:tcPr>
                <w:p w14:paraId="383792A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O</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3</w:t>
                  </w:r>
                </w:p>
              </w:tc>
              <w:tc>
                <w:tcPr>
                  <w:tcW w:w="1198" w:type="pct"/>
                  <w:tcBorders>
                    <w:tl2br w:val="nil"/>
                    <w:tr2bl w:val="nil"/>
                  </w:tcBorders>
                  <w:noWrap w:val="0"/>
                  <w:vAlign w:val="center"/>
                </w:tcPr>
                <w:p w14:paraId="6B24372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最大8小时滑动平均值的第90百分位数</w:t>
                  </w:r>
                </w:p>
              </w:tc>
              <w:tc>
                <w:tcPr>
                  <w:tcW w:w="882" w:type="pct"/>
                  <w:tcBorders>
                    <w:tl2br w:val="nil"/>
                    <w:tr2bl w:val="nil"/>
                  </w:tcBorders>
                  <w:noWrap w:val="0"/>
                  <w:vAlign w:val="center"/>
                </w:tcPr>
                <w:p w14:paraId="03AD26A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118</w:t>
                  </w:r>
                </w:p>
              </w:tc>
              <w:tc>
                <w:tcPr>
                  <w:tcW w:w="1094" w:type="pct"/>
                  <w:tcBorders>
                    <w:tl2br w:val="nil"/>
                    <w:tr2bl w:val="nil"/>
                  </w:tcBorders>
                  <w:noWrap w:val="0"/>
                  <w:vAlign w:val="center"/>
                </w:tcPr>
                <w:p w14:paraId="2E11BFC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160</w:t>
                  </w:r>
                </w:p>
              </w:tc>
              <w:tc>
                <w:tcPr>
                  <w:tcW w:w="501" w:type="pct"/>
                  <w:tcBorders>
                    <w:tl2br w:val="nil"/>
                    <w:tr2bl w:val="nil"/>
                  </w:tcBorders>
                  <w:noWrap w:val="0"/>
                  <w:vAlign w:val="center"/>
                </w:tcPr>
                <w:p w14:paraId="4309938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74</w:t>
                  </w:r>
                </w:p>
              </w:tc>
              <w:tc>
                <w:tcPr>
                  <w:tcW w:w="439" w:type="pct"/>
                  <w:tcBorders>
                    <w:tl2br w:val="nil"/>
                    <w:tr2bl w:val="nil"/>
                  </w:tcBorders>
                  <w:noWrap w:val="0"/>
                  <w:vAlign w:val="center"/>
                </w:tcPr>
                <w:p w14:paraId="544CAB7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18043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83" w:type="pct"/>
                  <w:vMerge w:val="restart"/>
                  <w:tcBorders>
                    <w:tl2br w:val="nil"/>
                    <w:tr2bl w:val="nil"/>
                  </w:tcBorders>
                  <w:noWrap w:val="0"/>
                  <w:vAlign w:val="center"/>
                </w:tcPr>
                <w:p w14:paraId="5B18A0F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PM</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10</w:t>
                  </w:r>
                </w:p>
              </w:tc>
              <w:tc>
                <w:tcPr>
                  <w:tcW w:w="1198" w:type="pct"/>
                  <w:tcBorders>
                    <w:tl2br w:val="nil"/>
                    <w:tr2bl w:val="nil"/>
                  </w:tcBorders>
                  <w:noWrap w:val="0"/>
                  <w:vAlign w:val="center"/>
                </w:tcPr>
                <w:p w14:paraId="1DF641C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年平均</w:t>
                  </w:r>
                </w:p>
              </w:tc>
              <w:tc>
                <w:tcPr>
                  <w:tcW w:w="882" w:type="pct"/>
                  <w:tcBorders>
                    <w:tl2br w:val="nil"/>
                    <w:tr2bl w:val="nil"/>
                  </w:tcBorders>
                  <w:noWrap w:val="0"/>
                  <w:vAlign w:val="center"/>
                </w:tcPr>
                <w:p w14:paraId="34BFF3F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171</w:t>
                  </w:r>
                </w:p>
              </w:tc>
              <w:tc>
                <w:tcPr>
                  <w:tcW w:w="1094" w:type="pct"/>
                  <w:tcBorders>
                    <w:tl2br w:val="nil"/>
                    <w:tr2bl w:val="nil"/>
                  </w:tcBorders>
                  <w:noWrap w:val="0"/>
                  <w:vAlign w:val="center"/>
                </w:tcPr>
                <w:p w14:paraId="46C64CA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70</w:t>
                  </w:r>
                </w:p>
              </w:tc>
              <w:tc>
                <w:tcPr>
                  <w:tcW w:w="501" w:type="pct"/>
                  <w:tcBorders>
                    <w:tl2br w:val="nil"/>
                    <w:tr2bl w:val="nil"/>
                  </w:tcBorders>
                  <w:noWrap w:val="0"/>
                  <w:vAlign w:val="center"/>
                </w:tcPr>
                <w:p w14:paraId="2445FCE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244</w:t>
                  </w:r>
                </w:p>
              </w:tc>
              <w:tc>
                <w:tcPr>
                  <w:tcW w:w="439" w:type="pct"/>
                  <w:tcBorders>
                    <w:tl2br w:val="nil"/>
                    <w:tr2bl w:val="nil"/>
                  </w:tcBorders>
                  <w:noWrap w:val="0"/>
                  <w:vAlign w:val="center"/>
                </w:tcPr>
                <w:p w14:paraId="35207CB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超标</w:t>
                  </w:r>
                </w:p>
              </w:tc>
            </w:tr>
            <w:tr w14:paraId="52FF7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continue"/>
                  <w:tcBorders>
                    <w:tl2br w:val="nil"/>
                    <w:tr2bl w:val="nil"/>
                  </w:tcBorders>
                  <w:noWrap w:val="0"/>
                  <w:vAlign w:val="center"/>
                </w:tcPr>
                <w:p w14:paraId="6DD7DAF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p>
              </w:tc>
              <w:tc>
                <w:tcPr>
                  <w:tcW w:w="1198" w:type="pct"/>
                  <w:tcBorders>
                    <w:tl2br w:val="nil"/>
                    <w:tr2bl w:val="nil"/>
                  </w:tcBorders>
                  <w:noWrap w:val="0"/>
                  <w:vAlign w:val="center"/>
                </w:tcPr>
                <w:p w14:paraId="3B3AD07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24h平均第95百分位数</w:t>
                  </w:r>
                </w:p>
              </w:tc>
              <w:tc>
                <w:tcPr>
                  <w:tcW w:w="882" w:type="pct"/>
                  <w:tcBorders>
                    <w:tl2br w:val="nil"/>
                    <w:tr2bl w:val="nil"/>
                  </w:tcBorders>
                  <w:noWrap w:val="0"/>
                  <w:vAlign w:val="center"/>
                </w:tcPr>
                <w:p w14:paraId="5598B84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481</w:t>
                  </w:r>
                </w:p>
              </w:tc>
              <w:tc>
                <w:tcPr>
                  <w:tcW w:w="1094" w:type="pct"/>
                  <w:tcBorders>
                    <w:tl2br w:val="nil"/>
                    <w:tr2bl w:val="nil"/>
                  </w:tcBorders>
                  <w:noWrap w:val="0"/>
                  <w:vAlign w:val="center"/>
                </w:tcPr>
                <w:p w14:paraId="0BA7E1F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150</w:t>
                  </w:r>
                </w:p>
              </w:tc>
              <w:tc>
                <w:tcPr>
                  <w:tcW w:w="501" w:type="pct"/>
                  <w:tcBorders>
                    <w:tl2br w:val="nil"/>
                    <w:tr2bl w:val="nil"/>
                  </w:tcBorders>
                  <w:noWrap w:val="0"/>
                  <w:vAlign w:val="center"/>
                </w:tcPr>
                <w:p w14:paraId="7057C25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321</w:t>
                  </w:r>
                </w:p>
              </w:tc>
              <w:tc>
                <w:tcPr>
                  <w:tcW w:w="439" w:type="pct"/>
                  <w:tcBorders>
                    <w:tl2br w:val="nil"/>
                    <w:tr2bl w:val="nil"/>
                  </w:tcBorders>
                  <w:noWrap w:val="0"/>
                  <w:vAlign w:val="center"/>
                </w:tcPr>
                <w:p w14:paraId="0170A15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超标</w:t>
                  </w:r>
                </w:p>
              </w:tc>
            </w:tr>
            <w:tr w14:paraId="56BC0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restart"/>
                  <w:tcBorders>
                    <w:tl2br w:val="nil"/>
                    <w:tr2bl w:val="nil"/>
                  </w:tcBorders>
                  <w:noWrap w:val="0"/>
                  <w:vAlign w:val="center"/>
                </w:tcPr>
                <w:p w14:paraId="42C485D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PM</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2.5</w:t>
                  </w:r>
                </w:p>
              </w:tc>
              <w:tc>
                <w:tcPr>
                  <w:tcW w:w="1198" w:type="pct"/>
                  <w:tcBorders>
                    <w:tl2br w:val="nil"/>
                    <w:tr2bl w:val="nil"/>
                  </w:tcBorders>
                  <w:noWrap w:val="0"/>
                  <w:vAlign w:val="center"/>
                </w:tcPr>
                <w:p w14:paraId="10B4850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年平均</w:t>
                  </w:r>
                </w:p>
              </w:tc>
              <w:tc>
                <w:tcPr>
                  <w:tcW w:w="882" w:type="pct"/>
                  <w:tcBorders>
                    <w:tl2br w:val="nil"/>
                    <w:tr2bl w:val="nil"/>
                  </w:tcBorders>
                  <w:noWrap w:val="0"/>
                  <w:vAlign w:val="center"/>
                </w:tcPr>
                <w:p w14:paraId="138C940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52</w:t>
                  </w:r>
                </w:p>
              </w:tc>
              <w:tc>
                <w:tcPr>
                  <w:tcW w:w="1094" w:type="pct"/>
                  <w:tcBorders>
                    <w:tl2br w:val="nil"/>
                    <w:tr2bl w:val="nil"/>
                  </w:tcBorders>
                  <w:noWrap w:val="0"/>
                  <w:vAlign w:val="center"/>
                </w:tcPr>
                <w:p w14:paraId="5B0944D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35</w:t>
                  </w:r>
                </w:p>
              </w:tc>
              <w:tc>
                <w:tcPr>
                  <w:tcW w:w="501" w:type="pct"/>
                  <w:tcBorders>
                    <w:tl2br w:val="nil"/>
                    <w:tr2bl w:val="nil"/>
                  </w:tcBorders>
                  <w:noWrap w:val="0"/>
                  <w:vAlign w:val="center"/>
                </w:tcPr>
                <w:p w14:paraId="15A5185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149</w:t>
                  </w:r>
                </w:p>
              </w:tc>
              <w:tc>
                <w:tcPr>
                  <w:tcW w:w="439" w:type="pct"/>
                  <w:tcBorders>
                    <w:tl2br w:val="nil"/>
                    <w:tr2bl w:val="nil"/>
                  </w:tcBorders>
                  <w:noWrap w:val="0"/>
                  <w:vAlign w:val="center"/>
                </w:tcPr>
                <w:p w14:paraId="64E59C3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超标</w:t>
                  </w:r>
                </w:p>
              </w:tc>
            </w:tr>
            <w:tr w14:paraId="77659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continue"/>
                  <w:tcBorders>
                    <w:tl2br w:val="nil"/>
                    <w:tr2bl w:val="nil"/>
                  </w:tcBorders>
                  <w:noWrap w:val="0"/>
                  <w:vAlign w:val="center"/>
                </w:tcPr>
                <w:p w14:paraId="56B6C31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p>
              </w:tc>
              <w:tc>
                <w:tcPr>
                  <w:tcW w:w="1198" w:type="pct"/>
                  <w:tcBorders>
                    <w:tl2br w:val="nil"/>
                    <w:tr2bl w:val="nil"/>
                  </w:tcBorders>
                  <w:noWrap w:val="0"/>
                  <w:vAlign w:val="center"/>
                </w:tcPr>
                <w:p w14:paraId="3E5A80C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24h平均第95百分位数</w:t>
                  </w:r>
                </w:p>
              </w:tc>
              <w:tc>
                <w:tcPr>
                  <w:tcW w:w="882" w:type="pct"/>
                  <w:tcBorders>
                    <w:tl2br w:val="nil"/>
                    <w:tr2bl w:val="nil"/>
                  </w:tcBorders>
                  <w:noWrap w:val="0"/>
                  <w:vAlign w:val="center"/>
                </w:tcPr>
                <w:p w14:paraId="77133CB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123</w:t>
                  </w:r>
                </w:p>
              </w:tc>
              <w:tc>
                <w:tcPr>
                  <w:tcW w:w="1094" w:type="pct"/>
                  <w:tcBorders>
                    <w:tl2br w:val="nil"/>
                    <w:tr2bl w:val="nil"/>
                  </w:tcBorders>
                  <w:noWrap w:val="0"/>
                  <w:vAlign w:val="center"/>
                </w:tcPr>
                <w:p w14:paraId="6F2CE62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75</w:t>
                  </w:r>
                </w:p>
              </w:tc>
              <w:tc>
                <w:tcPr>
                  <w:tcW w:w="501" w:type="pct"/>
                  <w:tcBorders>
                    <w:tl2br w:val="nil"/>
                    <w:tr2bl w:val="nil"/>
                  </w:tcBorders>
                  <w:noWrap w:val="0"/>
                  <w:vAlign w:val="center"/>
                </w:tcPr>
                <w:p w14:paraId="3FC2294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164</w:t>
                  </w:r>
                </w:p>
              </w:tc>
              <w:tc>
                <w:tcPr>
                  <w:tcW w:w="439" w:type="pct"/>
                  <w:tcBorders>
                    <w:tl2br w:val="nil"/>
                    <w:tr2bl w:val="nil"/>
                  </w:tcBorders>
                  <w:noWrap w:val="0"/>
                  <w:vAlign w:val="center"/>
                </w:tcPr>
                <w:p w14:paraId="7F73515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超标</w:t>
                  </w:r>
                </w:p>
              </w:tc>
            </w:tr>
          </w:tbl>
          <w:p w14:paraId="1A04511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根据上表结果，项目区域为环境空气质量不达标区，不达标因子为PM</w:t>
            </w:r>
            <w:r>
              <w:rPr>
                <w:color w:val="auto"/>
                <w:sz w:val="24"/>
                <w:vertAlign w:val="subscript"/>
              </w:rPr>
              <w:t>10、</w:t>
            </w:r>
            <w:r>
              <w:rPr>
                <w:color w:val="auto"/>
              </w:rPr>
              <w:t>PM</w:t>
            </w:r>
            <w:r>
              <w:rPr>
                <w:color w:val="auto"/>
                <w:vertAlign w:val="subscript"/>
              </w:rPr>
              <w:t>2.5</w:t>
            </w:r>
            <w:r>
              <w:rPr>
                <w:color w:val="auto"/>
                <w:sz w:val="24"/>
              </w:rPr>
              <w:t>，超标主要是由于当地气候条件干燥、自然扬尘较多。</w:t>
            </w:r>
          </w:p>
          <w:p w14:paraId="55B15A57">
            <w:pPr>
              <w:pStyle w:val="5"/>
              <w:pageBreakBefore w:val="0"/>
              <w:widowControl w:val="0"/>
              <w:kinsoku/>
              <w:wordWrap/>
              <w:overflowPunct/>
              <w:topLinePunct w:val="0"/>
              <w:autoSpaceDE/>
              <w:autoSpaceDN/>
              <w:bidi w:val="0"/>
              <w:adjustRightInd/>
              <w:snapToGrid/>
              <w:spacing w:before="0" w:beforeAutospacing="0" w:after="0" w:afterAutospacing="0" w:line="360" w:lineRule="auto"/>
              <w:ind w:right="0" w:rightChars="0"/>
              <w:textAlignment w:val="auto"/>
              <w:outlineLvl w:val="9"/>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3</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lang w:eastAsia="zh-CN"/>
              </w:rPr>
              <w:t>地表</w:t>
            </w:r>
            <w:r>
              <w:rPr>
                <w:rFonts w:hint="default" w:ascii="Times New Roman" w:hAnsi="Times New Roman" w:eastAsia="宋体" w:cs="Times New Roman"/>
                <w:caps w:val="0"/>
                <w:smallCaps w:val="0"/>
                <w:color w:val="auto"/>
                <w:spacing w:val="0"/>
                <w:w w:val="100"/>
                <w:kern w:val="2"/>
                <w:position w:val="0"/>
                <w:sz w:val="24"/>
                <w:szCs w:val="24"/>
                <w:highlight w:val="none"/>
              </w:rPr>
              <w:t>水环境</w:t>
            </w:r>
            <w:r>
              <w:rPr>
                <w:rFonts w:hint="default" w:ascii="Times New Roman" w:hAnsi="Times New Roman" w:eastAsia="宋体" w:cs="Times New Roman"/>
                <w:b/>
                <w:bCs/>
                <w:caps w:val="0"/>
                <w:smallCaps w:val="0"/>
                <w:color w:val="auto"/>
                <w:spacing w:val="0"/>
                <w:w w:val="100"/>
                <w:kern w:val="2"/>
                <w:position w:val="0"/>
                <w:sz w:val="24"/>
                <w:highlight w:val="none"/>
                <w:lang w:eastAsia="zh-CN"/>
              </w:rPr>
              <w:t>现状评价</w:t>
            </w:r>
          </w:p>
          <w:p w14:paraId="3821D3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position w:val="0"/>
                <w:sz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highlight w:val="none"/>
                <w:lang w:val="en-US" w:eastAsia="zh-CN"/>
              </w:rPr>
              <w:t>根据《2024年巴音郭楞蒙古自治州生态环境状况公报》可知：2024年，全州地表水监测的31个考核断面（点位）中 ，Ⅰ~Ⅲ类优良水质断面（点位）占比90.3%，无Ⅳ类水质。6条主要河流19个监测断面中Ⅰ~Ⅲ类优良水质断面占100%，3个重要湖泊（水库）12个监测点位中Ⅰ~Ⅲ类优良水质断面占75%，无劣Ⅴ类水体，湖泊水质影响因子为化学需氧量。</w:t>
            </w:r>
          </w:p>
          <w:p w14:paraId="63D317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highlight w:val="none"/>
                <w:lang w:val="en-US" w:eastAsia="zh-CN"/>
              </w:rPr>
              <w:t>本项目位于阳霞艾肯河支流</w:t>
            </w:r>
            <w:r>
              <w:rPr>
                <w:rFonts w:hint="default" w:ascii="Times New Roman" w:hAnsi="Times New Roman" w:cs="Times New Roman"/>
                <w:b w:val="0"/>
                <w:bCs w:val="0"/>
                <w:caps w:val="0"/>
                <w:smallCaps w:val="0"/>
                <w:color w:val="auto"/>
                <w:spacing w:val="0"/>
                <w:w w:val="100"/>
                <w:kern w:val="2"/>
                <w:position w:val="0"/>
                <w:sz w:val="24"/>
                <w:szCs w:val="24"/>
                <w:highlight w:val="none"/>
                <w:lang w:eastAsia="zh-CN"/>
              </w:rPr>
              <w:t>，</w:t>
            </w:r>
            <w:r>
              <w:rPr>
                <w:rFonts w:hint="default" w:ascii="Times New Roman" w:hAnsi="Times New Roman" w:cs="Times New Roman"/>
                <w:b w:val="0"/>
                <w:bCs w:val="0"/>
                <w:caps w:val="0"/>
                <w:smallCaps w:val="0"/>
                <w:color w:val="auto"/>
                <w:spacing w:val="0"/>
                <w:w w:val="100"/>
                <w:kern w:val="2"/>
                <w:position w:val="0"/>
                <w:sz w:val="24"/>
                <w:szCs w:val="24"/>
                <w:highlight w:val="none"/>
                <w:lang w:val="en-US" w:eastAsia="zh-CN"/>
              </w:rPr>
              <w:t>根据《巴音郭楞蒙古自治州环境功能区划》阳霞艾肯河为</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Ⅰ</w:t>
            </w:r>
            <w:r>
              <w:rPr>
                <w:rFonts w:hint="default" w:ascii="Times New Roman" w:hAnsi="Times New Roman" w:cs="Times New Roman"/>
                <w:b w:val="0"/>
                <w:bCs w:val="0"/>
                <w:caps w:val="0"/>
                <w:smallCaps w:val="0"/>
                <w:color w:val="auto"/>
                <w:spacing w:val="0"/>
                <w:w w:val="100"/>
                <w:kern w:val="2"/>
                <w:position w:val="0"/>
                <w:sz w:val="24"/>
                <w:szCs w:val="24"/>
                <w:highlight w:val="none"/>
                <w:lang w:val="en-US" w:eastAsia="zh-CN"/>
              </w:rPr>
              <w:t>类水体，水质可达到《地表水环境质量标准》（GB3838-2002）Ⅰ类标准。</w:t>
            </w:r>
          </w:p>
          <w:p w14:paraId="75021D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bCs/>
                <w:caps w:val="0"/>
                <w:smallCaps w:val="0"/>
                <w:snapToGrid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snapToGrid w:val="0"/>
                <w:color w:val="auto"/>
                <w:spacing w:val="0"/>
                <w:w w:val="100"/>
                <w:kern w:val="2"/>
                <w:position w:val="0"/>
                <w:sz w:val="24"/>
                <w:highlight w:val="none"/>
                <w:lang w:val="en-US" w:eastAsia="zh-CN"/>
              </w:rPr>
              <w:t>4地下水环境现状调查</w:t>
            </w:r>
          </w:p>
          <w:p w14:paraId="0EB7C5E8">
            <w:pPr>
              <w:keepNext/>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0"/>
                <w:lang w:val="en-US" w:eastAsia="zh-CN"/>
              </w:rPr>
            </w:pPr>
            <w:r>
              <w:rPr>
                <w:rFonts w:hint="eastAsia" w:ascii="Times New Roman" w:hAnsi="Times New Roman" w:eastAsia="宋体" w:cs="Times New Roman"/>
                <w:color w:val="auto"/>
                <w:kern w:val="0"/>
                <w:sz w:val="24"/>
                <w:szCs w:val="20"/>
                <w:lang w:val="en-US" w:eastAsia="zh-CN"/>
              </w:rPr>
              <w:t>根据《环境影响评价技术导则 地下水环境》（HJ610-2016）</w:t>
            </w:r>
            <w:r>
              <w:rPr>
                <w:rFonts w:hint="default" w:ascii="Times New Roman" w:hAnsi="Times New Roman" w:eastAsia="宋体" w:cs="Times New Roman"/>
                <w:color w:val="auto"/>
                <w:kern w:val="0"/>
                <w:sz w:val="24"/>
                <w:szCs w:val="20"/>
                <w:lang w:val="en-US" w:eastAsia="zh-CN"/>
              </w:rPr>
              <w:t>附录A《地下水环境影响评价行业分类表》</w:t>
            </w:r>
            <w:r>
              <w:rPr>
                <w:rFonts w:hint="eastAsia" w:ascii="Times New Roman" w:hAnsi="Times New Roman" w:eastAsia="宋体" w:cs="Times New Roman"/>
                <w:color w:val="auto"/>
                <w:kern w:val="0"/>
                <w:sz w:val="24"/>
                <w:szCs w:val="20"/>
                <w:lang w:val="en-US" w:eastAsia="zh-CN"/>
              </w:rPr>
              <w:t>本工程</w:t>
            </w:r>
            <w:r>
              <w:rPr>
                <w:rFonts w:hint="default" w:ascii="Times New Roman" w:hAnsi="Times New Roman" w:eastAsia="宋体" w:cs="Times New Roman"/>
                <w:color w:val="auto"/>
                <w:kern w:val="0"/>
                <w:sz w:val="24"/>
                <w:szCs w:val="20"/>
                <w:lang w:val="en-US" w:eastAsia="zh-CN"/>
              </w:rPr>
              <w:t>行业类别为：</w:t>
            </w:r>
            <w:r>
              <w:rPr>
                <w:rFonts w:hint="eastAsia" w:ascii="Times New Roman" w:hAnsi="Times New Roman" w:eastAsia="宋体" w:cs="Times New Roman"/>
                <w:color w:val="auto"/>
                <w:kern w:val="0"/>
                <w:sz w:val="24"/>
                <w:szCs w:val="20"/>
                <w:lang w:val="en-US" w:eastAsia="zh-CN"/>
              </w:rPr>
              <w:t>P公路，123公路中其他，</w:t>
            </w:r>
            <w:r>
              <w:rPr>
                <w:rFonts w:hint="default" w:ascii="Times New Roman" w:hAnsi="Times New Roman" w:eastAsia="宋体" w:cs="Times New Roman"/>
                <w:color w:val="auto"/>
                <w:kern w:val="0"/>
                <w:sz w:val="24"/>
                <w:szCs w:val="20"/>
                <w:lang w:val="en-US" w:eastAsia="zh-CN"/>
              </w:rPr>
              <w:t>地下水环境影响评价项目类别为Ⅳ类。</w:t>
            </w:r>
          </w:p>
          <w:p w14:paraId="1D3066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caps w:val="0"/>
                <w:smallCaps w:val="0"/>
                <w:color w:val="auto"/>
                <w:spacing w:val="0"/>
                <w:w w:val="100"/>
                <w:kern w:val="2"/>
                <w:position w:val="0"/>
                <w:sz w:val="24"/>
                <w:highlight w:val="none"/>
                <w:lang w:val="en-US" w:eastAsia="zh-CN"/>
              </w:rPr>
            </w:pPr>
            <w:r>
              <w:rPr>
                <w:rFonts w:hint="default" w:ascii="Times New Roman" w:hAnsi="Times New Roman" w:eastAsia="宋体" w:cs="Times New Roman"/>
                <w:color w:val="auto"/>
                <w:kern w:val="0"/>
                <w:sz w:val="24"/>
                <w:szCs w:val="20"/>
                <w:lang w:val="en-US" w:eastAsia="zh-CN"/>
              </w:rPr>
              <w:t>根据《环境影响评价技术导则</w:t>
            </w:r>
            <w:r>
              <w:rPr>
                <w:rFonts w:hint="eastAsia" w:ascii="Times New Roman" w:hAnsi="Times New Roman" w:eastAsia="宋体" w:cs="Times New Roman"/>
                <w:color w:val="auto"/>
                <w:kern w:val="0"/>
                <w:sz w:val="24"/>
                <w:szCs w:val="20"/>
                <w:lang w:val="en-US" w:eastAsia="zh-CN"/>
              </w:rPr>
              <w:t xml:space="preserve"> </w:t>
            </w:r>
            <w:r>
              <w:rPr>
                <w:rFonts w:hint="default" w:ascii="Times New Roman" w:hAnsi="Times New Roman" w:eastAsia="宋体" w:cs="Times New Roman"/>
                <w:color w:val="auto"/>
                <w:kern w:val="0"/>
                <w:sz w:val="24"/>
                <w:szCs w:val="20"/>
                <w:lang w:val="en-US" w:eastAsia="zh-CN"/>
              </w:rPr>
              <w:t>地下水环境》</w:t>
            </w:r>
            <w:r>
              <w:rPr>
                <w:rFonts w:hint="eastAsia" w:ascii="Times New Roman" w:hAnsi="Times New Roman" w:eastAsia="宋体" w:cs="Times New Roman"/>
                <w:color w:val="auto"/>
                <w:kern w:val="0"/>
                <w:sz w:val="24"/>
                <w:szCs w:val="20"/>
                <w:lang w:val="en-US" w:eastAsia="zh-CN"/>
              </w:rPr>
              <w:t>（</w:t>
            </w:r>
            <w:r>
              <w:rPr>
                <w:rFonts w:hint="default" w:ascii="Times New Roman" w:hAnsi="Times New Roman" w:eastAsia="宋体" w:cs="Times New Roman"/>
                <w:color w:val="auto"/>
                <w:kern w:val="0"/>
                <w:sz w:val="24"/>
                <w:szCs w:val="20"/>
                <w:lang w:val="en-US" w:eastAsia="zh-CN"/>
              </w:rPr>
              <w:t>HJ610-2016</w:t>
            </w:r>
            <w:r>
              <w:rPr>
                <w:rFonts w:hint="eastAsia" w:ascii="Times New Roman" w:hAnsi="Times New Roman" w:eastAsia="宋体" w:cs="Times New Roman"/>
                <w:color w:val="auto"/>
                <w:kern w:val="0"/>
                <w:sz w:val="24"/>
                <w:szCs w:val="20"/>
                <w:lang w:val="en-US" w:eastAsia="zh-CN"/>
              </w:rPr>
              <w:t>）中</w:t>
            </w:r>
            <w:r>
              <w:rPr>
                <w:rFonts w:hint="default" w:ascii="Times New Roman" w:hAnsi="Times New Roman" w:eastAsia="宋体" w:cs="Times New Roman"/>
                <w:color w:val="auto"/>
                <w:kern w:val="0"/>
                <w:sz w:val="24"/>
                <w:szCs w:val="20"/>
                <w:lang w:val="en-US" w:eastAsia="zh-CN"/>
              </w:rPr>
              <w:t>4.1一般性原则，Ⅳ类建设项目不开展地下水环境影响评价，故</w:t>
            </w:r>
            <w:r>
              <w:rPr>
                <w:rFonts w:hint="eastAsia" w:ascii="Times New Roman" w:hAnsi="Times New Roman" w:eastAsia="宋体" w:cs="Times New Roman"/>
                <w:color w:val="auto"/>
                <w:kern w:val="0"/>
                <w:sz w:val="24"/>
                <w:szCs w:val="20"/>
                <w:lang w:val="en-US" w:eastAsia="zh-CN"/>
              </w:rPr>
              <w:t>本工程无需</w:t>
            </w:r>
            <w:r>
              <w:rPr>
                <w:rFonts w:hint="default" w:ascii="Times New Roman" w:hAnsi="Times New Roman" w:eastAsia="宋体" w:cs="Times New Roman"/>
                <w:color w:val="auto"/>
                <w:kern w:val="0"/>
                <w:sz w:val="24"/>
                <w:szCs w:val="20"/>
                <w:lang w:val="en-US" w:eastAsia="zh-CN"/>
              </w:rPr>
              <w:t>对地下水</w:t>
            </w:r>
            <w:r>
              <w:rPr>
                <w:rFonts w:hint="eastAsia" w:ascii="Times New Roman" w:hAnsi="Times New Roman" w:eastAsia="宋体" w:cs="Times New Roman"/>
                <w:color w:val="auto"/>
                <w:kern w:val="0"/>
                <w:sz w:val="24"/>
                <w:szCs w:val="20"/>
                <w:lang w:val="en-US" w:eastAsia="zh-CN"/>
              </w:rPr>
              <w:t>质量现状进行监测</w:t>
            </w:r>
            <w:r>
              <w:rPr>
                <w:rFonts w:hint="default" w:ascii="Times New Roman" w:hAnsi="Times New Roman" w:eastAsia="宋体" w:cs="Times New Roman"/>
                <w:caps w:val="0"/>
                <w:smallCaps w:val="0"/>
                <w:snapToGrid w:val="0"/>
                <w:color w:val="auto"/>
                <w:spacing w:val="0"/>
                <w:w w:val="100"/>
                <w:kern w:val="2"/>
                <w:position w:val="0"/>
                <w:sz w:val="24"/>
                <w:highlight w:val="none"/>
              </w:rPr>
              <w:t>。</w:t>
            </w:r>
          </w:p>
          <w:p w14:paraId="423D26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caps w:val="0"/>
                <w:smallCaps w:val="0"/>
                <w:color w:val="auto"/>
                <w:spacing w:val="0"/>
                <w:w w:val="100"/>
                <w:kern w:val="2"/>
                <w:position w:val="0"/>
                <w:sz w:val="24"/>
                <w:highlight w:val="none"/>
                <w:lang w:val="en-US" w:eastAsia="zh-CN"/>
              </w:rPr>
              <w:t>5</w:t>
            </w:r>
            <w:r>
              <w:rPr>
                <w:rFonts w:hint="default" w:ascii="Times New Roman" w:hAnsi="Times New Roman" w:eastAsia="宋体" w:cs="Times New Roman"/>
                <w:b/>
                <w:caps w:val="0"/>
                <w:smallCaps w:val="0"/>
                <w:color w:val="auto"/>
                <w:spacing w:val="0"/>
                <w:w w:val="100"/>
                <w:kern w:val="2"/>
                <w:position w:val="0"/>
                <w:sz w:val="24"/>
                <w:highlight w:val="none"/>
              </w:rPr>
              <w:t>声环境</w:t>
            </w:r>
            <w:r>
              <w:rPr>
                <w:rFonts w:hint="eastAsia" w:ascii="Times New Roman" w:hAnsi="Times New Roman" w:eastAsia="宋体" w:cs="Times New Roman"/>
                <w:b/>
                <w:caps w:val="0"/>
                <w:smallCaps w:val="0"/>
                <w:color w:val="auto"/>
                <w:spacing w:val="0"/>
                <w:w w:val="100"/>
                <w:kern w:val="2"/>
                <w:position w:val="0"/>
                <w:sz w:val="24"/>
                <w:highlight w:val="none"/>
                <w:lang w:val="en-US" w:eastAsia="zh-CN"/>
              </w:rPr>
              <w:t>现状调查</w:t>
            </w:r>
          </w:p>
          <w:p w14:paraId="333EAA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rPr>
              <w:t>本项目为公路改扩建工程，主要涉及2类、4a类声环境功能区，根据《环境影响评价技术导则 声环境》（HJ 2.4-2021），评价范围内具有代表性的敏感目标的声环境质量现状需要实测。</w:t>
            </w:r>
          </w:p>
          <w:p w14:paraId="45B26B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rPr>
            </w:pPr>
            <w:r>
              <w:rPr>
                <w:rFonts w:hint="eastAsia"/>
                <w:color w:val="000000"/>
                <w:sz w:val="24"/>
                <w:lang w:val="en-US" w:eastAsia="zh-CN"/>
              </w:rPr>
              <w:t>本项目在最近的声环境保护目标各设1个监测点位</w:t>
            </w:r>
            <w:r>
              <w:rPr>
                <w:rFonts w:hint="eastAsia"/>
                <w:color w:val="000000"/>
                <w:sz w:val="24"/>
              </w:rPr>
              <w:t>，监测方案见表3-</w:t>
            </w:r>
            <w:r>
              <w:rPr>
                <w:rFonts w:hint="eastAsia"/>
                <w:color w:val="000000"/>
                <w:sz w:val="24"/>
                <w:lang w:val="en-US" w:eastAsia="zh-CN"/>
              </w:rPr>
              <w:t>4，监测点位示意图见附图</w:t>
            </w:r>
            <w:r>
              <w:rPr>
                <w:rFonts w:hint="eastAsia"/>
                <w:color w:val="000000"/>
                <w:sz w:val="24"/>
              </w:rPr>
              <w:t>。</w:t>
            </w:r>
          </w:p>
          <w:p w14:paraId="5FFD667A">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snapToGrid w:val="0"/>
                <w:color w:val="000000"/>
                <w:spacing w:val="0"/>
                <w:w w:val="100"/>
                <w:kern w:val="2"/>
                <w:position w:val="0"/>
                <w:sz w:val="21"/>
                <w:szCs w:val="21"/>
                <w:highlight w:val="none"/>
                <w:lang w:val="en-US" w:eastAsia="zh-CN" w:bidi="ar-SA"/>
              </w:rPr>
            </w:pPr>
            <w:r>
              <w:rPr>
                <w:rFonts w:hint="eastAsia" w:ascii="Times New Roman" w:hAnsi="Times New Roman" w:eastAsia="宋体" w:cs="Times New Roman"/>
                <w:b/>
                <w:bCs/>
                <w:caps w:val="0"/>
                <w:smallCaps w:val="0"/>
                <w:snapToGrid w:val="0"/>
                <w:color w:val="000000"/>
                <w:spacing w:val="0"/>
                <w:w w:val="100"/>
                <w:kern w:val="2"/>
                <w:position w:val="0"/>
                <w:sz w:val="21"/>
                <w:szCs w:val="21"/>
                <w:highlight w:val="none"/>
                <w:lang w:val="en-US" w:eastAsia="zh-CN" w:bidi="ar-SA"/>
              </w:rPr>
              <w:t>表3-4    项目声环境监测方案</w:t>
            </w:r>
          </w:p>
          <w:tbl>
            <w:tblPr>
              <w:tblStyle w:val="28"/>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76"/>
              <w:gridCol w:w="4134"/>
            </w:tblGrid>
            <w:tr w14:paraId="1C05A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3" w:type="pct"/>
                  <w:tcBorders>
                    <w:tl2br w:val="nil"/>
                    <w:tr2bl w:val="nil"/>
                  </w:tcBorders>
                  <w:noWrap w:val="0"/>
                  <w:vAlign w:val="center"/>
                </w:tcPr>
                <w:p w14:paraId="4506A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监测点名称</w:t>
                  </w:r>
                </w:p>
              </w:tc>
              <w:tc>
                <w:tcPr>
                  <w:tcW w:w="2646" w:type="pct"/>
                  <w:tcBorders>
                    <w:tl2br w:val="nil"/>
                    <w:tr2bl w:val="nil"/>
                  </w:tcBorders>
                  <w:noWrap w:val="0"/>
                  <w:vAlign w:val="center"/>
                </w:tcPr>
                <w:p w14:paraId="003FD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监测点坐标</w:t>
                  </w:r>
                </w:p>
              </w:tc>
            </w:tr>
            <w:tr w14:paraId="2F731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3" w:type="pct"/>
                  <w:tcBorders>
                    <w:tl2br w:val="nil"/>
                    <w:tr2bl w:val="nil"/>
                  </w:tcBorders>
                  <w:noWrap w:val="0"/>
                  <w:vAlign w:val="center"/>
                </w:tcPr>
                <w:p w14:paraId="44B964DC">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highlight w:val="none"/>
                      <w:lang w:val="en-US" w:eastAsia="zh-CN"/>
                    </w:rPr>
                    <w:t>敏感点1#</w:t>
                  </w:r>
                  <w:r>
                    <w:rPr>
                      <w:rFonts w:hint="eastAsia" w:ascii="Times New Roman" w:hAnsi="Times New Roman" w:cs="Times New Roman"/>
                      <w:b w:val="0"/>
                      <w:bCs w:val="0"/>
                      <w:color w:val="000000"/>
                      <w:sz w:val="21"/>
                      <w:szCs w:val="21"/>
                      <w:highlight w:val="none"/>
                      <w:lang w:val="en-US" w:eastAsia="zh-CN"/>
                    </w:rPr>
                    <w:t>（</w:t>
                  </w:r>
                  <w:r>
                    <w:rPr>
                      <w:rFonts w:hint="default" w:ascii="Times New Roman" w:hAnsi="Times New Roman" w:cs="Times New Roman"/>
                      <w:b w:val="0"/>
                      <w:bCs w:val="0"/>
                      <w:color w:val="000000"/>
                      <w:sz w:val="21"/>
                      <w:szCs w:val="21"/>
                      <w:highlight w:val="none"/>
                      <w:lang w:val="en-US" w:eastAsia="zh-CN"/>
                    </w:rPr>
                    <w:t>北侧居民区</w:t>
                  </w:r>
                  <w:r>
                    <w:rPr>
                      <w:rFonts w:hint="eastAsia" w:ascii="Times New Roman" w:hAnsi="Times New Roman" w:cs="Times New Roman"/>
                      <w:b w:val="0"/>
                      <w:bCs w:val="0"/>
                      <w:color w:val="000000"/>
                      <w:sz w:val="21"/>
                      <w:szCs w:val="21"/>
                      <w:highlight w:val="none"/>
                      <w:lang w:val="en-US" w:eastAsia="zh-CN"/>
                    </w:rPr>
                    <w:t>）</w:t>
                  </w:r>
                </w:p>
              </w:tc>
              <w:tc>
                <w:tcPr>
                  <w:tcW w:w="2646" w:type="pct"/>
                  <w:tcBorders>
                    <w:tl2br w:val="nil"/>
                    <w:tr2bl w:val="nil"/>
                  </w:tcBorders>
                  <w:noWrap w:val="0"/>
                  <w:vAlign w:val="center"/>
                </w:tcPr>
                <w:p w14:paraId="743354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highlight w:val="none"/>
                      <w:lang w:val="en-US" w:eastAsia="zh-CN"/>
                    </w:rPr>
                    <w:t>E84°35′11.291″</w:t>
                  </w:r>
                  <w:r>
                    <w:rPr>
                      <w:rFonts w:hint="eastAsia" w:ascii="Times New Roman" w:hAnsi="Times New Roman" w:cs="Times New Roman"/>
                      <w:b w:val="0"/>
                      <w:bCs w:val="0"/>
                      <w:color w:val="000000"/>
                      <w:sz w:val="21"/>
                      <w:szCs w:val="21"/>
                      <w:highlight w:val="none"/>
                      <w:lang w:val="en-US" w:eastAsia="zh-CN"/>
                    </w:rPr>
                    <w:t>，</w:t>
                  </w:r>
                  <w:r>
                    <w:rPr>
                      <w:rFonts w:hint="default" w:ascii="Times New Roman" w:hAnsi="Times New Roman" w:cs="Times New Roman"/>
                      <w:b w:val="0"/>
                      <w:bCs w:val="0"/>
                      <w:color w:val="000000"/>
                      <w:sz w:val="21"/>
                      <w:szCs w:val="21"/>
                      <w:highlight w:val="none"/>
                      <w:lang w:val="en-US" w:eastAsia="zh-CN"/>
                    </w:rPr>
                    <w:t>N41°56′55.273″</w:t>
                  </w:r>
                </w:p>
              </w:tc>
            </w:tr>
            <w:tr w14:paraId="25017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3" w:type="pct"/>
                  <w:tcBorders>
                    <w:tl2br w:val="nil"/>
                    <w:tr2bl w:val="nil"/>
                  </w:tcBorders>
                  <w:noWrap w:val="0"/>
                  <w:vAlign w:val="center"/>
                </w:tcPr>
                <w:p w14:paraId="6DB42E62">
                  <w:pPr>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highlight w:val="none"/>
                      <w:lang w:val="en-US" w:eastAsia="zh-CN"/>
                    </w:rPr>
                    <w:t>敏感点2#</w:t>
                  </w:r>
                  <w:r>
                    <w:rPr>
                      <w:rFonts w:hint="eastAsia" w:ascii="Times New Roman" w:hAnsi="Times New Roman" w:cs="Times New Roman"/>
                      <w:b w:val="0"/>
                      <w:bCs w:val="0"/>
                      <w:color w:val="000000"/>
                      <w:sz w:val="21"/>
                      <w:szCs w:val="21"/>
                      <w:highlight w:val="none"/>
                      <w:lang w:val="en-US" w:eastAsia="zh-CN"/>
                    </w:rPr>
                    <w:t>（</w:t>
                  </w:r>
                  <w:r>
                    <w:rPr>
                      <w:rFonts w:hint="default" w:ascii="Times New Roman" w:hAnsi="Times New Roman" w:cs="Times New Roman"/>
                      <w:b w:val="0"/>
                      <w:bCs w:val="0"/>
                      <w:color w:val="000000"/>
                      <w:sz w:val="21"/>
                      <w:szCs w:val="21"/>
                      <w:highlight w:val="none"/>
                      <w:lang w:val="en-US" w:eastAsia="zh-CN"/>
                    </w:rPr>
                    <w:t>东南侧居民区</w:t>
                  </w:r>
                  <w:r>
                    <w:rPr>
                      <w:rFonts w:hint="eastAsia" w:ascii="Times New Roman" w:hAnsi="Times New Roman" w:cs="Times New Roman"/>
                      <w:b w:val="0"/>
                      <w:bCs w:val="0"/>
                      <w:color w:val="000000"/>
                      <w:sz w:val="21"/>
                      <w:szCs w:val="21"/>
                      <w:highlight w:val="none"/>
                      <w:lang w:val="en-US" w:eastAsia="zh-CN"/>
                    </w:rPr>
                    <w:t>）</w:t>
                  </w:r>
                </w:p>
              </w:tc>
              <w:tc>
                <w:tcPr>
                  <w:tcW w:w="2646" w:type="pct"/>
                  <w:tcBorders>
                    <w:tl2br w:val="nil"/>
                    <w:tr2bl w:val="nil"/>
                  </w:tcBorders>
                  <w:noWrap w:val="0"/>
                  <w:vAlign w:val="center"/>
                </w:tcPr>
                <w:p w14:paraId="01633D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highlight w:val="none"/>
                      <w:lang w:val="en-US" w:eastAsia="zh-CN"/>
                    </w:rPr>
                    <w:t>E84°35′13.242″</w:t>
                  </w:r>
                  <w:r>
                    <w:rPr>
                      <w:rFonts w:hint="eastAsia" w:ascii="Times New Roman" w:hAnsi="Times New Roman" w:cs="Times New Roman"/>
                      <w:b w:val="0"/>
                      <w:bCs w:val="0"/>
                      <w:color w:val="000000"/>
                      <w:sz w:val="21"/>
                      <w:szCs w:val="21"/>
                      <w:highlight w:val="none"/>
                      <w:lang w:val="en-US" w:eastAsia="zh-CN"/>
                    </w:rPr>
                    <w:t>，N</w:t>
                  </w:r>
                  <w:r>
                    <w:rPr>
                      <w:rFonts w:hint="default" w:ascii="Times New Roman" w:hAnsi="Times New Roman" w:cs="Times New Roman"/>
                      <w:b w:val="0"/>
                      <w:bCs w:val="0"/>
                      <w:color w:val="000000"/>
                      <w:sz w:val="21"/>
                      <w:szCs w:val="21"/>
                      <w:highlight w:val="none"/>
                      <w:lang w:val="en-US" w:eastAsia="zh-CN"/>
                    </w:rPr>
                    <w:t>41°56′54.144″</w:t>
                  </w:r>
                </w:p>
              </w:tc>
            </w:tr>
          </w:tbl>
          <w:p w14:paraId="24E9AD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sz w:val="24"/>
                <w:lang w:val="en-US" w:eastAsia="zh-CN"/>
              </w:rPr>
            </w:pPr>
            <w:r>
              <w:rPr>
                <w:color w:val="000000"/>
                <w:sz w:val="24"/>
              </w:rPr>
              <w:t>本项目声环境质量现状监测</w:t>
            </w:r>
            <w:r>
              <w:rPr>
                <w:rFonts w:hint="eastAsia"/>
                <w:color w:val="000000"/>
                <w:sz w:val="24"/>
              </w:rPr>
              <w:t>委托新疆</w:t>
            </w:r>
            <w:r>
              <w:rPr>
                <w:rFonts w:hint="eastAsia"/>
                <w:color w:val="000000"/>
                <w:sz w:val="24"/>
                <w:lang w:val="en-US" w:eastAsia="zh-CN"/>
              </w:rPr>
              <w:t>中测测试有限责任</w:t>
            </w:r>
            <w:r>
              <w:rPr>
                <w:rFonts w:hint="eastAsia"/>
                <w:color w:val="000000"/>
                <w:sz w:val="24"/>
              </w:rPr>
              <w:t>公司于202</w:t>
            </w:r>
            <w:r>
              <w:rPr>
                <w:rFonts w:hint="eastAsia"/>
                <w:color w:val="000000"/>
                <w:sz w:val="24"/>
                <w:lang w:val="en-US" w:eastAsia="zh-CN"/>
              </w:rPr>
              <w:t>6</w:t>
            </w:r>
            <w:r>
              <w:rPr>
                <w:rFonts w:hint="eastAsia"/>
                <w:color w:val="000000"/>
                <w:sz w:val="24"/>
              </w:rPr>
              <w:t>年</w:t>
            </w:r>
            <w:r>
              <w:rPr>
                <w:rFonts w:hint="eastAsia"/>
                <w:color w:val="000000"/>
                <w:sz w:val="24"/>
                <w:lang w:val="en-US" w:eastAsia="zh-CN"/>
              </w:rPr>
              <w:t>3</w:t>
            </w:r>
            <w:r>
              <w:rPr>
                <w:rFonts w:hint="eastAsia"/>
                <w:color w:val="000000"/>
                <w:sz w:val="24"/>
              </w:rPr>
              <w:t>月</w:t>
            </w:r>
            <w:r>
              <w:rPr>
                <w:rFonts w:hint="eastAsia"/>
                <w:color w:val="000000"/>
                <w:sz w:val="24"/>
                <w:lang w:val="en-US" w:eastAsia="zh-CN"/>
              </w:rPr>
              <w:t>10</w:t>
            </w:r>
            <w:r>
              <w:rPr>
                <w:rFonts w:hint="eastAsia"/>
                <w:color w:val="000000"/>
                <w:sz w:val="24"/>
              </w:rPr>
              <w:t>日进行实测，监测</w:t>
            </w:r>
            <w:r>
              <w:rPr>
                <w:color w:val="000000"/>
                <w:sz w:val="24"/>
              </w:rPr>
              <w:t>结果见</w:t>
            </w:r>
            <w:r>
              <w:rPr>
                <w:rFonts w:hint="eastAsia"/>
                <w:color w:val="000000"/>
                <w:sz w:val="24"/>
              </w:rPr>
              <w:t>下表</w:t>
            </w:r>
            <w:r>
              <w:rPr>
                <w:rFonts w:hint="eastAsia"/>
                <w:color w:val="000000"/>
                <w:sz w:val="24"/>
                <w:lang w:eastAsia="zh-CN"/>
              </w:rPr>
              <w:t>。</w:t>
            </w:r>
          </w:p>
          <w:p w14:paraId="53E5F2FE">
            <w:pPr>
              <w:keepNext w:val="0"/>
              <w:keepLines w:val="0"/>
              <w:pageBreakBefore w:val="0"/>
              <w:widowControl w:val="0"/>
              <w:kinsoku/>
              <w:wordWrap/>
              <w:overflowPunct/>
              <w:topLinePunct w:val="0"/>
              <w:autoSpaceDE/>
              <w:autoSpaceDN/>
              <w:bidi w:val="0"/>
              <w:spacing w:beforeAutospacing="0" w:afterAutospacing="0" w:line="240" w:lineRule="auto"/>
              <w:ind w:left="0" w:leftChars="0" w:right="0" w:firstLine="422" w:firstLineChars="200"/>
              <w:jc w:val="center"/>
              <w:textAlignment w:val="auto"/>
              <w:rPr>
                <w:rFonts w:hint="eastAsia" w:ascii="Times New Roman" w:hAnsi="Times New Roman" w:eastAsia="宋体" w:cs="Times New Roman"/>
                <w:b/>
                <w:bCs/>
                <w:caps w:val="0"/>
                <w:smallCaps w:val="0"/>
                <w:snapToGrid w:val="0"/>
                <w:color w:val="000000"/>
                <w:spacing w:val="0"/>
                <w:w w:val="100"/>
                <w:kern w:val="2"/>
                <w:position w:val="0"/>
                <w:sz w:val="21"/>
                <w:szCs w:val="21"/>
                <w:highlight w:val="none"/>
                <w:lang w:val="en-US" w:eastAsia="zh-CN" w:bidi="ar-SA"/>
              </w:rPr>
            </w:pPr>
            <w:r>
              <w:rPr>
                <w:rFonts w:hint="eastAsia" w:ascii="Times New Roman" w:hAnsi="Times New Roman" w:eastAsia="宋体" w:cs="Times New Roman"/>
                <w:b/>
                <w:bCs/>
                <w:caps w:val="0"/>
                <w:smallCaps w:val="0"/>
                <w:snapToGrid w:val="0"/>
                <w:color w:val="000000"/>
                <w:spacing w:val="0"/>
                <w:w w:val="100"/>
                <w:kern w:val="2"/>
                <w:position w:val="0"/>
                <w:sz w:val="21"/>
                <w:szCs w:val="21"/>
                <w:highlight w:val="none"/>
                <w:lang w:val="en-US" w:eastAsia="zh-CN" w:bidi="ar-SA"/>
              </w:rPr>
              <w:t>表3-5    项目声环境现状检测结果一览表       单位：dB(A)</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968"/>
              <w:gridCol w:w="2783"/>
              <w:gridCol w:w="1139"/>
              <w:gridCol w:w="992"/>
              <w:gridCol w:w="1200"/>
            </w:tblGrid>
            <w:tr w14:paraId="6F77E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6" w:type="pct"/>
                  <w:gridSpan w:val="2"/>
                  <w:vMerge w:val="restart"/>
                  <w:tcBorders>
                    <w:tl2br w:val="nil"/>
                    <w:tr2bl w:val="nil"/>
                  </w:tcBorders>
                  <w:noWrap w:val="0"/>
                  <w:vAlign w:val="center"/>
                </w:tcPr>
                <w:p w14:paraId="30D71930">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检测时间</w:t>
                  </w:r>
                </w:p>
              </w:tc>
              <w:tc>
                <w:tcPr>
                  <w:tcW w:w="1782" w:type="pct"/>
                  <w:vMerge w:val="restart"/>
                  <w:tcBorders>
                    <w:tl2br w:val="nil"/>
                    <w:tr2bl w:val="nil"/>
                  </w:tcBorders>
                  <w:noWrap w:val="0"/>
                  <w:vAlign w:val="center"/>
                </w:tcPr>
                <w:p w14:paraId="4B62A34D">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检测点位</w:t>
                  </w:r>
                </w:p>
              </w:tc>
              <w:tc>
                <w:tcPr>
                  <w:tcW w:w="1364" w:type="pct"/>
                  <w:gridSpan w:val="2"/>
                  <w:tcBorders>
                    <w:tl2br w:val="nil"/>
                    <w:tr2bl w:val="nil"/>
                  </w:tcBorders>
                  <w:noWrap w:val="0"/>
                  <w:vAlign w:val="center"/>
                </w:tcPr>
                <w:p w14:paraId="67C78C82">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检测结果dB(A)</w:t>
                  </w:r>
                </w:p>
              </w:tc>
              <w:tc>
                <w:tcPr>
                  <w:tcW w:w="766" w:type="pct"/>
                  <w:vMerge w:val="restart"/>
                  <w:tcBorders>
                    <w:tl2br w:val="nil"/>
                    <w:tr2bl w:val="nil"/>
                  </w:tcBorders>
                  <w:noWrap w:val="0"/>
                  <w:vAlign w:val="center"/>
                </w:tcPr>
                <w:p w14:paraId="50CFEED4">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备注</w:t>
                  </w:r>
                </w:p>
              </w:tc>
            </w:tr>
            <w:tr w14:paraId="60DB7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6" w:type="pct"/>
                  <w:gridSpan w:val="2"/>
                  <w:vMerge w:val="continue"/>
                  <w:tcBorders>
                    <w:tl2br w:val="nil"/>
                    <w:tr2bl w:val="nil"/>
                  </w:tcBorders>
                  <w:noWrap w:val="0"/>
                  <w:vAlign w:val="center"/>
                </w:tcPr>
                <w:p w14:paraId="46EBCB60">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c>
                <w:tcPr>
                  <w:tcW w:w="1782" w:type="pct"/>
                  <w:vMerge w:val="continue"/>
                  <w:tcBorders>
                    <w:tl2br w:val="nil"/>
                    <w:tr2bl w:val="nil"/>
                  </w:tcBorders>
                  <w:noWrap w:val="0"/>
                  <w:vAlign w:val="center"/>
                </w:tcPr>
                <w:p w14:paraId="4738845C">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c>
                <w:tcPr>
                  <w:tcW w:w="729" w:type="pct"/>
                  <w:tcBorders>
                    <w:tl2br w:val="nil"/>
                    <w:tr2bl w:val="nil"/>
                  </w:tcBorders>
                  <w:noWrap w:val="0"/>
                  <w:vAlign w:val="center"/>
                </w:tcPr>
                <w:p w14:paraId="71D10A02">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测量值</w:t>
                  </w:r>
                </w:p>
              </w:tc>
              <w:tc>
                <w:tcPr>
                  <w:tcW w:w="634" w:type="pct"/>
                  <w:tcBorders>
                    <w:tl2br w:val="nil"/>
                    <w:tr2bl w:val="nil"/>
                  </w:tcBorders>
                  <w:noWrap w:val="0"/>
                  <w:vAlign w:val="center"/>
                </w:tcPr>
                <w:p w14:paraId="79AFE209">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限值</w:t>
                  </w:r>
                </w:p>
              </w:tc>
              <w:tc>
                <w:tcPr>
                  <w:tcW w:w="766" w:type="pct"/>
                  <w:vMerge w:val="continue"/>
                  <w:tcBorders>
                    <w:tl2br w:val="nil"/>
                    <w:tr2bl w:val="nil"/>
                  </w:tcBorders>
                  <w:noWrap w:val="0"/>
                  <w:vAlign w:val="center"/>
                </w:tcPr>
                <w:p w14:paraId="0DD02924">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r>
            <w:tr w14:paraId="6F006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14:paraId="30944AD0">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03月10日～03月11日</w:t>
                  </w:r>
                </w:p>
              </w:tc>
            </w:tr>
            <w:tr w14:paraId="39EB1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restart"/>
                  <w:tcBorders>
                    <w:tl2br w:val="nil"/>
                    <w:tr2bl w:val="nil"/>
                  </w:tcBorders>
                  <w:noWrap w:val="0"/>
                  <w:vAlign w:val="center"/>
                </w:tcPr>
                <w:p w14:paraId="4E0FFBD1">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昼间</w:t>
                  </w:r>
                </w:p>
              </w:tc>
              <w:tc>
                <w:tcPr>
                  <w:tcW w:w="619" w:type="pct"/>
                  <w:tcBorders>
                    <w:tl2br w:val="nil"/>
                    <w:tr2bl w:val="nil"/>
                  </w:tcBorders>
                  <w:noWrap w:val="0"/>
                  <w:vAlign w:val="center"/>
                </w:tcPr>
                <w:p w14:paraId="540A5E2E">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16:07</w:t>
                  </w:r>
                </w:p>
              </w:tc>
              <w:tc>
                <w:tcPr>
                  <w:tcW w:w="1782" w:type="pct"/>
                  <w:tcBorders>
                    <w:tl2br w:val="nil"/>
                    <w:tr2bl w:val="nil"/>
                  </w:tcBorders>
                  <w:noWrap w:val="0"/>
                  <w:vAlign w:val="center"/>
                </w:tcPr>
                <w:p w14:paraId="0CB15272">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项目区北侧居民区</w:t>
                  </w:r>
                </w:p>
              </w:tc>
              <w:tc>
                <w:tcPr>
                  <w:tcW w:w="729" w:type="pct"/>
                  <w:tcBorders>
                    <w:tl2br w:val="nil"/>
                    <w:tr2bl w:val="nil"/>
                  </w:tcBorders>
                  <w:noWrap w:val="0"/>
                  <w:vAlign w:val="center"/>
                </w:tcPr>
                <w:p w14:paraId="4D4FCB8A">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58</w:t>
                  </w:r>
                </w:p>
              </w:tc>
              <w:tc>
                <w:tcPr>
                  <w:tcW w:w="634" w:type="pct"/>
                  <w:vMerge w:val="restart"/>
                  <w:tcBorders>
                    <w:tl2br w:val="nil"/>
                    <w:tr2bl w:val="nil"/>
                  </w:tcBorders>
                  <w:noWrap w:val="0"/>
                  <w:vAlign w:val="center"/>
                </w:tcPr>
                <w:p w14:paraId="1B921F85">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60</w:t>
                  </w:r>
                </w:p>
              </w:tc>
              <w:tc>
                <w:tcPr>
                  <w:tcW w:w="766" w:type="pct"/>
                  <w:vMerge w:val="restart"/>
                  <w:tcBorders>
                    <w:tl2br w:val="nil"/>
                    <w:tr2bl w:val="nil"/>
                  </w:tcBorders>
                  <w:noWrap w:val="0"/>
                  <w:vAlign w:val="center"/>
                </w:tcPr>
                <w:p w14:paraId="69DB6EBF">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测量值取等效声级Leq</w:t>
                  </w:r>
                </w:p>
              </w:tc>
            </w:tr>
            <w:tr w14:paraId="67413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tcBorders>
                    <w:tl2br w:val="nil"/>
                    <w:tr2bl w:val="nil"/>
                  </w:tcBorders>
                  <w:noWrap w:val="0"/>
                  <w:vAlign w:val="center"/>
                </w:tcPr>
                <w:p w14:paraId="20973305">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c>
                <w:tcPr>
                  <w:tcW w:w="619" w:type="pct"/>
                  <w:tcBorders>
                    <w:tl2br w:val="nil"/>
                    <w:tr2bl w:val="nil"/>
                  </w:tcBorders>
                  <w:noWrap w:val="0"/>
                  <w:vAlign w:val="center"/>
                </w:tcPr>
                <w:p w14:paraId="61C74AF6">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16:25</w:t>
                  </w:r>
                </w:p>
              </w:tc>
              <w:tc>
                <w:tcPr>
                  <w:tcW w:w="1782" w:type="pct"/>
                  <w:tcBorders>
                    <w:tl2br w:val="nil"/>
                    <w:tr2bl w:val="nil"/>
                  </w:tcBorders>
                  <w:noWrap w:val="0"/>
                  <w:vAlign w:val="center"/>
                </w:tcPr>
                <w:p w14:paraId="261D4211">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项目区东南侧居民区</w:t>
                  </w:r>
                </w:p>
              </w:tc>
              <w:tc>
                <w:tcPr>
                  <w:tcW w:w="729" w:type="pct"/>
                  <w:tcBorders>
                    <w:tl2br w:val="nil"/>
                    <w:tr2bl w:val="nil"/>
                  </w:tcBorders>
                  <w:noWrap w:val="0"/>
                  <w:vAlign w:val="center"/>
                </w:tcPr>
                <w:p w14:paraId="5E78F251">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59</w:t>
                  </w:r>
                </w:p>
              </w:tc>
              <w:tc>
                <w:tcPr>
                  <w:tcW w:w="634" w:type="pct"/>
                  <w:vMerge w:val="continue"/>
                  <w:tcBorders>
                    <w:tl2br w:val="nil"/>
                    <w:tr2bl w:val="nil"/>
                  </w:tcBorders>
                  <w:noWrap w:val="0"/>
                  <w:vAlign w:val="center"/>
                </w:tcPr>
                <w:p w14:paraId="532F3370">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c>
                <w:tcPr>
                  <w:tcW w:w="766" w:type="pct"/>
                  <w:vMerge w:val="continue"/>
                  <w:tcBorders>
                    <w:tl2br w:val="nil"/>
                    <w:tr2bl w:val="nil"/>
                  </w:tcBorders>
                  <w:noWrap w:val="0"/>
                  <w:vAlign w:val="center"/>
                </w:tcPr>
                <w:p w14:paraId="733CDDAD">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r>
            <w:tr w14:paraId="0E244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restart"/>
                  <w:tcBorders>
                    <w:tl2br w:val="nil"/>
                    <w:tr2bl w:val="nil"/>
                  </w:tcBorders>
                  <w:noWrap w:val="0"/>
                  <w:vAlign w:val="center"/>
                </w:tcPr>
                <w:p w14:paraId="041D9795">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夜间</w:t>
                  </w:r>
                </w:p>
              </w:tc>
              <w:tc>
                <w:tcPr>
                  <w:tcW w:w="619" w:type="pct"/>
                  <w:tcBorders>
                    <w:tl2br w:val="nil"/>
                    <w:tr2bl w:val="nil"/>
                  </w:tcBorders>
                  <w:noWrap w:val="0"/>
                  <w:vAlign w:val="center"/>
                </w:tcPr>
                <w:p w14:paraId="72CFCB36">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00:15</w:t>
                  </w:r>
                </w:p>
              </w:tc>
              <w:tc>
                <w:tcPr>
                  <w:tcW w:w="1782" w:type="pct"/>
                  <w:tcBorders>
                    <w:tl2br w:val="nil"/>
                    <w:tr2bl w:val="nil"/>
                  </w:tcBorders>
                  <w:noWrap w:val="0"/>
                  <w:vAlign w:val="center"/>
                </w:tcPr>
                <w:p w14:paraId="73DD8B73">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lang w:val="en-US" w:eastAsia="zh-CN"/>
                    </w:rPr>
                    <w:t>项目区北侧居民区</w:t>
                  </w:r>
                </w:p>
              </w:tc>
              <w:tc>
                <w:tcPr>
                  <w:tcW w:w="729" w:type="pct"/>
                  <w:tcBorders>
                    <w:tl2br w:val="nil"/>
                    <w:tr2bl w:val="nil"/>
                  </w:tcBorders>
                  <w:noWrap w:val="0"/>
                  <w:vAlign w:val="center"/>
                </w:tcPr>
                <w:p w14:paraId="23BAC27E">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47</w:t>
                  </w:r>
                </w:p>
              </w:tc>
              <w:tc>
                <w:tcPr>
                  <w:tcW w:w="634" w:type="pct"/>
                  <w:vMerge w:val="restart"/>
                  <w:tcBorders>
                    <w:tl2br w:val="nil"/>
                    <w:tr2bl w:val="nil"/>
                  </w:tcBorders>
                  <w:noWrap w:val="0"/>
                  <w:vAlign w:val="center"/>
                </w:tcPr>
                <w:p w14:paraId="5556302F">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50</w:t>
                  </w:r>
                </w:p>
              </w:tc>
              <w:tc>
                <w:tcPr>
                  <w:tcW w:w="766" w:type="pct"/>
                  <w:vMerge w:val="continue"/>
                  <w:tcBorders>
                    <w:tl2br w:val="nil"/>
                    <w:tr2bl w:val="nil"/>
                  </w:tcBorders>
                  <w:noWrap w:val="0"/>
                  <w:vAlign w:val="center"/>
                </w:tcPr>
                <w:p w14:paraId="57EDDF28">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r>
            <w:tr w14:paraId="15973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tcBorders>
                    <w:tl2br w:val="nil"/>
                    <w:tr2bl w:val="nil"/>
                  </w:tcBorders>
                  <w:noWrap w:val="0"/>
                  <w:vAlign w:val="center"/>
                </w:tcPr>
                <w:p w14:paraId="730D9A3E">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c>
                <w:tcPr>
                  <w:tcW w:w="619" w:type="pct"/>
                  <w:tcBorders>
                    <w:tl2br w:val="nil"/>
                    <w:tr2bl w:val="nil"/>
                  </w:tcBorders>
                  <w:noWrap w:val="0"/>
                  <w:vAlign w:val="center"/>
                </w:tcPr>
                <w:p w14:paraId="45FC9A48">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00:36</w:t>
                  </w:r>
                </w:p>
              </w:tc>
              <w:tc>
                <w:tcPr>
                  <w:tcW w:w="1782" w:type="pct"/>
                  <w:tcBorders>
                    <w:tl2br w:val="nil"/>
                    <w:tr2bl w:val="nil"/>
                  </w:tcBorders>
                  <w:noWrap w:val="0"/>
                  <w:vAlign w:val="center"/>
                </w:tcPr>
                <w:p w14:paraId="7DEA61A1">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lang w:val="en-US" w:eastAsia="zh-CN"/>
                    </w:rPr>
                    <w:t>项目区东南侧居民区</w:t>
                  </w:r>
                </w:p>
              </w:tc>
              <w:tc>
                <w:tcPr>
                  <w:tcW w:w="729" w:type="pct"/>
                  <w:tcBorders>
                    <w:tl2br w:val="nil"/>
                    <w:tr2bl w:val="nil"/>
                  </w:tcBorders>
                  <w:noWrap w:val="0"/>
                  <w:vAlign w:val="center"/>
                </w:tcPr>
                <w:p w14:paraId="60246E20">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46</w:t>
                  </w:r>
                </w:p>
              </w:tc>
              <w:tc>
                <w:tcPr>
                  <w:tcW w:w="634" w:type="pct"/>
                  <w:vMerge w:val="continue"/>
                  <w:tcBorders>
                    <w:tl2br w:val="nil"/>
                    <w:tr2bl w:val="nil"/>
                  </w:tcBorders>
                  <w:noWrap w:val="0"/>
                  <w:vAlign w:val="center"/>
                </w:tcPr>
                <w:p w14:paraId="12D174B1">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c>
                <w:tcPr>
                  <w:tcW w:w="766" w:type="pct"/>
                  <w:vMerge w:val="continue"/>
                  <w:tcBorders>
                    <w:tl2br w:val="nil"/>
                    <w:tr2bl w:val="nil"/>
                  </w:tcBorders>
                  <w:noWrap w:val="0"/>
                  <w:vAlign w:val="center"/>
                </w:tcPr>
                <w:p w14:paraId="2804D4C5">
                  <w:pPr>
                    <w:keepNext/>
                    <w:keepLines w:val="0"/>
                    <w:pageBreakBefore w:val="0"/>
                    <w:widowControl/>
                    <w:kinsoku/>
                    <w:wordWrap/>
                    <w:overflowPunct/>
                    <w:topLinePunct w:val="0"/>
                    <w:autoSpaceDE/>
                    <w:autoSpaceDN/>
                    <w:bidi w:val="0"/>
                    <w:adjustRightInd w:val="0"/>
                    <w:snapToGrid w:val="0"/>
                    <w:spacing w:line="240" w:lineRule="auto"/>
                    <w:ind w:left="0" w:leftChars="0" w:right="0"/>
                    <w:jc w:val="center"/>
                    <w:textAlignment w:val="auto"/>
                    <w:outlineLvl w:val="9"/>
                    <w:rPr>
                      <w:rFonts w:hint="default" w:ascii="Times New Roman" w:hAnsi="Times New Roman" w:eastAsia="宋体" w:cs="Times New Roman"/>
                      <w:b w:val="0"/>
                      <w:bCs/>
                      <w:color w:val="000000"/>
                      <w:sz w:val="21"/>
                      <w:szCs w:val="21"/>
                    </w:rPr>
                  </w:pPr>
                </w:p>
              </w:tc>
            </w:tr>
          </w:tbl>
          <w:p w14:paraId="21C988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000000"/>
                <w:spacing w:val="0"/>
                <w:w w:val="100"/>
                <w:kern w:val="2"/>
                <w:position w:val="0"/>
                <w:sz w:val="24"/>
                <w:szCs w:val="22"/>
                <w:highlight w:val="none"/>
                <w:lang w:eastAsia="zh-CN"/>
              </w:rPr>
            </w:pPr>
            <w:r>
              <w:rPr>
                <w:rFonts w:hint="eastAsia"/>
                <w:color w:val="000000"/>
                <w:kern w:val="0"/>
                <w:sz w:val="24"/>
              </w:rPr>
              <w:t>从声环境质量现状</w:t>
            </w:r>
            <w:r>
              <w:rPr>
                <w:rFonts w:hint="eastAsia"/>
                <w:color w:val="000000"/>
                <w:kern w:val="0"/>
                <w:sz w:val="24"/>
                <w:lang w:eastAsia="zh-CN"/>
              </w:rPr>
              <w:t>监测</w:t>
            </w:r>
            <w:r>
              <w:rPr>
                <w:rFonts w:hint="eastAsia"/>
                <w:color w:val="000000"/>
                <w:kern w:val="0"/>
                <w:sz w:val="24"/>
              </w:rPr>
              <w:t>结果可以看出</w:t>
            </w:r>
            <w:r>
              <w:rPr>
                <w:rFonts w:hint="eastAsia"/>
                <w:color w:val="000000"/>
                <w:kern w:val="0"/>
                <w:sz w:val="24"/>
                <w:szCs w:val="24"/>
              </w:rPr>
              <w:t>，本项目所关注的</w:t>
            </w:r>
            <w:r>
              <w:rPr>
                <w:rFonts w:hint="eastAsia"/>
                <w:sz w:val="24"/>
                <w:szCs w:val="24"/>
                <w:lang w:val="en-US" w:eastAsia="zh-CN"/>
              </w:rPr>
              <w:t>声环境保护目标处</w:t>
            </w:r>
            <w:r>
              <w:rPr>
                <w:rFonts w:hint="eastAsia"/>
                <w:color w:val="000000"/>
                <w:kern w:val="0"/>
                <w:sz w:val="24"/>
                <w:szCs w:val="24"/>
              </w:rPr>
              <w:t>昼间和夜间声环</w:t>
            </w:r>
            <w:r>
              <w:rPr>
                <w:rFonts w:hint="eastAsia"/>
                <w:color w:val="000000"/>
                <w:kern w:val="0"/>
                <w:sz w:val="24"/>
              </w:rPr>
              <w:t>境现状监测值均满足《声环境质量标准》（GB3096-2008）中相应标准限值，区域声环境质量现状</w:t>
            </w:r>
            <w:r>
              <w:rPr>
                <w:rFonts w:hint="eastAsia"/>
                <w:color w:val="000000"/>
                <w:kern w:val="0"/>
                <w:sz w:val="24"/>
                <w:lang w:val="en-US" w:eastAsia="zh-CN"/>
              </w:rPr>
              <w:t>较好</w:t>
            </w:r>
            <w:r>
              <w:rPr>
                <w:rFonts w:hint="default" w:ascii="Times New Roman" w:hAnsi="Times New Roman" w:eastAsia="宋体" w:cs="Times New Roman"/>
                <w:caps w:val="0"/>
                <w:smallCaps w:val="0"/>
                <w:color w:val="000000"/>
                <w:spacing w:val="0"/>
                <w:w w:val="100"/>
                <w:kern w:val="2"/>
                <w:position w:val="0"/>
                <w:sz w:val="24"/>
                <w:szCs w:val="22"/>
                <w:highlight w:val="none"/>
                <w:lang w:eastAsia="zh-CN"/>
              </w:rPr>
              <w:t>。</w:t>
            </w:r>
          </w:p>
          <w:p w14:paraId="2240E931">
            <w:pPr>
              <w:keepNext w:val="0"/>
              <w:keepLines w:val="0"/>
              <w:pageBreakBefore w:val="0"/>
              <w:widowControl w:val="0"/>
              <w:kinsoku/>
              <w:wordWrap/>
              <w:overflowPunct/>
              <w:topLinePunct w:val="0"/>
              <w:autoSpaceDE w:val="0"/>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caps w:val="0"/>
                <w:smallCaps w:val="0"/>
                <w:color w:val="auto"/>
                <w:spacing w:val="0"/>
                <w:w w:val="100"/>
                <w:kern w:val="2"/>
                <w:position w:val="0"/>
                <w:sz w:val="24"/>
                <w:highlight w:val="none"/>
                <w:lang w:val="en-US" w:eastAsia="zh-CN"/>
              </w:rPr>
              <w:t>6</w:t>
            </w:r>
            <w:r>
              <w:rPr>
                <w:rFonts w:hint="default" w:ascii="Times New Roman" w:hAnsi="Times New Roman" w:eastAsia="宋体" w:cs="Times New Roman"/>
                <w:b/>
                <w:caps w:val="0"/>
                <w:smallCaps w:val="0"/>
                <w:color w:val="auto"/>
                <w:spacing w:val="0"/>
                <w:w w:val="100"/>
                <w:kern w:val="2"/>
                <w:position w:val="0"/>
                <w:sz w:val="24"/>
                <w:szCs w:val="24"/>
                <w:highlight w:val="none"/>
              </w:rPr>
              <w:t>土壤</w:t>
            </w:r>
            <w:r>
              <w:rPr>
                <w:rFonts w:hint="eastAsia" w:ascii="Times New Roman" w:hAnsi="Times New Roman" w:eastAsia="宋体" w:cs="Times New Roman"/>
                <w:b/>
                <w:caps w:val="0"/>
                <w:smallCaps w:val="0"/>
                <w:color w:val="auto"/>
                <w:spacing w:val="0"/>
                <w:w w:val="100"/>
                <w:kern w:val="2"/>
                <w:position w:val="0"/>
                <w:sz w:val="24"/>
                <w:szCs w:val="24"/>
                <w:highlight w:val="none"/>
                <w:lang w:eastAsia="zh-CN"/>
              </w:rPr>
              <w:t>环境</w:t>
            </w:r>
            <w:r>
              <w:rPr>
                <w:rFonts w:hint="eastAsia" w:ascii="Times New Roman" w:hAnsi="Times New Roman" w:eastAsia="宋体" w:cs="Times New Roman"/>
                <w:b/>
                <w:caps w:val="0"/>
                <w:smallCaps w:val="0"/>
                <w:color w:val="auto"/>
                <w:spacing w:val="0"/>
                <w:w w:val="100"/>
                <w:kern w:val="2"/>
                <w:position w:val="0"/>
                <w:sz w:val="24"/>
                <w:szCs w:val="24"/>
                <w:highlight w:val="none"/>
                <w:lang w:val="en-US" w:eastAsia="zh-CN"/>
              </w:rPr>
              <w:t>现状调查</w:t>
            </w:r>
          </w:p>
          <w:p w14:paraId="5B045802">
            <w:pPr>
              <w:keepNext/>
              <w:keepLines w:val="0"/>
              <w:pageBreakBefore w:val="0"/>
              <w:widowControl w:val="0"/>
              <w:kinsoku/>
              <w:wordWrap/>
              <w:overflowPunct/>
              <w:topLinePunct w:val="0"/>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olor w:val="auto"/>
                <w:kern w:val="0"/>
                <w:sz w:val="24"/>
                <w:szCs w:val="20"/>
                <w:lang w:val="en-US" w:eastAsia="zh-CN"/>
              </w:rPr>
              <w:t>本项目为等级公路建设项目，根据中华人民共和国环境保护标准《环境影响评价技术导则 土壤环境（试行）》（HJ964-2018）中附录A：土壤环境影响评价项目类别可知，本工程属于：交通运输仓储邮政业中其他，项目类别为</w:t>
            </w:r>
            <w:r>
              <w:rPr>
                <w:rFonts w:hint="default" w:ascii="Times New Roman" w:hAnsi="Times New Roman" w:eastAsia="宋体" w:cs="Times New Roman"/>
                <w:color w:val="auto"/>
                <w:kern w:val="0"/>
                <w:sz w:val="24"/>
                <w:szCs w:val="20"/>
                <w:lang w:val="en-US" w:eastAsia="zh-CN"/>
              </w:rPr>
              <w:t>Ⅳ</w:t>
            </w:r>
            <w:r>
              <w:rPr>
                <w:rFonts w:hint="eastAsia" w:ascii="Times New Roman" w:hAnsi="Times New Roman" w:eastAsia="宋体" w:cs="Times New Roman"/>
                <w:color w:val="auto"/>
                <w:kern w:val="0"/>
                <w:sz w:val="24"/>
                <w:szCs w:val="20"/>
                <w:lang w:val="en-US" w:eastAsia="zh-CN"/>
              </w:rPr>
              <w:t>类，</w:t>
            </w:r>
            <w:r>
              <w:rPr>
                <w:rFonts w:hint="default" w:ascii="Times New Roman" w:hAnsi="Times New Roman" w:eastAsia="宋体" w:cs="Times New Roman"/>
                <w:b w:val="0"/>
                <w:bCs/>
                <w:color w:val="000000"/>
                <w:kern w:val="2"/>
                <w:sz w:val="24"/>
                <w:szCs w:val="24"/>
                <w:lang w:val="en-US" w:eastAsia="zh-CN" w:bidi="ar-SA"/>
              </w:rPr>
              <w:t>Ⅳ类建设项目不开展</w:t>
            </w:r>
            <w:r>
              <w:rPr>
                <w:rFonts w:hint="eastAsia" w:ascii="Times New Roman" w:hAnsi="Times New Roman" w:eastAsia="宋体" w:cs="Times New Roman"/>
                <w:b w:val="0"/>
                <w:bCs/>
                <w:color w:val="000000"/>
                <w:kern w:val="2"/>
                <w:sz w:val="24"/>
                <w:szCs w:val="24"/>
                <w:lang w:val="en-US" w:eastAsia="zh-CN" w:bidi="ar-SA"/>
              </w:rPr>
              <w:t>土壤</w:t>
            </w:r>
            <w:r>
              <w:rPr>
                <w:rFonts w:hint="default" w:ascii="Times New Roman" w:hAnsi="Times New Roman" w:eastAsia="宋体" w:cs="Times New Roman"/>
                <w:b w:val="0"/>
                <w:bCs/>
                <w:color w:val="000000"/>
                <w:kern w:val="2"/>
                <w:sz w:val="24"/>
                <w:szCs w:val="24"/>
                <w:lang w:val="en-US" w:eastAsia="zh-CN" w:bidi="ar-SA"/>
              </w:rPr>
              <w:t>环境影响评价，故</w:t>
            </w:r>
            <w:r>
              <w:rPr>
                <w:rFonts w:hint="eastAsia" w:ascii="Times New Roman" w:hAnsi="Times New Roman" w:eastAsia="宋体" w:cs="Times New Roman"/>
                <w:b w:val="0"/>
                <w:bCs/>
                <w:color w:val="000000"/>
                <w:kern w:val="2"/>
                <w:sz w:val="24"/>
                <w:szCs w:val="24"/>
                <w:lang w:val="en-US" w:eastAsia="zh-CN" w:bidi="ar-SA"/>
              </w:rPr>
              <w:t>本工程无需</w:t>
            </w:r>
            <w:r>
              <w:rPr>
                <w:rFonts w:hint="default" w:ascii="Times New Roman" w:hAnsi="Times New Roman" w:eastAsia="宋体" w:cs="Times New Roman"/>
                <w:b w:val="0"/>
                <w:bCs/>
                <w:color w:val="000000"/>
                <w:kern w:val="2"/>
                <w:sz w:val="24"/>
                <w:szCs w:val="24"/>
                <w:lang w:val="en-US" w:eastAsia="zh-CN" w:bidi="ar-SA"/>
              </w:rPr>
              <w:t>对</w:t>
            </w:r>
            <w:r>
              <w:rPr>
                <w:rFonts w:hint="eastAsia" w:ascii="Times New Roman" w:hAnsi="Times New Roman" w:eastAsia="宋体" w:cs="Times New Roman"/>
                <w:b w:val="0"/>
                <w:bCs/>
                <w:color w:val="000000"/>
                <w:kern w:val="2"/>
                <w:sz w:val="24"/>
                <w:szCs w:val="24"/>
                <w:lang w:val="en-US" w:eastAsia="zh-CN" w:bidi="ar-SA"/>
              </w:rPr>
              <w:t>土壤质量现状进行监测</w:t>
            </w:r>
            <w:r>
              <w:rPr>
                <w:rFonts w:hint="default" w:ascii="Times New Roman" w:hAnsi="Times New Roman" w:cs="Times New Roman"/>
                <w:caps w:val="0"/>
                <w:smallCaps w:val="0"/>
                <w:color w:val="auto"/>
                <w:spacing w:val="0"/>
                <w:w w:val="100"/>
                <w:kern w:val="2"/>
                <w:position w:val="0"/>
                <w:sz w:val="24"/>
                <w:szCs w:val="24"/>
                <w:highlight w:val="none"/>
                <w:lang w:val="en-US" w:eastAsia="zh-CN"/>
              </w:rPr>
              <w:t>。</w:t>
            </w:r>
          </w:p>
          <w:p w14:paraId="7CD04A36">
            <w:pPr>
              <w:keepNext/>
              <w:keepLines w:val="0"/>
              <w:pageBreakBefore w:val="0"/>
              <w:widowControl w:val="0"/>
              <w:kinsoku/>
              <w:wordWrap/>
              <w:overflowPunct/>
              <w:topLinePunct w:val="0"/>
              <w:autoSpaceDE/>
              <w:autoSpaceDN/>
              <w:bidi w:val="0"/>
              <w:adjustRightInd/>
              <w:snapToGrid/>
              <w:spacing w:beforeAutospacing="0" w:afterAutospacing="0" w:line="360" w:lineRule="auto"/>
              <w:ind w:right="0" w:rightChars="0" w:firstLine="0" w:firstLineChars="0"/>
              <w:jc w:val="left"/>
              <w:textAlignment w:val="auto"/>
              <w:outlineLvl w:val="9"/>
              <w:rPr>
                <w:rFonts w:hint="default" w:ascii="Times New Roman" w:hAnsi="Times New Roman"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cs="Times New Roman"/>
                <w:b/>
                <w:bCs/>
                <w:caps w:val="0"/>
                <w:smallCaps w:val="0"/>
                <w:color w:val="auto"/>
                <w:spacing w:val="0"/>
                <w:w w:val="100"/>
                <w:kern w:val="2"/>
                <w:position w:val="0"/>
                <w:sz w:val="24"/>
                <w:szCs w:val="24"/>
                <w:highlight w:val="none"/>
                <w:lang w:val="en-US" w:eastAsia="zh-CN"/>
              </w:rPr>
              <w:t>7土地沙化现状调查</w:t>
            </w:r>
          </w:p>
          <w:p w14:paraId="57259712">
            <w:pPr>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新疆沙化土地类型多样，分布地域特征明显。从广阔无垠的沙漠到瀚海戈壁乃至风蚀残丘、风蚀劣地，沙化土地种类齐全，类型各异。沙漠集中分布在高山相夹的两大盆地中，戈壁主要分布在山间盆地的山前洪积倾斜平原；盆地的边缘多为绿洲，众多的小绿洲被沙漠和戈壁包围，面临风沙的直接危害。</w:t>
            </w:r>
          </w:p>
          <w:p w14:paraId="58586470">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位于新疆巴州轮台县阳霞镇周边，根据《新疆第六次沙化监测报告》（新疆维吾尔自治区林业规划院）可知，本项目所在区域不属于沙化土地范围，项目所在位置属于塔里木盆地边缘戈壁，属于南疆分布较广的戈壁区域，新疆的戈壁主要分布在阿尔泰山南坡、天山南北坡、昆仑山北坡的山前冲洪积倾斜平原和阿尔金山、帕米尔高原等的一些山间盆地，在干旱低山丘陵发育有风化岩戈壁，其中南疆戈壁总面积2469.01万公顷，占新疆戈壁总面积的80.59</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。沉积物以卵砾石和砂砾石为主。南疆分布较广的戈壁有塔里木盆地边缘戈壁。</w:t>
            </w:r>
          </w:p>
          <w:p w14:paraId="25BA7FE2">
            <w:pPr>
              <w:keepNext/>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imes New Roman" w:hAnsi="Times New Roman" w:cs="Times New Roman"/>
                <w:caps w:val="0"/>
                <w:smallCaps w:val="0"/>
                <w:color w:val="auto"/>
                <w:spacing w:val="0"/>
                <w:w w:val="100"/>
                <w:kern w:val="2"/>
                <w:position w:val="0"/>
                <w:sz w:val="24"/>
                <w:szCs w:val="24"/>
                <w:highlight w:val="none"/>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2783840</wp:posOffset>
                      </wp:positionH>
                      <wp:positionV relativeFrom="paragraph">
                        <wp:posOffset>1007745</wp:posOffset>
                      </wp:positionV>
                      <wp:extent cx="657225" cy="302895"/>
                      <wp:effectExtent l="5080" t="356235" r="4445" b="7620"/>
                      <wp:wrapNone/>
                      <wp:docPr id="3" name="自选图形 21"/>
                      <wp:cNvGraphicFramePr/>
                      <a:graphic xmlns:a="http://schemas.openxmlformats.org/drawingml/2006/main">
                        <a:graphicData uri="http://schemas.microsoft.com/office/word/2010/wordprocessingShape">
                          <wps:wsp>
                            <wps:cNvSpPr/>
                            <wps:spPr>
                              <a:xfrm>
                                <a:off x="0" y="0"/>
                                <a:ext cx="657225" cy="302895"/>
                              </a:xfrm>
                              <a:prstGeom prst="wedgeRectCallout">
                                <a:avLst>
                                  <a:gd name="adj1" fmla="val -37921"/>
                                  <a:gd name="adj2" fmla="val -160602"/>
                                </a:avLst>
                              </a:prstGeom>
                              <a:noFill/>
                              <a:ln w="9525" cap="flat" cmpd="sng">
                                <a:solidFill>
                                  <a:srgbClr val="FF0000"/>
                                </a:solidFill>
                                <a:prstDash val="solid"/>
                                <a:miter/>
                                <a:headEnd type="none" w="med" len="med"/>
                                <a:tailEnd type="none" w="med" len="med"/>
                              </a:ln>
                            </wps:spPr>
                            <wps:txbx>
                              <w:txbxContent>
                                <w:p w14:paraId="7D608A1D">
                                  <w:pPr>
                                    <w:jc w:val="center"/>
                                    <w:rPr>
                                      <w:rFonts w:hint="eastAsia" w:eastAsia="宋体"/>
                                      <w:color w:val="FF0000"/>
                                      <w:lang w:val="en-US" w:eastAsia="zh-CN"/>
                                    </w:rPr>
                                  </w:pPr>
                                  <w:r>
                                    <w:rPr>
                                      <w:rFonts w:hint="eastAsia"/>
                                      <w:color w:val="FF0000"/>
                                      <w:lang w:val="en-US" w:eastAsia="zh-CN"/>
                                    </w:rPr>
                                    <w:t>项目区</w:t>
                                  </w:r>
                                </w:p>
                              </w:txbxContent>
                            </wps:txbx>
                            <wps:bodyPr wrap="square" upright="1"/>
                          </wps:wsp>
                        </a:graphicData>
                      </a:graphic>
                    </wp:anchor>
                  </w:drawing>
                </mc:Choice>
                <mc:Fallback>
                  <w:pict>
                    <v:shape id="自选图形 21" o:spid="_x0000_s1026" o:spt="61" type="#_x0000_t61" style="position:absolute;left:0pt;margin-left:219.2pt;margin-top:79.35pt;height:23.85pt;width:51.75pt;z-index:251662336;mso-width-relative:page;mso-height-relative:page;" filled="f" stroked="t" coordsize="21600,21600" o:gfxdata="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a4EodcAAAALAQAADwAAAAAAAAABACAAAAAiAAAA&#10;ZHJzL2Rvd25yZXYueG1sUEsBAhQAFAAAAAgAh07iQBK8EbhBAgAAdAQAAA4AAAAAAAAAAQAgAAAA&#10;JgEAAGRycy9lMm9Eb2MueG1sUEsFBgAAAAAGAAYAWQEAANkFAAAAAA==&#10;" adj="2609,-23890">
                      <v:fill on="f" focussize="0,0"/>
                      <v:stroke color="#FF0000" joinstyle="miter"/>
                      <v:imagedata o:title=""/>
                      <o:lock v:ext="edit" aspectratio="f"/>
                      <v:textbox>
                        <w:txbxContent>
                          <w:p w14:paraId="7D608A1D">
                            <w:pPr>
                              <w:jc w:val="center"/>
                              <w:rPr>
                                <w:rFonts w:hint="eastAsia" w:eastAsia="宋体"/>
                                <w:color w:val="FF0000"/>
                                <w:lang w:val="en-US" w:eastAsia="zh-CN"/>
                              </w:rPr>
                            </w:pPr>
                            <w:r>
                              <w:rPr>
                                <w:rFonts w:hint="eastAsia"/>
                                <w:color w:val="FF0000"/>
                                <w:lang w:val="en-US" w:eastAsia="zh-CN"/>
                              </w:rPr>
                              <w:t>项目区</w:t>
                            </w:r>
                          </w:p>
                        </w:txbxContent>
                      </v:textbox>
                    </v:shape>
                  </w:pict>
                </mc:Fallback>
              </mc:AlternateContent>
            </w:r>
            <w:r>
              <w:drawing>
                <wp:inline distT="0" distB="0" distL="114300" distR="114300">
                  <wp:extent cx="4815205" cy="3296285"/>
                  <wp:effectExtent l="0" t="0" r="4445" b="18415"/>
                  <wp:docPr id="1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8"/>
                          <pic:cNvPicPr>
                            <a:picLocks noChangeAspect="1"/>
                          </pic:cNvPicPr>
                        </pic:nvPicPr>
                        <pic:blipFill>
                          <a:blip r:embed="rId24"/>
                          <a:stretch>
                            <a:fillRect/>
                          </a:stretch>
                        </pic:blipFill>
                        <pic:spPr>
                          <a:xfrm>
                            <a:off x="0" y="0"/>
                            <a:ext cx="4815205" cy="3296285"/>
                          </a:xfrm>
                          <a:prstGeom prst="rect">
                            <a:avLst/>
                          </a:prstGeom>
                          <a:noFill/>
                          <a:ln>
                            <a:noFill/>
                          </a:ln>
                        </pic:spPr>
                      </pic:pic>
                    </a:graphicData>
                  </a:graphic>
                </wp:inline>
              </w:drawing>
            </w:r>
          </w:p>
          <w:p w14:paraId="149C4F9E">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center"/>
              <w:textAlignment w:val="auto"/>
              <w:outlineLvl w:val="9"/>
              <w:rPr>
                <w:rFonts w:hint="default" w:ascii="Times New Roman" w:hAnsi="Times New Roman"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图3-5   土地沙漠化现状图</w:t>
            </w:r>
          </w:p>
        </w:tc>
      </w:tr>
      <w:tr w14:paraId="26318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33B4FF35">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与项目有关的原有环境污染和生态破坏问题</w:t>
            </w:r>
          </w:p>
        </w:tc>
        <w:tc>
          <w:tcPr>
            <w:tcW w:w="0" w:type="auto"/>
            <w:tcBorders>
              <w:tl2br w:val="nil"/>
              <w:tr2bl w:val="nil"/>
            </w:tcBorders>
            <w:noWrap w:val="0"/>
            <w:vAlign w:val="center"/>
          </w:tcPr>
          <w:p w14:paraId="33C3FD85">
            <w:pPr>
              <w:keepNext w:val="0"/>
              <w:keepLines w:val="0"/>
              <w:pageBreakBefore w:val="0"/>
              <w:widowControl/>
              <w:suppressLineNumbers w:val="0"/>
              <w:kinsoku/>
              <w:wordWrap/>
              <w:overflowPunct/>
              <w:topLinePunct w:val="0"/>
              <w:bidi w:val="0"/>
              <w:snapToGrid/>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p>
          <w:p w14:paraId="0CDC718E">
            <w:pPr>
              <w:keepNext w:val="0"/>
              <w:keepLines w:val="0"/>
              <w:pageBreakBefore w:val="0"/>
              <w:widowControl/>
              <w:suppressLineNumbers w:val="0"/>
              <w:kinsoku/>
              <w:wordWrap/>
              <w:overflowPunct/>
              <w:topLinePunct w:val="0"/>
              <w:bidi w:val="0"/>
              <w:snapToGrid/>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现有工程概况</w:t>
            </w:r>
          </w:p>
          <w:p w14:paraId="0EA8A348">
            <w:pPr>
              <w:keepNext w:val="0"/>
              <w:keepLines w:val="0"/>
              <w:pageBreakBefore w:val="0"/>
              <w:widowControl/>
              <w:suppressLineNumbers w:val="0"/>
              <w:kinsoku/>
              <w:wordWrap/>
              <w:overflowPunct/>
              <w:topLinePunct w:val="0"/>
              <w:bidi w:val="0"/>
              <w:snapToGrid/>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根据设计方提供资料，项目对原有阳霞3号桥进行改建，原有阳霞3号桥属于二级公路，建设期较早，期间未办理相关环评手续。</w:t>
            </w:r>
          </w:p>
          <w:p w14:paraId="579FAFFC">
            <w:pPr>
              <w:keepNext w:val="0"/>
              <w:keepLines w:val="0"/>
              <w:pageBreakBefore w:val="0"/>
              <w:widowControl/>
              <w:suppressLineNumbers w:val="0"/>
              <w:kinsoku/>
              <w:wordWrap/>
              <w:overflowPunct/>
              <w:topLinePunct w:val="0"/>
              <w:bidi w:val="0"/>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本项目为主体工程对原有阳霞3号桥进行改建</w:t>
            </w:r>
            <w:r>
              <w:rPr>
                <w:rFonts w:hint="default" w:ascii="Times New Roman" w:hAnsi="Times New Roman" w:eastAsia="宋体" w:cs="Times New Roman"/>
                <w:caps w:val="0"/>
                <w:smallCaps w:val="0"/>
                <w:color w:val="auto"/>
                <w:spacing w:val="0"/>
                <w:w w:val="100"/>
                <w:kern w:val="2"/>
                <w:position w:val="0"/>
                <w:sz w:val="24"/>
                <w:szCs w:val="28"/>
                <w:highlight w:val="none"/>
                <w:lang w:val="en-US" w:eastAsia="zh-CN"/>
              </w:rPr>
              <w:t>，不存在</w:t>
            </w:r>
            <w:r>
              <w:rPr>
                <w:rFonts w:hint="default" w:ascii="Times New Roman" w:hAnsi="Times New Roman" w:cs="Times New Roman"/>
                <w:bCs/>
                <w:caps w:val="0"/>
                <w:smallCaps w:val="0"/>
                <w:color w:val="auto"/>
                <w:spacing w:val="0"/>
                <w:w w:val="100"/>
                <w:kern w:val="2"/>
                <w:position w:val="0"/>
                <w:sz w:val="24"/>
                <w:szCs w:val="24"/>
                <w:highlight w:val="none"/>
              </w:rPr>
              <w:t>原有环境污染和生态破坏问题</w:t>
            </w:r>
            <w:r>
              <w:rPr>
                <w:rFonts w:hint="default" w:ascii="Times New Roman" w:hAnsi="Times New Roman" w:eastAsia="宋体" w:cs="Times New Roman"/>
                <w:caps w:val="0"/>
                <w:smallCaps w:val="0"/>
                <w:color w:val="auto"/>
                <w:spacing w:val="0"/>
                <w:w w:val="100"/>
                <w:kern w:val="2"/>
                <w:position w:val="0"/>
                <w:highlight w:val="none"/>
                <w:lang w:val="en-US" w:eastAsia="zh-CN"/>
              </w:rPr>
              <w:t>。</w:t>
            </w:r>
          </w:p>
        </w:tc>
      </w:tr>
      <w:tr w14:paraId="24ADE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2C32F417">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生态环境保护目标</w:t>
            </w:r>
          </w:p>
        </w:tc>
        <w:tc>
          <w:tcPr>
            <w:tcW w:w="0" w:type="auto"/>
            <w:tcBorders>
              <w:tl2br w:val="nil"/>
              <w:tr2bl w:val="nil"/>
            </w:tcBorders>
            <w:noWrap w:val="0"/>
            <w:vAlign w:val="center"/>
          </w:tcPr>
          <w:p w14:paraId="4CE378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本项目</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占地范围</w:t>
            </w:r>
            <w:r>
              <w:rPr>
                <w:rFonts w:hint="default" w:ascii="Times New Roman" w:hAnsi="Times New Roman" w:eastAsia="宋体" w:cs="Times New Roman"/>
                <w:caps w:val="0"/>
                <w:smallCaps w:val="0"/>
                <w:color w:val="auto"/>
                <w:spacing w:val="0"/>
                <w:w w:val="100"/>
                <w:kern w:val="2"/>
                <w:position w:val="0"/>
                <w:sz w:val="24"/>
                <w:highlight w:val="none"/>
              </w:rPr>
              <w:t>内无基本农田、自然保护区、风景名胜区等特殊保护对象</w:t>
            </w:r>
            <w:r>
              <w:rPr>
                <w:rFonts w:hint="default"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根据本项目所在区</w:t>
            </w:r>
            <w:r>
              <w:rPr>
                <w:rFonts w:hint="eastAsia" w:ascii="Times New Roman" w:hAnsi="Times New Roman" w:eastAsia="宋体" w:cs="Times New Roman"/>
                <w:caps w:val="0"/>
                <w:smallCaps w:val="0"/>
                <w:color w:val="auto"/>
                <w:spacing w:val="0"/>
                <w:w w:val="100"/>
                <w:kern w:val="2"/>
                <w:position w:val="0"/>
                <w:sz w:val="24"/>
                <w:highlight w:val="none"/>
                <w:lang w:eastAsia="zh-CN"/>
              </w:rPr>
              <w:t>域的</w:t>
            </w:r>
            <w:r>
              <w:rPr>
                <w:rFonts w:hint="default" w:ascii="Times New Roman" w:hAnsi="Times New Roman" w:eastAsia="宋体" w:cs="Times New Roman"/>
                <w:caps w:val="0"/>
                <w:smallCaps w:val="0"/>
                <w:color w:val="auto"/>
                <w:spacing w:val="0"/>
                <w:w w:val="100"/>
                <w:kern w:val="2"/>
                <w:position w:val="0"/>
                <w:sz w:val="24"/>
                <w:highlight w:val="none"/>
              </w:rPr>
              <w:t>环境状况和项目本身特点，确定环境保护目标如下</w:t>
            </w:r>
            <w:r>
              <w:rPr>
                <w:rFonts w:hint="eastAsia" w:cs="Times New Roman"/>
                <w:caps w:val="0"/>
                <w:smallCaps w:val="0"/>
                <w:color w:val="auto"/>
                <w:spacing w:val="0"/>
                <w:w w:val="100"/>
                <w:kern w:val="2"/>
                <w:position w:val="0"/>
                <w:sz w:val="24"/>
                <w:highlight w:val="none"/>
                <w:lang w:eastAsia="zh-CN"/>
              </w:rPr>
              <w:t>：</w:t>
            </w:r>
          </w:p>
          <w:p w14:paraId="34BC7F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lang w:eastAsia="zh-CN"/>
              </w:rPr>
            </w:pPr>
            <w:r>
              <w:rPr>
                <w:rFonts w:hint="default" w:ascii="Times New Roman" w:hAnsi="Times New Roman" w:eastAsia="宋体" w:cs="Times New Roman"/>
                <w:caps w:val="0"/>
                <w:smallCaps w:val="0"/>
                <w:color w:val="auto"/>
                <w:spacing w:val="0"/>
                <w:w w:val="100"/>
                <w:kern w:val="2"/>
                <w:position w:val="0"/>
                <w:sz w:val="24"/>
                <w:highlight w:val="none"/>
              </w:rPr>
              <w:t>（1）空气环境：所在区域环境空气质量满足《环境空气质量标准》（GB3095—20</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26</w:t>
            </w:r>
            <w:r>
              <w:rPr>
                <w:rFonts w:hint="default" w:ascii="Times New Roman" w:hAnsi="Times New Roman" w:eastAsia="宋体" w:cs="Times New Roman"/>
                <w:caps w:val="0"/>
                <w:smallCaps w:val="0"/>
                <w:color w:val="auto"/>
                <w:spacing w:val="0"/>
                <w:w w:val="100"/>
                <w:kern w:val="2"/>
                <w:position w:val="0"/>
                <w:sz w:val="24"/>
                <w:highlight w:val="none"/>
              </w:rPr>
              <w:t>）二级标准要求</w:t>
            </w:r>
            <w:r>
              <w:rPr>
                <w:rFonts w:hint="default" w:ascii="Times New Roman" w:hAnsi="Times New Roman" w:eastAsia="宋体" w:cs="Times New Roman"/>
                <w:caps w:val="0"/>
                <w:smallCaps w:val="0"/>
                <w:color w:val="auto"/>
                <w:spacing w:val="0"/>
                <w:w w:val="100"/>
                <w:kern w:val="2"/>
                <w:position w:val="0"/>
                <w:sz w:val="24"/>
                <w:highlight w:val="none"/>
                <w:lang w:eastAsia="zh-CN"/>
              </w:rPr>
              <w:t>；</w:t>
            </w:r>
          </w:p>
          <w:p w14:paraId="0BCEE2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（2）水环境：保证不因本项目的建设而影响该项目所在区域地表水质，使地表水满足《地表水环境质量标准》（GB3838—2002）</w:t>
            </w:r>
            <w:r>
              <w:rPr>
                <w:rFonts w:hint="eastAsia" w:ascii="宋体" w:hAnsi="宋体" w:eastAsia="宋体" w:cs="宋体"/>
                <w:caps w:val="0"/>
                <w:smallCaps w:val="0"/>
                <w:color w:val="auto"/>
                <w:spacing w:val="0"/>
                <w:w w:val="100"/>
                <w:kern w:val="2"/>
                <w:position w:val="0"/>
                <w:sz w:val="24"/>
                <w:highlight w:val="none"/>
                <w:lang w:eastAsia="zh-CN"/>
              </w:rPr>
              <w:t>Ⅰ</w:t>
            </w:r>
            <w:r>
              <w:rPr>
                <w:rFonts w:hint="eastAsia" w:ascii="Times New Roman" w:hAnsi="Times New Roman" w:eastAsia="宋体" w:cs="Times New Roman"/>
                <w:caps w:val="0"/>
                <w:smallCaps w:val="0"/>
                <w:color w:val="auto"/>
                <w:spacing w:val="0"/>
                <w:w w:val="100"/>
                <w:kern w:val="2"/>
                <w:position w:val="0"/>
                <w:sz w:val="24"/>
                <w:highlight w:val="none"/>
                <w:lang w:eastAsia="zh-CN"/>
              </w:rPr>
              <w:t>类</w:t>
            </w:r>
            <w:r>
              <w:rPr>
                <w:rFonts w:hint="default" w:ascii="Times New Roman" w:hAnsi="Times New Roman" w:eastAsia="宋体" w:cs="Times New Roman"/>
                <w:caps w:val="0"/>
                <w:smallCaps w:val="0"/>
                <w:color w:val="auto"/>
                <w:spacing w:val="0"/>
                <w:w w:val="100"/>
                <w:kern w:val="2"/>
                <w:position w:val="0"/>
                <w:sz w:val="24"/>
                <w:highlight w:val="none"/>
              </w:rPr>
              <w:t>标准；地下水满足《地下水质量标准》（GB/T14848—2017）中的Ⅲ类标准。</w:t>
            </w:r>
          </w:p>
          <w:p w14:paraId="1A3FA2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（3）声环境：保护项目所在区域声环境质量满足《声环境质量标准》（GB3096—2008）中的</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2</w:t>
            </w:r>
            <w:r>
              <w:rPr>
                <w:rFonts w:hint="default" w:ascii="Times New Roman" w:hAnsi="Times New Roman" w:eastAsia="宋体" w:cs="Times New Roman"/>
                <w:caps w:val="0"/>
                <w:smallCaps w:val="0"/>
                <w:color w:val="auto"/>
                <w:spacing w:val="0"/>
                <w:w w:val="100"/>
                <w:kern w:val="2"/>
                <w:position w:val="0"/>
                <w:sz w:val="24"/>
                <w:highlight w:val="none"/>
              </w:rPr>
              <w:t>类标准。</w:t>
            </w:r>
          </w:p>
          <w:p w14:paraId="59EB65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（4）生态环境：</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施工期</w:t>
            </w:r>
            <w:r>
              <w:rPr>
                <w:rFonts w:hint="default" w:ascii="Times New Roman" w:hAnsi="Times New Roman" w:eastAsia="宋体" w:cs="Times New Roman"/>
                <w:caps w:val="0"/>
                <w:smallCaps w:val="0"/>
                <w:color w:val="auto"/>
                <w:spacing w:val="0"/>
                <w:w w:val="100"/>
                <w:kern w:val="2"/>
                <w:position w:val="0"/>
                <w:sz w:val="24"/>
                <w:highlight w:val="none"/>
              </w:rPr>
              <w:t>做好因工程建设所造成的生态破坏的恢复，最大限度地保护当地的生态环境。</w:t>
            </w:r>
          </w:p>
          <w:p w14:paraId="464B516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表</w:t>
            </w: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3-</w:t>
            </w: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 xml:space="preserve">6  </w:t>
            </w:r>
            <w:r>
              <w:rPr>
                <w:rFonts w:hint="default" w:ascii="Times New Roman" w:hAnsi="Times New Roman" w:eastAsia="宋体" w:cs="Times New Roman"/>
                <w:b/>
                <w:bCs/>
                <w:caps w:val="0"/>
                <w:smallCaps w:val="0"/>
                <w:color w:val="auto"/>
                <w:spacing w:val="0"/>
                <w:w w:val="100"/>
                <w:kern w:val="2"/>
                <w:position w:val="0"/>
                <w:sz w:val="21"/>
                <w:szCs w:val="21"/>
                <w:highlight w:val="none"/>
              </w:rPr>
              <w:t>环境保护目标一览表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9"/>
              <w:gridCol w:w="503"/>
              <w:gridCol w:w="803"/>
              <w:gridCol w:w="614"/>
              <w:gridCol w:w="530"/>
              <w:gridCol w:w="4813"/>
            </w:tblGrid>
            <w:tr w14:paraId="001A1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1" w:type="pct"/>
                  <w:tcBorders>
                    <w:tl2br w:val="nil"/>
                    <w:tr2bl w:val="nil"/>
                  </w:tcBorders>
                  <w:noWrap w:val="0"/>
                  <w:vAlign w:val="center"/>
                </w:tcPr>
                <w:p w14:paraId="6A5A9BC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环境要素</w:t>
                  </w:r>
                </w:p>
              </w:tc>
              <w:tc>
                <w:tcPr>
                  <w:tcW w:w="322" w:type="pct"/>
                  <w:tcBorders>
                    <w:tl2br w:val="nil"/>
                    <w:tr2bl w:val="nil"/>
                  </w:tcBorders>
                  <w:noWrap w:val="0"/>
                  <w:vAlign w:val="center"/>
                </w:tcPr>
                <w:p w14:paraId="78E9835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评价等级</w:t>
                  </w:r>
                </w:p>
              </w:tc>
              <w:tc>
                <w:tcPr>
                  <w:tcW w:w="514" w:type="pct"/>
                  <w:tcBorders>
                    <w:tl2br w:val="nil"/>
                    <w:tr2bl w:val="nil"/>
                  </w:tcBorders>
                  <w:noWrap w:val="0"/>
                  <w:vAlign w:val="center"/>
                </w:tcPr>
                <w:p w14:paraId="60CFF36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评价范围</w:t>
                  </w:r>
                </w:p>
              </w:tc>
              <w:tc>
                <w:tcPr>
                  <w:tcW w:w="393" w:type="pct"/>
                  <w:tcBorders>
                    <w:tl2br w:val="nil"/>
                    <w:tr2bl w:val="nil"/>
                  </w:tcBorders>
                  <w:noWrap w:val="0"/>
                  <w:vAlign w:val="center"/>
                </w:tcPr>
                <w:p w14:paraId="3830FD0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项目</w:t>
                  </w:r>
                </w:p>
              </w:tc>
              <w:tc>
                <w:tcPr>
                  <w:tcW w:w="339" w:type="pct"/>
                  <w:tcBorders>
                    <w:tl2br w:val="nil"/>
                    <w:tr2bl w:val="nil"/>
                  </w:tcBorders>
                  <w:noWrap w:val="0"/>
                  <w:vAlign w:val="center"/>
                </w:tcPr>
                <w:p w14:paraId="1BBE204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保护内容</w:t>
                  </w:r>
                </w:p>
              </w:tc>
              <w:tc>
                <w:tcPr>
                  <w:tcW w:w="3079" w:type="pct"/>
                  <w:tcBorders>
                    <w:tl2br w:val="nil"/>
                    <w:tr2bl w:val="nil"/>
                  </w:tcBorders>
                  <w:noWrap w:val="0"/>
                  <w:vAlign w:val="center"/>
                </w:tcPr>
                <w:p w14:paraId="236728A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备注</w:t>
                  </w:r>
                </w:p>
              </w:tc>
            </w:tr>
            <w:tr w14:paraId="66C1A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51" w:type="pct"/>
                  <w:tcBorders>
                    <w:tl2br w:val="nil"/>
                    <w:tr2bl w:val="nil"/>
                  </w:tcBorders>
                  <w:noWrap w:val="0"/>
                  <w:vAlign w:val="center"/>
                </w:tcPr>
                <w:p w14:paraId="5D1B7A9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大气</w:t>
                  </w:r>
                </w:p>
              </w:tc>
              <w:tc>
                <w:tcPr>
                  <w:tcW w:w="322" w:type="pct"/>
                  <w:tcBorders>
                    <w:tl2br w:val="nil"/>
                    <w:tr2bl w:val="nil"/>
                  </w:tcBorders>
                  <w:noWrap w:val="0"/>
                  <w:vAlign w:val="center"/>
                </w:tcPr>
                <w:p w14:paraId="2C47328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w:t>
                  </w:r>
                </w:p>
              </w:tc>
              <w:tc>
                <w:tcPr>
                  <w:tcW w:w="514" w:type="pct"/>
                  <w:tcBorders>
                    <w:tl2br w:val="nil"/>
                    <w:tr2bl w:val="nil"/>
                  </w:tcBorders>
                  <w:noWrap w:val="0"/>
                  <w:vAlign w:val="center"/>
                </w:tcPr>
                <w:p w14:paraId="723CCBE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w:t>
                  </w:r>
                </w:p>
              </w:tc>
              <w:tc>
                <w:tcPr>
                  <w:tcW w:w="393" w:type="pct"/>
                  <w:tcBorders>
                    <w:tl2br w:val="nil"/>
                    <w:tr2bl w:val="nil"/>
                  </w:tcBorders>
                  <w:noWrap w:val="0"/>
                  <w:vAlign w:val="center"/>
                </w:tcPr>
                <w:p w14:paraId="74DFA07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eastAsia="宋体"/>
                      <w:color w:val="auto"/>
                      <w:szCs w:val="21"/>
                      <w:lang w:val="en-US" w:eastAsia="zh-CN"/>
                    </w:rPr>
                    <w:t>居住区</w:t>
                  </w:r>
                </w:p>
              </w:tc>
              <w:tc>
                <w:tcPr>
                  <w:tcW w:w="339" w:type="pct"/>
                  <w:tcBorders>
                    <w:tl2br w:val="nil"/>
                    <w:tr2bl w:val="nil"/>
                  </w:tcBorders>
                  <w:noWrap w:val="0"/>
                  <w:vAlign w:val="center"/>
                </w:tcPr>
                <w:p w14:paraId="5B0102D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eastAsia="宋体"/>
                      <w:color w:val="auto"/>
                      <w:szCs w:val="21"/>
                      <w:lang w:val="en-US" w:eastAsia="zh-CN"/>
                    </w:rPr>
                    <w:t>人群</w:t>
                  </w:r>
                </w:p>
              </w:tc>
              <w:tc>
                <w:tcPr>
                  <w:tcW w:w="3079" w:type="pct"/>
                  <w:tcBorders>
                    <w:tl2br w:val="nil"/>
                    <w:tr2bl w:val="nil"/>
                  </w:tcBorders>
                  <w:noWrap w:val="0"/>
                  <w:vAlign w:val="center"/>
                </w:tcPr>
                <w:p w14:paraId="6B30AD9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阳霞镇等大气环境保护目标</w:t>
                  </w:r>
                </w:p>
              </w:tc>
            </w:tr>
            <w:tr w14:paraId="052BB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51" w:type="pct"/>
                  <w:tcBorders>
                    <w:tl2br w:val="nil"/>
                    <w:tr2bl w:val="nil"/>
                  </w:tcBorders>
                  <w:noWrap w:val="0"/>
                  <w:vAlign w:val="center"/>
                </w:tcPr>
                <w:p w14:paraId="1269D00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噪声</w:t>
                  </w:r>
                </w:p>
              </w:tc>
              <w:tc>
                <w:tcPr>
                  <w:tcW w:w="322" w:type="pct"/>
                  <w:tcBorders>
                    <w:tl2br w:val="nil"/>
                    <w:tr2bl w:val="nil"/>
                  </w:tcBorders>
                  <w:noWrap w:val="0"/>
                  <w:vAlign w:val="center"/>
                </w:tcPr>
                <w:p w14:paraId="7FF6E0C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二级</w:t>
                  </w:r>
                </w:p>
              </w:tc>
              <w:tc>
                <w:tcPr>
                  <w:tcW w:w="514" w:type="pct"/>
                  <w:tcBorders>
                    <w:tl2br w:val="nil"/>
                    <w:tr2bl w:val="nil"/>
                  </w:tcBorders>
                  <w:noWrap w:val="0"/>
                  <w:vAlign w:val="center"/>
                </w:tcPr>
                <w:p w14:paraId="3AB3104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200m</w:t>
                  </w:r>
                </w:p>
              </w:tc>
              <w:tc>
                <w:tcPr>
                  <w:tcW w:w="393" w:type="pct"/>
                  <w:tcBorders>
                    <w:tl2br w:val="nil"/>
                    <w:tr2bl w:val="nil"/>
                  </w:tcBorders>
                  <w:noWrap w:val="0"/>
                  <w:vAlign w:val="center"/>
                </w:tcPr>
                <w:p w14:paraId="7A4738C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居住区</w:t>
                  </w:r>
                </w:p>
              </w:tc>
              <w:tc>
                <w:tcPr>
                  <w:tcW w:w="339" w:type="pct"/>
                  <w:tcBorders>
                    <w:tl2br w:val="nil"/>
                    <w:tr2bl w:val="nil"/>
                  </w:tcBorders>
                  <w:noWrap w:val="0"/>
                  <w:vAlign w:val="center"/>
                </w:tcPr>
                <w:p w14:paraId="04483A6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lang w:val="en-US" w:eastAsia="zh-CN" w:bidi="ar-SA"/>
                    </w:rPr>
                  </w:pPr>
                  <w:r>
                    <w:rPr>
                      <w:rFonts w:hint="eastAsia" w:eastAsia="宋体"/>
                      <w:color w:val="auto"/>
                      <w:szCs w:val="21"/>
                      <w:lang w:val="en-US" w:eastAsia="zh-CN"/>
                    </w:rPr>
                    <w:t>人群</w:t>
                  </w:r>
                </w:p>
              </w:tc>
              <w:tc>
                <w:tcPr>
                  <w:tcW w:w="3079" w:type="pct"/>
                  <w:tcBorders>
                    <w:tl2br w:val="nil"/>
                    <w:tr2bl w:val="nil"/>
                  </w:tcBorders>
                  <w:noWrap w:val="0"/>
                  <w:vAlign w:val="center"/>
                </w:tcPr>
                <w:p w14:paraId="071E94C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阳霞镇等声环境保护目标</w:t>
                  </w:r>
                </w:p>
              </w:tc>
            </w:tr>
            <w:tr w14:paraId="2EC02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51" w:type="pct"/>
                  <w:tcBorders>
                    <w:tl2br w:val="nil"/>
                    <w:tr2bl w:val="nil"/>
                  </w:tcBorders>
                  <w:noWrap w:val="0"/>
                  <w:vAlign w:val="center"/>
                </w:tcPr>
                <w:p w14:paraId="322F8C9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土壤</w:t>
                  </w:r>
                </w:p>
              </w:tc>
              <w:tc>
                <w:tcPr>
                  <w:tcW w:w="322" w:type="pct"/>
                  <w:tcBorders>
                    <w:tl2br w:val="nil"/>
                    <w:tr2bl w:val="nil"/>
                  </w:tcBorders>
                  <w:noWrap w:val="0"/>
                  <w:vAlign w:val="center"/>
                </w:tcPr>
                <w:p w14:paraId="024F2A7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w:t>
                  </w:r>
                </w:p>
              </w:tc>
              <w:tc>
                <w:tcPr>
                  <w:tcW w:w="514" w:type="pct"/>
                  <w:tcBorders>
                    <w:tl2br w:val="nil"/>
                    <w:tr2bl w:val="nil"/>
                  </w:tcBorders>
                  <w:noWrap w:val="0"/>
                  <w:vAlign w:val="center"/>
                </w:tcPr>
                <w:p w14:paraId="49D1284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w:t>
                  </w:r>
                </w:p>
              </w:tc>
              <w:tc>
                <w:tcPr>
                  <w:tcW w:w="393" w:type="pct"/>
                  <w:tcBorders>
                    <w:tl2br w:val="nil"/>
                    <w:tr2bl w:val="nil"/>
                  </w:tcBorders>
                  <w:noWrap w:val="0"/>
                  <w:vAlign w:val="center"/>
                </w:tcPr>
                <w:p w14:paraId="4F0959E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339" w:type="pct"/>
                  <w:tcBorders>
                    <w:tl2br w:val="nil"/>
                    <w:tr2bl w:val="nil"/>
                  </w:tcBorders>
                  <w:noWrap w:val="0"/>
                  <w:vAlign w:val="center"/>
                </w:tcPr>
                <w:p w14:paraId="7E7E870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3079" w:type="pct"/>
                  <w:tcBorders>
                    <w:tl2br w:val="nil"/>
                    <w:tr2bl w:val="nil"/>
                  </w:tcBorders>
                  <w:noWrap w:val="0"/>
                  <w:vAlign w:val="center"/>
                </w:tcPr>
                <w:p w14:paraId="3A07CAD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本项目无土壤污染途径，根据导则要求无需开展土壤环境影响评价</w:t>
                  </w:r>
                </w:p>
              </w:tc>
            </w:tr>
            <w:tr w14:paraId="5F1B7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51" w:type="pct"/>
                  <w:tcBorders>
                    <w:tl2br w:val="nil"/>
                    <w:tr2bl w:val="nil"/>
                  </w:tcBorders>
                  <w:noWrap w:val="0"/>
                  <w:vAlign w:val="center"/>
                </w:tcPr>
                <w:p w14:paraId="128FC79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地表水</w:t>
                  </w:r>
                </w:p>
              </w:tc>
              <w:tc>
                <w:tcPr>
                  <w:tcW w:w="322" w:type="pct"/>
                  <w:tcBorders>
                    <w:tl2br w:val="nil"/>
                    <w:tr2bl w:val="nil"/>
                  </w:tcBorders>
                  <w:noWrap w:val="0"/>
                  <w:vAlign w:val="center"/>
                </w:tcPr>
                <w:p w14:paraId="045BDA9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w:t>
                  </w:r>
                </w:p>
              </w:tc>
              <w:tc>
                <w:tcPr>
                  <w:tcW w:w="514" w:type="pct"/>
                  <w:tcBorders>
                    <w:tl2br w:val="nil"/>
                    <w:tr2bl w:val="nil"/>
                  </w:tcBorders>
                  <w:noWrap w:val="0"/>
                  <w:vAlign w:val="center"/>
                </w:tcPr>
                <w:p w14:paraId="022E68B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阳霞艾肯河</w:t>
                  </w:r>
                </w:p>
              </w:tc>
              <w:tc>
                <w:tcPr>
                  <w:tcW w:w="393" w:type="pct"/>
                  <w:tcBorders>
                    <w:tl2br w:val="nil"/>
                    <w:tr2bl w:val="nil"/>
                  </w:tcBorders>
                  <w:noWrap w:val="0"/>
                  <w:vAlign w:val="center"/>
                </w:tcPr>
                <w:p w14:paraId="318F574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地表水</w:t>
                  </w:r>
                </w:p>
              </w:tc>
              <w:tc>
                <w:tcPr>
                  <w:tcW w:w="339" w:type="pct"/>
                  <w:tcBorders>
                    <w:tl2br w:val="nil"/>
                    <w:tr2bl w:val="nil"/>
                  </w:tcBorders>
                  <w:noWrap w:val="0"/>
                  <w:vAlign w:val="center"/>
                </w:tcPr>
                <w:p w14:paraId="3FCA2EB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eastAsia="宋体"/>
                      <w:color w:val="auto"/>
                      <w:szCs w:val="21"/>
                      <w:lang w:val="en-US" w:eastAsia="zh-CN"/>
                    </w:rPr>
                    <w:t>地表水水质</w:t>
                  </w:r>
                </w:p>
              </w:tc>
              <w:tc>
                <w:tcPr>
                  <w:tcW w:w="3079" w:type="pct"/>
                  <w:tcBorders>
                    <w:tl2br w:val="nil"/>
                    <w:tr2bl w:val="nil"/>
                  </w:tcBorders>
                  <w:noWrap w:val="0"/>
                  <w:vAlign w:val="center"/>
                </w:tcPr>
                <w:p w14:paraId="7D2B189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eastAsia="宋体"/>
                      <w:color w:val="auto"/>
                      <w:szCs w:val="21"/>
                      <w:lang w:val="en-US" w:eastAsia="zh-CN"/>
                    </w:rPr>
                    <w:t>本项目施工期用水从周边村镇拉运，严禁从河流取水，禁止施工机械在河道清洗，施工过程中做好雨季河水引流等措施后，不会对地表水产生严重污染影响。同时根据导则要求本项目无需开展地表水环境影响评价</w:t>
                  </w:r>
                </w:p>
              </w:tc>
            </w:tr>
            <w:tr w14:paraId="5D4B3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51" w:type="pct"/>
                  <w:tcBorders>
                    <w:tl2br w:val="nil"/>
                    <w:tr2bl w:val="nil"/>
                  </w:tcBorders>
                  <w:noWrap w:val="0"/>
                  <w:vAlign w:val="center"/>
                </w:tcPr>
                <w:p w14:paraId="384F928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地下水</w:t>
                  </w:r>
                </w:p>
              </w:tc>
              <w:tc>
                <w:tcPr>
                  <w:tcW w:w="322" w:type="pct"/>
                  <w:tcBorders>
                    <w:tl2br w:val="nil"/>
                    <w:tr2bl w:val="nil"/>
                  </w:tcBorders>
                  <w:noWrap w:val="0"/>
                  <w:vAlign w:val="center"/>
                </w:tcPr>
                <w:p w14:paraId="2B737AF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w:t>
                  </w:r>
                </w:p>
              </w:tc>
              <w:tc>
                <w:tcPr>
                  <w:tcW w:w="514" w:type="pct"/>
                  <w:tcBorders>
                    <w:tl2br w:val="nil"/>
                    <w:tr2bl w:val="nil"/>
                  </w:tcBorders>
                  <w:noWrap w:val="0"/>
                  <w:vAlign w:val="center"/>
                </w:tcPr>
                <w:p w14:paraId="60350EA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eastAsia="zh-CN"/>
                    </w:rPr>
                  </w:pPr>
                  <w:r>
                    <w:rPr>
                      <w:rFonts w:hint="eastAsia"/>
                      <w:color w:val="auto"/>
                      <w:szCs w:val="21"/>
                      <w:lang w:val="en-US" w:eastAsia="zh-CN"/>
                    </w:rPr>
                    <w:t>/</w:t>
                  </w:r>
                </w:p>
              </w:tc>
              <w:tc>
                <w:tcPr>
                  <w:tcW w:w="393" w:type="pct"/>
                  <w:tcBorders>
                    <w:tl2br w:val="nil"/>
                    <w:tr2bl w:val="nil"/>
                  </w:tcBorders>
                  <w:noWrap w:val="0"/>
                  <w:vAlign w:val="center"/>
                </w:tcPr>
                <w:p w14:paraId="4BCC459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eastAsia="宋体"/>
                      <w:color w:val="auto"/>
                      <w:szCs w:val="21"/>
                      <w:lang w:val="en-US" w:eastAsia="zh-CN"/>
                    </w:rPr>
                    <w:t>地下水</w:t>
                  </w:r>
                </w:p>
              </w:tc>
              <w:tc>
                <w:tcPr>
                  <w:tcW w:w="339" w:type="pct"/>
                  <w:tcBorders>
                    <w:tl2br w:val="nil"/>
                    <w:tr2bl w:val="nil"/>
                  </w:tcBorders>
                  <w:noWrap w:val="0"/>
                  <w:vAlign w:val="center"/>
                </w:tcPr>
                <w:p w14:paraId="46FEBA2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eastAsia="宋体"/>
                      <w:color w:val="auto"/>
                      <w:szCs w:val="21"/>
                      <w:lang w:val="en-US" w:eastAsia="zh-CN"/>
                    </w:rPr>
                    <w:t>地下水水质</w:t>
                  </w:r>
                </w:p>
              </w:tc>
              <w:tc>
                <w:tcPr>
                  <w:tcW w:w="3079" w:type="pct"/>
                  <w:tcBorders>
                    <w:tl2br w:val="nil"/>
                    <w:tr2bl w:val="nil"/>
                  </w:tcBorders>
                  <w:noWrap w:val="0"/>
                  <w:vAlign w:val="center"/>
                </w:tcPr>
                <w:p w14:paraId="199C72B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color w:val="auto"/>
                      <w:szCs w:val="21"/>
                      <w:lang w:val="en-US" w:eastAsia="zh-CN"/>
                    </w:rPr>
                    <w:t>本项目</w:t>
                  </w:r>
                  <w:r>
                    <w:rPr>
                      <w:rFonts w:hint="eastAsia"/>
                      <w:color w:val="auto"/>
                      <w:szCs w:val="21"/>
                    </w:rPr>
                    <w:t>不涉及</w:t>
                  </w:r>
                  <w:r>
                    <w:rPr>
                      <w:rFonts w:hint="eastAsia"/>
                      <w:color w:val="auto"/>
                      <w:szCs w:val="21"/>
                      <w:lang w:val="en-US" w:eastAsia="zh-CN"/>
                    </w:rPr>
                    <w:t>开采使用地下水，根据导则要求本项目无需开展地表水环境影响评价。</w:t>
                  </w:r>
                </w:p>
              </w:tc>
            </w:tr>
            <w:tr w14:paraId="6B77F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351" w:type="pct"/>
                  <w:vMerge w:val="restart"/>
                  <w:tcBorders>
                    <w:tl2br w:val="nil"/>
                    <w:tr2bl w:val="nil"/>
                  </w:tcBorders>
                  <w:noWrap w:val="0"/>
                  <w:vAlign w:val="center"/>
                </w:tcPr>
                <w:p w14:paraId="3E289FA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生态</w:t>
                  </w:r>
                </w:p>
              </w:tc>
              <w:tc>
                <w:tcPr>
                  <w:tcW w:w="322" w:type="pct"/>
                  <w:vMerge w:val="restart"/>
                  <w:tcBorders>
                    <w:tl2br w:val="nil"/>
                    <w:tr2bl w:val="nil"/>
                  </w:tcBorders>
                  <w:noWrap w:val="0"/>
                  <w:vAlign w:val="center"/>
                </w:tcPr>
                <w:p w14:paraId="70C5FCF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三级</w:t>
                  </w:r>
                </w:p>
              </w:tc>
              <w:tc>
                <w:tcPr>
                  <w:tcW w:w="514" w:type="pct"/>
                  <w:vMerge w:val="restart"/>
                  <w:tcBorders>
                    <w:tl2br w:val="nil"/>
                    <w:tr2bl w:val="nil"/>
                  </w:tcBorders>
                  <w:noWrap w:val="0"/>
                  <w:vAlign w:val="center"/>
                </w:tcPr>
                <w:p w14:paraId="1B17728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道路中心线向两侧外延200m的区域</w:t>
                  </w:r>
                </w:p>
              </w:tc>
              <w:tc>
                <w:tcPr>
                  <w:tcW w:w="393" w:type="pct"/>
                  <w:vMerge w:val="restart"/>
                  <w:tcBorders>
                    <w:tl2br w:val="nil"/>
                    <w:tr2bl w:val="nil"/>
                  </w:tcBorders>
                  <w:noWrap w:val="0"/>
                  <w:vAlign w:val="center"/>
                </w:tcPr>
                <w:p w14:paraId="75F6DCC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道路</w:t>
                  </w:r>
                </w:p>
                <w:p w14:paraId="101C1C6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沿线</w:t>
                  </w:r>
                </w:p>
              </w:tc>
              <w:tc>
                <w:tcPr>
                  <w:tcW w:w="339" w:type="pct"/>
                  <w:tcBorders>
                    <w:tl2br w:val="nil"/>
                    <w:tr2bl w:val="nil"/>
                  </w:tcBorders>
                  <w:noWrap w:val="0"/>
                  <w:vAlign w:val="center"/>
                </w:tcPr>
                <w:p w14:paraId="48B8CE6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野生动物</w:t>
                  </w:r>
                </w:p>
              </w:tc>
              <w:tc>
                <w:tcPr>
                  <w:tcW w:w="3079" w:type="pct"/>
                  <w:tcBorders>
                    <w:tl2br w:val="nil"/>
                    <w:tr2bl w:val="nil"/>
                  </w:tcBorders>
                  <w:noWrap w:val="0"/>
                  <w:vAlign w:val="center"/>
                </w:tcPr>
                <w:p w14:paraId="4D14655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文明施工，严格控制施工范围，保护野生动物生境。</w:t>
                  </w:r>
                </w:p>
              </w:tc>
            </w:tr>
            <w:tr w14:paraId="235F7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51" w:type="pct"/>
                  <w:vMerge w:val="continue"/>
                  <w:tcBorders>
                    <w:tl2br w:val="nil"/>
                    <w:tr2bl w:val="nil"/>
                  </w:tcBorders>
                  <w:noWrap w:val="0"/>
                  <w:vAlign w:val="center"/>
                </w:tcPr>
                <w:p w14:paraId="1BC50E7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322" w:type="pct"/>
                  <w:vMerge w:val="continue"/>
                  <w:tcBorders>
                    <w:tl2br w:val="nil"/>
                    <w:tr2bl w:val="nil"/>
                  </w:tcBorders>
                  <w:noWrap w:val="0"/>
                  <w:vAlign w:val="center"/>
                </w:tcPr>
                <w:p w14:paraId="30D6EA9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514" w:type="pct"/>
                  <w:vMerge w:val="continue"/>
                  <w:tcBorders>
                    <w:tl2br w:val="nil"/>
                    <w:tr2bl w:val="nil"/>
                  </w:tcBorders>
                  <w:noWrap w:val="0"/>
                  <w:vAlign w:val="center"/>
                </w:tcPr>
                <w:p w14:paraId="1372FDF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393" w:type="pct"/>
                  <w:vMerge w:val="continue"/>
                  <w:tcBorders>
                    <w:tl2br w:val="nil"/>
                    <w:tr2bl w:val="nil"/>
                  </w:tcBorders>
                  <w:noWrap w:val="0"/>
                  <w:vAlign w:val="center"/>
                </w:tcPr>
                <w:p w14:paraId="57A1F02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339" w:type="pct"/>
                  <w:tcBorders>
                    <w:tl2br w:val="nil"/>
                    <w:tr2bl w:val="nil"/>
                  </w:tcBorders>
                  <w:shd w:val="clear" w:color="auto" w:fill="auto"/>
                  <w:noWrap w:val="0"/>
                  <w:vAlign w:val="center"/>
                </w:tcPr>
                <w:p w14:paraId="3673D2F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color w:val="auto"/>
                      <w:szCs w:val="21"/>
                    </w:rPr>
                    <w:t>水土保持、植被恢复</w:t>
                  </w:r>
                </w:p>
              </w:tc>
              <w:tc>
                <w:tcPr>
                  <w:tcW w:w="3079" w:type="pct"/>
                  <w:tcBorders>
                    <w:tl2br w:val="nil"/>
                    <w:tr2bl w:val="nil"/>
                  </w:tcBorders>
                  <w:shd w:val="clear" w:color="auto" w:fill="auto"/>
                  <w:noWrap w:val="0"/>
                  <w:vAlign w:val="center"/>
                </w:tcPr>
                <w:p w14:paraId="249327A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color w:val="auto"/>
                      <w:szCs w:val="21"/>
                    </w:rPr>
                    <w:t>施工期利用土工布苫盖的方法来减少水土流失，及时对施工临时</w:t>
                  </w:r>
                  <w:r>
                    <w:rPr>
                      <w:rFonts w:hint="eastAsia"/>
                      <w:color w:val="auto"/>
                      <w:szCs w:val="21"/>
                      <w:lang w:val="en-US" w:eastAsia="zh-CN"/>
                    </w:rPr>
                    <w:t>占</w:t>
                  </w:r>
                  <w:r>
                    <w:rPr>
                      <w:color w:val="auto"/>
                      <w:szCs w:val="21"/>
                    </w:rPr>
                    <w:t>地进行原有地表恢复。</w:t>
                  </w:r>
                </w:p>
              </w:tc>
            </w:tr>
            <w:tr w14:paraId="135E9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4" w:hRule="atLeast"/>
                <w:jc w:val="center"/>
              </w:trPr>
              <w:tc>
                <w:tcPr>
                  <w:tcW w:w="351" w:type="pct"/>
                  <w:vMerge w:val="continue"/>
                  <w:tcBorders>
                    <w:tl2br w:val="nil"/>
                    <w:tr2bl w:val="nil"/>
                  </w:tcBorders>
                  <w:noWrap w:val="0"/>
                  <w:vAlign w:val="center"/>
                </w:tcPr>
                <w:p w14:paraId="38F90D9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322" w:type="pct"/>
                  <w:vMerge w:val="continue"/>
                  <w:tcBorders>
                    <w:tl2br w:val="nil"/>
                    <w:tr2bl w:val="nil"/>
                  </w:tcBorders>
                  <w:noWrap w:val="0"/>
                  <w:vAlign w:val="center"/>
                </w:tcPr>
                <w:p w14:paraId="7C2411E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514" w:type="pct"/>
                  <w:vMerge w:val="restart"/>
                  <w:tcBorders>
                    <w:tl2br w:val="nil"/>
                    <w:tr2bl w:val="nil"/>
                  </w:tcBorders>
                  <w:noWrap w:val="0"/>
                  <w:vAlign w:val="center"/>
                </w:tcPr>
                <w:p w14:paraId="59C9EBB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施工便道中心线向两侧外延200m区域</w:t>
                  </w:r>
                </w:p>
              </w:tc>
              <w:tc>
                <w:tcPr>
                  <w:tcW w:w="393" w:type="pct"/>
                  <w:vMerge w:val="restart"/>
                  <w:tcBorders>
                    <w:tl2br w:val="nil"/>
                    <w:tr2bl w:val="nil"/>
                  </w:tcBorders>
                  <w:noWrap w:val="0"/>
                  <w:vAlign w:val="center"/>
                </w:tcPr>
                <w:p w14:paraId="22CAB53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临时占地</w:t>
                  </w:r>
                </w:p>
              </w:tc>
              <w:tc>
                <w:tcPr>
                  <w:tcW w:w="339" w:type="pct"/>
                  <w:tcBorders>
                    <w:tl2br w:val="nil"/>
                    <w:tr2bl w:val="nil"/>
                  </w:tcBorders>
                  <w:shd w:val="clear" w:color="auto" w:fill="auto"/>
                  <w:noWrap w:val="0"/>
                  <w:vAlign w:val="center"/>
                </w:tcPr>
                <w:p w14:paraId="313DDAB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color w:val="auto"/>
                      <w:szCs w:val="21"/>
                    </w:rPr>
                    <w:t>野生动物</w:t>
                  </w:r>
                </w:p>
              </w:tc>
              <w:tc>
                <w:tcPr>
                  <w:tcW w:w="3079" w:type="pct"/>
                  <w:tcBorders>
                    <w:tl2br w:val="nil"/>
                    <w:tr2bl w:val="nil"/>
                  </w:tcBorders>
                  <w:shd w:val="clear" w:color="auto" w:fill="auto"/>
                  <w:noWrap w:val="0"/>
                  <w:vAlign w:val="center"/>
                </w:tcPr>
                <w:p w14:paraId="33B1C77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color w:val="auto"/>
                      <w:szCs w:val="21"/>
                    </w:rPr>
                    <w:t>文明施工，严格控制施工范围，保护野生动物生境。</w:t>
                  </w:r>
                </w:p>
              </w:tc>
            </w:tr>
            <w:tr w14:paraId="38D37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51" w:type="pct"/>
                  <w:vMerge w:val="continue"/>
                  <w:tcBorders>
                    <w:tl2br w:val="nil"/>
                    <w:tr2bl w:val="nil"/>
                  </w:tcBorders>
                  <w:noWrap w:val="0"/>
                  <w:vAlign w:val="center"/>
                </w:tcPr>
                <w:p w14:paraId="00425D3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322" w:type="pct"/>
                  <w:vMerge w:val="continue"/>
                  <w:tcBorders>
                    <w:tl2br w:val="nil"/>
                    <w:tr2bl w:val="nil"/>
                  </w:tcBorders>
                  <w:noWrap w:val="0"/>
                  <w:vAlign w:val="center"/>
                </w:tcPr>
                <w:p w14:paraId="077773F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514" w:type="pct"/>
                  <w:vMerge w:val="continue"/>
                  <w:tcBorders>
                    <w:tl2br w:val="nil"/>
                    <w:tr2bl w:val="nil"/>
                  </w:tcBorders>
                  <w:noWrap w:val="0"/>
                  <w:vAlign w:val="center"/>
                </w:tcPr>
                <w:p w14:paraId="2B4124E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p>
              </w:tc>
              <w:tc>
                <w:tcPr>
                  <w:tcW w:w="393" w:type="pct"/>
                  <w:vMerge w:val="continue"/>
                  <w:tcBorders>
                    <w:tl2br w:val="nil"/>
                    <w:tr2bl w:val="nil"/>
                  </w:tcBorders>
                  <w:noWrap w:val="0"/>
                  <w:vAlign w:val="center"/>
                </w:tcPr>
                <w:p w14:paraId="7E0AD20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p>
              </w:tc>
              <w:tc>
                <w:tcPr>
                  <w:tcW w:w="339" w:type="pct"/>
                  <w:tcBorders>
                    <w:tl2br w:val="nil"/>
                    <w:tr2bl w:val="nil"/>
                  </w:tcBorders>
                  <w:shd w:val="clear" w:color="auto" w:fill="auto"/>
                  <w:noWrap w:val="0"/>
                  <w:vAlign w:val="center"/>
                </w:tcPr>
                <w:p w14:paraId="251EFDE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color w:val="auto"/>
                      <w:szCs w:val="21"/>
                    </w:rPr>
                    <w:t>水土保持、植被恢复</w:t>
                  </w:r>
                </w:p>
              </w:tc>
              <w:tc>
                <w:tcPr>
                  <w:tcW w:w="3079" w:type="pct"/>
                  <w:tcBorders>
                    <w:tl2br w:val="nil"/>
                    <w:tr2bl w:val="nil"/>
                  </w:tcBorders>
                  <w:shd w:val="clear" w:color="auto" w:fill="auto"/>
                  <w:noWrap w:val="0"/>
                  <w:vAlign w:val="center"/>
                </w:tcPr>
                <w:p w14:paraId="3635DE6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color w:val="auto"/>
                      <w:szCs w:val="21"/>
                    </w:rPr>
                    <w:t>施工期利用土工布苫盖的方法来减少水土流失，及时对施工临时</w:t>
                  </w:r>
                  <w:r>
                    <w:rPr>
                      <w:rFonts w:hint="eastAsia"/>
                      <w:color w:val="auto"/>
                      <w:szCs w:val="21"/>
                      <w:lang w:val="en-US" w:eastAsia="zh-CN"/>
                    </w:rPr>
                    <w:t>占</w:t>
                  </w:r>
                  <w:r>
                    <w:rPr>
                      <w:color w:val="auto"/>
                      <w:szCs w:val="21"/>
                    </w:rPr>
                    <w:t>地进行原有地表恢复。</w:t>
                  </w:r>
                </w:p>
              </w:tc>
            </w:tr>
          </w:tbl>
          <w:p w14:paraId="1519B4CE">
            <w:pPr>
              <w:pStyle w:val="12"/>
              <w:ind w:left="0" w:leftChars="0" w:firstLine="0" w:firstLineChars="0"/>
              <w:rPr>
                <w:rFonts w:hint="default" w:ascii="Times New Roman" w:hAnsi="Times New Roman" w:cs="Times New Roman"/>
                <w:caps w:val="0"/>
                <w:smallCaps w:val="0"/>
                <w:color w:val="auto"/>
                <w:spacing w:val="0"/>
                <w:w w:val="100"/>
                <w:kern w:val="2"/>
                <w:position w:val="0"/>
                <w:highlight w:val="none"/>
              </w:rPr>
            </w:pPr>
          </w:p>
        </w:tc>
      </w:tr>
      <w:tr w14:paraId="488F0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1DBCD014">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评价</w:t>
            </w:r>
          </w:p>
          <w:p w14:paraId="36117970">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标准</w:t>
            </w:r>
          </w:p>
        </w:tc>
        <w:tc>
          <w:tcPr>
            <w:tcW w:w="0" w:type="auto"/>
            <w:tcBorders>
              <w:tl2br w:val="nil"/>
              <w:tr2bl w:val="nil"/>
            </w:tcBorders>
            <w:noWrap w:val="0"/>
            <w:vAlign w:val="top"/>
          </w:tcPr>
          <w:p w14:paraId="6B3D47D1">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jc w:val="both"/>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1环境质量标准</w:t>
            </w:r>
          </w:p>
          <w:p w14:paraId="3EF54240">
            <w:pPr>
              <w:pageBreakBefore w:val="0"/>
              <w:wordWrap/>
              <w:topLinePunct w:val="0"/>
              <w:autoSpaceDE w:val="0"/>
              <w:autoSpaceDN w:val="0"/>
              <w:bidi w:val="0"/>
              <w:spacing w:beforeAutospacing="0" w:afterAutospacing="0" w:line="384" w:lineRule="auto"/>
              <w:ind w:left="0" w:leftChars="0"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1</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空气环境质量标准</w:t>
            </w:r>
          </w:p>
          <w:p w14:paraId="64224558">
            <w:pPr>
              <w:pageBreakBefore w:val="0"/>
              <w:wordWrap/>
              <w:topLinePunct w:val="0"/>
              <w:autoSpaceDE w:val="0"/>
              <w:autoSpaceDN w:val="0"/>
              <w:bidi w:val="0"/>
              <w:spacing w:beforeAutospacing="0" w:afterAutospacing="0" w:line="384" w:lineRule="auto"/>
              <w:ind w:left="0" w:leftChars="0"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项目</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区域属二类区，环境空气质量评价</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基本</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污染物采用</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《环境空气质量标准》（GB3095-2026）表1中过渡阶段的二级标准</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标准值</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见表</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3-</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7</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p>
          <w:p w14:paraId="22458B4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t>表</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bidi="ar-SA"/>
              </w:rPr>
              <w:t>3-</w:t>
            </w:r>
            <w:r>
              <w:rPr>
                <w:rFonts w:hint="eastAsia" w:ascii="Times New Roman" w:hAnsi="Times New Roman" w:eastAsia="宋体" w:cs="Times New Roman"/>
                <w:b/>
                <w:caps w:val="0"/>
                <w:smallCaps w:val="0"/>
                <w:color w:val="auto"/>
                <w:spacing w:val="0"/>
                <w:w w:val="100"/>
                <w:kern w:val="2"/>
                <w:position w:val="0"/>
                <w:sz w:val="21"/>
                <w:szCs w:val="21"/>
                <w:highlight w:val="none"/>
                <w:lang w:val="en-US" w:eastAsia="zh-CN" w:bidi="ar-SA"/>
              </w:rPr>
              <w:t xml:space="preserve">7        </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t>环境空气质量标准</w:t>
            </w:r>
          </w:p>
          <w:tbl>
            <w:tblPr>
              <w:tblStyle w:val="28"/>
              <w:tblW w:w="49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52"/>
              <w:gridCol w:w="1745"/>
              <w:gridCol w:w="1298"/>
              <w:gridCol w:w="791"/>
              <w:gridCol w:w="2148"/>
            </w:tblGrid>
            <w:tr w14:paraId="629B13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tcBorders>
                    <w:tl2br w:val="nil"/>
                    <w:tr2bl w:val="nil"/>
                  </w:tcBorders>
                  <w:noWrap w:val="0"/>
                  <w:vAlign w:val="center"/>
                </w:tcPr>
                <w:p w14:paraId="56AA1A1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污染物</w:t>
                  </w:r>
                </w:p>
              </w:tc>
              <w:tc>
                <w:tcPr>
                  <w:tcW w:w="1128" w:type="pct"/>
                  <w:tcBorders>
                    <w:tl2br w:val="nil"/>
                    <w:tr2bl w:val="nil"/>
                  </w:tcBorders>
                  <w:noWrap w:val="0"/>
                  <w:vAlign w:val="center"/>
                </w:tcPr>
                <w:p w14:paraId="3DC3A4F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取值时间</w:t>
                  </w:r>
                </w:p>
              </w:tc>
              <w:tc>
                <w:tcPr>
                  <w:tcW w:w="839" w:type="pct"/>
                  <w:tcBorders>
                    <w:tl2br w:val="nil"/>
                    <w:tr2bl w:val="nil"/>
                  </w:tcBorders>
                  <w:noWrap w:val="0"/>
                  <w:vAlign w:val="center"/>
                </w:tcPr>
                <w:p w14:paraId="0F6C8B2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浓度限值</w:t>
                  </w:r>
                </w:p>
                <w:p w14:paraId="4C63FB36">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二级标准</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511" w:type="pct"/>
                  <w:tcBorders>
                    <w:tl2br w:val="nil"/>
                    <w:tr2bl w:val="nil"/>
                  </w:tcBorders>
                  <w:noWrap w:val="0"/>
                  <w:vAlign w:val="center"/>
                </w:tcPr>
                <w:p w14:paraId="54B7F8C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单位</w:t>
                  </w:r>
                </w:p>
              </w:tc>
              <w:tc>
                <w:tcPr>
                  <w:tcW w:w="1388" w:type="pct"/>
                  <w:tcBorders>
                    <w:tl2br w:val="nil"/>
                    <w:tr2bl w:val="nil"/>
                  </w:tcBorders>
                  <w:noWrap w:val="0"/>
                  <w:vAlign w:val="center"/>
                </w:tcPr>
                <w:p w14:paraId="7FDD8A5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依据标准</w:t>
                  </w:r>
                </w:p>
              </w:tc>
            </w:tr>
            <w:tr w14:paraId="189C1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28F151B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二氧化硫</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SO</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2</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5295CF12">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年平均</w:t>
                  </w:r>
                </w:p>
              </w:tc>
              <w:tc>
                <w:tcPr>
                  <w:tcW w:w="839" w:type="pct"/>
                  <w:tcBorders>
                    <w:tl2br w:val="nil"/>
                    <w:tr2bl w:val="nil"/>
                  </w:tcBorders>
                  <w:noWrap w:val="0"/>
                  <w:vAlign w:val="center"/>
                </w:tcPr>
                <w:p w14:paraId="709B92C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60</w:t>
                  </w:r>
                </w:p>
              </w:tc>
              <w:tc>
                <w:tcPr>
                  <w:tcW w:w="511" w:type="pct"/>
                  <w:vMerge w:val="restart"/>
                  <w:tcBorders>
                    <w:tl2br w:val="nil"/>
                    <w:tr2bl w:val="nil"/>
                  </w:tcBorders>
                  <w:noWrap w:val="0"/>
                  <w:vAlign w:val="center"/>
                </w:tcPr>
                <w:p w14:paraId="5A6D2F0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μg/m</w:t>
                  </w:r>
                  <w:r>
                    <w:rPr>
                      <w:rFonts w:hint="default" w:ascii="Times New Roman" w:hAnsi="Times New Roman" w:eastAsia="宋体" w:cs="Times New Roman"/>
                      <w:caps w:val="0"/>
                      <w:smallCaps w:val="0"/>
                      <w:color w:val="auto"/>
                      <w:spacing w:val="0"/>
                      <w:w w:val="100"/>
                      <w:kern w:val="2"/>
                      <w:position w:val="0"/>
                      <w:sz w:val="21"/>
                      <w:szCs w:val="21"/>
                      <w:highlight w:val="none"/>
                      <w:vertAlign w:val="superscript"/>
                      <w:lang w:val="en-US" w:eastAsia="zh-CN" w:bidi="ar-SA"/>
                    </w:rPr>
                    <w:t>3</w:t>
                  </w:r>
                </w:p>
              </w:tc>
              <w:tc>
                <w:tcPr>
                  <w:tcW w:w="1388" w:type="pct"/>
                  <w:vMerge w:val="restart"/>
                  <w:tcBorders>
                    <w:tl2br w:val="nil"/>
                    <w:tr2bl w:val="nil"/>
                  </w:tcBorders>
                  <w:noWrap w:val="0"/>
                  <w:vAlign w:val="center"/>
                </w:tcPr>
                <w:p w14:paraId="47F22DC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《环境空气质量标准》</w:t>
                  </w:r>
                </w:p>
                <w:p w14:paraId="5364DA5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GB3095-20</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bidi="ar-SA"/>
                    </w:rPr>
                    <w:t>26</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r>
            <w:tr w14:paraId="52E487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0C22A83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197F8B2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24小时平均</w:t>
                  </w:r>
                </w:p>
              </w:tc>
              <w:tc>
                <w:tcPr>
                  <w:tcW w:w="839" w:type="pct"/>
                  <w:tcBorders>
                    <w:tl2br w:val="nil"/>
                    <w:tr2bl w:val="nil"/>
                  </w:tcBorders>
                  <w:noWrap w:val="0"/>
                  <w:vAlign w:val="center"/>
                </w:tcPr>
                <w:p w14:paraId="782EFEA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150</w:t>
                  </w:r>
                </w:p>
              </w:tc>
              <w:tc>
                <w:tcPr>
                  <w:tcW w:w="511" w:type="pct"/>
                  <w:vMerge w:val="continue"/>
                  <w:tcBorders>
                    <w:tl2br w:val="nil"/>
                    <w:tr2bl w:val="nil"/>
                  </w:tcBorders>
                  <w:noWrap w:val="0"/>
                  <w:vAlign w:val="center"/>
                </w:tcPr>
                <w:p w14:paraId="596D7EE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7B92018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1E6151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37849468">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62599BA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1小时平均</w:t>
                  </w:r>
                </w:p>
              </w:tc>
              <w:tc>
                <w:tcPr>
                  <w:tcW w:w="839" w:type="pct"/>
                  <w:tcBorders>
                    <w:tl2br w:val="nil"/>
                    <w:tr2bl w:val="nil"/>
                  </w:tcBorders>
                  <w:noWrap w:val="0"/>
                  <w:vAlign w:val="center"/>
                </w:tcPr>
                <w:p w14:paraId="5EF7EA7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500</w:t>
                  </w:r>
                </w:p>
              </w:tc>
              <w:tc>
                <w:tcPr>
                  <w:tcW w:w="511" w:type="pct"/>
                  <w:vMerge w:val="continue"/>
                  <w:tcBorders>
                    <w:tl2br w:val="nil"/>
                    <w:tr2bl w:val="nil"/>
                  </w:tcBorders>
                  <w:noWrap w:val="0"/>
                  <w:vAlign w:val="center"/>
                </w:tcPr>
                <w:p w14:paraId="779E0B6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67BAA23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475F9E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0B0AE41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二氧化氮</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NO</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2</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060AC62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年平均</w:t>
                  </w:r>
                </w:p>
              </w:tc>
              <w:tc>
                <w:tcPr>
                  <w:tcW w:w="839" w:type="pct"/>
                  <w:tcBorders>
                    <w:tl2br w:val="nil"/>
                    <w:tr2bl w:val="nil"/>
                  </w:tcBorders>
                  <w:noWrap w:val="0"/>
                  <w:vAlign w:val="center"/>
                </w:tcPr>
                <w:p w14:paraId="0CE3C46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40</w:t>
                  </w:r>
                </w:p>
              </w:tc>
              <w:tc>
                <w:tcPr>
                  <w:tcW w:w="511" w:type="pct"/>
                  <w:vMerge w:val="continue"/>
                  <w:tcBorders>
                    <w:tl2br w:val="nil"/>
                    <w:tr2bl w:val="nil"/>
                  </w:tcBorders>
                  <w:noWrap w:val="0"/>
                  <w:vAlign w:val="center"/>
                </w:tcPr>
                <w:p w14:paraId="6ECFEB16">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7F326C5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743B6B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4F40EF14">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34BCD65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24小时平均</w:t>
                  </w:r>
                </w:p>
              </w:tc>
              <w:tc>
                <w:tcPr>
                  <w:tcW w:w="839" w:type="pct"/>
                  <w:tcBorders>
                    <w:tl2br w:val="nil"/>
                    <w:tr2bl w:val="nil"/>
                  </w:tcBorders>
                  <w:noWrap w:val="0"/>
                  <w:vAlign w:val="center"/>
                </w:tcPr>
                <w:p w14:paraId="1E1A18F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80</w:t>
                  </w:r>
                </w:p>
              </w:tc>
              <w:tc>
                <w:tcPr>
                  <w:tcW w:w="511" w:type="pct"/>
                  <w:vMerge w:val="continue"/>
                  <w:tcBorders>
                    <w:tl2br w:val="nil"/>
                    <w:tr2bl w:val="nil"/>
                  </w:tcBorders>
                  <w:noWrap w:val="0"/>
                  <w:vAlign w:val="center"/>
                </w:tcPr>
                <w:p w14:paraId="343B6B32">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4BA0C62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36B2CB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7B4401B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1E099978">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1小时平均</w:t>
                  </w:r>
                </w:p>
              </w:tc>
              <w:tc>
                <w:tcPr>
                  <w:tcW w:w="839" w:type="pct"/>
                  <w:tcBorders>
                    <w:tl2br w:val="nil"/>
                    <w:tr2bl w:val="nil"/>
                  </w:tcBorders>
                  <w:noWrap w:val="0"/>
                  <w:vAlign w:val="center"/>
                </w:tcPr>
                <w:p w14:paraId="07C7F9D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200</w:t>
                  </w:r>
                </w:p>
              </w:tc>
              <w:tc>
                <w:tcPr>
                  <w:tcW w:w="511" w:type="pct"/>
                  <w:vMerge w:val="continue"/>
                  <w:tcBorders>
                    <w:tl2br w:val="nil"/>
                    <w:tr2bl w:val="nil"/>
                  </w:tcBorders>
                  <w:noWrap w:val="0"/>
                  <w:vAlign w:val="center"/>
                </w:tcPr>
                <w:p w14:paraId="3CEDF77A">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6CD7888A">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15898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444B617A">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一氧化碳</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CO</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1034E322">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24小时平均</w:t>
                  </w:r>
                </w:p>
              </w:tc>
              <w:tc>
                <w:tcPr>
                  <w:tcW w:w="839" w:type="pct"/>
                  <w:tcBorders>
                    <w:tl2br w:val="nil"/>
                    <w:tr2bl w:val="nil"/>
                  </w:tcBorders>
                  <w:noWrap w:val="0"/>
                  <w:vAlign w:val="center"/>
                </w:tcPr>
                <w:p w14:paraId="74C8218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4</w:t>
                  </w:r>
                </w:p>
              </w:tc>
              <w:tc>
                <w:tcPr>
                  <w:tcW w:w="511" w:type="pct"/>
                  <w:vMerge w:val="restart"/>
                  <w:tcBorders>
                    <w:tl2br w:val="nil"/>
                    <w:tr2bl w:val="nil"/>
                  </w:tcBorders>
                  <w:noWrap w:val="0"/>
                  <w:vAlign w:val="center"/>
                </w:tcPr>
                <w:p w14:paraId="6DC6CB0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mg/m</w:t>
                  </w:r>
                  <w:r>
                    <w:rPr>
                      <w:rFonts w:hint="default" w:ascii="Times New Roman" w:hAnsi="Times New Roman" w:eastAsia="宋体" w:cs="Times New Roman"/>
                      <w:caps w:val="0"/>
                      <w:smallCaps w:val="0"/>
                      <w:color w:val="auto"/>
                      <w:spacing w:val="0"/>
                      <w:w w:val="100"/>
                      <w:kern w:val="2"/>
                      <w:position w:val="0"/>
                      <w:sz w:val="21"/>
                      <w:szCs w:val="21"/>
                      <w:highlight w:val="none"/>
                      <w:vertAlign w:val="superscript"/>
                      <w:lang w:val="en-US" w:eastAsia="en-US" w:bidi="ar-SA"/>
                    </w:rPr>
                    <w:t>3</w:t>
                  </w:r>
                </w:p>
              </w:tc>
              <w:tc>
                <w:tcPr>
                  <w:tcW w:w="1388" w:type="pct"/>
                  <w:vMerge w:val="continue"/>
                  <w:tcBorders>
                    <w:tl2br w:val="nil"/>
                    <w:tr2bl w:val="nil"/>
                  </w:tcBorders>
                  <w:noWrap w:val="0"/>
                  <w:vAlign w:val="center"/>
                </w:tcPr>
                <w:p w14:paraId="41FCFCE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191235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7053CBA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0CC14D8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1小时平均</w:t>
                  </w:r>
                </w:p>
              </w:tc>
              <w:tc>
                <w:tcPr>
                  <w:tcW w:w="839" w:type="pct"/>
                  <w:tcBorders>
                    <w:tl2br w:val="nil"/>
                    <w:tr2bl w:val="nil"/>
                  </w:tcBorders>
                  <w:noWrap w:val="0"/>
                  <w:vAlign w:val="center"/>
                </w:tcPr>
                <w:p w14:paraId="2058108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10</w:t>
                  </w:r>
                </w:p>
              </w:tc>
              <w:tc>
                <w:tcPr>
                  <w:tcW w:w="511" w:type="pct"/>
                  <w:vMerge w:val="continue"/>
                  <w:tcBorders>
                    <w:tl2br w:val="nil"/>
                    <w:tr2bl w:val="nil"/>
                  </w:tcBorders>
                  <w:noWrap w:val="0"/>
                  <w:vAlign w:val="center"/>
                </w:tcPr>
                <w:p w14:paraId="7E09F62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675E6F8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44537C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32725A1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臭氧</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O</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3</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7417867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日最大8小时平均</w:t>
                  </w:r>
                </w:p>
              </w:tc>
              <w:tc>
                <w:tcPr>
                  <w:tcW w:w="839" w:type="pct"/>
                  <w:tcBorders>
                    <w:tl2br w:val="nil"/>
                    <w:tr2bl w:val="nil"/>
                  </w:tcBorders>
                  <w:noWrap w:val="0"/>
                  <w:vAlign w:val="center"/>
                </w:tcPr>
                <w:p w14:paraId="636C62D4">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w:t>
                  </w:r>
                  <w:r>
                    <w:rPr>
                      <w:rFonts w:hint="eastAsia" w:cs="Times New Roman"/>
                      <w:caps w:val="0"/>
                      <w:smallCaps w:val="0"/>
                      <w:color w:val="auto"/>
                      <w:spacing w:val="0"/>
                      <w:w w:val="100"/>
                      <w:kern w:val="2"/>
                      <w:position w:val="0"/>
                      <w:sz w:val="21"/>
                      <w:szCs w:val="21"/>
                      <w:highlight w:val="none"/>
                      <w:lang w:val="en-US" w:eastAsia="zh-CN" w:bidi="ar-SA"/>
                    </w:rPr>
                    <w:t>60</w:t>
                  </w:r>
                </w:p>
              </w:tc>
              <w:tc>
                <w:tcPr>
                  <w:tcW w:w="511" w:type="pct"/>
                  <w:vMerge w:val="restart"/>
                  <w:tcBorders>
                    <w:tl2br w:val="nil"/>
                    <w:tr2bl w:val="nil"/>
                  </w:tcBorders>
                  <w:noWrap w:val="0"/>
                  <w:vAlign w:val="center"/>
                </w:tcPr>
                <w:p w14:paraId="3A10768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μg/m</w:t>
                  </w:r>
                  <w:r>
                    <w:rPr>
                      <w:rFonts w:hint="default" w:ascii="Times New Roman" w:hAnsi="Times New Roman" w:eastAsia="宋体" w:cs="Times New Roman"/>
                      <w:caps w:val="0"/>
                      <w:smallCaps w:val="0"/>
                      <w:color w:val="auto"/>
                      <w:spacing w:val="0"/>
                      <w:w w:val="100"/>
                      <w:kern w:val="2"/>
                      <w:position w:val="0"/>
                      <w:sz w:val="21"/>
                      <w:szCs w:val="21"/>
                      <w:highlight w:val="none"/>
                      <w:vertAlign w:val="superscript"/>
                      <w:lang w:val="en-US" w:eastAsia="zh-CN" w:bidi="ar-SA"/>
                    </w:rPr>
                    <w:t>3</w:t>
                  </w:r>
                </w:p>
              </w:tc>
              <w:tc>
                <w:tcPr>
                  <w:tcW w:w="1388" w:type="pct"/>
                  <w:vMerge w:val="continue"/>
                  <w:tcBorders>
                    <w:tl2br w:val="nil"/>
                    <w:tr2bl w:val="nil"/>
                  </w:tcBorders>
                  <w:noWrap w:val="0"/>
                  <w:vAlign w:val="center"/>
                </w:tcPr>
                <w:p w14:paraId="594B56C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4B3394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080DD4F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3847745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1小时平均</w:t>
                  </w:r>
                </w:p>
              </w:tc>
              <w:tc>
                <w:tcPr>
                  <w:tcW w:w="839" w:type="pct"/>
                  <w:tcBorders>
                    <w:tl2br w:val="nil"/>
                    <w:tr2bl w:val="nil"/>
                  </w:tcBorders>
                  <w:noWrap w:val="0"/>
                  <w:vAlign w:val="center"/>
                </w:tcPr>
                <w:p w14:paraId="0A64B21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eastAsia" w:cs="Times New Roman"/>
                      <w:caps w:val="0"/>
                      <w:smallCaps w:val="0"/>
                      <w:color w:val="auto"/>
                      <w:spacing w:val="0"/>
                      <w:w w:val="100"/>
                      <w:kern w:val="2"/>
                      <w:position w:val="0"/>
                      <w:sz w:val="21"/>
                      <w:szCs w:val="21"/>
                      <w:highlight w:val="none"/>
                      <w:lang w:val="en-US" w:eastAsia="zh-CN" w:bidi="ar-SA"/>
                    </w:rPr>
                    <w:t>20</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0</w:t>
                  </w:r>
                </w:p>
              </w:tc>
              <w:tc>
                <w:tcPr>
                  <w:tcW w:w="511" w:type="pct"/>
                  <w:vMerge w:val="continue"/>
                  <w:tcBorders>
                    <w:tl2br w:val="nil"/>
                    <w:tr2bl w:val="nil"/>
                  </w:tcBorders>
                  <w:noWrap w:val="0"/>
                  <w:vAlign w:val="center"/>
                </w:tcPr>
                <w:p w14:paraId="26723BE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63061B8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41BC60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7C7B5A9A">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可吸入颗粒</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PM</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10</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0ADA61F6">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年平均</w:t>
                  </w:r>
                </w:p>
              </w:tc>
              <w:tc>
                <w:tcPr>
                  <w:tcW w:w="839" w:type="pct"/>
                  <w:tcBorders>
                    <w:tl2br w:val="nil"/>
                    <w:tr2bl w:val="nil"/>
                  </w:tcBorders>
                  <w:noWrap w:val="0"/>
                  <w:vAlign w:val="center"/>
                </w:tcPr>
                <w:p w14:paraId="554A3824">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eastAsia" w:cs="Times New Roman"/>
                      <w:caps w:val="0"/>
                      <w:smallCaps w:val="0"/>
                      <w:color w:val="auto"/>
                      <w:spacing w:val="0"/>
                      <w:w w:val="100"/>
                      <w:kern w:val="2"/>
                      <w:position w:val="0"/>
                      <w:sz w:val="21"/>
                      <w:szCs w:val="21"/>
                      <w:highlight w:val="none"/>
                      <w:lang w:val="en-US" w:eastAsia="zh-CN" w:bidi="ar-SA"/>
                    </w:rPr>
                    <w:t>60</w:t>
                  </w:r>
                </w:p>
              </w:tc>
              <w:tc>
                <w:tcPr>
                  <w:tcW w:w="511" w:type="pct"/>
                  <w:vMerge w:val="continue"/>
                  <w:tcBorders>
                    <w:tl2br w:val="nil"/>
                    <w:tr2bl w:val="nil"/>
                  </w:tcBorders>
                  <w:noWrap w:val="0"/>
                  <w:vAlign w:val="center"/>
                </w:tcPr>
                <w:p w14:paraId="72DA8FD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37B8EEA8">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0EE717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76E1D71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29F45F1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日平均</w:t>
                  </w:r>
                </w:p>
              </w:tc>
              <w:tc>
                <w:tcPr>
                  <w:tcW w:w="839" w:type="pct"/>
                  <w:tcBorders>
                    <w:tl2br w:val="nil"/>
                    <w:tr2bl w:val="nil"/>
                  </w:tcBorders>
                  <w:noWrap w:val="0"/>
                  <w:vAlign w:val="center"/>
                </w:tcPr>
                <w:p w14:paraId="4B0570D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eastAsia" w:cs="Times New Roman"/>
                      <w:caps w:val="0"/>
                      <w:smallCaps w:val="0"/>
                      <w:color w:val="auto"/>
                      <w:spacing w:val="0"/>
                      <w:w w:val="100"/>
                      <w:kern w:val="2"/>
                      <w:position w:val="0"/>
                      <w:sz w:val="21"/>
                      <w:szCs w:val="21"/>
                      <w:highlight w:val="none"/>
                      <w:lang w:val="en-US" w:eastAsia="zh-CN" w:bidi="ar-SA"/>
                    </w:rPr>
                    <w:t>120</w:t>
                  </w:r>
                </w:p>
              </w:tc>
              <w:tc>
                <w:tcPr>
                  <w:tcW w:w="511" w:type="pct"/>
                  <w:vMerge w:val="continue"/>
                  <w:tcBorders>
                    <w:tl2br w:val="nil"/>
                    <w:tr2bl w:val="nil"/>
                  </w:tcBorders>
                  <w:noWrap w:val="0"/>
                  <w:vAlign w:val="center"/>
                </w:tcPr>
                <w:p w14:paraId="2CBE0E0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6BA0AC7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6835A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02E94A48">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细颗粒物</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PM</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2.5</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44BD0468">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年平均</w:t>
                  </w:r>
                </w:p>
              </w:tc>
              <w:tc>
                <w:tcPr>
                  <w:tcW w:w="839" w:type="pct"/>
                  <w:tcBorders>
                    <w:tl2br w:val="nil"/>
                    <w:tr2bl w:val="nil"/>
                  </w:tcBorders>
                  <w:noWrap w:val="0"/>
                  <w:vAlign w:val="center"/>
                </w:tcPr>
                <w:p w14:paraId="4DA832A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eastAsia" w:cs="Times New Roman"/>
                      <w:caps w:val="0"/>
                      <w:smallCaps w:val="0"/>
                      <w:color w:val="auto"/>
                      <w:spacing w:val="0"/>
                      <w:w w:val="100"/>
                      <w:kern w:val="2"/>
                      <w:position w:val="0"/>
                      <w:sz w:val="21"/>
                      <w:szCs w:val="21"/>
                      <w:highlight w:val="none"/>
                      <w:lang w:val="en-US" w:eastAsia="zh-CN" w:bidi="ar-SA"/>
                    </w:rPr>
                    <w:t>30</w:t>
                  </w:r>
                </w:p>
              </w:tc>
              <w:tc>
                <w:tcPr>
                  <w:tcW w:w="511" w:type="pct"/>
                  <w:vMerge w:val="continue"/>
                  <w:tcBorders>
                    <w:tl2br w:val="nil"/>
                    <w:tr2bl w:val="nil"/>
                  </w:tcBorders>
                  <w:noWrap w:val="0"/>
                  <w:vAlign w:val="center"/>
                </w:tcPr>
                <w:p w14:paraId="439E8C4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7C59980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173D4A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56C6508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6195BCE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日平均</w:t>
                  </w:r>
                </w:p>
              </w:tc>
              <w:tc>
                <w:tcPr>
                  <w:tcW w:w="839" w:type="pct"/>
                  <w:tcBorders>
                    <w:tl2br w:val="nil"/>
                    <w:tr2bl w:val="nil"/>
                  </w:tcBorders>
                  <w:noWrap w:val="0"/>
                  <w:vAlign w:val="center"/>
                </w:tcPr>
                <w:p w14:paraId="5A55C24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eastAsia" w:cs="Times New Roman"/>
                      <w:caps w:val="0"/>
                      <w:smallCaps w:val="0"/>
                      <w:color w:val="auto"/>
                      <w:spacing w:val="0"/>
                      <w:w w:val="100"/>
                      <w:kern w:val="2"/>
                      <w:position w:val="0"/>
                      <w:sz w:val="21"/>
                      <w:szCs w:val="21"/>
                      <w:highlight w:val="none"/>
                      <w:lang w:val="en-US" w:eastAsia="zh-CN" w:bidi="ar-SA"/>
                    </w:rPr>
                    <w:t>60</w:t>
                  </w:r>
                </w:p>
              </w:tc>
              <w:tc>
                <w:tcPr>
                  <w:tcW w:w="511" w:type="pct"/>
                  <w:vMerge w:val="continue"/>
                  <w:tcBorders>
                    <w:tl2br w:val="nil"/>
                    <w:tr2bl w:val="nil"/>
                  </w:tcBorders>
                  <w:noWrap w:val="0"/>
                  <w:vAlign w:val="center"/>
                </w:tcPr>
                <w:p w14:paraId="4DB5E6D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531F8B5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bl>
          <w:p w14:paraId="6876E67C">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2</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声环境</w:t>
            </w:r>
          </w:p>
          <w:p w14:paraId="6D58E039">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根据声环境功能区划</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位于拟建项目两侧红线外35m以内的区域执行《声环境质量标准》</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GB3096-2008</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4a类标准，35m以外区域执行2类标准</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，详见表</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3-</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8</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p>
          <w:p w14:paraId="432D7AFA">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t>表</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bidi="ar-SA"/>
              </w:rPr>
              <w:t>3-</w:t>
            </w:r>
            <w:r>
              <w:rPr>
                <w:rFonts w:hint="eastAsia" w:ascii="Times New Roman" w:hAnsi="Times New Roman" w:eastAsia="宋体" w:cs="Times New Roman"/>
                <w:b/>
                <w:caps w:val="0"/>
                <w:smallCaps w:val="0"/>
                <w:color w:val="auto"/>
                <w:spacing w:val="0"/>
                <w:w w:val="100"/>
                <w:kern w:val="2"/>
                <w:position w:val="0"/>
                <w:sz w:val="21"/>
                <w:szCs w:val="21"/>
                <w:highlight w:val="none"/>
                <w:lang w:val="en-US" w:eastAsia="zh-CN" w:bidi="ar-SA"/>
              </w:rPr>
              <w:t xml:space="preserve">8    </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t>声环境质量标准单位：dB</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t>A</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bidi="ar-SA"/>
              </w:rPr>
              <w:t>）</w:t>
            </w:r>
          </w:p>
          <w:tbl>
            <w:tblPr>
              <w:tblStyle w:val="28"/>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autofit"/>
              <w:tblCellMar>
                <w:top w:w="0" w:type="dxa"/>
                <w:left w:w="0" w:type="dxa"/>
                <w:bottom w:w="0" w:type="dxa"/>
                <w:right w:w="0" w:type="dxa"/>
              </w:tblCellMar>
            </w:tblPr>
            <w:tblGrid>
              <w:gridCol w:w="2163"/>
              <w:gridCol w:w="1100"/>
              <w:gridCol w:w="1100"/>
              <w:gridCol w:w="3447"/>
            </w:tblGrid>
            <w:tr w14:paraId="07C3FA45">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0" w:hRule="atLeast"/>
                <w:jc w:val="center"/>
              </w:trPr>
              <w:tc>
                <w:tcPr>
                  <w:tcW w:w="1384" w:type="pct"/>
                  <w:vMerge w:val="restart"/>
                  <w:tcBorders>
                    <w:tl2br w:val="nil"/>
                    <w:tr2bl w:val="nil"/>
                  </w:tcBorders>
                  <w:noWrap w:val="0"/>
                  <w:vAlign w:val="center"/>
                </w:tcPr>
                <w:p w14:paraId="673374F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采用级别</w:t>
                  </w:r>
                </w:p>
              </w:tc>
              <w:tc>
                <w:tcPr>
                  <w:tcW w:w="1408" w:type="pct"/>
                  <w:gridSpan w:val="2"/>
                  <w:tcBorders>
                    <w:tl2br w:val="nil"/>
                    <w:tr2bl w:val="nil"/>
                  </w:tcBorders>
                  <w:noWrap w:val="0"/>
                  <w:vAlign w:val="center"/>
                </w:tcPr>
                <w:p w14:paraId="0193C6E6">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标准值</w:t>
                  </w:r>
                </w:p>
              </w:tc>
              <w:tc>
                <w:tcPr>
                  <w:tcW w:w="2206" w:type="pct"/>
                  <w:vMerge w:val="restart"/>
                  <w:tcBorders>
                    <w:tl2br w:val="nil"/>
                    <w:tr2bl w:val="nil"/>
                  </w:tcBorders>
                  <w:noWrap w:val="0"/>
                  <w:vAlign w:val="center"/>
                </w:tcPr>
                <w:p w14:paraId="1DB8303A">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标准来源</w:t>
                  </w:r>
                </w:p>
              </w:tc>
            </w:tr>
            <w:tr w14:paraId="4C33157B">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0" w:hRule="atLeast"/>
                <w:jc w:val="center"/>
              </w:trPr>
              <w:tc>
                <w:tcPr>
                  <w:tcW w:w="1384" w:type="pct"/>
                  <w:vMerge w:val="continue"/>
                  <w:tcBorders>
                    <w:tl2br w:val="nil"/>
                    <w:tr2bl w:val="nil"/>
                  </w:tcBorders>
                  <w:noWrap w:val="0"/>
                  <w:vAlign w:val="center"/>
                </w:tcPr>
                <w:p w14:paraId="64EA148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p>
              </w:tc>
              <w:tc>
                <w:tcPr>
                  <w:tcW w:w="704" w:type="pct"/>
                  <w:tcBorders>
                    <w:tl2br w:val="nil"/>
                    <w:tr2bl w:val="nil"/>
                  </w:tcBorders>
                  <w:noWrap w:val="0"/>
                  <w:vAlign w:val="center"/>
                </w:tcPr>
                <w:p w14:paraId="428E95D5">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昼间</w:t>
                  </w:r>
                </w:p>
              </w:tc>
              <w:tc>
                <w:tcPr>
                  <w:tcW w:w="704" w:type="pct"/>
                  <w:tcBorders>
                    <w:tl2br w:val="nil"/>
                    <w:tr2bl w:val="nil"/>
                  </w:tcBorders>
                  <w:noWrap w:val="0"/>
                  <w:vAlign w:val="center"/>
                </w:tcPr>
                <w:p w14:paraId="4731010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夜间</w:t>
                  </w:r>
                </w:p>
              </w:tc>
              <w:tc>
                <w:tcPr>
                  <w:tcW w:w="2206" w:type="pct"/>
                  <w:vMerge w:val="continue"/>
                  <w:tcBorders>
                    <w:tl2br w:val="nil"/>
                    <w:tr2bl w:val="nil"/>
                  </w:tcBorders>
                  <w:noWrap w:val="0"/>
                  <w:vAlign w:val="center"/>
                </w:tcPr>
                <w:p w14:paraId="2405651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p>
              </w:tc>
            </w:tr>
            <w:tr w14:paraId="15CF167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0" w:hRule="atLeast"/>
                <w:jc w:val="center"/>
              </w:trPr>
              <w:tc>
                <w:tcPr>
                  <w:tcW w:w="1384" w:type="pct"/>
                  <w:tcBorders>
                    <w:tl2br w:val="nil"/>
                    <w:tr2bl w:val="nil"/>
                  </w:tcBorders>
                  <w:noWrap w:val="0"/>
                  <w:vAlign w:val="center"/>
                </w:tcPr>
                <w:p w14:paraId="3CBAAE65">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2</w:t>
                  </w: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类</w:t>
                  </w:r>
                </w:p>
              </w:tc>
              <w:tc>
                <w:tcPr>
                  <w:tcW w:w="704" w:type="pct"/>
                  <w:tcBorders>
                    <w:tl2br w:val="nil"/>
                    <w:tr2bl w:val="nil"/>
                  </w:tcBorders>
                  <w:noWrap w:val="0"/>
                  <w:vAlign w:val="center"/>
                </w:tcPr>
                <w:p w14:paraId="6782175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60</w:t>
                  </w:r>
                </w:p>
              </w:tc>
              <w:tc>
                <w:tcPr>
                  <w:tcW w:w="704" w:type="pct"/>
                  <w:tcBorders>
                    <w:tl2br w:val="nil"/>
                    <w:tr2bl w:val="nil"/>
                  </w:tcBorders>
                  <w:noWrap w:val="0"/>
                  <w:vAlign w:val="center"/>
                </w:tcPr>
                <w:p w14:paraId="5662B76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50</w:t>
                  </w:r>
                </w:p>
              </w:tc>
              <w:tc>
                <w:tcPr>
                  <w:tcW w:w="2206" w:type="pct"/>
                  <w:vMerge w:val="restart"/>
                  <w:tcBorders>
                    <w:tl2br w:val="nil"/>
                    <w:tr2bl w:val="nil"/>
                  </w:tcBorders>
                  <w:noWrap w:val="0"/>
                  <w:vAlign w:val="center"/>
                </w:tcPr>
                <w:p w14:paraId="097A9BC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GB3096</w:t>
                  </w:r>
                  <w:r>
                    <w:rPr>
                      <w:rFonts w:hint="eastAsia"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2008</w:t>
                  </w:r>
                </w:p>
              </w:tc>
            </w:tr>
            <w:tr w14:paraId="61DCFB4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0" w:hRule="atLeast"/>
                <w:jc w:val="center"/>
              </w:trPr>
              <w:tc>
                <w:tcPr>
                  <w:tcW w:w="1384" w:type="pct"/>
                  <w:tcBorders>
                    <w:tl2br w:val="nil"/>
                    <w:tr2bl w:val="nil"/>
                  </w:tcBorders>
                  <w:noWrap w:val="0"/>
                  <w:vAlign w:val="center"/>
                </w:tcPr>
                <w:p w14:paraId="633A115F">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4a</w:t>
                  </w:r>
                </w:p>
              </w:tc>
              <w:tc>
                <w:tcPr>
                  <w:tcW w:w="704" w:type="pct"/>
                  <w:tcBorders>
                    <w:tl2br w:val="nil"/>
                    <w:tr2bl w:val="nil"/>
                  </w:tcBorders>
                  <w:noWrap w:val="0"/>
                  <w:vAlign w:val="center"/>
                </w:tcPr>
                <w:p w14:paraId="40D63B35">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70</w:t>
                  </w:r>
                </w:p>
              </w:tc>
              <w:tc>
                <w:tcPr>
                  <w:tcW w:w="704" w:type="pct"/>
                  <w:tcBorders>
                    <w:tl2br w:val="nil"/>
                    <w:tr2bl w:val="nil"/>
                  </w:tcBorders>
                  <w:noWrap w:val="0"/>
                  <w:vAlign w:val="center"/>
                </w:tcPr>
                <w:p w14:paraId="026D73F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55</w:t>
                  </w:r>
                </w:p>
              </w:tc>
              <w:tc>
                <w:tcPr>
                  <w:tcW w:w="2206" w:type="pct"/>
                  <w:vMerge w:val="continue"/>
                  <w:tcBorders>
                    <w:tl2br w:val="nil"/>
                    <w:tr2bl w:val="nil"/>
                  </w:tcBorders>
                  <w:noWrap w:val="0"/>
                  <w:vAlign w:val="center"/>
                </w:tcPr>
                <w:p w14:paraId="7D097AB7">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p>
              </w:tc>
            </w:tr>
          </w:tbl>
          <w:p w14:paraId="198FBEF3">
            <w:pPr>
              <w:pStyle w:val="11"/>
              <w:keepNext w:val="0"/>
              <w:keepLines w:val="0"/>
              <w:pageBreakBefore w:val="0"/>
              <w:kinsoku/>
              <w:wordWrap/>
              <w:overflowPunct/>
              <w:topLinePunct w:val="0"/>
              <w:autoSpaceDE/>
              <w:autoSpaceDN/>
              <w:bidi w:val="0"/>
              <w:snapToGrid w:val="0"/>
              <w:spacing w:before="0" w:beforeAutospacing="0" w:after="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2</w:t>
            </w:r>
            <w:r>
              <w:rPr>
                <w:rFonts w:hint="default" w:ascii="Times New Roman" w:hAnsi="Times New Roman" w:eastAsia="宋体" w:cs="Times New Roman"/>
                <w:b/>
                <w:bCs/>
                <w:caps w:val="0"/>
                <w:smallCaps w:val="0"/>
                <w:color w:val="auto"/>
                <w:spacing w:val="0"/>
                <w:w w:val="100"/>
                <w:kern w:val="2"/>
                <w:position w:val="0"/>
                <w:sz w:val="24"/>
                <w:szCs w:val="24"/>
                <w:highlight w:val="none"/>
              </w:rPr>
              <w:t>污染物排放标准</w:t>
            </w:r>
          </w:p>
          <w:p w14:paraId="72622C8E">
            <w:pPr>
              <w:pStyle w:val="46"/>
              <w:keepNext w:val="0"/>
              <w:keepLines w:val="0"/>
              <w:pageBreakBefore w:val="0"/>
              <w:numPr>
                <w:ilvl w:val="0"/>
                <w:numId w:val="0"/>
              </w:numPr>
              <w:kinsoku/>
              <w:wordWrap/>
              <w:overflowPunct/>
              <w:topLinePunct w:val="0"/>
              <w:bidi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b w:val="0"/>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caps w:val="0"/>
                <w:smallCaps w:val="0"/>
                <w:color w:val="auto"/>
                <w:spacing w:val="0"/>
                <w:w w:val="100"/>
                <w:kern w:val="2"/>
                <w:position w:val="0"/>
                <w:sz w:val="24"/>
                <w:szCs w:val="24"/>
                <w:highlight w:val="none"/>
                <w:lang w:val="en-US" w:eastAsia="zh-CN"/>
              </w:rPr>
              <w:t>（1）废气</w:t>
            </w:r>
          </w:p>
          <w:p w14:paraId="03AC0B1C">
            <w:pPr>
              <w:keepNext w:val="0"/>
              <w:keepLines w:val="0"/>
              <w:pageBreakBefore w:val="0"/>
              <w:widowControl w:val="0"/>
              <w:numPr>
                <w:ilvl w:val="0"/>
                <w:numId w:val="0"/>
              </w:numPr>
              <w:kinsoku/>
              <w:wordWrap/>
              <w:overflowPunct/>
              <w:topLinePunct w:val="0"/>
              <w:autoSpaceDE/>
              <w:autoSpaceDN/>
              <w:bidi w:val="0"/>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highlight w:val="none"/>
                <w:lang w:val="en-US" w:eastAsia="zh-CN"/>
              </w:rPr>
              <w:t>项目道路施工现场大气污染物为土石方开挖、运输排放的粉尘，排放标准</w:t>
            </w:r>
            <w:r>
              <w:rPr>
                <w:rFonts w:hint="default" w:ascii="Times New Roman" w:hAnsi="Times New Roman" w:eastAsia="宋体" w:cs="Times New Roman"/>
                <w:caps w:val="0"/>
                <w:smallCaps w:val="0"/>
                <w:color w:val="auto"/>
                <w:spacing w:val="0"/>
                <w:w w:val="100"/>
                <w:kern w:val="2"/>
                <w:position w:val="0"/>
                <w:sz w:val="24"/>
                <w:highlight w:val="none"/>
                <w:lang w:eastAsia="zh-CN"/>
              </w:rPr>
              <w:t>执行</w:t>
            </w:r>
            <w:r>
              <w:rPr>
                <w:rFonts w:hint="default" w:ascii="Times New Roman" w:hAnsi="Times New Roman" w:eastAsia="宋体" w:cs="Times New Roman"/>
                <w:caps w:val="0"/>
                <w:smallCaps w:val="0"/>
                <w:color w:val="auto"/>
                <w:spacing w:val="0"/>
                <w:w w:val="100"/>
                <w:kern w:val="2"/>
                <w:position w:val="0"/>
                <w:sz w:val="24"/>
                <w:highlight w:val="none"/>
              </w:rPr>
              <w:t>《大气污染物综合排放标准》</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GB16297—1996</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中无组织排放</w:t>
            </w:r>
            <w:r>
              <w:rPr>
                <w:rFonts w:hint="default" w:ascii="Times New Roman" w:hAnsi="Times New Roman" w:eastAsia="宋体" w:cs="Times New Roman"/>
                <w:caps w:val="0"/>
                <w:smallCaps w:val="0"/>
                <w:color w:val="auto"/>
                <w:spacing w:val="0"/>
                <w:w w:val="100"/>
                <w:kern w:val="2"/>
                <w:position w:val="0"/>
                <w:sz w:val="24"/>
                <w:highlight w:val="none"/>
                <w:lang w:eastAsia="zh-CN"/>
              </w:rPr>
              <w:t>监控浓度</w:t>
            </w:r>
            <w:r>
              <w:rPr>
                <w:rFonts w:hint="default" w:ascii="Times New Roman" w:hAnsi="Times New Roman" w:eastAsia="宋体" w:cs="Times New Roman"/>
                <w:caps w:val="0"/>
                <w:smallCaps w:val="0"/>
                <w:color w:val="auto"/>
                <w:spacing w:val="0"/>
                <w:w w:val="100"/>
                <w:kern w:val="2"/>
                <w:position w:val="0"/>
                <w:sz w:val="24"/>
                <w:highlight w:val="none"/>
              </w:rPr>
              <w:t>限值要求</w:t>
            </w:r>
            <w:r>
              <w:rPr>
                <w:rFonts w:hint="default" w:ascii="Times New Roman" w:hAnsi="Times New Roman" w:eastAsia="宋体" w:cs="Times New Roman"/>
                <w:caps w:val="0"/>
                <w:smallCaps w:val="0"/>
                <w:color w:val="auto"/>
                <w:spacing w:val="0"/>
                <w:w w:val="100"/>
                <w:kern w:val="2"/>
                <w:position w:val="0"/>
                <w:sz w:val="24"/>
                <w:highlight w:val="none"/>
                <w:lang w:eastAsia="zh-CN"/>
              </w:rPr>
              <w:t>（周界外浓度最高点</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1.0mg/m</w:t>
            </w:r>
            <w:r>
              <w:rPr>
                <w:rFonts w:hint="default" w:ascii="Times New Roman" w:hAnsi="Times New Roman" w:eastAsia="宋体" w:cs="Times New Roman"/>
                <w:caps w:val="0"/>
                <w:smallCaps w:val="0"/>
                <w:color w:val="auto"/>
                <w:spacing w:val="0"/>
                <w:w w:val="100"/>
                <w:kern w:val="2"/>
                <w:position w:val="0"/>
                <w:sz w:val="24"/>
                <w:highlight w:val="none"/>
                <w:vertAlign w:val="superscript"/>
                <w:lang w:val="en-US" w:eastAsia="zh-CN"/>
              </w:rPr>
              <w:t>3</w:t>
            </w:r>
            <w:r>
              <w:rPr>
                <w:rFonts w:hint="default"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。路面沥青铺设</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施工中沥青烟气排放执行《大气污染物综合排放标准》（GB16297-1996）中的二级标准，具体见表3</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w:t>
            </w:r>
          </w:p>
          <w:p w14:paraId="000C41E5">
            <w:pPr>
              <w:keepNext w:val="0"/>
              <w:keepLines w:val="0"/>
              <w:pageBreakBefore w:val="0"/>
              <w:kinsoku/>
              <w:wordWrap/>
              <w:overflowPunct/>
              <w:topLinePunct w:val="0"/>
              <w:bidi w:val="0"/>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p>
          <w:p w14:paraId="25DD9FAB">
            <w:pPr>
              <w:keepNext w:val="0"/>
              <w:keepLines w:val="0"/>
              <w:pageBreakBefore w:val="0"/>
              <w:kinsoku/>
              <w:wordWrap/>
              <w:overflowPunct/>
              <w:topLinePunct w:val="0"/>
              <w:bidi w:val="0"/>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p>
          <w:p w14:paraId="726D119C">
            <w:pPr>
              <w:keepNext w:val="0"/>
              <w:keepLines w:val="0"/>
              <w:pageBreakBefore w:val="0"/>
              <w:kinsoku/>
              <w:wordWrap/>
              <w:overflowPunct/>
              <w:topLinePunct w:val="0"/>
              <w:bidi w:val="0"/>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表3-</w:t>
            </w: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9</w:t>
            </w: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大气污染物综合排放标准（节选）单位：mg/m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lang w:val="en-US" w:eastAsia="zh-CN"/>
              </w:rPr>
              <w:t>3</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3542"/>
              <w:gridCol w:w="2619"/>
            </w:tblGrid>
            <w:tr w14:paraId="6B2E3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vMerge w:val="restart"/>
                  <w:tcBorders>
                    <w:tl2br w:val="nil"/>
                    <w:tr2bl w:val="nil"/>
                  </w:tcBorders>
                  <w:noWrap w:val="0"/>
                  <w:vAlign w:val="center"/>
                </w:tcPr>
                <w:p w14:paraId="52BCFB1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污染物</w:t>
                  </w:r>
                </w:p>
              </w:tc>
              <w:tc>
                <w:tcPr>
                  <w:tcW w:w="3943" w:type="pct"/>
                  <w:gridSpan w:val="2"/>
                  <w:tcBorders>
                    <w:tl2br w:val="nil"/>
                    <w:tr2bl w:val="nil"/>
                  </w:tcBorders>
                  <w:noWrap w:val="0"/>
                  <w:vAlign w:val="center"/>
                </w:tcPr>
                <w:p w14:paraId="4F3A57E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无组织排放监控浓度限值</w:t>
                  </w:r>
                </w:p>
              </w:tc>
            </w:tr>
            <w:tr w14:paraId="017C6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vMerge w:val="continue"/>
                  <w:tcBorders>
                    <w:tl2br w:val="nil"/>
                    <w:tr2bl w:val="nil"/>
                  </w:tcBorders>
                  <w:noWrap w:val="0"/>
                  <w:vAlign w:val="center"/>
                </w:tcPr>
                <w:p w14:paraId="145219D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p>
              </w:tc>
              <w:tc>
                <w:tcPr>
                  <w:tcW w:w="2267" w:type="pct"/>
                  <w:tcBorders>
                    <w:tl2br w:val="nil"/>
                    <w:tr2bl w:val="nil"/>
                  </w:tcBorders>
                  <w:noWrap w:val="0"/>
                  <w:vAlign w:val="center"/>
                </w:tcPr>
                <w:p w14:paraId="1C685F5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监控点</w:t>
                  </w:r>
                </w:p>
              </w:tc>
              <w:tc>
                <w:tcPr>
                  <w:tcW w:w="1676" w:type="pct"/>
                  <w:tcBorders>
                    <w:tl2br w:val="nil"/>
                    <w:tr2bl w:val="nil"/>
                  </w:tcBorders>
                  <w:noWrap w:val="0"/>
                  <w:vAlign w:val="center"/>
                </w:tcPr>
                <w:p w14:paraId="001A9C4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浓度</w:t>
                  </w:r>
                </w:p>
              </w:tc>
            </w:tr>
            <w:tr w14:paraId="7BCFE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tcBorders>
                    <w:tl2br w:val="nil"/>
                    <w:tr2bl w:val="nil"/>
                  </w:tcBorders>
                  <w:noWrap w:val="0"/>
                  <w:vAlign w:val="center"/>
                </w:tcPr>
                <w:p w14:paraId="7A203EA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沥青烟</w:t>
                  </w:r>
                </w:p>
              </w:tc>
              <w:tc>
                <w:tcPr>
                  <w:tcW w:w="3943" w:type="pct"/>
                  <w:gridSpan w:val="2"/>
                  <w:tcBorders>
                    <w:tl2br w:val="nil"/>
                    <w:tr2bl w:val="nil"/>
                  </w:tcBorders>
                  <w:noWrap w:val="0"/>
                  <w:vAlign w:val="center"/>
                </w:tcPr>
                <w:p w14:paraId="15395F8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生产设备不得有明显的无组织排放存在</w:t>
                  </w:r>
                </w:p>
              </w:tc>
            </w:tr>
            <w:tr w14:paraId="38EF7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tcBorders>
                    <w:tl2br w:val="nil"/>
                    <w:tr2bl w:val="nil"/>
                  </w:tcBorders>
                  <w:noWrap w:val="0"/>
                  <w:vAlign w:val="center"/>
                </w:tcPr>
                <w:p w14:paraId="70A09DE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颗粒物</w:t>
                  </w:r>
                </w:p>
              </w:tc>
              <w:tc>
                <w:tcPr>
                  <w:tcW w:w="3943" w:type="pct"/>
                  <w:gridSpan w:val="2"/>
                  <w:tcBorders>
                    <w:tl2br w:val="nil"/>
                    <w:tr2bl w:val="nil"/>
                  </w:tcBorders>
                  <w:noWrap w:val="0"/>
                  <w:vAlign w:val="center"/>
                </w:tcPr>
                <w:p w14:paraId="1B66B62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1.0</w:t>
                  </w:r>
                </w:p>
              </w:tc>
            </w:tr>
          </w:tbl>
          <w:p w14:paraId="2CF355C0">
            <w:pPr>
              <w:pageBreakBefore w:val="0"/>
              <w:wordWrap/>
              <w:topLinePunct w:val="0"/>
              <w:autoSpaceDE w:val="0"/>
              <w:autoSpaceDN w:val="0"/>
              <w:bidi w:val="0"/>
              <w:spacing w:beforeAutospacing="0" w:afterAutospacing="0" w:line="384" w:lineRule="auto"/>
              <w:ind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2"/>
                <w:highlight w:val="none"/>
                <w:lang w:eastAsia="zh-CN"/>
              </w:rPr>
              <w:t>（</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2</w:t>
            </w:r>
            <w:r>
              <w:rPr>
                <w:rFonts w:hint="eastAsia" w:ascii="Times New Roman" w:hAnsi="Times New Roman" w:eastAsia="宋体" w:cs="Times New Roman"/>
                <w:caps w:val="0"/>
                <w:smallCaps w:val="0"/>
                <w:color w:val="auto"/>
                <w:spacing w:val="0"/>
                <w:w w:val="100"/>
                <w:kern w:val="2"/>
                <w:position w:val="0"/>
                <w:sz w:val="24"/>
                <w:szCs w:val="22"/>
                <w:highlight w:val="none"/>
                <w:lang w:eastAsia="zh-CN"/>
              </w:rPr>
              <w:t>）</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废水</w:t>
            </w:r>
          </w:p>
          <w:p w14:paraId="151FA0E5">
            <w:pPr>
              <w:pageBreakBefore w:val="0"/>
              <w:wordWrap/>
              <w:topLinePunct w:val="0"/>
              <w:autoSpaceDE w:val="0"/>
              <w:autoSpaceDN w:val="0"/>
              <w:bidi w:val="0"/>
              <w:spacing w:beforeAutospacing="0" w:afterAutospacing="0" w:line="384" w:lineRule="auto"/>
              <w:ind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本项目施工期废水不外排，运营期雨水经桥梁两侧导排系统汇集排放至桥梁两侧。</w:t>
            </w:r>
          </w:p>
          <w:p w14:paraId="78D2E7AE">
            <w:pPr>
              <w:pageBreakBefore w:val="0"/>
              <w:wordWrap/>
              <w:topLinePunct w:val="0"/>
              <w:autoSpaceDE w:val="0"/>
              <w:autoSpaceDN w:val="0"/>
              <w:bidi w:val="0"/>
              <w:spacing w:beforeAutospacing="0" w:afterAutospacing="0" w:line="384" w:lineRule="auto"/>
              <w:ind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（3）噪声</w:t>
            </w:r>
          </w:p>
          <w:p w14:paraId="45744DA9">
            <w:pPr>
              <w:pageBreakBefore w:val="0"/>
              <w:wordWrap/>
              <w:topLinePunct w:val="0"/>
              <w:autoSpaceDE w:val="0"/>
              <w:autoSpaceDN w:val="0"/>
              <w:bidi w:val="0"/>
              <w:spacing w:beforeAutospacing="0" w:afterAutospacing="0" w:line="384" w:lineRule="auto"/>
              <w:ind w:left="0" w:leftChars="0"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施工噪声执行《建筑施工噪声排放标准》（GB12523-20</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25</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具体指标见表</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3-</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10</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p>
          <w:p w14:paraId="33FD6881">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firstLine="422" w:firstLineChars="200"/>
              <w:jc w:val="left"/>
              <w:textAlignment w:val="auto"/>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pPr>
          </w:p>
          <w:p w14:paraId="2CCA721A">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firstLine="422" w:firstLineChars="200"/>
              <w:jc w:val="left"/>
              <w:textAlignment w:val="auto"/>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t>表</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bidi="ar-SA"/>
              </w:rPr>
              <w:t>3-</w:t>
            </w:r>
            <w:r>
              <w:rPr>
                <w:rFonts w:hint="eastAsia" w:ascii="Times New Roman" w:hAnsi="Times New Roman" w:eastAsia="宋体" w:cs="Times New Roman"/>
                <w:b/>
                <w:caps w:val="0"/>
                <w:smallCaps w:val="0"/>
                <w:color w:val="auto"/>
                <w:spacing w:val="0"/>
                <w:w w:val="100"/>
                <w:kern w:val="2"/>
                <w:position w:val="0"/>
                <w:sz w:val="21"/>
                <w:szCs w:val="21"/>
                <w:highlight w:val="none"/>
                <w:lang w:val="en-US" w:eastAsia="zh-CN" w:bidi="ar-SA"/>
              </w:rPr>
              <w:t xml:space="preserve">10    </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t>《建筑施工噪声排放标准》（GB12523-2025）</w:t>
            </w:r>
            <w:r>
              <w:rPr>
                <w:rFonts w:hint="eastAsia" w:ascii="Times New Roman" w:hAnsi="Times New Roman" w:eastAsia="宋体" w:cs="Times New Roman"/>
                <w:b/>
                <w:caps w:val="0"/>
                <w:smallCaps w:val="0"/>
                <w:color w:val="auto"/>
                <w:spacing w:val="0"/>
                <w:w w:val="100"/>
                <w:kern w:val="2"/>
                <w:position w:val="0"/>
                <w:sz w:val="21"/>
                <w:szCs w:val="21"/>
                <w:highlight w:val="none"/>
                <w:lang w:val="en-US" w:eastAsia="zh-CN" w:bidi="ar-SA"/>
              </w:rPr>
              <w:t xml:space="preserve">   </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en-US" w:bidi="ar-SA"/>
              </w:rPr>
              <w:t>单位：dB（A）</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autofit"/>
              <w:tblCellMar>
                <w:top w:w="0" w:type="dxa"/>
                <w:left w:w="0" w:type="dxa"/>
                <w:bottom w:w="0" w:type="dxa"/>
                <w:right w:w="0" w:type="dxa"/>
              </w:tblCellMar>
            </w:tblPr>
            <w:tblGrid>
              <w:gridCol w:w="3906"/>
              <w:gridCol w:w="3906"/>
            </w:tblGrid>
            <w:tr w14:paraId="0C5E1203">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272" w:hRule="atLeast"/>
                <w:jc w:val="center"/>
              </w:trPr>
              <w:tc>
                <w:tcPr>
                  <w:tcW w:w="2500" w:type="pct"/>
                  <w:tcBorders>
                    <w:tl2br w:val="nil"/>
                    <w:tr2bl w:val="nil"/>
                  </w:tcBorders>
                  <w:noWrap w:val="0"/>
                  <w:vAlign w:val="top"/>
                </w:tcPr>
                <w:p w14:paraId="03BB9D6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en-US" w:bidi="ar-SA"/>
                    </w:rPr>
                    <w:t>昼间</w:t>
                  </w:r>
                </w:p>
              </w:tc>
              <w:tc>
                <w:tcPr>
                  <w:tcW w:w="2500" w:type="pct"/>
                  <w:tcBorders>
                    <w:tl2br w:val="nil"/>
                    <w:tr2bl w:val="nil"/>
                  </w:tcBorders>
                  <w:noWrap w:val="0"/>
                  <w:vAlign w:val="top"/>
                </w:tcPr>
                <w:p w14:paraId="651D948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en-US" w:bidi="ar-SA"/>
                    </w:rPr>
                    <w:t>夜间</w:t>
                  </w:r>
                </w:p>
              </w:tc>
            </w:tr>
            <w:tr w14:paraId="2622C0A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41" w:hRule="atLeast"/>
                <w:jc w:val="center"/>
              </w:trPr>
              <w:tc>
                <w:tcPr>
                  <w:tcW w:w="2500" w:type="pct"/>
                  <w:tcBorders>
                    <w:tl2br w:val="nil"/>
                    <w:tr2bl w:val="nil"/>
                  </w:tcBorders>
                  <w:noWrap w:val="0"/>
                  <w:vAlign w:val="top"/>
                </w:tcPr>
                <w:p w14:paraId="1E9CE95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70</w:t>
                  </w:r>
                </w:p>
              </w:tc>
              <w:tc>
                <w:tcPr>
                  <w:tcW w:w="2500" w:type="pct"/>
                  <w:tcBorders>
                    <w:tl2br w:val="nil"/>
                    <w:tr2bl w:val="nil"/>
                  </w:tcBorders>
                  <w:noWrap w:val="0"/>
                  <w:vAlign w:val="top"/>
                </w:tcPr>
                <w:p w14:paraId="6D7E3A4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55</w:t>
                  </w:r>
                </w:p>
              </w:tc>
            </w:tr>
          </w:tbl>
          <w:p w14:paraId="0565F43F">
            <w:pPr>
              <w:pageBreakBefore w:val="0"/>
              <w:wordWrap/>
              <w:topLinePunct w:val="0"/>
              <w:autoSpaceDE w:val="0"/>
              <w:autoSpaceDN w:val="0"/>
              <w:bidi w:val="0"/>
              <w:spacing w:beforeAutospacing="0" w:afterAutospacing="0" w:line="384" w:lineRule="auto"/>
              <w:ind w:left="0" w:leftChars="0"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（4）固体废物</w:t>
            </w:r>
          </w:p>
          <w:p w14:paraId="41F01110">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建筑垃圾执行《建筑垃圾处理技术标准》</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CJJ/T134-2019</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有关标准。</w:t>
            </w:r>
          </w:p>
        </w:tc>
      </w:tr>
      <w:tr w14:paraId="6B3F4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7566563A">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其他</w:t>
            </w:r>
          </w:p>
        </w:tc>
        <w:tc>
          <w:tcPr>
            <w:tcW w:w="0" w:type="auto"/>
            <w:tcBorders>
              <w:tl2br w:val="nil"/>
              <w:tr2bl w:val="nil"/>
            </w:tcBorders>
            <w:noWrap w:val="0"/>
            <w:vAlign w:val="center"/>
          </w:tcPr>
          <w:p w14:paraId="174542CD">
            <w:pPr>
              <w:shd w:val="clear" w:color="auto" w:fill="auto"/>
              <w:adjustRightInd w:val="0"/>
              <w:snapToGrid w:val="0"/>
              <w:spacing w:line="440" w:lineRule="exact"/>
              <w:ind w:firstLine="480" w:firstLineChars="200"/>
              <w:jc w:val="left"/>
              <w:rPr>
                <w:color w:val="auto"/>
                <w:kern w:val="0"/>
                <w:sz w:val="24"/>
              </w:rPr>
            </w:pPr>
            <w:r>
              <w:rPr>
                <w:color w:val="auto"/>
                <w:kern w:val="0"/>
                <w:sz w:val="24"/>
              </w:rPr>
              <w:t>本工程为公路建设项目，不涉及服务区、停车区、管理区和收费站等服务设施，不存在集中式排放源，无SO</w:t>
            </w:r>
            <w:r>
              <w:rPr>
                <w:color w:val="auto"/>
                <w:kern w:val="0"/>
                <w:sz w:val="24"/>
                <w:vertAlign w:val="subscript"/>
              </w:rPr>
              <w:t>2</w:t>
            </w:r>
            <w:r>
              <w:rPr>
                <w:color w:val="auto"/>
                <w:kern w:val="0"/>
                <w:sz w:val="24"/>
              </w:rPr>
              <w:t>、NOx等大气污染物的排放；项目运营期废水主要为降水产生的地表径流，不存在废水排放源，无COD、氨氮等水污染物的排放。因此，本项目不设总量控制指标。</w:t>
            </w:r>
          </w:p>
          <w:p w14:paraId="55E632F5">
            <w:pPr>
              <w:shd w:val="clear" w:color="auto" w:fill="auto"/>
              <w:adjustRightInd w:val="0"/>
              <w:snapToGrid w:val="0"/>
              <w:spacing w:line="440" w:lineRule="exact"/>
              <w:ind w:firstLine="480" w:firstLineChars="200"/>
              <w:jc w:val="left"/>
              <w:rPr>
                <w:color w:val="auto"/>
                <w:kern w:val="0"/>
                <w:sz w:val="24"/>
              </w:rPr>
            </w:pPr>
          </w:p>
          <w:p w14:paraId="006EDE0B">
            <w:pPr>
              <w:shd w:val="clear" w:color="auto" w:fill="auto"/>
              <w:adjustRightInd w:val="0"/>
              <w:snapToGrid w:val="0"/>
              <w:spacing w:line="440" w:lineRule="exact"/>
              <w:ind w:firstLine="480" w:firstLineChars="200"/>
              <w:jc w:val="left"/>
              <w:rPr>
                <w:color w:val="auto"/>
                <w:kern w:val="0"/>
                <w:sz w:val="24"/>
              </w:rPr>
            </w:pPr>
          </w:p>
          <w:p w14:paraId="73EC4031">
            <w:pPr>
              <w:shd w:val="clear" w:color="auto" w:fill="auto"/>
              <w:adjustRightInd w:val="0"/>
              <w:snapToGrid w:val="0"/>
              <w:spacing w:line="440" w:lineRule="exact"/>
              <w:ind w:firstLine="480" w:firstLineChars="200"/>
              <w:jc w:val="left"/>
              <w:rPr>
                <w:color w:val="auto"/>
                <w:kern w:val="0"/>
                <w:sz w:val="24"/>
              </w:rPr>
            </w:pPr>
          </w:p>
          <w:p w14:paraId="25221F21">
            <w:pPr>
              <w:shd w:val="clear" w:color="auto" w:fill="auto"/>
              <w:adjustRightInd w:val="0"/>
              <w:snapToGrid w:val="0"/>
              <w:spacing w:line="440" w:lineRule="exact"/>
              <w:ind w:firstLine="480" w:firstLineChars="200"/>
              <w:jc w:val="left"/>
              <w:rPr>
                <w:color w:val="auto"/>
                <w:kern w:val="0"/>
                <w:sz w:val="24"/>
              </w:rPr>
            </w:pPr>
          </w:p>
          <w:p w14:paraId="70C8855D">
            <w:pPr>
              <w:shd w:val="clear" w:color="auto" w:fill="auto"/>
              <w:adjustRightInd w:val="0"/>
              <w:snapToGrid w:val="0"/>
              <w:spacing w:line="440" w:lineRule="exact"/>
              <w:ind w:firstLine="480" w:firstLineChars="200"/>
              <w:jc w:val="left"/>
              <w:rPr>
                <w:color w:val="auto"/>
                <w:kern w:val="0"/>
                <w:sz w:val="24"/>
              </w:rPr>
            </w:pPr>
          </w:p>
          <w:p w14:paraId="49C32639">
            <w:pPr>
              <w:shd w:val="clear" w:color="auto" w:fill="auto"/>
              <w:adjustRightInd w:val="0"/>
              <w:snapToGrid w:val="0"/>
              <w:spacing w:line="440" w:lineRule="exact"/>
              <w:ind w:firstLine="480" w:firstLineChars="200"/>
              <w:jc w:val="left"/>
              <w:rPr>
                <w:color w:val="auto"/>
                <w:kern w:val="0"/>
                <w:sz w:val="24"/>
              </w:rPr>
            </w:pPr>
          </w:p>
          <w:p w14:paraId="19FC1C48">
            <w:pPr>
              <w:shd w:val="clear" w:color="auto" w:fill="auto"/>
              <w:adjustRightInd w:val="0"/>
              <w:snapToGrid w:val="0"/>
              <w:spacing w:line="440" w:lineRule="exact"/>
              <w:ind w:firstLine="480" w:firstLineChars="200"/>
              <w:jc w:val="left"/>
              <w:rPr>
                <w:color w:val="auto"/>
                <w:kern w:val="0"/>
                <w:sz w:val="24"/>
              </w:rPr>
            </w:pPr>
          </w:p>
          <w:p w14:paraId="6F4B5289">
            <w:pPr>
              <w:shd w:val="clear" w:color="auto" w:fill="auto"/>
              <w:adjustRightInd w:val="0"/>
              <w:snapToGrid w:val="0"/>
              <w:spacing w:line="440" w:lineRule="exact"/>
              <w:ind w:firstLine="480" w:firstLineChars="200"/>
              <w:jc w:val="left"/>
              <w:rPr>
                <w:color w:val="auto"/>
                <w:kern w:val="0"/>
                <w:sz w:val="24"/>
              </w:rPr>
            </w:pPr>
          </w:p>
          <w:p w14:paraId="457D345A">
            <w:pPr>
              <w:shd w:val="clear" w:color="auto" w:fill="auto"/>
              <w:adjustRightInd w:val="0"/>
              <w:snapToGrid w:val="0"/>
              <w:spacing w:line="440" w:lineRule="exact"/>
              <w:ind w:firstLine="480" w:firstLineChars="200"/>
              <w:jc w:val="left"/>
              <w:rPr>
                <w:color w:val="auto"/>
                <w:kern w:val="0"/>
                <w:sz w:val="24"/>
              </w:rPr>
            </w:pPr>
          </w:p>
          <w:p w14:paraId="5181ACC3">
            <w:pPr>
              <w:shd w:val="clear" w:color="auto" w:fill="auto"/>
              <w:adjustRightInd w:val="0"/>
              <w:snapToGrid w:val="0"/>
              <w:spacing w:line="440" w:lineRule="exact"/>
              <w:ind w:firstLine="480" w:firstLineChars="200"/>
              <w:jc w:val="left"/>
              <w:rPr>
                <w:color w:val="auto"/>
                <w:kern w:val="0"/>
                <w:sz w:val="24"/>
              </w:rPr>
            </w:pPr>
          </w:p>
          <w:p w14:paraId="37CF4BF9">
            <w:pPr>
              <w:shd w:val="clear" w:color="auto" w:fill="auto"/>
              <w:adjustRightInd w:val="0"/>
              <w:snapToGrid w:val="0"/>
              <w:spacing w:line="440" w:lineRule="exact"/>
              <w:ind w:firstLine="480" w:firstLineChars="200"/>
              <w:jc w:val="left"/>
              <w:rPr>
                <w:color w:val="auto"/>
                <w:kern w:val="0"/>
                <w:sz w:val="24"/>
              </w:rPr>
            </w:pPr>
          </w:p>
          <w:p w14:paraId="37F6AD4E">
            <w:pPr>
              <w:shd w:val="clear" w:color="auto" w:fill="auto"/>
              <w:adjustRightInd w:val="0"/>
              <w:snapToGrid w:val="0"/>
              <w:spacing w:line="440" w:lineRule="exact"/>
              <w:ind w:firstLine="480" w:firstLineChars="200"/>
              <w:jc w:val="left"/>
              <w:rPr>
                <w:rFonts w:hint="default" w:ascii="Times New Roman" w:hAnsi="Times New Roman" w:eastAsia="宋体" w:cs="Times New Roman"/>
                <w:caps w:val="0"/>
                <w:smallCaps w:val="0"/>
                <w:color w:val="auto"/>
                <w:spacing w:val="0"/>
                <w:w w:val="100"/>
                <w:kern w:val="2"/>
                <w:position w:val="0"/>
                <w:sz w:val="24"/>
                <w:szCs w:val="24"/>
                <w:highlight w:val="none"/>
                <w:lang w:eastAsia="zh-CN"/>
              </w:rPr>
            </w:pPr>
          </w:p>
        </w:tc>
      </w:tr>
    </w:tbl>
    <w:p w14:paraId="6F56072D">
      <w:pPr>
        <w:pStyle w:val="24"/>
        <w:pageBreakBefore w:val="0"/>
        <w:wordWrap/>
        <w:topLinePunct w:val="0"/>
        <w:bidi w:val="0"/>
        <w:adjustRightInd w:val="0"/>
        <w:snapToGrid w:val="0"/>
        <w:spacing w:before="0" w:beforeAutospacing="0" w:after="0" w:afterAutospacing="0" w:line="14" w:lineRule="auto"/>
        <w:ind w:left="0" w:leftChars="0" w:right="0"/>
        <w:jc w:val="center"/>
        <w:outlineLvl w:val="9"/>
        <w:rPr>
          <w:rFonts w:hint="default" w:ascii="Times New Roman" w:hAnsi="Times New Roman" w:eastAsia="黑体" w:cs="Times New Roman"/>
          <w:caps w:val="0"/>
          <w:smallCaps w:val="0"/>
          <w:snapToGrid w:val="0"/>
          <w:color w:val="auto"/>
          <w:spacing w:val="0"/>
          <w:w w:val="100"/>
          <w:kern w:val="2"/>
          <w:position w:val="0"/>
          <w:sz w:val="24"/>
          <w:szCs w:val="24"/>
          <w:highlight w:val="none"/>
        </w:rPr>
      </w:pPr>
    </w:p>
    <w:p w14:paraId="12A192A5">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r>
        <w:rPr>
          <w:rFonts w:hint="default" w:ascii="Times New Roman" w:hAnsi="Times New Roman" w:eastAsia="黑体" w:cs="Times New Roman"/>
          <w:caps w:val="0"/>
          <w:smallCaps w:val="0"/>
          <w:snapToGrid w:val="0"/>
          <w:color w:val="auto"/>
          <w:spacing w:val="0"/>
          <w:w w:val="100"/>
          <w:kern w:val="2"/>
          <w:position w:val="0"/>
          <w:sz w:val="36"/>
          <w:szCs w:val="36"/>
          <w:highlight w:val="none"/>
        </w:rPr>
        <w:br w:type="page"/>
      </w:r>
      <w:bookmarkStart w:id="7" w:name="_Toc28847"/>
      <w:r>
        <w:rPr>
          <w:rFonts w:hint="default" w:ascii="Times New Roman" w:hAnsi="Times New Roman" w:eastAsia="黑体" w:cs="Times New Roman"/>
          <w:caps w:val="0"/>
          <w:smallCaps w:val="0"/>
          <w:snapToGrid w:val="0"/>
          <w:color w:val="auto"/>
          <w:spacing w:val="0"/>
          <w:w w:val="100"/>
          <w:kern w:val="2"/>
          <w:position w:val="0"/>
          <w:sz w:val="30"/>
          <w:szCs w:val="30"/>
          <w:highlight w:val="none"/>
        </w:rPr>
        <w:t>四、生态环境影响分析</w:t>
      </w:r>
      <w:bookmarkEnd w:id="7"/>
    </w:p>
    <w:tbl>
      <w:tblPr>
        <w:tblStyle w:val="28"/>
        <w:tblW w:w="50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7944"/>
      </w:tblGrid>
      <w:tr w14:paraId="7EE9D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2" w:type="pct"/>
            <w:tcBorders>
              <w:tl2br w:val="nil"/>
              <w:tr2bl w:val="nil"/>
            </w:tcBorders>
            <w:noWrap w:val="0"/>
            <w:tcMar>
              <w:left w:w="28" w:type="dxa"/>
              <w:right w:w="28" w:type="dxa"/>
            </w:tcMar>
            <w:vAlign w:val="center"/>
          </w:tcPr>
          <w:p w14:paraId="656718EF">
            <w:pPr>
              <w:pStyle w:val="24"/>
              <w:pageBreakBefore w:val="0"/>
              <w:wordWrap/>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bCs/>
                <w:caps w:val="0"/>
                <w:smallCaps w:val="0"/>
                <w:color w:val="auto"/>
                <w:spacing w:val="0"/>
                <w:w w:val="100"/>
                <w:kern w:val="2"/>
                <w:position w:val="0"/>
                <w:sz w:val="24"/>
                <w:szCs w:val="24"/>
                <w:highlight w:val="none"/>
              </w:rPr>
            </w:pPr>
            <w:bookmarkStart w:id="8" w:name="_Hlk49796138"/>
            <w:r>
              <w:rPr>
                <w:rFonts w:hint="default" w:ascii="Times New Roman" w:hAnsi="Times New Roman" w:eastAsia="宋体" w:cs="Times New Roman"/>
                <w:bCs/>
                <w:caps w:val="0"/>
                <w:smallCaps w:val="0"/>
                <w:color w:val="auto"/>
                <w:spacing w:val="0"/>
                <w:w w:val="100"/>
                <w:kern w:val="2"/>
                <w:position w:val="0"/>
                <w:sz w:val="24"/>
                <w:szCs w:val="24"/>
                <w:highlight w:val="none"/>
              </w:rPr>
              <w:t>施工期生态环境影响分析</w:t>
            </w:r>
            <w:bookmarkEnd w:id="8"/>
          </w:p>
        </w:tc>
        <w:tc>
          <w:tcPr>
            <w:tcW w:w="4617" w:type="pct"/>
            <w:tcBorders>
              <w:tl2br w:val="nil"/>
              <w:tr2bl w:val="nil"/>
            </w:tcBorders>
            <w:noWrap w:val="0"/>
            <w:vAlign w:val="top"/>
          </w:tcPr>
          <w:p w14:paraId="7045E3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1</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t>、生态影响分析</w:t>
            </w:r>
          </w:p>
          <w:p w14:paraId="38C8715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color w:val="auto"/>
                <w:sz w:val="24"/>
                <w:lang w:val="en-US" w:eastAsia="zh-CN"/>
              </w:rPr>
            </w:pPr>
            <w:r>
              <w:rPr>
                <w:rFonts w:hint="eastAsia"/>
                <w:color w:val="auto"/>
                <w:sz w:val="24"/>
                <w:lang w:val="en-US" w:eastAsia="zh-CN"/>
              </w:rPr>
              <w:t>（1）生态系统影响：施工过程中场地平整、设备进场、临时便道铺设等作业，会直接扰动项目周边小型陆生生态系统，破坏局部草本植被（主要为杂草、本地草本植物），导致区域植被覆盖率短暂下降，短期内影响局部植物群落结构；施工机械作业、人员活动会惊扰周边小型鸟类（如麻雀、乌鸦）、啮齿类动物（如田鼠、仓鼠），使其临时迁移至周边未扰动区域，影响其正常觅食、栖息及繁殖行为。该影响具有临时性、可逆性，施工结束后通过清理施工场地、补植本地适生植被，生态系统可逐步恢复，不会造成不可逆破坏。</w:t>
            </w:r>
          </w:p>
          <w:p w14:paraId="74F4156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color w:val="auto"/>
                <w:sz w:val="24"/>
                <w:lang w:val="en-US" w:eastAsia="zh-CN"/>
              </w:rPr>
            </w:pPr>
            <w:r>
              <w:rPr>
                <w:rFonts w:hint="eastAsia"/>
                <w:color w:val="auto"/>
                <w:sz w:val="24"/>
                <w:lang w:val="en-US" w:eastAsia="zh-CN"/>
              </w:rPr>
              <w:t>（2）土壤影响：施工机械碾压、建筑物料堆放会压实表层土壤，破坏土壤孔隙结构，降低土壤透气性和透水性，短期内改变土壤理化性质，影响表层土壤微生物活动；施工过程中产生的少量建筑垃圾（如碎砖块、混凝土残渣）、施工废料（如废弃包装材料），若随意堆放、处置不当，可能造成土壤局部污染，需采取集中收集、分类清运至指定地点规范处置的措施，避免土壤质量下降，减少对周边植被生长的不利影响。</w:t>
            </w:r>
          </w:p>
          <w:p w14:paraId="1D60B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color w:val="auto"/>
                <w:sz w:val="24"/>
                <w:lang w:val="en-US" w:eastAsia="zh-CN"/>
              </w:rPr>
            </w:pPr>
            <w:r>
              <w:rPr>
                <w:rFonts w:hint="eastAsia"/>
                <w:color w:val="auto"/>
                <w:sz w:val="24"/>
                <w:lang w:val="en-US" w:eastAsia="zh-CN"/>
              </w:rPr>
              <w:t>（3）景观影响：施工期间，场地裸露、临时设施（如围挡、临时办公棚）搭建及建筑物料（如砂石、水泥）堆放，会破坏项目周边原有景观协调性，出现杂乱的施工场景，与周边自然、人居景观形成反差；施工扬尘会覆盖周边植被叶片，导致植被色泽暗淡，影响景观视觉效果。施工结束后，通过清理施工垃圾、拆除临时设施、平整场地、补植植被，可逐步恢复原有景观风貌，降低施工对景观的影响。</w:t>
            </w:r>
          </w:p>
          <w:p w14:paraId="0CE76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color w:val="auto"/>
                <w:sz w:val="24"/>
                <w:lang w:val="en-US" w:eastAsia="zh-CN"/>
              </w:rPr>
            </w:pPr>
            <w:r>
              <w:rPr>
                <w:rFonts w:hint="eastAsia"/>
                <w:color w:val="auto"/>
                <w:sz w:val="24"/>
                <w:lang w:val="en-US" w:eastAsia="zh-CN"/>
              </w:rPr>
              <w:t>（4）陆生生态影响：阳霞3号桥周边分布有自然植被，以耐旱、耐贫瘠的草本植物为主，施工期对陆生生态的影响主要集中在临时用地占用、施工机械碾压及植被破坏三个方面。一是临时用地占用过程中，需清理地表植被，导致局部区域植被覆盖率下降，破坏植物生长环境，尤其对林草用地的扰动需严格遵循相关审批要求，避免违规占用；二是施工机械进场、作业及材料运输过程中，会碾压周边植被，导致植物根系受损、长势衰退，甚至死亡；三是老桥拆除及新建桥梁基础开挖过程中，产生的扬尘会覆盖周边植被叶片，影响植物光合作用，短期内抑制植物生长。</w:t>
            </w:r>
          </w:p>
          <w:p w14:paraId="557BF2E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color w:val="auto"/>
                <w:sz w:val="24"/>
                <w:lang w:val="en-US" w:eastAsia="zh-CN"/>
              </w:rPr>
            </w:pPr>
            <w:r>
              <w:rPr>
                <w:rFonts w:hint="eastAsia"/>
                <w:color w:val="auto"/>
                <w:sz w:val="24"/>
                <w:lang w:val="en-US" w:eastAsia="zh-CN"/>
              </w:rPr>
              <w:t>此外，施工活动会惊扰周边小型哺乳动物（如啮齿类、兔类）及鸟类，导致其栖息地临时转移，影响其觅食、繁殖行为，但此类影响具有阶段性，随着施工结束及场地恢复，周边动物会逐步回归，不会造成永久性栖息地破坏。同时，本项目不涉及自然保护区、文物保护单位等环境敏感区，陆生生态影响范围及程度有限。</w:t>
            </w:r>
          </w:p>
          <w:p w14:paraId="635F61E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b/>
                <w:bCs/>
                <w:color w:val="auto"/>
                <w:sz w:val="24"/>
                <w:lang w:val="en-US" w:eastAsia="zh-CN"/>
              </w:rPr>
            </w:pPr>
            <w:r>
              <w:rPr>
                <w:rFonts w:hint="eastAsia"/>
                <w:color w:val="auto"/>
                <w:sz w:val="24"/>
                <w:lang w:val="en-US" w:eastAsia="zh-CN"/>
              </w:rPr>
              <w:t>（5）水生生态影响：阳霞3号桥横跨当地自然河道，施工期对水生生态的影响主要来源于老桥拆除、基础施工及施工废水排放。一是老桥拆除过程中，采用“分段切割+吊运”的绿色拆除工艺替代传统爆破，可减少建筑垃圾坠入河道，但仍可能有少量混凝土块、钢筋等杂物落入水中，影响水体流通，同时扰动河底沉积物，导致水体浑浊，影响水生生物的生存环境（如鱼类、底栖生物），若未采取防护措施，可能造成部分小型水生生物死亡；二是新建桥梁基础施工（钻孔灌注桩、基坑开挖）过程中，会产生泥浆，若泥浆未经处理直接排入河道，会导致水体悬浮物浓度升高，遮蔽水生植物光合作用，影响鱼类呼吸及觅食；三是施工人员生活污水及施工机械清洗废水，若随意排放，会携带油污、泥沙及少量污染物，污染河道水体，影响水生生态系统平衡。</w:t>
            </w:r>
          </w:p>
          <w:p w14:paraId="4635166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color w:val="auto"/>
                <w:sz w:val="24"/>
                <w:lang w:val="en-US" w:eastAsia="zh-CN"/>
              </w:rPr>
            </w:pPr>
            <w:r>
              <w:rPr>
                <w:rFonts w:hint="eastAsia"/>
                <w:color w:val="auto"/>
                <w:sz w:val="24"/>
                <w:lang w:val="en-US" w:eastAsia="zh-CN"/>
              </w:rPr>
              <w:t>施工期水生生态影响主要为阶段性扰动，待施工结束、河道清理完成后，水体环境可逐步恢复。</w:t>
            </w:r>
          </w:p>
          <w:p w14:paraId="5C4FB70D">
            <w:pPr>
              <w:keepNext w:val="0"/>
              <w:keepLines w:val="0"/>
              <w:pageBreakBefore w:val="0"/>
              <w:kinsoku/>
              <w:wordWrap/>
              <w:overflowPunct/>
              <w:topLinePunct w:val="0"/>
              <w:bidi w:val="0"/>
              <w:spacing w:beforeAutospacing="0" w:afterAutospacing="0" w:line="360" w:lineRule="auto"/>
              <w:ind w:right="0"/>
              <w:rPr>
                <w:rFonts w:hint="default" w:ascii="Times New Roman" w:hAnsi="Times New Roman" w:eastAsia="宋体" w:cs="Times New Roman"/>
                <w:b/>
                <w:caps w:val="0"/>
                <w:smallCaps w:val="0"/>
                <w:color w:val="auto"/>
                <w:spacing w:val="0"/>
                <w:w w:val="100"/>
                <w:kern w:val="2"/>
                <w:position w:val="0"/>
                <w:sz w:val="24"/>
                <w:szCs w:val="24"/>
                <w:highlight w:val="none"/>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2</w:t>
            </w:r>
            <w:r>
              <w:rPr>
                <w:rFonts w:hint="eastAsia" w:ascii="Times New Roman" w:hAnsi="Times New Roman" w:eastAsia="宋体" w:cs="Times New Roman"/>
                <w:b/>
                <w:caps w:val="0"/>
                <w:smallCaps w:val="0"/>
                <w:color w:val="auto"/>
                <w:spacing w:val="0"/>
                <w:w w:val="100"/>
                <w:kern w:val="2"/>
                <w:position w:val="0"/>
                <w:sz w:val="24"/>
                <w:szCs w:val="24"/>
                <w:highlight w:val="none"/>
                <w:lang w:val="en-US" w:eastAsia="zh-CN"/>
              </w:rPr>
              <w:t>、施工期环境空气</w:t>
            </w:r>
            <w:r>
              <w:rPr>
                <w:rFonts w:hint="default" w:ascii="Times New Roman" w:hAnsi="Times New Roman" w:eastAsia="宋体" w:cs="Times New Roman"/>
                <w:b/>
                <w:caps w:val="0"/>
                <w:smallCaps w:val="0"/>
                <w:color w:val="auto"/>
                <w:spacing w:val="0"/>
                <w:w w:val="100"/>
                <w:kern w:val="2"/>
                <w:position w:val="0"/>
                <w:sz w:val="24"/>
                <w:szCs w:val="24"/>
                <w:highlight w:val="none"/>
              </w:rPr>
              <w:t>影响分析</w:t>
            </w:r>
          </w:p>
          <w:p w14:paraId="7F05A6EB">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本工程采用沥青混凝土路面，工程施工过程对环境空气产生的主要污染物为粉尘及沥青烟</w:t>
            </w:r>
            <w:r>
              <w:rPr>
                <w:rFonts w:hint="default"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主要污染环节</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为</w:t>
            </w:r>
            <w:r>
              <w:rPr>
                <w:rFonts w:hint="default" w:ascii="Times New Roman" w:hAnsi="Times New Roman" w:eastAsia="宋体" w:cs="Times New Roman"/>
                <w:caps w:val="0"/>
                <w:smallCaps w:val="0"/>
                <w:color w:val="auto"/>
                <w:spacing w:val="0"/>
                <w:w w:val="100"/>
                <w:kern w:val="2"/>
                <w:position w:val="0"/>
                <w:sz w:val="24"/>
                <w:highlight w:val="none"/>
              </w:rPr>
              <w:t>沥青摊铺</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材料的运输和堆放、土石方的开挖和回填等作业过程，上述各环节在受风力的作用下将会对施工场地及周边环境产生粉尘、沥青烟污染</w:t>
            </w:r>
            <w:r>
              <w:rPr>
                <w:rFonts w:hint="default"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运输车辆行驶将产生道路二次污染。</w:t>
            </w:r>
          </w:p>
          <w:p w14:paraId="3886BFF9">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b/>
                <w:bCs/>
                <w:caps w:val="0"/>
                <w:smallCaps w:val="0"/>
                <w:color w:val="auto"/>
                <w:spacing w:val="0"/>
                <w:w w:val="100"/>
                <w:kern w:val="2"/>
                <w:position w:val="0"/>
                <w:sz w:val="24"/>
                <w:highlight w:val="none"/>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2.1</w:t>
            </w:r>
            <w:r>
              <w:rPr>
                <w:rFonts w:hint="default" w:ascii="Times New Roman" w:hAnsi="Times New Roman" w:eastAsia="宋体" w:cs="Times New Roman"/>
                <w:b/>
                <w:bCs/>
                <w:caps w:val="0"/>
                <w:smallCaps w:val="0"/>
                <w:color w:val="auto"/>
                <w:spacing w:val="0"/>
                <w:w w:val="100"/>
                <w:kern w:val="2"/>
                <w:position w:val="0"/>
                <w:sz w:val="24"/>
                <w:highlight w:val="none"/>
              </w:rPr>
              <w:t>施工扬尘的环境影响分析</w:t>
            </w:r>
          </w:p>
          <w:p w14:paraId="2A83A7BA">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土石方开挖及回填等各施工工地裸露地面及堆场扬尘</w:t>
            </w:r>
          </w:p>
          <w:p w14:paraId="4E19AD0F">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由于施工需要，一些建筑材料露天堆放，一些施工作业点的表层土壤在经过人工开挖后，临时堆放于露天，在气候干燥且有风的情况下，会产生大量的扬尘。</w:t>
            </w:r>
          </w:p>
          <w:p w14:paraId="1A88EEE1">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粉尘在空气中的扩散稀释与风速等气象条件有关，也与粉尘本身的沉降速度有关。不同粒径粉尘的沉降速度见下表。</w:t>
            </w:r>
          </w:p>
          <w:p w14:paraId="7A3FD68C">
            <w:pPr>
              <w:pageBreakBefore w:val="0"/>
              <w:wordWrap/>
              <w:topLinePunct w:val="0"/>
              <w:bidi w:val="0"/>
              <w:spacing w:beforeAutospacing="0" w:afterAutospacing="0" w:line="240" w:lineRule="auto"/>
              <w:ind w:left="0" w:leftChars="0" w:right="0" w:firstLine="482"/>
              <w:jc w:val="center"/>
              <w:rPr>
                <w:rFonts w:hint="default" w:ascii="Times New Roman" w:hAnsi="Times New Roman" w:eastAsia="宋体" w:cs="Times New Roman"/>
                <w:b/>
                <w:caps w:val="0"/>
                <w:smallCaps w:val="0"/>
                <w:color w:val="auto"/>
                <w:spacing w:val="0"/>
                <w:w w:val="100"/>
                <w:kern w:val="2"/>
                <w:position w:val="0"/>
                <w:sz w:val="21"/>
                <w:szCs w:val="21"/>
                <w:highlight w:val="none"/>
              </w:rPr>
            </w:pPr>
            <w:r>
              <w:rPr>
                <w:rFonts w:hint="default" w:ascii="Times New Roman" w:hAnsi="Times New Roman" w:eastAsia="宋体" w:cs="Times New Roman"/>
                <w:b/>
                <w:caps w:val="0"/>
                <w:smallCaps w:val="0"/>
                <w:color w:val="auto"/>
                <w:spacing w:val="0"/>
                <w:w w:val="100"/>
                <w:kern w:val="2"/>
                <w:position w:val="0"/>
                <w:sz w:val="21"/>
                <w:szCs w:val="21"/>
                <w:highlight w:val="none"/>
              </w:rPr>
              <w:t>表</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rPr>
              <w:t>4-</w:t>
            </w:r>
            <w:r>
              <w:rPr>
                <w:rFonts w:hint="eastAsia" w:ascii="Times New Roman" w:hAnsi="Times New Roman" w:eastAsia="宋体" w:cs="Times New Roman"/>
                <w:b/>
                <w:caps w:val="0"/>
                <w:smallCaps w:val="0"/>
                <w:color w:val="auto"/>
                <w:spacing w:val="0"/>
                <w:w w:val="100"/>
                <w:kern w:val="2"/>
                <w:position w:val="0"/>
                <w:sz w:val="21"/>
                <w:szCs w:val="21"/>
                <w:highlight w:val="none"/>
                <w:lang w:val="en-US" w:eastAsia="zh-CN"/>
              </w:rPr>
              <w:t xml:space="preserve">1    </w:t>
            </w:r>
            <w:r>
              <w:rPr>
                <w:rFonts w:hint="default" w:ascii="Times New Roman" w:hAnsi="Times New Roman" w:eastAsia="宋体" w:cs="Times New Roman"/>
                <w:b/>
                <w:caps w:val="0"/>
                <w:smallCaps w:val="0"/>
                <w:color w:val="auto"/>
                <w:spacing w:val="0"/>
                <w:w w:val="100"/>
                <w:kern w:val="2"/>
                <w:position w:val="0"/>
                <w:sz w:val="21"/>
                <w:szCs w:val="21"/>
                <w:highlight w:val="none"/>
              </w:rPr>
              <w:t>不同粒径尘粒的沉降速度</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3"/>
              <w:gridCol w:w="848"/>
              <w:gridCol w:w="848"/>
              <w:gridCol w:w="848"/>
              <w:gridCol w:w="849"/>
              <w:gridCol w:w="849"/>
              <w:gridCol w:w="849"/>
              <w:gridCol w:w="849"/>
            </w:tblGrid>
            <w:tr w14:paraId="511E3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4" w:type="pct"/>
                  <w:tcBorders>
                    <w:tl2br w:val="nil"/>
                    <w:tr2bl w:val="nil"/>
                  </w:tcBorders>
                  <w:noWrap w:val="0"/>
                  <w:vAlign w:val="center"/>
                </w:tcPr>
                <w:p w14:paraId="6B12BF89">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粉尘粒径</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μm</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2BB7834B">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w:t>
                  </w:r>
                </w:p>
              </w:tc>
              <w:tc>
                <w:tcPr>
                  <w:tcW w:w="549" w:type="pct"/>
                  <w:tcBorders>
                    <w:tl2br w:val="nil"/>
                    <w:tr2bl w:val="nil"/>
                  </w:tcBorders>
                  <w:noWrap w:val="0"/>
                  <w:vAlign w:val="center"/>
                </w:tcPr>
                <w:p w14:paraId="4EE445F9">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20</w:t>
                  </w:r>
                </w:p>
              </w:tc>
              <w:tc>
                <w:tcPr>
                  <w:tcW w:w="549" w:type="pct"/>
                  <w:tcBorders>
                    <w:tl2br w:val="nil"/>
                    <w:tr2bl w:val="nil"/>
                  </w:tcBorders>
                  <w:noWrap w:val="0"/>
                  <w:vAlign w:val="center"/>
                </w:tcPr>
                <w:p w14:paraId="035A244F">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30</w:t>
                  </w:r>
                </w:p>
              </w:tc>
              <w:tc>
                <w:tcPr>
                  <w:tcW w:w="549" w:type="pct"/>
                  <w:tcBorders>
                    <w:tl2br w:val="nil"/>
                    <w:tr2bl w:val="nil"/>
                  </w:tcBorders>
                  <w:noWrap w:val="0"/>
                  <w:vAlign w:val="center"/>
                </w:tcPr>
                <w:p w14:paraId="33F5920A">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40</w:t>
                  </w:r>
                </w:p>
              </w:tc>
              <w:tc>
                <w:tcPr>
                  <w:tcW w:w="549" w:type="pct"/>
                  <w:tcBorders>
                    <w:tl2br w:val="nil"/>
                    <w:tr2bl w:val="nil"/>
                  </w:tcBorders>
                  <w:noWrap w:val="0"/>
                  <w:vAlign w:val="center"/>
                </w:tcPr>
                <w:p w14:paraId="2A8C5E3A">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50</w:t>
                  </w:r>
                </w:p>
              </w:tc>
              <w:tc>
                <w:tcPr>
                  <w:tcW w:w="549" w:type="pct"/>
                  <w:tcBorders>
                    <w:tl2br w:val="nil"/>
                    <w:tr2bl w:val="nil"/>
                  </w:tcBorders>
                  <w:noWrap w:val="0"/>
                  <w:vAlign w:val="center"/>
                </w:tcPr>
                <w:p w14:paraId="7D1C01E3">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60</w:t>
                  </w:r>
                </w:p>
              </w:tc>
              <w:tc>
                <w:tcPr>
                  <w:tcW w:w="549" w:type="pct"/>
                  <w:tcBorders>
                    <w:tl2br w:val="nil"/>
                    <w:tr2bl w:val="nil"/>
                  </w:tcBorders>
                  <w:noWrap w:val="0"/>
                  <w:vAlign w:val="center"/>
                </w:tcPr>
                <w:p w14:paraId="798525FE">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70</w:t>
                  </w:r>
                </w:p>
              </w:tc>
            </w:tr>
            <w:tr w14:paraId="3C326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48287E22">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沉降速度</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m/s</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795349EF">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0.003</w:t>
                  </w:r>
                </w:p>
              </w:tc>
              <w:tc>
                <w:tcPr>
                  <w:tcW w:w="549" w:type="pct"/>
                  <w:tcBorders>
                    <w:tl2br w:val="nil"/>
                    <w:tr2bl w:val="nil"/>
                  </w:tcBorders>
                  <w:noWrap w:val="0"/>
                  <w:vAlign w:val="center"/>
                </w:tcPr>
                <w:p w14:paraId="4F8DC58A">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0.012</w:t>
                  </w:r>
                </w:p>
              </w:tc>
              <w:tc>
                <w:tcPr>
                  <w:tcW w:w="549" w:type="pct"/>
                  <w:tcBorders>
                    <w:tl2br w:val="nil"/>
                    <w:tr2bl w:val="nil"/>
                  </w:tcBorders>
                  <w:noWrap w:val="0"/>
                  <w:vAlign w:val="center"/>
                </w:tcPr>
                <w:p w14:paraId="664097E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0.027</w:t>
                  </w:r>
                </w:p>
              </w:tc>
              <w:tc>
                <w:tcPr>
                  <w:tcW w:w="549" w:type="pct"/>
                  <w:tcBorders>
                    <w:tl2br w:val="nil"/>
                    <w:tr2bl w:val="nil"/>
                  </w:tcBorders>
                  <w:noWrap w:val="0"/>
                  <w:vAlign w:val="center"/>
                </w:tcPr>
                <w:p w14:paraId="53B631A6">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0.048</w:t>
                  </w:r>
                </w:p>
              </w:tc>
              <w:tc>
                <w:tcPr>
                  <w:tcW w:w="549" w:type="pct"/>
                  <w:tcBorders>
                    <w:tl2br w:val="nil"/>
                    <w:tr2bl w:val="nil"/>
                  </w:tcBorders>
                  <w:noWrap w:val="0"/>
                  <w:vAlign w:val="center"/>
                </w:tcPr>
                <w:p w14:paraId="7D98EE6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0.075</w:t>
                  </w:r>
                </w:p>
              </w:tc>
              <w:tc>
                <w:tcPr>
                  <w:tcW w:w="549" w:type="pct"/>
                  <w:tcBorders>
                    <w:tl2br w:val="nil"/>
                    <w:tr2bl w:val="nil"/>
                  </w:tcBorders>
                  <w:noWrap w:val="0"/>
                  <w:vAlign w:val="center"/>
                </w:tcPr>
                <w:p w14:paraId="3F7F0FE6">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0108</w:t>
                  </w:r>
                </w:p>
              </w:tc>
              <w:tc>
                <w:tcPr>
                  <w:tcW w:w="549" w:type="pct"/>
                  <w:tcBorders>
                    <w:tl2br w:val="nil"/>
                    <w:tr2bl w:val="nil"/>
                  </w:tcBorders>
                  <w:noWrap w:val="0"/>
                  <w:vAlign w:val="center"/>
                </w:tcPr>
                <w:p w14:paraId="1AA84C01">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0.147</w:t>
                  </w:r>
                </w:p>
              </w:tc>
            </w:tr>
            <w:tr w14:paraId="6C809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484999F5">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粉尘粒径</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μm</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519DE563">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80</w:t>
                  </w:r>
                </w:p>
              </w:tc>
              <w:tc>
                <w:tcPr>
                  <w:tcW w:w="549" w:type="pct"/>
                  <w:tcBorders>
                    <w:tl2br w:val="nil"/>
                    <w:tr2bl w:val="nil"/>
                  </w:tcBorders>
                  <w:noWrap w:val="0"/>
                  <w:vAlign w:val="center"/>
                </w:tcPr>
                <w:p w14:paraId="57C4986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90</w:t>
                  </w:r>
                </w:p>
              </w:tc>
              <w:tc>
                <w:tcPr>
                  <w:tcW w:w="549" w:type="pct"/>
                  <w:tcBorders>
                    <w:tl2br w:val="nil"/>
                    <w:tr2bl w:val="nil"/>
                  </w:tcBorders>
                  <w:noWrap w:val="0"/>
                  <w:vAlign w:val="center"/>
                </w:tcPr>
                <w:p w14:paraId="259BA379">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100</w:t>
                  </w:r>
                </w:p>
              </w:tc>
              <w:tc>
                <w:tcPr>
                  <w:tcW w:w="549" w:type="pct"/>
                  <w:tcBorders>
                    <w:tl2br w:val="nil"/>
                    <w:tr2bl w:val="nil"/>
                  </w:tcBorders>
                  <w:noWrap w:val="0"/>
                  <w:vAlign w:val="center"/>
                </w:tcPr>
                <w:p w14:paraId="57EF1523">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150</w:t>
                  </w:r>
                </w:p>
              </w:tc>
              <w:tc>
                <w:tcPr>
                  <w:tcW w:w="549" w:type="pct"/>
                  <w:tcBorders>
                    <w:tl2br w:val="nil"/>
                    <w:tr2bl w:val="nil"/>
                  </w:tcBorders>
                  <w:noWrap w:val="0"/>
                  <w:vAlign w:val="center"/>
                </w:tcPr>
                <w:p w14:paraId="0876DA2B">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200</w:t>
                  </w:r>
                </w:p>
              </w:tc>
              <w:tc>
                <w:tcPr>
                  <w:tcW w:w="549" w:type="pct"/>
                  <w:tcBorders>
                    <w:tl2br w:val="nil"/>
                    <w:tr2bl w:val="nil"/>
                  </w:tcBorders>
                  <w:noWrap w:val="0"/>
                  <w:vAlign w:val="center"/>
                </w:tcPr>
                <w:p w14:paraId="35FA8558">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250</w:t>
                  </w:r>
                </w:p>
              </w:tc>
              <w:tc>
                <w:tcPr>
                  <w:tcW w:w="549" w:type="pct"/>
                  <w:tcBorders>
                    <w:tl2br w:val="nil"/>
                    <w:tr2bl w:val="nil"/>
                  </w:tcBorders>
                  <w:noWrap w:val="0"/>
                  <w:vAlign w:val="center"/>
                </w:tcPr>
                <w:p w14:paraId="056CCE71">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350</w:t>
                  </w:r>
                </w:p>
              </w:tc>
            </w:tr>
            <w:tr w14:paraId="12AD9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7F72D367">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沉降速度</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m/s</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44C06337">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0.158</w:t>
                  </w:r>
                </w:p>
              </w:tc>
              <w:tc>
                <w:tcPr>
                  <w:tcW w:w="549" w:type="pct"/>
                  <w:tcBorders>
                    <w:tl2br w:val="nil"/>
                    <w:tr2bl w:val="nil"/>
                  </w:tcBorders>
                  <w:noWrap w:val="0"/>
                  <w:vAlign w:val="center"/>
                </w:tcPr>
                <w:p w14:paraId="1B4B6482">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0.170</w:t>
                  </w:r>
                </w:p>
              </w:tc>
              <w:tc>
                <w:tcPr>
                  <w:tcW w:w="549" w:type="pct"/>
                  <w:tcBorders>
                    <w:tl2br w:val="nil"/>
                    <w:tr2bl w:val="nil"/>
                  </w:tcBorders>
                  <w:noWrap w:val="0"/>
                  <w:vAlign w:val="center"/>
                </w:tcPr>
                <w:p w14:paraId="4F086E7D">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0.182</w:t>
                  </w:r>
                </w:p>
              </w:tc>
              <w:tc>
                <w:tcPr>
                  <w:tcW w:w="549" w:type="pct"/>
                  <w:tcBorders>
                    <w:tl2br w:val="nil"/>
                    <w:tr2bl w:val="nil"/>
                  </w:tcBorders>
                  <w:noWrap w:val="0"/>
                  <w:vAlign w:val="center"/>
                </w:tcPr>
                <w:p w14:paraId="70B09908">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0.239</w:t>
                  </w:r>
                </w:p>
              </w:tc>
              <w:tc>
                <w:tcPr>
                  <w:tcW w:w="549" w:type="pct"/>
                  <w:tcBorders>
                    <w:tl2br w:val="nil"/>
                    <w:tr2bl w:val="nil"/>
                  </w:tcBorders>
                  <w:noWrap w:val="0"/>
                  <w:vAlign w:val="center"/>
                </w:tcPr>
                <w:p w14:paraId="60C2344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0.804</w:t>
                  </w:r>
                </w:p>
              </w:tc>
              <w:tc>
                <w:tcPr>
                  <w:tcW w:w="549" w:type="pct"/>
                  <w:tcBorders>
                    <w:tl2br w:val="nil"/>
                    <w:tr2bl w:val="nil"/>
                  </w:tcBorders>
                  <w:noWrap w:val="0"/>
                  <w:vAlign w:val="center"/>
                </w:tcPr>
                <w:p w14:paraId="0AC7B97F">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1.005</w:t>
                  </w:r>
                </w:p>
              </w:tc>
              <w:tc>
                <w:tcPr>
                  <w:tcW w:w="549" w:type="pct"/>
                  <w:tcBorders>
                    <w:tl2br w:val="nil"/>
                    <w:tr2bl w:val="nil"/>
                  </w:tcBorders>
                  <w:noWrap w:val="0"/>
                  <w:vAlign w:val="center"/>
                </w:tcPr>
                <w:p w14:paraId="1FC2F319">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1.829</w:t>
                  </w:r>
                </w:p>
              </w:tc>
            </w:tr>
            <w:tr w14:paraId="27A6D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7C7EC627">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粉尘粒径</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μm</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59B7E9C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450</w:t>
                  </w:r>
                </w:p>
              </w:tc>
              <w:tc>
                <w:tcPr>
                  <w:tcW w:w="549" w:type="pct"/>
                  <w:tcBorders>
                    <w:tl2br w:val="nil"/>
                    <w:tr2bl w:val="nil"/>
                  </w:tcBorders>
                  <w:noWrap w:val="0"/>
                  <w:vAlign w:val="center"/>
                </w:tcPr>
                <w:p w14:paraId="047F9BE6">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550</w:t>
                  </w:r>
                </w:p>
              </w:tc>
              <w:tc>
                <w:tcPr>
                  <w:tcW w:w="549" w:type="pct"/>
                  <w:tcBorders>
                    <w:tl2br w:val="nil"/>
                    <w:tr2bl w:val="nil"/>
                  </w:tcBorders>
                  <w:noWrap w:val="0"/>
                  <w:vAlign w:val="center"/>
                </w:tcPr>
                <w:p w14:paraId="0C327CC7">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650</w:t>
                  </w:r>
                </w:p>
              </w:tc>
              <w:tc>
                <w:tcPr>
                  <w:tcW w:w="549" w:type="pct"/>
                  <w:tcBorders>
                    <w:tl2br w:val="nil"/>
                    <w:tr2bl w:val="nil"/>
                  </w:tcBorders>
                  <w:noWrap w:val="0"/>
                  <w:vAlign w:val="center"/>
                </w:tcPr>
                <w:p w14:paraId="79C7C78A">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750</w:t>
                  </w:r>
                </w:p>
              </w:tc>
              <w:tc>
                <w:tcPr>
                  <w:tcW w:w="549" w:type="pct"/>
                  <w:tcBorders>
                    <w:tl2br w:val="nil"/>
                    <w:tr2bl w:val="nil"/>
                  </w:tcBorders>
                  <w:noWrap w:val="0"/>
                  <w:vAlign w:val="center"/>
                </w:tcPr>
                <w:p w14:paraId="527D0F38">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850</w:t>
                  </w:r>
                </w:p>
              </w:tc>
              <w:tc>
                <w:tcPr>
                  <w:tcW w:w="549" w:type="pct"/>
                  <w:tcBorders>
                    <w:tl2br w:val="nil"/>
                    <w:tr2bl w:val="nil"/>
                  </w:tcBorders>
                  <w:noWrap w:val="0"/>
                  <w:vAlign w:val="center"/>
                </w:tcPr>
                <w:p w14:paraId="73545BA4">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950</w:t>
                  </w:r>
                </w:p>
              </w:tc>
              <w:tc>
                <w:tcPr>
                  <w:tcW w:w="549" w:type="pct"/>
                  <w:tcBorders>
                    <w:tl2br w:val="nil"/>
                    <w:tr2bl w:val="nil"/>
                  </w:tcBorders>
                  <w:noWrap w:val="0"/>
                  <w:vAlign w:val="center"/>
                </w:tcPr>
                <w:p w14:paraId="087E3387">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1050</w:t>
                  </w:r>
                </w:p>
              </w:tc>
            </w:tr>
            <w:tr w14:paraId="02737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4AA53B11">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沉降速度</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m/s</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388EF80E">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2.211</w:t>
                  </w:r>
                </w:p>
              </w:tc>
              <w:tc>
                <w:tcPr>
                  <w:tcW w:w="549" w:type="pct"/>
                  <w:tcBorders>
                    <w:tl2br w:val="nil"/>
                    <w:tr2bl w:val="nil"/>
                  </w:tcBorders>
                  <w:noWrap w:val="0"/>
                  <w:vAlign w:val="center"/>
                </w:tcPr>
                <w:p w14:paraId="2B2AFB12">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2.614</w:t>
                  </w:r>
                </w:p>
              </w:tc>
              <w:tc>
                <w:tcPr>
                  <w:tcW w:w="549" w:type="pct"/>
                  <w:tcBorders>
                    <w:tl2br w:val="nil"/>
                    <w:tr2bl w:val="nil"/>
                  </w:tcBorders>
                  <w:noWrap w:val="0"/>
                  <w:vAlign w:val="center"/>
                </w:tcPr>
                <w:p w14:paraId="100F666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3.016</w:t>
                  </w:r>
                </w:p>
              </w:tc>
              <w:tc>
                <w:tcPr>
                  <w:tcW w:w="549" w:type="pct"/>
                  <w:tcBorders>
                    <w:tl2br w:val="nil"/>
                    <w:tr2bl w:val="nil"/>
                  </w:tcBorders>
                  <w:noWrap w:val="0"/>
                  <w:vAlign w:val="center"/>
                </w:tcPr>
                <w:p w14:paraId="76186A25">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3.418</w:t>
                  </w:r>
                </w:p>
              </w:tc>
              <w:tc>
                <w:tcPr>
                  <w:tcW w:w="549" w:type="pct"/>
                  <w:tcBorders>
                    <w:tl2br w:val="nil"/>
                    <w:tr2bl w:val="nil"/>
                  </w:tcBorders>
                  <w:noWrap w:val="0"/>
                  <w:vAlign w:val="center"/>
                </w:tcPr>
                <w:p w14:paraId="065F72C7">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3.820</w:t>
                  </w:r>
                </w:p>
              </w:tc>
              <w:tc>
                <w:tcPr>
                  <w:tcW w:w="549" w:type="pct"/>
                  <w:tcBorders>
                    <w:tl2br w:val="nil"/>
                    <w:tr2bl w:val="nil"/>
                  </w:tcBorders>
                  <w:noWrap w:val="0"/>
                  <w:vAlign w:val="center"/>
                </w:tcPr>
                <w:p w14:paraId="3AB36F26">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4.222</w:t>
                  </w:r>
                </w:p>
              </w:tc>
              <w:tc>
                <w:tcPr>
                  <w:tcW w:w="549" w:type="pct"/>
                  <w:tcBorders>
                    <w:tl2br w:val="nil"/>
                    <w:tr2bl w:val="nil"/>
                  </w:tcBorders>
                  <w:noWrap w:val="0"/>
                  <w:vAlign w:val="center"/>
                </w:tcPr>
                <w:p w14:paraId="776D195B">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4.624</w:t>
                  </w:r>
                </w:p>
              </w:tc>
            </w:tr>
          </w:tbl>
          <w:p w14:paraId="3669B84A">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由上表可知，粉尘的沉降速度随粒径的增大而迅速增大。当粒径为250μm时，沉降速度为1.005m/s，因此可以认为当尘粒大于250μm时，主要影响范围在扬尘点下风向近距离范围内，而真正对外环境产生影响的是一些微小粒径的粉尘。</w:t>
            </w:r>
          </w:p>
          <w:p w14:paraId="72B24B57">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起尘风速与粒径和含水量有关。因此，减少露天堆放和保证一定的含水量及减少裸露地面是减少风力起尘的有效手段。采取洒水降尘措施后，扬尘可减少70%。另外，按环评提出其余措施实施后，可进一步</w:t>
            </w:r>
            <w:r>
              <w:rPr>
                <w:rFonts w:hint="eastAsia" w:ascii="Times New Roman" w:hAnsi="Times New Roman" w:eastAsia="宋体" w:cs="Times New Roman"/>
                <w:caps w:val="0"/>
                <w:smallCaps w:val="0"/>
                <w:color w:val="auto"/>
                <w:spacing w:val="0"/>
                <w:w w:val="100"/>
                <w:kern w:val="2"/>
                <w:position w:val="0"/>
                <w:sz w:val="24"/>
                <w:highlight w:val="none"/>
                <w:lang w:eastAsia="zh-CN"/>
              </w:rPr>
              <w:t>减少</w:t>
            </w:r>
            <w:r>
              <w:rPr>
                <w:rFonts w:hint="default" w:ascii="Times New Roman" w:hAnsi="Times New Roman" w:eastAsia="宋体" w:cs="Times New Roman"/>
                <w:caps w:val="0"/>
                <w:smallCaps w:val="0"/>
                <w:color w:val="auto"/>
                <w:spacing w:val="0"/>
                <w:w w:val="100"/>
                <w:kern w:val="2"/>
                <w:position w:val="0"/>
                <w:sz w:val="24"/>
                <w:highlight w:val="none"/>
              </w:rPr>
              <w:t>扬尘产生量，从而减小对周围环境的影响。</w:t>
            </w:r>
          </w:p>
          <w:p w14:paraId="2F2D6559">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2</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交通运输车辆引起的道路扬尘</w:t>
            </w:r>
          </w:p>
          <w:p w14:paraId="10F72867">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根据有关文献资料介绍，施工过程中，车辆行驶产生的扬尘占总扬尘的60%以上。车辆行驶产生的扬尘，在完全干燥的情况下，可按以下经验公式计算：</w:t>
            </w:r>
          </w:p>
          <w:p w14:paraId="5D79D406">
            <w:pPr>
              <w:pageBreakBefore w:val="0"/>
              <w:tabs>
                <w:tab w:val="left" w:pos="0"/>
                <w:tab w:val="left" w:pos="870"/>
                <w:tab w:val="left" w:pos="3150"/>
              </w:tabs>
              <w:wordWrap/>
              <w:topLinePunct w:val="0"/>
              <w:autoSpaceDE w:val="0"/>
              <w:autoSpaceDN w:val="0"/>
              <w:bidi w:val="0"/>
              <w:spacing w:beforeAutospacing="0" w:afterAutospacing="0" w:line="360" w:lineRule="auto"/>
              <w:ind w:left="0" w:leftChars="0" w:right="0" w:firstLine="420"/>
              <w:jc w:val="center"/>
              <w:rPr>
                <w:rFonts w:hint="default" w:ascii="Times New Roman" w:hAnsi="Times New Roman" w:eastAsia="宋体" w:cs="Times New Roman"/>
                <w:caps w:val="0"/>
                <w:smallCaps w:val="0"/>
                <w:color w:val="auto"/>
                <w:spacing w:val="0"/>
                <w:w w:val="100"/>
                <w:kern w:val="2"/>
                <w:position w:val="0"/>
                <w:szCs w:val="21"/>
                <w:highlight w:val="none"/>
              </w:rPr>
            </w:pPr>
            <w:r>
              <w:rPr>
                <w:rFonts w:hint="default" w:ascii="Times New Roman" w:hAnsi="Times New Roman" w:eastAsia="宋体" w:cs="Times New Roman"/>
                <w:caps w:val="0"/>
                <w:smallCaps w:val="0"/>
                <w:color w:val="auto"/>
                <w:spacing w:val="0"/>
                <w:w w:val="100"/>
                <w:kern w:val="2"/>
                <w:position w:val="0"/>
                <w:szCs w:val="21"/>
                <w:highlight w:val="none"/>
              </w:rPr>
              <w:drawing>
                <wp:inline distT="0" distB="0" distL="114300" distR="114300">
                  <wp:extent cx="2065655" cy="333375"/>
                  <wp:effectExtent l="0" t="0" r="10795" b="8255"/>
                  <wp:docPr id="1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7"/>
                          <pic:cNvPicPr>
                            <a:picLocks noChangeAspect="1"/>
                          </pic:cNvPicPr>
                        </pic:nvPicPr>
                        <pic:blipFill>
                          <a:blip r:embed="rId25"/>
                          <a:stretch>
                            <a:fillRect/>
                          </a:stretch>
                        </pic:blipFill>
                        <pic:spPr>
                          <a:xfrm>
                            <a:off x="0" y="0"/>
                            <a:ext cx="2065655" cy="333375"/>
                          </a:xfrm>
                          <a:prstGeom prst="rect">
                            <a:avLst/>
                          </a:prstGeom>
                          <a:noFill/>
                          <a:ln>
                            <a:noFill/>
                          </a:ln>
                        </pic:spPr>
                      </pic:pic>
                    </a:graphicData>
                  </a:graphic>
                </wp:inline>
              </w:drawing>
            </w:r>
          </w:p>
          <w:p w14:paraId="03EEE011">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式中：Q——汽车行驶的扬尘，kg/km•辆；</w:t>
            </w:r>
          </w:p>
          <w:p w14:paraId="3AF50454">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V——汽车行驶速度，km/h；</w:t>
            </w:r>
          </w:p>
          <w:p w14:paraId="3D02B5EF">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W——汽车载重量，t；</w:t>
            </w:r>
          </w:p>
          <w:p w14:paraId="1066B3FE">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P——道路表面粉尘量，kg/m</w:t>
            </w:r>
            <w:r>
              <w:rPr>
                <w:rFonts w:hint="default" w:ascii="Times New Roman" w:hAnsi="Times New Roman" w:eastAsia="宋体" w:cs="Times New Roman"/>
                <w:caps w:val="0"/>
                <w:smallCaps w:val="0"/>
                <w:color w:val="auto"/>
                <w:spacing w:val="0"/>
                <w:w w:val="100"/>
                <w:kern w:val="2"/>
                <w:position w:val="0"/>
                <w:sz w:val="24"/>
                <w:highlight w:val="none"/>
                <w:vertAlign w:val="superscript"/>
              </w:rPr>
              <w:t>2</w:t>
            </w:r>
            <w:r>
              <w:rPr>
                <w:rFonts w:hint="default" w:ascii="Times New Roman" w:hAnsi="Times New Roman" w:eastAsia="宋体" w:cs="Times New Roman"/>
                <w:caps w:val="0"/>
                <w:smallCaps w:val="0"/>
                <w:color w:val="auto"/>
                <w:spacing w:val="0"/>
                <w:w w:val="100"/>
                <w:kern w:val="2"/>
                <w:position w:val="0"/>
                <w:sz w:val="24"/>
                <w:highlight w:val="none"/>
              </w:rPr>
              <w:t>。</w:t>
            </w:r>
          </w:p>
          <w:p w14:paraId="4B23AAB8">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下表为一辆10吨卡车通过一段长度为1km的路面时，不同路面清洁程度、不同行驶速度条件下产生的扬尘量。</w:t>
            </w:r>
          </w:p>
          <w:p w14:paraId="44B9FDC2">
            <w:pPr>
              <w:pageBreakBefore w:val="0"/>
              <w:wordWrap/>
              <w:topLinePunct w:val="0"/>
              <w:bidi w:val="0"/>
              <w:spacing w:beforeAutospacing="0" w:afterAutospacing="0" w:line="240" w:lineRule="auto"/>
              <w:ind w:left="0" w:leftChars="0" w:right="0" w:firstLine="482"/>
              <w:jc w:val="center"/>
              <w:rPr>
                <w:rFonts w:hint="default" w:ascii="Times New Roman" w:hAnsi="Times New Roman" w:eastAsia="宋体" w:cs="Times New Roman"/>
                <w:b/>
                <w:caps w:val="0"/>
                <w:smallCaps w:val="0"/>
                <w:color w:val="auto"/>
                <w:spacing w:val="0"/>
                <w:w w:val="100"/>
                <w:kern w:val="2"/>
                <w:position w:val="0"/>
                <w:sz w:val="21"/>
                <w:szCs w:val="21"/>
                <w:highlight w:val="none"/>
              </w:rPr>
            </w:pPr>
            <w:bookmarkStart w:id="9" w:name="_Ref349036035"/>
            <w:bookmarkStart w:id="10" w:name="_Toc381011238"/>
            <w:bookmarkStart w:id="11" w:name="_Toc335867103"/>
            <w:bookmarkStart w:id="12" w:name="_Toc292306495"/>
            <w:bookmarkStart w:id="13" w:name="_Toc372525589"/>
            <w:bookmarkStart w:id="14" w:name="_Toc301546134"/>
            <w:r>
              <w:rPr>
                <w:rFonts w:hint="default" w:ascii="Times New Roman" w:hAnsi="Times New Roman" w:eastAsia="宋体" w:cs="Times New Roman"/>
                <w:b/>
                <w:caps w:val="0"/>
                <w:smallCaps w:val="0"/>
                <w:color w:val="auto"/>
                <w:spacing w:val="0"/>
                <w:w w:val="100"/>
                <w:kern w:val="2"/>
                <w:position w:val="0"/>
                <w:sz w:val="21"/>
                <w:szCs w:val="21"/>
                <w:highlight w:val="none"/>
              </w:rPr>
              <w:t>表</w:t>
            </w:r>
            <w:bookmarkEnd w:id="9"/>
            <w:r>
              <w:rPr>
                <w:rFonts w:hint="default" w:ascii="Times New Roman" w:hAnsi="Times New Roman" w:eastAsia="宋体" w:cs="Times New Roman"/>
                <w:b/>
                <w:caps w:val="0"/>
                <w:smallCaps w:val="0"/>
                <w:color w:val="auto"/>
                <w:spacing w:val="0"/>
                <w:w w:val="100"/>
                <w:kern w:val="2"/>
                <w:position w:val="0"/>
                <w:sz w:val="21"/>
                <w:szCs w:val="21"/>
                <w:highlight w:val="none"/>
              </w:rPr>
              <w:t>4</w:t>
            </w:r>
            <w:r>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rPr>
              <w:t>-</w:t>
            </w:r>
            <w:r>
              <w:rPr>
                <w:rFonts w:hint="eastAsia" w:ascii="Times New Roman" w:hAnsi="Times New Roman" w:eastAsia="宋体" w:cs="Times New Roman"/>
                <w:b/>
                <w:caps w:val="0"/>
                <w:smallCaps w:val="0"/>
                <w:color w:val="auto"/>
                <w:spacing w:val="0"/>
                <w:w w:val="100"/>
                <w:kern w:val="2"/>
                <w:position w:val="0"/>
                <w:sz w:val="21"/>
                <w:szCs w:val="21"/>
                <w:highlight w:val="none"/>
                <w:lang w:val="en-US" w:eastAsia="zh-CN"/>
              </w:rPr>
              <w:t xml:space="preserve">2   </w:t>
            </w:r>
            <w:r>
              <w:rPr>
                <w:rFonts w:hint="default" w:ascii="Times New Roman" w:hAnsi="Times New Roman" w:eastAsia="宋体" w:cs="Times New Roman"/>
                <w:b/>
                <w:caps w:val="0"/>
                <w:smallCaps w:val="0"/>
                <w:color w:val="auto"/>
                <w:spacing w:val="0"/>
                <w:w w:val="100"/>
                <w:kern w:val="2"/>
                <w:position w:val="0"/>
                <w:sz w:val="21"/>
                <w:szCs w:val="21"/>
                <w:highlight w:val="none"/>
              </w:rPr>
              <w:t>不同车速和路面清洁程度条件下的汽车扬尘</w:t>
            </w:r>
            <w:bookmarkEnd w:id="10"/>
            <w:bookmarkEnd w:id="11"/>
            <w:bookmarkEnd w:id="12"/>
            <w:bookmarkEnd w:id="13"/>
            <w:bookmarkEnd w:id="14"/>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246"/>
              <w:gridCol w:w="1246"/>
              <w:gridCol w:w="1246"/>
              <w:gridCol w:w="1246"/>
              <w:gridCol w:w="1246"/>
            </w:tblGrid>
            <w:tr w14:paraId="6D094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1169FEC1">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right"/>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粉尘量</w:t>
                  </w:r>
                </w:p>
                <w:p w14:paraId="1B25EC70">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left"/>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车速</w:t>
                  </w:r>
                </w:p>
              </w:tc>
              <w:tc>
                <w:tcPr>
                  <w:tcW w:w="806" w:type="pct"/>
                  <w:tcBorders>
                    <w:tl2br w:val="nil"/>
                    <w:tr2bl w:val="nil"/>
                  </w:tcBorders>
                  <w:noWrap w:val="0"/>
                  <w:vAlign w:val="center"/>
                </w:tcPr>
                <w:p w14:paraId="3244DE0F">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0.1kg/m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c>
                <w:tcPr>
                  <w:tcW w:w="806" w:type="pct"/>
                  <w:tcBorders>
                    <w:tl2br w:val="nil"/>
                    <w:tr2bl w:val="nil"/>
                  </w:tcBorders>
                  <w:noWrap w:val="0"/>
                  <w:vAlign w:val="center"/>
                </w:tcPr>
                <w:p w14:paraId="3A3E019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0.2kg/m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c>
                <w:tcPr>
                  <w:tcW w:w="806" w:type="pct"/>
                  <w:tcBorders>
                    <w:tl2br w:val="nil"/>
                    <w:tr2bl w:val="nil"/>
                  </w:tcBorders>
                  <w:noWrap w:val="0"/>
                  <w:vAlign w:val="center"/>
                </w:tcPr>
                <w:p w14:paraId="4F28F2C7">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0.3kg/m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c>
                <w:tcPr>
                  <w:tcW w:w="806" w:type="pct"/>
                  <w:tcBorders>
                    <w:tl2br w:val="nil"/>
                    <w:tr2bl w:val="nil"/>
                  </w:tcBorders>
                  <w:noWrap w:val="0"/>
                  <w:vAlign w:val="center"/>
                </w:tcPr>
                <w:p w14:paraId="25895F47">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0.4kg/m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c>
                <w:tcPr>
                  <w:tcW w:w="806" w:type="pct"/>
                  <w:tcBorders>
                    <w:tl2br w:val="nil"/>
                    <w:tr2bl w:val="nil"/>
                  </w:tcBorders>
                  <w:noWrap w:val="0"/>
                  <w:vAlign w:val="center"/>
                </w:tcPr>
                <w:p w14:paraId="3D6B010E">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0.5kg/m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r>
            <w:tr w14:paraId="5C54A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623C7E9B">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5km/h</w:t>
                  </w:r>
                </w:p>
              </w:tc>
              <w:tc>
                <w:tcPr>
                  <w:tcW w:w="806" w:type="pct"/>
                  <w:tcBorders>
                    <w:tl2br w:val="nil"/>
                    <w:tr2bl w:val="nil"/>
                  </w:tcBorders>
                  <w:noWrap w:val="0"/>
                  <w:vAlign w:val="center"/>
                </w:tcPr>
                <w:p w14:paraId="347E0373">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0.0511</w:t>
                  </w:r>
                </w:p>
              </w:tc>
              <w:tc>
                <w:tcPr>
                  <w:tcW w:w="806" w:type="pct"/>
                  <w:tcBorders>
                    <w:tl2br w:val="nil"/>
                    <w:tr2bl w:val="nil"/>
                  </w:tcBorders>
                  <w:noWrap w:val="0"/>
                  <w:vAlign w:val="center"/>
                </w:tcPr>
                <w:p w14:paraId="55831AAF">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0.0859</w:t>
                  </w:r>
                </w:p>
              </w:tc>
              <w:tc>
                <w:tcPr>
                  <w:tcW w:w="806" w:type="pct"/>
                  <w:tcBorders>
                    <w:tl2br w:val="nil"/>
                    <w:tr2bl w:val="nil"/>
                  </w:tcBorders>
                  <w:noWrap w:val="0"/>
                  <w:vAlign w:val="center"/>
                </w:tcPr>
                <w:p w14:paraId="552DC554">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0.1164</w:t>
                  </w:r>
                </w:p>
              </w:tc>
              <w:tc>
                <w:tcPr>
                  <w:tcW w:w="806" w:type="pct"/>
                  <w:tcBorders>
                    <w:tl2br w:val="nil"/>
                    <w:tr2bl w:val="nil"/>
                  </w:tcBorders>
                  <w:noWrap w:val="0"/>
                  <w:vAlign w:val="center"/>
                </w:tcPr>
                <w:p w14:paraId="70C37344">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0.1444</w:t>
                  </w:r>
                </w:p>
              </w:tc>
              <w:tc>
                <w:tcPr>
                  <w:tcW w:w="806" w:type="pct"/>
                  <w:tcBorders>
                    <w:tl2br w:val="nil"/>
                    <w:tr2bl w:val="nil"/>
                  </w:tcBorders>
                  <w:noWrap w:val="0"/>
                  <w:vAlign w:val="center"/>
                </w:tcPr>
                <w:p w14:paraId="72997DE7">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0.1707</w:t>
                  </w:r>
                </w:p>
              </w:tc>
            </w:tr>
            <w:tr w14:paraId="6621B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0B5400F8">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10km/h</w:t>
                  </w:r>
                </w:p>
              </w:tc>
              <w:tc>
                <w:tcPr>
                  <w:tcW w:w="806" w:type="pct"/>
                  <w:tcBorders>
                    <w:tl2br w:val="nil"/>
                    <w:tr2bl w:val="nil"/>
                  </w:tcBorders>
                  <w:noWrap w:val="0"/>
                  <w:vAlign w:val="center"/>
                </w:tcPr>
                <w:p w14:paraId="1BD43CB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0.1021</w:t>
                  </w:r>
                </w:p>
              </w:tc>
              <w:tc>
                <w:tcPr>
                  <w:tcW w:w="806" w:type="pct"/>
                  <w:tcBorders>
                    <w:tl2br w:val="nil"/>
                    <w:tr2bl w:val="nil"/>
                  </w:tcBorders>
                  <w:noWrap w:val="0"/>
                  <w:vAlign w:val="center"/>
                </w:tcPr>
                <w:p w14:paraId="3F0744CC">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0.1717</w:t>
                  </w:r>
                </w:p>
              </w:tc>
              <w:tc>
                <w:tcPr>
                  <w:tcW w:w="806" w:type="pct"/>
                  <w:tcBorders>
                    <w:tl2br w:val="nil"/>
                    <w:tr2bl w:val="nil"/>
                  </w:tcBorders>
                  <w:noWrap w:val="0"/>
                  <w:vAlign w:val="center"/>
                </w:tcPr>
                <w:p w14:paraId="2BFB9DBF">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0.2328</w:t>
                  </w:r>
                </w:p>
              </w:tc>
              <w:tc>
                <w:tcPr>
                  <w:tcW w:w="806" w:type="pct"/>
                  <w:tcBorders>
                    <w:tl2br w:val="nil"/>
                    <w:tr2bl w:val="nil"/>
                  </w:tcBorders>
                  <w:noWrap w:val="0"/>
                  <w:vAlign w:val="center"/>
                </w:tcPr>
                <w:p w14:paraId="3F8B633A">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0.2888</w:t>
                  </w:r>
                </w:p>
              </w:tc>
              <w:tc>
                <w:tcPr>
                  <w:tcW w:w="806" w:type="pct"/>
                  <w:tcBorders>
                    <w:tl2br w:val="nil"/>
                    <w:tr2bl w:val="nil"/>
                  </w:tcBorders>
                  <w:noWrap w:val="0"/>
                  <w:vAlign w:val="center"/>
                </w:tcPr>
                <w:p w14:paraId="1B606DAF">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0.3414</w:t>
                  </w:r>
                </w:p>
              </w:tc>
            </w:tr>
            <w:tr w14:paraId="14B71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505C0A0F">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15km/h</w:t>
                  </w:r>
                </w:p>
              </w:tc>
              <w:tc>
                <w:tcPr>
                  <w:tcW w:w="806" w:type="pct"/>
                  <w:tcBorders>
                    <w:tl2br w:val="nil"/>
                    <w:tr2bl w:val="nil"/>
                  </w:tcBorders>
                  <w:noWrap w:val="0"/>
                  <w:vAlign w:val="center"/>
                </w:tcPr>
                <w:p w14:paraId="1590D1E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0.1532</w:t>
                  </w:r>
                </w:p>
              </w:tc>
              <w:tc>
                <w:tcPr>
                  <w:tcW w:w="806" w:type="pct"/>
                  <w:tcBorders>
                    <w:tl2br w:val="nil"/>
                    <w:tr2bl w:val="nil"/>
                  </w:tcBorders>
                  <w:noWrap w:val="0"/>
                  <w:vAlign w:val="center"/>
                </w:tcPr>
                <w:p w14:paraId="6615B4BB">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0.2576</w:t>
                  </w:r>
                </w:p>
              </w:tc>
              <w:tc>
                <w:tcPr>
                  <w:tcW w:w="806" w:type="pct"/>
                  <w:tcBorders>
                    <w:tl2br w:val="nil"/>
                    <w:tr2bl w:val="nil"/>
                  </w:tcBorders>
                  <w:noWrap w:val="0"/>
                  <w:vAlign w:val="center"/>
                </w:tcPr>
                <w:p w14:paraId="44976472">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0.3491</w:t>
                  </w:r>
                </w:p>
              </w:tc>
              <w:tc>
                <w:tcPr>
                  <w:tcW w:w="806" w:type="pct"/>
                  <w:tcBorders>
                    <w:tl2br w:val="nil"/>
                    <w:tr2bl w:val="nil"/>
                  </w:tcBorders>
                  <w:noWrap w:val="0"/>
                  <w:vAlign w:val="center"/>
                </w:tcPr>
                <w:p w14:paraId="2459C0AE">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0.4332</w:t>
                  </w:r>
                </w:p>
              </w:tc>
              <w:tc>
                <w:tcPr>
                  <w:tcW w:w="806" w:type="pct"/>
                  <w:tcBorders>
                    <w:tl2br w:val="nil"/>
                    <w:tr2bl w:val="nil"/>
                  </w:tcBorders>
                  <w:noWrap w:val="0"/>
                  <w:vAlign w:val="center"/>
                </w:tcPr>
                <w:p w14:paraId="3938AFDC">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0.5121</w:t>
                  </w:r>
                </w:p>
              </w:tc>
            </w:tr>
            <w:tr w14:paraId="7732F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6360C130">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25km/h</w:t>
                  </w:r>
                </w:p>
              </w:tc>
              <w:tc>
                <w:tcPr>
                  <w:tcW w:w="806" w:type="pct"/>
                  <w:tcBorders>
                    <w:tl2br w:val="nil"/>
                    <w:tr2bl w:val="nil"/>
                  </w:tcBorders>
                  <w:noWrap w:val="0"/>
                  <w:vAlign w:val="center"/>
                </w:tcPr>
                <w:p w14:paraId="5427485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0.2553</w:t>
                  </w:r>
                </w:p>
              </w:tc>
              <w:tc>
                <w:tcPr>
                  <w:tcW w:w="806" w:type="pct"/>
                  <w:tcBorders>
                    <w:tl2br w:val="nil"/>
                    <w:tr2bl w:val="nil"/>
                  </w:tcBorders>
                  <w:noWrap w:val="0"/>
                  <w:vAlign w:val="center"/>
                </w:tcPr>
                <w:p w14:paraId="153048C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0.4293</w:t>
                  </w:r>
                </w:p>
              </w:tc>
              <w:tc>
                <w:tcPr>
                  <w:tcW w:w="806" w:type="pct"/>
                  <w:tcBorders>
                    <w:tl2br w:val="nil"/>
                    <w:tr2bl w:val="nil"/>
                  </w:tcBorders>
                  <w:noWrap w:val="0"/>
                  <w:vAlign w:val="center"/>
                </w:tcPr>
                <w:p w14:paraId="62E1B75A">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0.5819</w:t>
                  </w:r>
                </w:p>
              </w:tc>
              <w:tc>
                <w:tcPr>
                  <w:tcW w:w="806" w:type="pct"/>
                  <w:tcBorders>
                    <w:tl2br w:val="nil"/>
                    <w:tr2bl w:val="nil"/>
                  </w:tcBorders>
                  <w:noWrap w:val="0"/>
                  <w:vAlign w:val="center"/>
                </w:tcPr>
                <w:p w14:paraId="0CDCFDFF">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0.722</w:t>
                  </w:r>
                </w:p>
              </w:tc>
              <w:tc>
                <w:tcPr>
                  <w:tcW w:w="806" w:type="pct"/>
                  <w:tcBorders>
                    <w:tl2br w:val="nil"/>
                    <w:tr2bl w:val="nil"/>
                  </w:tcBorders>
                  <w:noWrap w:val="0"/>
                  <w:vAlign w:val="center"/>
                </w:tcPr>
                <w:p w14:paraId="79DD9E7A">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0.8536</w:t>
                  </w:r>
                </w:p>
              </w:tc>
            </w:tr>
          </w:tbl>
          <w:p w14:paraId="4DF4D316">
            <w:pPr>
              <w:pageBreakBefore w:val="0"/>
              <w:wordWrap/>
              <w:topLinePunct w:val="0"/>
              <w:bidi w:val="0"/>
              <w:spacing w:beforeAutospacing="0" w:afterAutospacing="0" w:line="360" w:lineRule="auto"/>
              <w:ind w:left="0" w:leftChars="0" w:right="0" w:firstLine="210" w:firstLineChars="100"/>
              <w:rPr>
                <w:rFonts w:hint="default" w:ascii="Times New Roman" w:hAnsi="Times New Roman" w:eastAsia="宋体" w:cs="Times New Roman"/>
                <w:caps w:val="0"/>
                <w:smallCaps w:val="0"/>
                <w:color w:val="auto"/>
                <w:spacing w:val="0"/>
                <w:w w:val="100"/>
                <w:kern w:val="2"/>
                <w:position w:val="0"/>
                <w:szCs w:val="21"/>
                <w:highlight w:val="none"/>
              </w:rPr>
            </w:pPr>
            <w:r>
              <w:rPr>
                <w:rFonts w:hint="default" w:ascii="Times New Roman" w:hAnsi="Times New Roman" w:eastAsia="宋体" w:cs="Times New Roman"/>
                <w:caps w:val="0"/>
                <w:smallCaps w:val="0"/>
                <w:color w:val="auto"/>
                <w:spacing w:val="0"/>
                <w:w w:val="100"/>
                <w:kern w:val="2"/>
                <w:position w:val="0"/>
                <w:szCs w:val="21"/>
                <w:highlight w:val="none"/>
              </w:rPr>
              <w:t>注：单位为kg/辆•km</w:t>
            </w:r>
          </w:p>
          <w:p w14:paraId="195C2C72">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由上表可见，在同样路面清洁程度条件下，车速越快，扬尘量越大；在同样车速条件下，路面尘土量越大，扬尘越大。因此，限制施工车辆速度和保持路面清洁是</w:t>
            </w:r>
            <w:r>
              <w:rPr>
                <w:rFonts w:hint="eastAsia" w:ascii="Times New Roman" w:hAnsi="Times New Roman" w:eastAsia="宋体" w:cs="Times New Roman"/>
                <w:caps w:val="0"/>
                <w:smallCaps w:val="0"/>
                <w:color w:val="auto"/>
                <w:spacing w:val="0"/>
                <w:w w:val="100"/>
                <w:kern w:val="2"/>
                <w:position w:val="0"/>
                <w:sz w:val="24"/>
                <w:highlight w:val="none"/>
                <w:lang w:eastAsia="zh-CN"/>
              </w:rPr>
              <w:t>减少</w:t>
            </w:r>
            <w:r>
              <w:rPr>
                <w:rFonts w:hint="default" w:ascii="Times New Roman" w:hAnsi="Times New Roman" w:eastAsia="宋体" w:cs="Times New Roman"/>
                <w:caps w:val="0"/>
                <w:smallCaps w:val="0"/>
                <w:color w:val="auto"/>
                <w:spacing w:val="0"/>
                <w:w w:val="100"/>
                <w:kern w:val="2"/>
                <w:position w:val="0"/>
                <w:sz w:val="24"/>
                <w:highlight w:val="none"/>
              </w:rPr>
              <w:t>扬尘的有效手段。如果施工阶段对汽车行驶路面勤洒水（每天4</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5次），可以使扬尘产生量减少70%左右，收到很好的降尘效果。洒水的试验资料见</w:t>
            </w:r>
            <w:r>
              <w:rPr>
                <w:rFonts w:hint="default" w:ascii="Times New Roman" w:hAnsi="Times New Roman" w:eastAsia="宋体" w:cs="Times New Roman"/>
                <w:caps w:val="0"/>
                <w:smallCaps w:val="0"/>
                <w:color w:val="auto"/>
                <w:spacing w:val="0"/>
                <w:w w:val="100"/>
                <w:kern w:val="2"/>
                <w:position w:val="0"/>
                <w:sz w:val="24"/>
                <w:highlight w:val="none"/>
              </w:rPr>
              <w:fldChar w:fldCharType="begin"/>
            </w:r>
            <w:r>
              <w:rPr>
                <w:rFonts w:hint="default" w:ascii="Times New Roman" w:hAnsi="Times New Roman" w:eastAsia="宋体" w:cs="Times New Roman"/>
                <w:caps w:val="0"/>
                <w:smallCaps w:val="0"/>
                <w:color w:val="auto"/>
                <w:spacing w:val="0"/>
                <w:w w:val="100"/>
                <w:kern w:val="2"/>
                <w:position w:val="0"/>
                <w:sz w:val="24"/>
                <w:highlight w:val="none"/>
              </w:rPr>
              <w:instrText xml:space="preserve"> REF _Ref349050675 \h  \* MERGEFORMAT </w:instrText>
            </w:r>
            <w:r>
              <w:rPr>
                <w:rFonts w:hint="default" w:ascii="Times New Roman" w:hAnsi="Times New Roman" w:eastAsia="宋体" w:cs="Times New Roman"/>
                <w:caps w:val="0"/>
                <w:smallCaps w:val="0"/>
                <w:color w:val="auto"/>
                <w:spacing w:val="0"/>
                <w:w w:val="100"/>
                <w:kern w:val="2"/>
                <w:position w:val="0"/>
                <w:sz w:val="24"/>
                <w:highlight w:val="none"/>
              </w:rPr>
              <w:fldChar w:fldCharType="separate"/>
            </w:r>
            <w:r>
              <w:rPr>
                <w:rFonts w:hint="default" w:ascii="Times New Roman" w:hAnsi="Times New Roman" w:eastAsia="宋体" w:cs="Times New Roman"/>
                <w:caps w:val="0"/>
                <w:smallCaps w:val="0"/>
                <w:color w:val="auto"/>
                <w:spacing w:val="0"/>
                <w:w w:val="100"/>
                <w:kern w:val="2"/>
                <w:position w:val="0"/>
                <w:sz w:val="24"/>
                <w:highlight w:val="none"/>
              </w:rPr>
              <w:t>表</w:t>
            </w:r>
            <w:r>
              <w:rPr>
                <w:rFonts w:hint="default" w:ascii="Times New Roman" w:hAnsi="Times New Roman" w:eastAsia="宋体" w:cs="Times New Roman"/>
                <w:caps w:val="0"/>
                <w:smallCaps w:val="0"/>
                <w:color w:val="auto"/>
                <w:spacing w:val="0"/>
                <w:w w:val="100"/>
                <w:kern w:val="2"/>
                <w:position w:val="0"/>
                <w:sz w:val="24"/>
                <w:highlight w:val="none"/>
              </w:rPr>
              <w:fldChar w:fldCharType="end"/>
            </w:r>
            <w:r>
              <w:rPr>
                <w:rFonts w:hint="default" w:ascii="Times New Roman" w:hAnsi="Times New Roman" w:eastAsia="宋体" w:cs="Times New Roman"/>
                <w:caps w:val="0"/>
                <w:smallCaps w:val="0"/>
                <w:color w:val="auto"/>
                <w:spacing w:val="0"/>
                <w:w w:val="100"/>
                <w:kern w:val="2"/>
                <w:position w:val="0"/>
                <w:sz w:val="24"/>
                <w:highlight w:val="none"/>
              </w:rPr>
              <w:t>。当洒水频率为4</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5次/天时，扬尘造成的TSP污染距离可缩小到20</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50m范围内。</w:t>
            </w:r>
          </w:p>
          <w:p w14:paraId="15C9B9AA">
            <w:pPr>
              <w:pageBreakBefore w:val="0"/>
              <w:wordWrap/>
              <w:topLinePunct w:val="0"/>
              <w:bidi w:val="0"/>
              <w:spacing w:beforeAutospacing="0" w:afterAutospacing="0" w:line="240" w:lineRule="auto"/>
              <w:ind w:left="0" w:leftChars="0" w:right="0" w:firstLine="482"/>
              <w:jc w:val="center"/>
              <w:rPr>
                <w:rFonts w:hint="default" w:ascii="Times New Roman" w:hAnsi="Times New Roman" w:eastAsia="宋体" w:cs="Times New Roman"/>
                <w:b/>
                <w:caps w:val="0"/>
                <w:smallCaps w:val="0"/>
                <w:color w:val="auto"/>
                <w:spacing w:val="0"/>
                <w:w w:val="100"/>
                <w:kern w:val="2"/>
                <w:position w:val="0"/>
                <w:sz w:val="21"/>
                <w:szCs w:val="21"/>
                <w:highlight w:val="none"/>
              </w:rPr>
            </w:pPr>
            <w:bookmarkStart w:id="15" w:name="_Ref349050675"/>
            <w:bookmarkStart w:id="16" w:name="_Toc301546135"/>
            <w:bookmarkStart w:id="17" w:name="_Toc335867104"/>
            <w:bookmarkStart w:id="18" w:name="_Toc292306496"/>
            <w:bookmarkStart w:id="19" w:name="_Toc381011239"/>
            <w:bookmarkStart w:id="20" w:name="_Toc372525590"/>
            <w:r>
              <w:rPr>
                <w:rFonts w:hint="default" w:ascii="Times New Roman" w:hAnsi="Times New Roman" w:eastAsia="宋体" w:cs="Times New Roman"/>
                <w:b/>
                <w:caps w:val="0"/>
                <w:smallCaps w:val="0"/>
                <w:color w:val="auto"/>
                <w:spacing w:val="0"/>
                <w:w w:val="100"/>
                <w:kern w:val="2"/>
                <w:position w:val="0"/>
                <w:sz w:val="21"/>
                <w:szCs w:val="21"/>
                <w:highlight w:val="none"/>
              </w:rPr>
              <w:t>表</w:t>
            </w:r>
            <w:bookmarkEnd w:id="15"/>
            <w:r>
              <w:rPr>
                <w:rFonts w:hint="default" w:ascii="Times New Roman" w:hAnsi="Times New Roman" w:eastAsia="宋体" w:cs="Times New Roman"/>
                <w:b/>
                <w:caps w:val="0"/>
                <w:smallCaps w:val="0"/>
                <w:color w:val="auto"/>
                <w:spacing w:val="0"/>
                <w:w w:val="100"/>
                <w:kern w:val="2"/>
                <w:position w:val="0"/>
                <w:sz w:val="21"/>
                <w:szCs w:val="21"/>
                <w:highlight w:val="none"/>
                <w:lang w:val="en-US" w:eastAsia="zh-CN"/>
              </w:rPr>
              <w:t>4-</w:t>
            </w:r>
            <w:r>
              <w:rPr>
                <w:rFonts w:hint="eastAsia" w:ascii="Times New Roman" w:hAnsi="Times New Roman" w:eastAsia="宋体" w:cs="Times New Roman"/>
                <w:b/>
                <w:caps w:val="0"/>
                <w:smallCaps w:val="0"/>
                <w:color w:val="auto"/>
                <w:spacing w:val="0"/>
                <w:w w:val="100"/>
                <w:kern w:val="2"/>
                <w:position w:val="0"/>
                <w:sz w:val="21"/>
                <w:szCs w:val="21"/>
                <w:highlight w:val="none"/>
                <w:lang w:val="en-US" w:eastAsia="zh-CN"/>
              </w:rPr>
              <w:t xml:space="preserve">3    </w:t>
            </w:r>
            <w:r>
              <w:rPr>
                <w:rFonts w:hint="default" w:ascii="Times New Roman" w:hAnsi="Times New Roman" w:eastAsia="宋体" w:cs="Times New Roman"/>
                <w:b/>
                <w:caps w:val="0"/>
                <w:smallCaps w:val="0"/>
                <w:color w:val="auto"/>
                <w:spacing w:val="0"/>
                <w:w w:val="100"/>
                <w:kern w:val="2"/>
                <w:position w:val="0"/>
                <w:sz w:val="21"/>
                <w:szCs w:val="21"/>
                <w:highlight w:val="none"/>
              </w:rPr>
              <w:t>施工阶段采用洒水车降尘试验结果</w:t>
            </w:r>
            <w:bookmarkEnd w:id="16"/>
            <w:bookmarkEnd w:id="17"/>
            <w:bookmarkEnd w:id="18"/>
            <w:bookmarkEnd w:id="19"/>
            <w:bookmarkEnd w:id="20"/>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972"/>
              <w:gridCol w:w="1268"/>
              <w:gridCol w:w="1239"/>
              <w:gridCol w:w="1239"/>
              <w:gridCol w:w="1415"/>
            </w:tblGrid>
            <w:tr w14:paraId="0B7CE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9" w:type="pct"/>
                  <w:gridSpan w:val="2"/>
                  <w:tcBorders>
                    <w:tl2br w:val="nil"/>
                    <w:tr2bl w:val="nil"/>
                  </w:tcBorders>
                  <w:noWrap w:val="0"/>
                  <w:vAlign w:val="center"/>
                </w:tcPr>
                <w:p w14:paraId="03F4F701">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距路边距离（m）</w:t>
                  </w:r>
                </w:p>
              </w:tc>
              <w:tc>
                <w:tcPr>
                  <w:tcW w:w="820" w:type="pct"/>
                  <w:tcBorders>
                    <w:tl2br w:val="nil"/>
                    <w:tr2bl w:val="nil"/>
                  </w:tcBorders>
                  <w:noWrap w:val="0"/>
                  <w:vAlign w:val="center"/>
                </w:tcPr>
                <w:p w14:paraId="0401CE04">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5</w:t>
                  </w:r>
                </w:p>
              </w:tc>
              <w:tc>
                <w:tcPr>
                  <w:tcW w:w="801" w:type="pct"/>
                  <w:tcBorders>
                    <w:tl2br w:val="nil"/>
                    <w:tr2bl w:val="nil"/>
                  </w:tcBorders>
                  <w:noWrap w:val="0"/>
                  <w:vAlign w:val="center"/>
                </w:tcPr>
                <w:p w14:paraId="7EBBC0C2">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20</w:t>
                  </w:r>
                </w:p>
              </w:tc>
              <w:tc>
                <w:tcPr>
                  <w:tcW w:w="801" w:type="pct"/>
                  <w:tcBorders>
                    <w:tl2br w:val="nil"/>
                    <w:tr2bl w:val="nil"/>
                  </w:tcBorders>
                  <w:noWrap w:val="0"/>
                  <w:vAlign w:val="center"/>
                </w:tcPr>
                <w:p w14:paraId="0B042A13">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50</w:t>
                  </w:r>
                </w:p>
              </w:tc>
              <w:tc>
                <w:tcPr>
                  <w:tcW w:w="915" w:type="pct"/>
                  <w:tcBorders>
                    <w:tl2br w:val="nil"/>
                    <w:tr2bl w:val="nil"/>
                  </w:tcBorders>
                  <w:noWrap w:val="0"/>
                  <w:vAlign w:val="center"/>
                </w:tcPr>
                <w:p w14:paraId="7656CF32">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100</w:t>
                  </w:r>
                </w:p>
              </w:tc>
            </w:tr>
            <w:tr w14:paraId="1899A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Merge w:val="restart"/>
                  <w:tcBorders>
                    <w:tl2br w:val="nil"/>
                    <w:tr2bl w:val="nil"/>
                  </w:tcBorders>
                  <w:noWrap w:val="0"/>
                  <w:vAlign w:val="center"/>
                </w:tcPr>
                <w:p w14:paraId="263CCF87">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TSP浓度</w:t>
                  </w:r>
                </w:p>
                <w:p w14:paraId="5901BD4C">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（mg/m</w:t>
                  </w:r>
                  <w:r>
                    <w:rPr>
                      <w:rFonts w:hint="default" w:ascii="Times New Roman" w:hAnsi="Times New Roman" w:eastAsia="宋体" w:cs="Times New Roman"/>
                      <w:b w:val="0"/>
                      <w:bCs/>
                      <w:caps w:val="0"/>
                      <w:smallCaps w:val="0"/>
                      <w:color w:val="auto"/>
                      <w:spacing w:val="0"/>
                      <w:w w:val="100"/>
                      <w:kern w:val="2"/>
                      <w:position w:val="0"/>
                      <w:sz w:val="21"/>
                      <w:szCs w:val="21"/>
                      <w:highlight w:val="none"/>
                      <w:vertAlign w:val="superscript"/>
                    </w:rPr>
                    <w:t>3</w:t>
                  </w:r>
                  <w:r>
                    <w:rPr>
                      <w:rFonts w:hint="eastAsia" w:ascii="Times New Roman" w:hAnsi="Times New Roman" w:eastAsia="宋体" w:cs="Times New Roman"/>
                      <w:b w:val="0"/>
                      <w:bCs/>
                      <w:caps w:val="0"/>
                      <w:smallCaps w:val="0"/>
                      <w:color w:val="auto"/>
                      <w:spacing w:val="0"/>
                      <w:w w:val="100"/>
                      <w:kern w:val="2"/>
                      <w:position w:val="0"/>
                      <w:sz w:val="21"/>
                      <w:szCs w:val="21"/>
                      <w:highlight w:val="none"/>
                      <w:vertAlign w:val="superscript"/>
                      <w:lang w:eastAsia="zh-CN"/>
                    </w:rPr>
                    <w:t>)</w:t>
                  </w:r>
                </w:p>
              </w:tc>
              <w:tc>
                <w:tcPr>
                  <w:tcW w:w="629" w:type="pct"/>
                  <w:tcBorders>
                    <w:tl2br w:val="nil"/>
                    <w:tr2bl w:val="nil"/>
                  </w:tcBorders>
                  <w:noWrap w:val="0"/>
                  <w:vAlign w:val="center"/>
                </w:tcPr>
                <w:p w14:paraId="76A01140">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不洒水</w:t>
                  </w:r>
                </w:p>
              </w:tc>
              <w:tc>
                <w:tcPr>
                  <w:tcW w:w="820" w:type="pct"/>
                  <w:tcBorders>
                    <w:tl2br w:val="nil"/>
                    <w:tr2bl w:val="nil"/>
                  </w:tcBorders>
                  <w:noWrap w:val="0"/>
                  <w:vAlign w:val="center"/>
                </w:tcPr>
                <w:p w14:paraId="47C4BA5B">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10.14</w:t>
                  </w:r>
                </w:p>
              </w:tc>
              <w:tc>
                <w:tcPr>
                  <w:tcW w:w="801" w:type="pct"/>
                  <w:tcBorders>
                    <w:tl2br w:val="nil"/>
                    <w:tr2bl w:val="nil"/>
                  </w:tcBorders>
                  <w:noWrap w:val="0"/>
                  <w:vAlign w:val="center"/>
                </w:tcPr>
                <w:p w14:paraId="1FC50A61">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2.81</w:t>
                  </w:r>
                </w:p>
              </w:tc>
              <w:tc>
                <w:tcPr>
                  <w:tcW w:w="801" w:type="pct"/>
                  <w:tcBorders>
                    <w:tl2br w:val="nil"/>
                    <w:tr2bl w:val="nil"/>
                  </w:tcBorders>
                  <w:noWrap w:val="0"/>
                  <w:vAlign w:val="center"/>
                </w:tcPr>
                <w:p w14:paraId="472796CF">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1.15</w:t>
                  </w:r>
                </w:p>
              </w:tc>
              <w:tc>
                <w:tcPr>
                  <w:tcW w:w="915" w:type="pct"/>
                  <w:tcBorders>
                    <w:tl2br w:val="nil"/>
                    <w:tr2bl w:val="nil"/>
                  </w:tcBorders>
                  <w:noWrap w:val="0"/>
                  <w:vAlign w:val="center"/>
                </w:tcPr>
                <w:p w14:paraId="03DD7AD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0.86</w:t>
                  </w:r>
                </w:p>
              </w:tc>
            </w:tr>
            <w:tr w14:paraId="167E3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Merge w:val="continue"/>
                  <w:tcBorders>
                    <w:tl2br w:val="nil"/>
                    <w:tr2bl w:val="nil"/>
                  </w:tcBorders>
                  <w:noWrap w:val="0"/>
                  <w:vAlign w:val="center"/>
                </w:tcPr>
                <w:p w14:paraId="3A770F6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p>
              </w:tc>
              <w:tc>
                <w:tcPr>
                  <w:tcW w:w="629" w:type="pct"/>
                  <w:tcBorders>
                    <w:tl2br w:val="nil"/>
                    <w:tr2bl w:val="nil"/>
                  </w:tcBorders>
                  <w:noWrap w:val="0"/>
                  <w:vAlign w:val="center"/>
                </w:tcPr>
                <w:p w14:paraId="49DFA72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洒水</w:t>
                  </w:r>
                </w:p>
              </w:tc>
              <w:tc>
                <w:tcPr>
                  <w:tcW w:w="820" w:type="pct"/>
                  <w:tcBorders>
                    <w:tl2br w:val="nil"/>
                    <w:tr2bl w:val="nil"/>
                  </w:tcBorders>
                  <w:noWrap w:val="0"/>
                  <w:vAlign w:val="center"/>
                </w:tcPr>
                <w:p w14:paraId="1E878B0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2.01</w:t>
                  </w:r>
                </w:p>
              </w:tc>
              <w:tc>
                <w:tcPr>
                  <w:tcW w:w="801" w:type="pct"/>
                  <w:tcBorders>
                    <w:tl2br w:val="nil"/>
                    <w:tr2bl w:val="nil"/>
                  </w:tcBorders>
                  <w:noWrap w:val="0"/>
                  <w:vAlign w:val="center"/>
                </w:tcPr>
                <w:p w14:paraId="1A8541F4">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1.4</w:t>
                  </w:r>
                </w:p>
              </w:tc>
              <w:tc>
                <w:tcPr>
                  <w:tcW w:w="801" w:type="pct"/>
                  <w:tcBorders>
                    <w:tl2br w:val="nil"/>
                    <w:tr2bl w:val="nil"/>
                  </w:tcBorders>
                  <w:noWrap w:val="0"/>
                  <w:vAlign w:val="center"/>
                </w:tcPr>
                <w:p w14:paraId="40C573EA">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0.68</w:t>
                  </w:r>
                </w:p>
              </w:tc>
              <w:tc>
                <w:tcPr>
                  <w:tcW w:w="915" w:type="pct"/>
                  <w:tcBorders>
                    <w:tl2br w:val="nil"/>
                    <w:tr2bl w:val="nil"/>
                  </w:tcBorders>
                  <w:noWrap w:val="0"/>
                  <w:vAlign w:val="center"/>
                </w:tcPr>
                <w:p w14:paraId="2557F67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0.6</w:t>
                  </w:r>
                </w:p>
              </w:tc>
            </w:tr>
          </w:tbl>
          <w:p w14:paraId="64578CA4">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考虑到工程施工特点，要求项目方加强管理，杜绝运输车辆超载，并采取遮盖措施减少沿途</w:t>
            </w:r>
            <w:r>
              <w:rPr>
                <w:rFonts w:hint="eastAsia" w:cs="Times New Roman"/>
                <w:caps w:val="0"/>
                <w:smallCaps w:val="0"/>
                <w:color w:val="auto"/>
                <w:spacing w:val="0"/>
                <w:w w:val="100"/>
                <w:kern w:val="2"/>
                <w:position w:val="0"/>
                <w:sz w:val="24"/>
                <w:highlight w:val="none"/>
                <w:lang w:val="en-US" w:eastAsia="zh-CN"/>
              </w:rPr>
              <w:t>抛撒</w:t>
            </w:r>
            <w:r>
              <w:rPr>
                <w:rFonts w:hint="default" w:ascii="Times New Roman" w:hAnsi="Times New Roman" w:eastAsia="宋体" w:cs="Times New Roman"/>
                <w:caps w:val="0"/>
                <w:smallCaps w:val="0"/>
                <w:color w:val="auto"/>
                <w:spacing w:val="0"/>
                <w:w w:val="100"/>
                <w:kern w:val="2"/>
                <w:position w:val="0"/>
                <w:sz w:val="24"/>
                <w:highlight w:val="none"/>
              </w:rPr>
              <w:t>；出入口应设置车辆冲洗设施，设置冲洗槽和沉淀池，可收到很好的降尘效果。</w:t>
            </w:r>
          </w:p>
          <w:p w14:paraId="003298AF">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b/>
                <w:bCs/>
                <w:caps w:val="0"/>
                <w:smallCaps w:val="0"/>
                <w:color w:val="auto"/>
                <w:spacing w:val="0"/>
                <w:w w:val="100"/>
                <w:kern w:val="2"/>
                <w:position w:val="0"/>
                <w:sz w:val="24"/>
                <w:highlight w:val="none"/>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2.2</w:t>
            </w:r>
            <w:r>
              <w:rPr>
                <w:rFonts w:hint="default" w:ascii="Times New Roman" w:hAnsi="Times New Roman" w:eastAsia="宋体" w:cs="Times New Roman"/>
                <w:b/>
                <w:bCs/>
                <w:caps w:val="0"/>
                <w:smallCaps w:val="0"/>
                <w:color w:val="auto"/>
                <w:spacing w:val="0"/>
                <w:w w:val="100"/>
                <w:kern w:val="2"/>
                <w:position w:val="0"/>
                <w:sz w:val="24"/>
                <w:highlight w:val="none"/>
              </w:rPr>
              <w:t>施工废气环境影响分析</w:t>
            </w:r>
          </w:p>
          <w:p w14:paraId="62DCD34D">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施工机械废气</w:t>
            </w:r>
          </w:p>
          <w:p w14:paraId="06BA02B7">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施工车辆、施工机械等因燃油产生的CO、THC、NOX等污染物对环境空气有所影响。施工车辆、施工机械在现场范围内活动，尾气呈面源污染形式，尾气扩散范围有限。车辆为非连续行驶状态，施工采用分段进行，且每段施工时间有限，污染物排放时间和排放量相对较少，所以不会对周围环境空气有明显影响，与运营期道路车辆尾气排放量相比，施工期尾气排放非常有限。</w:t>
            </w:r>
          </w:p>
          <w:p w14:paraId="082AE18A">
            <w:pPr>
              <w:pageBreakBefore w:val="0"/>
              <w:wordWrap/>
              <w:topLinePunct w:val="0"/>
              <w:bidi w:val="0"/>
              <w:snapToGrid w:val="0"/>
              <w:spacing w:beforeAutospacing="0" w:afterAutospacing="0" w:line="360" w:lineRule="auto"/>
              <w:ind w:left="0" w:leftChars="0" w:right="0" w:firstLine="480"/>
              <w:rPr>
                <w:rFonts w:hint="eastAsia" w:ascii="Times New Roman" w:hAnsi="Times New Roman" w:eastAsia="宋体" w:cs="Times New Roman"/>
                <w:caps w:val="0"/>
                <w:smallCaps w:val="0"/>
                <w:color w:val="auto"/>
                <w:spacing w:val="0"/>
                <w:w w:val="100"/>
                <w:kern w:val="2"/>
                <w:position w:val="0"/>
                <w:sz w:val="24"/>
                <w:highlight w:val="none"/>
                <w:lang w:eastAsia="zh-CN"/>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2</w:t>
            </w:r>
            <w:r>
              <w:rPr>
                <w:rFonts w:hint="eastAsia" w:ascii="Times New Roman" w:hAnsi="Times New Roman" w:eastAsia="宋体" w:cs="Times New Roman"/>
                <w:caps w:val="0"/>
                <w:smallCaps w:val="0"/>
                <w:color w:val="auto"/>
                <w:spacing w:val="0"/>
                <w:w w:val="100"/>
                <w:kern w:val="2"/>
                <w:position w:val="0"/>
                <w:sz w:val="24"/>
                <w:highlight w:val="none"/>
                <w:lang w:eastAsia="zh-CN"/>
              </w:rPr>
              <w:t>）老桥（老路）拆除对环境的影响</w:t>
            </w:r>
          </w:p>
          <w:p w14:paraId="619208CE">
            <w:pPr>
              <w:pageBreakBefore w:val="0"/>
              <w:wordWrap/>
              <w:topLinePunct w:val="0"/>
              <w:bidi w:val="0"/>
              <w:snapToGrid w:val="0"/>
              <w:spacing w:beforeAutospacing="0" w:afterAutospacing="0" w:line="360" w:lineRule="auto"/>
              <w:ind w:left="0" w:leftChars="0" w:right="0" w:firstLine="480"/>
              <w:rPr>
                <w:rFonts w:hint="eastAsia" w:ascii="Times New Roman" w:hAnsi="Times New Roman" w:eastAsia="宋体" w:cs="Times New Roman"/>
                <w:caps w:val="0"/>
                <w:smallCaps w:val="0"/>
                <w:color w:val="auto"/>
                <w:spacing w:val="0"/>
                <w:w w:val="100"/>
                <w:kern w:val="2"/>
                <w:position w:val="0"/>
                <w:sz w:val="24"/>
                <w:highlight w:val="none"/>
                <w:lang w:eastAsia="zh-CN"/>
              </w:rPr>
            </w:pPr>
            <w:r>
              <w:rPr>
                <w:rFonts w:hint="eastAsia" w:ascii="Times New Roman" w:hAnsi="Times New Roman" w:eastAsia="宋体" w:cs="Times New Roman"/>
                <w:caps w:val="0"/>
                <w:smallCaps w:val="0"/>
                <w:color w:val="auto"/>
                <w:spacing w:val="0"/>
                <w:w w:val="100"/>
                <w:kern w:val="2"/>
                <w:position w:val="0"/>
                <w:sz w:val="24"/>
                <w:highlight w:val="none"/>
                <w:lang w:eastAsia="zh-CN"/>
              </w:rPr>
              <w:t>老桥（老路）拆除过程中需对现有路面进行刨除、对路基进行拓宽，同时对桥梁进行切割，这些过程将不可避免产生扬尘，这些扬尘大部分在施工场地附近沉降，在拆除过程中充分落实洒水措施，将有效控制老桥（老路）拆除过程产生的扬尘。</w:t>
            </w:r>
          </w:p>
          <w:p w14:paraId="54F7E8DC">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3</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沥青烟气对环境的影响</w:t>
            </w:r>
          </w:p>
          <w:p w14:paraId="6EC16422">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本项目采用沥青路面，沥青混凝土采用商品沥青混凝土，在路面敷设过程中，会产生沥青烟，对周边环境空气产生影响。但本项目采用商品沥青混凝土，经沥青转运车转运至现场，这种专用车辆保温性好，具备一定的加热能力，不在现场</w:t>
            </w:r>
            <w:r>
              <w:rPr>
                <w:rFonts w:hint="eastAsia" w:ascii="Times New Roman" w:hAnsi="Times New Roman" w:eastAsia="宋体" w:cs="Times New Roman"/>
                <w:caps w:val="0"/>
                <w:smallCaps w:val="0"/>
                <w:color w:val="auto"/>
                <w:spacing w:val="0"/>
                <w:w w:val="100"/>
                <w:kern w:val="2"/>
                <w:position w:val="0"/>
                <w:sz w:val="24"/>
                <w:highlight w:val="none"/>
                <w:lang w:eastAsia="zh-CN"/>
              </w:rPr>
              <w:t>拌和</w:t>
            </w:r>
            <w:r>
              <w:rPr>
                <w:rFonts w:hint="default" w:ascii="Times New Roman" w:hAnsi="Times New Roman" w:eastAsia="宋体" w:cs="Times New Roman"/>
                <w:caps w:val="0"/>
                <w:smallCaps w:val="0"/>
                <w:color w:val="auto"/>
                <w:spacing w:val="0"/>
                <w:w w:val="100"/>
                <w:kern w:val="2"/>
                <w:position w:val="0"/>
                <w:sz w:val="24"/>
                <w:highlight w:val="none"/>
              </w:rPr>
              <w:t>，所以沥青烟影响很有限，且路面沥青敷设工期相对较短，其影响时间有限。</w:t>
            </w:r>
          </w:p>
          <w:p w14:paraId="16F30A1C">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textAlignment w:val="auto"/>
              <w:outlineLvl w:val="9"/>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路面沥青摊铺过程中产生少量沥青烟，沥青烟含有THC、酚、苯并[a]芘等有毒有害成分，类比公路建设监测资料，在沥青摊铺施工点下风向100m外苯并[a]芘浓度低于0.002μg/m</w:t>
            </w:r>
            <w:r>
              <w:rPr>
                <w:rFonts w:hint="default" w:ascii="Times New Roman" w:hAnsi="Times New Roman" w:eastAsia="宋体" w:cs="Times New Roman"/>
                <w:b w:val="0"/>
                <w:bCs w:val="0"/>
                <w:caps w:val="0"/>
                <w:smallCaps w:val="0"/>
                <w:color w:val="auto"/>
                <w:spacing w:val="0"/>
                <w:w w:val="100"/>
                <w:kern w:val="2"/>
                <w:position w:val="0"/>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，符合《环境空气质量标准》（GB3095-20</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26</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）的0.0025μg/m</w:t>
            </w:r>
            <w:r>
              <w:rPr>
                <w:rFonts w:hint="default" w:ascii="Times New Roman" w:hAnsi="Times New Roman" w:eastAsia="宋体" w:cs="Times New Roman"/>
                <w:b w:val="0"/>
                <w:bCs w:val="0"/>
                <w:caps w:val="0"/>
                <w:smallCaps w:val="0"/>
                <w:color w:val="auto"/>
                <w:spacing w:val="0"/>
                <w:w w:val="100"/>
                <w:kern w:val="2"/>
                <w:position w:val="0"/>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的限值；</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并</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在下风向60m处浓度不超过0.01mg/m</w:t>
            </w:r>
            <w:r>
              <w:rPr>
                <w:rFonts w:hint="default" w:ascii="Times New Roman" w:hAnsi="Times New Roman" w:eastAsia="宋体" w:cs="Times New Roman"/>
                <w:b w:val="0"/>
                <w:bCs w:val="0"/>
                <w:caps w:val="0"/>
                <w:smallCaps w:val="0"/>
                <w:color w:val="auto"/>
                <w:spacing w:val="0"/>
                <w:w w:val="100"/>
                <w:kern w:val="2"/>
                <w:position w:val="0"/>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，THC在下风向60m处浓度不超过0.16mg/m</w:t>
            </w:r>
            <w:r>
              <w:rPr>
                <w:rFonts w:hint="default" w:ascii="Times New Roman" w:hAnsi="Times New Roman" w:eastAsia="宋体" w:cs="Times New Roman"/>
                <w:b w:val="0"/>
                <w:bCs w:val="0"/>
                <w:caps w:val="0"/>
                <w:smallCaps w:val="0"/>
                <w:color w:val="auto"/>
                <w:spacing w:val="0"/>
                <w:w w:val="100"/>
                <w:kern w:val="2"/>
                <w:position w:val="0"/>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，符合</w:t>
            </w:r>
            <w:r>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t>《大气污染物综合排放标准》（GBl6297-1996）的要求</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w:t>
            </w:r>
          </w:p>
          <w:p w14:paraId="66852406">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textAlignment w:val="auto"/>
              <w:outlineLvl w:val="9"/>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（4）标线施工废气影响分析</w:t>
            </w:r>
          </w:p>
          <w:p w14:paraId="6C146E93">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textAlignment w:val="auto"/>
              <w:outlineLvl w:val="9"/>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标线施工过程中需要进行使用反光涂料等原料，在反光涂料加热过程中产生少量有机废气，主要为非甲烷总烃，考虑本项目为户外施工，且加热过程中有机废气产生量较少，进入空气后受到风力影响，受到稀释，对环境空气影响较小。</w:t>
            </w:r>
          </w:p>
          <w:p w14:paraId="039E5B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3</w:t>
            </w:r>
            <w:r>
              <w:rPr>
                <w:rFonts w:hint="default" w:ascii="Times New Roman" w:hAnsi="Times New Roman" w:eastAsia="宋体" w:cs="Times New Roman"/>
                <w:b/>
                <w:caps w:val="0"/>
                <w:smallCaps w:val="0"/>
                <w:color w:val="auto"/>
                <w:spacing w:val="0"/>
                <w:w w:val="100"/>
                <w:kern w:val="2"/>
                <w:position w:val="0"/>
                <w:sz w:val="24"/>
                <w:szCs w:val="24"/>
                <w:highlight w:val="none"/>
              </w:rPr>
              <w:t>水环境影响分析</w:t>
            </w:r>
          </w:p>
          <w:p w14:paraId="35376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3.1施工场地对水环境的影响分析</w:t>
            </w:r>
          </w:p>
          <w:p w14:paraId="7D351F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施工期间，在施工现场将产生一定数量的施工废水，排放特点是</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间歇式</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排放，废水量不稳定，主要为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运输车辆轮胎冲洗</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废水，这些废水中的主要污染物是SS和少量的油类，如果施工中节水措施不落实，用水无节制，将会在施工现场随意流淌，而导致该部分废水排放量增大，势必对周围环境造成一定的影响。施工机械跑、冒、滴、漏的污油及冲洗（禁止河道内洗车）或被雨水冲刷产生的油水污染，这些污水中成分较为简单，</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集中收集后回用于单路洒水抑尘，</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严禁排入附近水体。</w:t>
            </w:r>
          </w:p>
          <w:p w14:paraId="0534406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3.2施工营地生活污水对水环境的影响</w:t>
            </w:r>
          </w:p>
          <w:p w14:paraId="4B4DE4D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本项目不设置独立的施工营地</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w:t>
            </w:r>
          </w:p>
          <w:p w14:paraId="0DACB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3.3桥梁基础施工对水体环境的影响</w:t>
            </w:r>
          </w:p>
          <w:p w14:paraId="23770058">
            <w:pPr>
              <w:pStyle w:val="22"/>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桥梁建设施工工艺不当或施工管理不强，产生的施工泥渣、机械漏油、施工物料受雨水冲刷</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进</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入地表水将影响水质。环评要求</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桥梁施工期</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尽量采用先进的设备、机械，以有效地减少跑、冒、滴、漏的数量及机械维修的次数，同时及时检修施工机械设备，避免跑、冒、滴、漏的发生，从而减少含油污水的产生量。注意检查维护施工机械，防止油料发生泄漏污染水体。施工材料如油料、化学品等禁止堆放在地表水体附近，并应备有临时遮挡的雨布。施工机械停放区设置隔油沉淀池，将施工机械冲洗废水收集至隔油沉淀池内统一处置，经过隔油隔渣处理后回用，尾水用于施工场地洒水降尘，严禁排入附近水体。严格落实以上地表水保护措施，从源头杜绝施工废水排入附近水体。</w:t>
            </w:r>
          </w:p>
          <w:p w14:paraId="61F95A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4</w:t>
            </w:r>
            <w:r>
              <w:rPr>
                <w:rFonts w:hint="default" w:ascii="Times New Roman" w:hAnsi="Times New Roman" w:eastAsia="宋体" w:cs="Times New Roman"/>
                <w:b/>
                <w:caps w:val="0"/>
                <w:smallCaps w:val="0"/>
                <w:color w:val="auto"/>
                <w:spacing w:val="0"/>
                <w:w w:val="100"/>
                <w:kern w:val="2"/>
                <w:position w:val="0"/>
                <w:sz w:val="24"/>
                <w:szCs w:val="24"/>
                <w:highlight w:val="none"/>
              </w:rPr>
              <w:t>声环境影响分析</w:t>
            </w:r>
          </w:p>
          <w:p w14:paraId="5557E9C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（1）施工期噪声污染源源强</w:t>
            </w:r>
          </w:p>
          <w:p w14:paraId="377465C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施工期噪声污染主要由施工作业机械产生，根据《环境噪声与振动控制工程技术导则》（HJ</w:t>
            </w:r>
            <w:r>
              <w:rPr>
                <w:rFonts w:hint="eastAsia"/>
                <w:color w:val="auto"/>
                <w:sz w:val="24"/>
                <w:lang w:eastAsia="zh-CN"/>
              </w:rPr>
              <w:t>2033</w:t>
            </w:r>
            <w:r>
              <w:rPr>
                <w:color w:val="auto"/>
                <w:sz w:val="24"/>
              </w:rPr>
              <w:t>-2013）中相关规定，常用道路施工机械污染源强见表4-</w:t>
            </w:r>
            <w:r>
              <w:rPr>
                <w:rFonts w:hint="eastAsia"/>
                <w:color w:val="auto"/>
                <w:sz w:val="24"/>
                <w:lang w:val="en-US" w:eastAsia="zh-CN"/>
              </w:rPr>
              <w:t>4</w:t>
            </w:r>
            <w:r>
              <w:rPr>
                <w:color w:val="auto"/>
                <w:sz w:val="24"/>
              </w:rPr>
              <w:t>。</w:t>
            </w:r>
          </w:p>
          <w:p w14:paraId="0A8F957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2" w:firstLineChars="200"/>
              <w:jc w:val="center"/>
              <w:textAlignment w:val="auto"/>
              <w:rPr>
                <w:color w:val="auto"/>
                <w:sz w:val="21"/>
                <w:szCs w:val="21"/>
              </w:rPr>
            </w:pPr>
            <w:r>
              <w:rPr>
                <w:b/>
                <w:color w:val="auto"/>
                <w:sz w:val="21"/>
                <w:szCs w:val="21"/>
              </w:rPr>
              <w:t>表4-</w:t>
            </w:r>
            <w:r>
              <w:rPr>
                <w:rFonts w:hint="eastAsia"/>
                <w:b/>
                <w:color w:val="auto"/>
                <w:sz w:val="21"/>
                <w:szCs w:val="21"/>
                <w:lang w:val="en-US" w:eastAsia="zh-CN"/>
              </w:rPr>
              <w:t>4</w:t>
            </w:r>
            <w:r>
              <w:rPr>
                <w:b/>
                <w:color w:val="auto"/>
                <w:sz w:val="21"/>
                <w:szCs w:val="21"/>
              </w:rPr>
              <w:t xml:space="preserve">  </w:t>
            </w:r>
            <w:r>
              <w:rPr>
                <w:rFonts w:hint="eastAsia"/>
                <w:b/>
                <w:color w:val="auto"/>
                <w:sz w:val="21"/>
                <w:szCs w:val="21"/>
                <w:lang w:val="en-US" w:eastAsia="zh-CN"/>
              </w:rPr>
              <w:t xml:space="preserve"> </w:t>
            </w:r>
            <w:r>
              <w:rPr>
                <w:rFonts w:hint="eastAsia"/>
                <w:b/>
                <w:color w:val="auto"/>
                <w:sz w:val="21"/>
                <w:szCs w:val="21"/>
              </w:rPr>
              <w:t>路面工程</w:t>
            </w:r>
            <w:r>
              <w:rPr>
                <w:b/>
                <w:color w:val="auto"/>
                <w:sz w:val="21"/>
                <w:szCs w:val="21"/>
              </w:rPr>
              <w:t>施工机械噪声值</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43"/>
              <w:gridCol w:w="3202"/>
              <w:gridCol w:w="1983"/>
            </w:tblGrid>
            <w:tr w14:paraId="6A722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4014BCF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机械类型</w:t>
                  </w:r>
                </w:p>
              </w:tc>
              <w:tc>
                <w:tcPr>
                  <w:tcW w:w="2071" w:type="pct"/>
                  <w:tcBorders>
                    <w:tl2br w:val="nil"/>
                    <w:tr2bl w:val="nil"/>
                  </w:tcBorders>
                  <w:noWrap w:val="0"/>
                  <w:vAlign w:val="center"/>
                </w:tcPr>
                <w:p w14:paraId="510C6F6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测点距施工机械距离（m）</w:t>
                  </w:r>
                </w:p>
              </w:tc>
              <w:tc>
                <w:tcPr>
                  <w:tcW w:w="1282" w:type="pct"/>
                  <w:tcBorders>
                    <w:tl2br w:val="nil"/>
                    <w:tr2bl w:val="nil"/>
                  </w:tcBorders>
                  <w:noWrap w:val="0"/>
                  <w:vAlign w:val="center"/>
                </w:tcPr>
                <w:p w14:paraId="708E0B0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最大声级dB(A)</w:t>
                  </w:r>
                </w:p>
              </w:tc>
            </w:tr>
            <w:tr w14:paraId="111BC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2FC727A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液压挖掘机</w:t>
                  </w:r>
                </w:p>
              </w:tc>
              <w:tc>
                <w:tcPr>
                  <w:tcW w:w="2071" w:type="pct"/>
                  <w:tcBorders>
                    <w:tl2br w:val="nil"/>
                    <w:tr2bl w:val="nil"/>
                  </w:tcBorders>
                  <w:noWrap w:val="0"/>
                  <w:vAlign w:val="center"/>
                </w:tcPr>
                <w:p w14:paraId="7C20375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3117D4A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90</w:t>
                  </w:r>
                </w:p>
              </w:tc>
            </w:tr>
            <w:tr w14:paraId="260C3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2E6D539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电动挖掘机</w:t>
                  </w:r>
                </w:p>
              </w:tc>
              <w:tc>
                <w:tcPr>
                  <w:tcW w:w="2071" w:type="pct"/>
                  <w:tcBorders>
                    <w:tl2br w:val="nil"/>
                    <w:tr2bl w:val="nil"/>
                  </w:tcBorders>
                  <w:noWrap w:val="0"/>
                  <w:vAlign w:val="center"/>
                </w:tcPr>
                <w:p w14:paraId="7A9FA2B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4959A91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86</w:t>
                  </w:r>
                </w:p>
              </w:tc>
            </w:tr>
            <w:tr w14:paraId="4565C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0B2B7A8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轮式装载机</w:t>
                  </w:r>
                </w:p>
              </w:tc>
              <w:tc>
                <w:tcPr>
                  <w:tcW w:w="2071" w:type="pct"/>
                  <w:tcBorders>
                    <w:tl2br w:val="nil"/>
                    <w:tr2bl w:val="nil"/>
                  </w:tcBorders>
                  <w:noWrap w:val="0"/>
                  <w:vAlign w:val="center"/>
                </w:tcPr>
                <w:p w14:paraId="1DD7395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6754D2D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95</w:t>
                  </w:r>
                </w:p>
              </w:tc>
            </w:tr>
            <w:tr w14:paraId="5313F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3D528C6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推土机</w:t>
                  </w:r>
                </w:p>
              </w:tc>
              <w:tc>
                <w:tcPr>
                  <w:tcW w:w="2071" w:type="pct"/>
                  <w:tcBorders>
                    <w:tl2br w:val="nil"/>
                    <w:tr2bl w:val="nil"/>
                  </w:tcBorders>
                  <w:noWrap w:val="0"/>
                  <w:vAlign w:val="center"/>
                </w:tcPr>
                <w:p w14:paraId="433874D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668E260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88</w:t>
                  </w:r>
                </w:p>
              </w:tc>
            </w:tr>
            <w:tr w14:paraId="11532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3220C05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压路机</w:t>
                  </w:r>
                </w:p>
              </w:tc>
              <w:tc>
                <w:tcPr>
                  <w:tcW w:w="2071" w:type="pct"/>
                  <w:tcBorders>
                    <w:tl2br w:val="nil"/>
                    <w:tr2bl w:val="nil"/>
                  </w:tcBorders>
                  <w:noWrap w:val="0"/>
                  <w:vAlign w:val="center"/>
                </w:tcPr>
                <w:p w14:paraId="6C4814A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1D4D683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90</w:t>
                  </w:r>
                </w:p>
              </w:tc>
            </w:tr>
            <w:tr w14:paraId="63675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2A3D297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重型运输车</w:t>
                  </w:r>
                </w:p>
              </w:tc>
              <w:tc>
                <w:tcPr>
                  <w:tcW w:w="2071" w:type="pct"/>
                  <w:tcBorders>
                    <w:tl2br w:val="nil"/>
                    <w:tr2bl w:val="nil"/>
                  </w:tcBorders>
                  <w:noWrap w:val="0"/>
                  <w:vAlign w:val="center"/>
                </w:tcPr>
                <w:p w14:paraId="24520E8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6E3D907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90</w:t>
                  </w:r>
                </w:p>
              </w:tc>
            </w:tr>
            <w:tr w14:paraId="125E2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3EC3178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电锤</w:t>
                  </w:r>
                </w:p>
              </w:tc>
              <w:tc>
                <w:tcPr>
                  <w:tcW w:w="2071" w:type="pct"/>
                  <w:tcBorders>
                    <w:tl2br w:val="nil"/>
                    <w:tr2bl w:val="nil"/>
                  </w:tcBorders>
                  <w:noWrap w:val="0"/>
                  <w:vAlign w:val="center"/>
                </w:tcPr>
                <w:p w14:paraId="492BD2E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5D0F571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105</w:t>
                  </w:r>
                </w:p>
              </w:tc>
            </w:tr>
            <w:tr w14:paraId="1766F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022C91F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振动夯锤</w:t>
                  </w:r>
                </w:p>
              </w:tc>
              <w:tc>
                <w:tcPr>
                  <w:tcW w:w="2071" w:type="pct"/>
                  <w:tcBorders>
                    <w:tl2br w:val="nil"/>
                    <w:tr2bl w:val="nil"/>
                  </w:tcBorders>
                  <w:noWrap w:val="0"/>
                  <w:vAlign w:val="center"/>
                </w:tcPr>
                <w:p w14:paraId="589EB49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2E1D558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100</w:t>
                  </w:r>
                </w:p>
              </w:tc>
            </w:tr>
            <w:tr w14:paraId="4C7BD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65759F7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打桩机</w:t>
                  </w:r>
                </w:p>
              </w:tc>
              <w:tc>
                <w:tcPr>
                  <w:tcW w:w="2071" w:type="pct"/>
                  <w:tcBorders>
                    <w:tl2br w:val="nil"/>
                    <w:tr2bl w:val="nil"/>
                  </w:tcBorders>
                  <w:noWrap w:val="0"/>
                  <w:vAlign w:val="center"/>
                </w:tcPr>
                <w:p w14:paraId="1F0F118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5799BAA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110</w:t>
                  </w:r>
                </w:p>
              </w:tc>
            </w:tr>
            <w:tr w14:paraId="4487D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317F2A2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静力压桩机</w:t>
                  </w:r>
                </w:p>
              </w:tc>
              <w:tc>
                <w:tcPr>
                  <w:tcW w:w="2071" w:type="pct"/>
                  <w:tcBorders>
                    <w:tl2br w:val="nil"/>
                    <w:tr2bl w:val="nil"/>
                  </w:tcBorders>
                  <w:noWrap w:val="0"/>
                  <w:vAlign w:val="center"/>
                </w:tcPr>
                <w:p w14:paraId="480EC86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2B98666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75</w:t>
                  </w:r>
                </w:p>
              </w:tc>
            </w:tr>
            <w:tr w14:paraId="007C4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5568DE4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拌和机</w:t>
                  </w:r>
                </w:p>
              </w:tc>
              <w:tc>
                <w:tcPr>
                  <w:tcW w:w="2071" w:type="pct"/>
                  <w:tcBorders>
                    <w:tl2br w:val="nil"/>
                    <w:tr2bl w:val="nil"/>
                  </w:tcBorders>
                  <w:noWrap w:val="0"/>
                  <w:vAlign w:val="center"/>
                </w:tcPr>
                <w:p w14:paraId="7788A31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51EE717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90</w:t>
                  </w:r>
                </w:p>
              </w:tc>
            </w:tr>
            <w:tr w14:paraId="0EBF6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33126FD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摊铺机</w:t>
                  </w:r>
                </w:p>
              </w:tc>
              <w:tc>
                <w:tcPr>
                  <w:tcW w:w="2071" w:type="pct"/>
                  <w:tcBorders>
                    <w:tl2br w:val="nil"/>
                    <w:tr2bl w:val="nil"/>
                  </w:tcBorders>
                  <w:noWrap w:val="0"/>
                  <w:vAlign w:val="center"/>
                </w:tcPr>
                <w:p w14:paraId="172C3C9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4599A2D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87</w:t>
                  </w:r>
                </w:p>
              </w:tc>
            </w:tr>
            <w:tr w14:paraId="3E7EA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403776D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吊车</w:t>
                  </w:r>
                </w:p>
              </w:tc>
              <w:tc>
                <w:tcPr>
                  <w:tcW w:w="2071" w:type="pct"/>
                  <w:tcBorders>
                    <w:tl2br w:val="nil"/>
                    <w:tr2bl w:val="nil"/>
                  </w:tcBorders>
                  <w:noWrap w:val="0"/>
                  <w:vAlign w:val="center"/>
                </w:tcPr>
                <w:p w14:paraId="64DD32A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4D8C8FC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87</w:t>
                  </w:r>
                </w:p>
              </w:tc>
            </w:tr>
          </w:tbl>
          <w:p w14:paraId="24B5B33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（2）施工期声环境影响预测与评价</w:t>
            </w:r>
          </w:p>
          <w:p w14:paraId="18C8FA4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施工噪声可近似视为点声源处理，根据点声源噪声衰减模式，估算出离声源不同距离处的噪声值，预测模式如下：</w:t>
            </w:r>
          </w:p>
          <w:p w14:paraId="05278CD3">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position w:val="-6"/>
                <w:sz w:val="24"/>
              </w:rPr>
              <w:drawing>
                <wp:inline distT="0" distB="0" distL="114300" distR="114300">
                  <wp:extent cx="1409700" cy="241300"/>
                  <wp:effectExtent l="0" t="0" r="0" b="5080"/>
                  <wp:docPr id="2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5"/>
                          <pic:cNvPicPr>
                            <a:picLocks noChangeAspect="1"/>
                          </pic:cNvPicPr>
                        </pic:nvPicPr>
                        <pic:blipFill>
                          <a:blip r:embed="rId26"/>
                          <a:stretch>
                            <a:fillRect/>
                          </a:stretch>
                        </pic:blipFill>
                        <pic:spPr>
                          <a:xfrm>
                            <a:off x="0" y="0"/>
                            <a:ext cx="1409700" cy="241300"/>
                          </a:xfrm>
                          <a:prstGeom prst="rect">
                            <a:avLst/>
                          </a:prstGeom>
                          <a:noFill/>
                          <a:ln>
                            <a:noFill/>
                          </a:ln>
                        </pic:spPr>
                      </pic:pic>
                    </a:graphicData>
                  </a:graphic>
                </wp:inline>
              </w:drawing>
            </w:r>
          </w:p>
          <w:p w14:paraId="6C5A661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式中：L</w:t>
            </w:r>
            <w:r>
              <w:rPr>
                <w:color w:val="auto"/>
                <w:sz w:val="24"/>
                <w:vertAlign w:val="subscript"/>
              </w:rPr>
              <w:t>p</w:t>
            </w:r>
            <w:r>
              <w:rPr>
                <w:color w:val="auto"/>
                <w:sz w:val="24"/>
              </w:rPr>
              <w:t>—距声源r米处的噪声预测值，dB(A)；</w:t>
            </w:r>
          </w:p>
          <w:p w14:paraId="7D9B625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L</w:t>
            </w:r>
            <w:r>
              <w:rPr>
                <w:color w:val="auto"/>
                <w:sz w:val="24"/>
                <w:vertAlign w:val="subscript"/>
              </w:rPr>
              <w:t>p0</w:t>
            </w:r>
            <w:r>
              <w:rPr>
                <w:color w:val="auto"/>
                <w:sz w:val="24"/>
              </w:rPr>
              <w:t>—距声源r</w:t>
            </w:r>
            <w:r>
              <w:rPr>
                <w:color w:val="auto"/>
                <w:sz w:val="24"/>
                <w:vertAlign w:val="subscript"/>
              </w:rPr>
              <w:t>0</w:t>
            </w:r>
            <w:r>
              <w:rPr>
                <w:color w:val="auto"/>
                <w:sz w:val="24"/>
              </w:rPr>
              <w:t>米处的参考点的声级，dB(A)；</w:t>
            </w:r>
          </w:p>
          <w:p w14:paraId="63B70D9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r</w:t>
            </w:r>
            <w:r>
              <w:rPr>
                <w:color w:val="auto"/>
                <w:sz w:val="24"/>
                <w:vertAlign w:val="subscript"/>
              </w:rPr>
              <w:t>0</w:t>
            </w:r>
            <w:r>
              <w:rPr>
                <w:color w:val="auto"/>
                <w:sz w:val="24"/>
              </w:rPr>
              <w:t>—参考点与声源的距离（5m），m。</w:t>
            </w:r>
          </w:p>
          <w:p w14:paraId="317399A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64" w:firstLineChars="200"/>
              <w:textAlignment w:val="auto"/>
              <w:rPr>
                <w:color w:val="auto"/>
                <w:spacing w:val="-4"/>
                <w:sz w:val="24"/>
              </w:rPr>
            </w:pPr>
            <w:r>
              <w:rPr>
                <w:color w:val="auto"/>
                <w:spacing w:val="-4"/>
                <w:sz w:val="24"/>
              </w:rPr>
              <w:t>对于多台施工机械同时作业对某个预测点的影响，应按照下式进行声级叠加：</w:t>
            </w:r>
          </w:p>
          <w:p w14:paraId="31BE141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drawing>
                <wp:anchor distT="0" distB="0" distL="114300" distR="114300" simplePos="0" relativeHeight="251660288" behindDoc="0" locked="0" layoutInCell="1" allowOverlap="1">
                  <wp:simplePos x="0" y="0"/>
                  <wp:positionH relativeFrom="page">
                    <wp:posOffset>1431925</wp:posOffset>
                  </wp:positionH>
                  <wp:positionV relativeFrom="paragraph">
                    <wp:posOffset>90805</wp:posOffset>
                  </wp:positionV>
                  <wp:extent cx="1329055" cy="457200"/>
                  <wp:effectExtent l="0" t="0" r="4445" b="0"/>
                  <wp:wrapNone/>
                  <wp:docPr id="1" name="对象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对象 1006"/>
                          <pic:cNvPicPr>
                            <a:picLocks noChangeAspect="1"/>
                          </pic:cNvPicPr>
                        </pic:nvPicPr>
                        <pic:blipFill>
                          <a:blip r:embed="rId27"/>
                          <a:stretch>
                            <a:fillRect/>
                          </a:stretch>
                        </pic:blipFill>
                        <pic:spPr>
                          <a:xfrm>
                            <a:off x="0" y="0"/>
                            <a:ext cx="1329055" cy="457200"/>
                          </a:xfrm>
                          <a:prstGeom prst="rect">
                            <a:avLst/>
                          </a:prstGeom>
                          <a:noFill/>
                          <a:ln>
                            <a:noFill/>
                          </a:ln>
                        </pic:spPr>
                      </pic:pic>
                    </a:graphicData>
                  </a:graphic>
                </wp:anchor>
              </w:drawing>
            </w:r>
          </w:p>
          <w:p w14:paraId="13CF4AFC">
            <w:pPr>
              <w:keepNext w:val="0"/>
              <w:keepLines w:val="0"/>
              <w:pageBreakBefore w:val="0"/>
              <w:widowControl w:val="0"/>
              <w:shd w:val="clear" w:color="auto" w:fill="auto"/>
              <w:tabs>
                <w:tab w:val="left" w:pos="1620"/>
              </w:tabs>
              <w:kinsoku/>
              <w:wordWrap/>
              <w:overflowPunct/>
              <w:topLinePunct w:val="0"/>
              <w:autoSpaceDE/>
              <w:autoSpaceDN/>
              <w:bidi w:val="0"/>
              <w:adjustRightInd/>
              <w:snapToGrid/>
              <w:spacing w:line="360" w:lineRule="auto"/>
              <w:ind w:firstLine="480" w:firstLineChars="200"/>
              <w:textAlignment w:val="auto"/>
              <w:rPr>
                <w:color w:val="auto"/>
                <w:sz w:val="24"/>
              </w:rPr>
            </w:pPr>
          </w:p>
          <w:p w14:paraId="4465BE9B">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式中：L</w:t>
            </w:r>
            <w:r>
              <w:rPr>
                <w:color w:val="auto"/>
                <w:sz w:val="24"/>
                <w:vertAlign w:val="subscript"/>
              </w:rPr>
              <w:t>A</w:t>
            </w:r>
            <w:r>
              <w:rPr>
                <w:color w:val="auto"/>
                <w:sz w:val="24"/>
              </w:rPr>
              <w:t>：合成声源声级，dB（A）；</w:t>
            </w:r>
          </w:p>
          <w:p w14:paraId="36714AB7">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n：声源个数；</w:t>
            </w:r>
          </w:p>
          <w:p w14:paraId="6D9E2FE2">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L</w:t>
            </w:r>
            <w:r>
              <w:rPr>
                <w:color w:val="auto"/>
                <w:sz w:val="24"/>
                <w:vertAlign w:val="subscript"/>
              </w:rPr>
              <w:t>i</w:t>
            </w:r>
            <w:r>
              <w:rPr>
                <w:color w:val="auto"/>
                <w:sz w:val="24"/>
              </w:rPr>
              <w:t>：某声源的噪声值，dB（A）。</w:t>
            </w:r>
          </w:p>
          <w:p w14:paraId="6A2FF918">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采用上述公式，计算得到施工期主要单台施工机械满负荷运行时不同距离处的噪声预测结果见表4</w:t>
            </w:r>
            <w:r>
              <w:rPr>
                <w:rFonts w:hint="eastAsia"/>
                <w:color w:val="auto"/>
                <w:sz w:val="24"/>
                <w:lang w:val="en-US" w:eastAsia="zh-CN"/>
              </w:rPr>
              <w:t>-5</w:t>
            </w:r>
            <w:r>
              <w:rPr>
                <w:color w:val="auto"/>
                <w:sz w:val="24"/>
              </w:rPr>
              <w:t>。</w:t>
            </w:r>
          </w:p>
          <w:p w14:paraId="69566CF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2" w:firstLineChars="200"/>
              <w:jc w:val="center"/>
              <w:textAlignment w:val="auto"/>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5</w:t>
            </w:r>
            <w:r>
              <w:rPr>
                <w:rFonts w:ascii="Times New Roman" w:hAnsi="Times New Roman" w:eastAsia="宋体" w:cs="Times New Roman"/>
                <w:b/>
                <w:color w:val="auto"/>
                <w:sz w:val="21"/>
                <w:szCs w:val="21"/>
              </w:rPr>
              <w:t xml:space="preserve">    主要施工机械不同距离处的噪声级    单位：dB(A)</w:t>
            </w:r>
          </w:p>
          <w:tbl>
            <w:tblPr>
              <w:tblStyle w:val="28"/>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65"/>
              <w:gridCol w:w="625"/>
              <w:gridCol w:w="756"/>
              <w:gridCol w:w="609"/>
              <w:gridCol w:w="643"/>
              <w:gridCol w:w="586"/>
              <w:gridCol w:w="645"/>
              <w:gridCol w:w="606"/>
              <w:gridCol w:w="604"/>
              <w:gridCol w:w="570"/>
              <w:gridCol w:w="509"/>
            </w:tblGrid>
            <w:tr w14:paraId="5946499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013" w:type="pct"/>
                  <w:tcBorders>
                    <w:tl2br w:val="nil"/>
                    <w:tr2bl w:val="nil"/>
                  </w:tcBorders>
                  <w:noWrap w:val="0"/>
                  <w:vAlign w:val="center"/>
                </w:tcPr>
                <w:p w14:paraId="2EC5B56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机械类型</w:t>
                  </w:r>
                </w:p>
              </w:tc>
              <w:tc>
                <w:tcPr>
                  <w:tcW w:w="404" w:type="pct"/>
                  <w:tcBorders>
                    <w:tl2br w:val="nil"/>
                    <w:tr2bl w:val="nil"/>
                  </w:tcBorders>
                  <w:noWrap w:val="0"/>
                  <w:vAlign w:val="center"/>
                </w:tcPr>
                <w:p w14:paraId="5B05E42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5m</w:t>
                  </w:r>
                </w:p>
              </w:tc>
              <w:tc>
                <w:tcPr>
                  <w:tcW w:w="489" w:type="pct"/>
                  <w:tcBorders>
                    <w:tl2br w:val="nil"/>
                    <w:tr2bl w:val="nil"/>
                  </w:tcBorders>
                  <w:noWrap w:val="0"/>
                  <w:vAlign w:val="center"/>
                </w:tcPr>
                <w:p w14:paraId="4D7E217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10m</w:t>
                  </w:r>
                </w:p>
              </w:tc>
              <w:tc>
                <w:tcPr>
                  <w:tcW w:w="394" w:type="pct"/>
                  <w:tcBorders>
                    <w:tl2br w:val="nil"/>
                    <w:tr2bl w:val="nil"/>
                  </w:tcBorders>
                  <w:noWrap w:val="0"/>
                  <w:vAlign w:val="center"/>
                </w:tcPr>
                <w:p w14:paraId="193C8AB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20m</w:t>
                  </w:r>
                </w:p>
              </w:tc>
              <w:tc>
                <w:tcPr>
                  <w:tcW w:w="416" w:type="pct"/>
                  <w:tcBorders>
                    <w:tl2br w:val="nil"/>
                    <w:tr2bl w:val="nil"/>
                  </w:tcBorders>
                  <w:noWrap w:val="0"/>
                  <w:vAlign w:val="center"/>
                </w:tcPr>
                <w:p w14:paraId="4FCE782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40m</w:t>
                  </w:r>
                </w:p>
              </w:tc>
              <w:tc>
                <w:tcPr>
                  <w:tcW w:w="379" w:type="pct"/>
                  <w:tcBorders>
                    <w:tl2br w:val="nil"/>
                    <w:tr2bl w:val="nil"/>
                  </w:tcBorders>
                  <w:noWrap w:val="0"/>
                  <w:vAlign w:val="center"/>
                </w:tcPr>
                <w:p w14:paraId="7ADAC68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60m</w:t>
                  </w:r>
                </w:p>
              </w:tc>
              <w:tc>
                <w:tcPr>
                  <w:tcW w:w="417" w:type="pct"/>
                  <w:tcBorders>
                    <w:tl2br w:val="nil"/>
                    <w:tr2bl w:val="nil"/>
                  </w:tcBorders>
                  <w:noWrap w:val="0"/>
                  <w:vAlign w:val="center"/>
                </w:tcPr>
                <w:p w14:paraId="1439A6E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80m</w:t>
                  </w:r>
                </w:p>
              </w:tc>
              <w:tc>
                <w:tcPr>
                  <w:tcW w:w="392" w:type="pct"/>
                  <w:tcBorders>
                    <w:tl2br w:val="nil"/>
                    <w:tr2bl w:val="nil"/>
                  </w:tcBorders>
                  <w:noWrap w:val="0"/>
                  <w:vAlign w:val="center"/>
                </w:tcPr>
                <w:p w14:paraId="3CA6EA7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100m</w:t>
                  </w:r>
                </w:p>
              </w:tc>
              <w:tc>
                <w:tcPr>
                  <w:tcW w:w="391" w:type="pct"/>
                  <w:tcBorders>
                    <w:tl2br w:val="nil"/>
                    <w:tr2bl w:val="nil"/>
                  </w:tcBorders>
                  <w:noWrap w:val="0"/>
                  <w:vAlign w:val="top"/>
                </w:tcPr>
                <w:p w14:paraId="1681B8E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150m</w:t>
                  </w:r>
                </w:p>
              </w:tc>
              <w:tc>
                <w:tcPr>
                  <w:tcW w:w="369" w:type="pct"/>
                  <w:tcBorders>
                    <w:tl2br w:val="nil"/>
                    <w:tr2bl w:val="nil"/>
                  </w:tcBorders>
                  <w:noWrap w:val="0"/>
                  <w:vAlign w:val="top"/>
                </w:tcPr>
                <w:p w14:paraId="114E8C3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200m</w:t>
                  </w:r>
                </w:p>
              </w:tc>
              <w:tc>
                <w:tcPr>
                  <w:tcW w:w="329" w:type="pct"/>
                  <w:tcBorders>
                    <w:tl2br w:val="nil"/>
                    <w:tr2bl w:val="nil"/>
                  </w:tcBorders>
                  <w:noWrap w:val="0"/>
                  <w:vAlign w:val="top"/>
                </w:tcPr>
                <w:p w14:paraId="1B8189E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300m</w:t>
                  </w:r>
                </w:p>
              </w:tc>
            </w:tr>
            <w:tr w14:paraId="17DD2A9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7114202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液压挖掘机</w:t>
                  </w:r>
                </w:p>
              </w:tc>
              <w:tc>
                <w:tcPr>
                  <w:tcW w:w="404" w:type="pct"/>
                  <w:tcBorders>
                    <w:tl2br w:val="nil"/>
                    <w:tr2bl w:val="nil"/>
                  </w:tcBorders>
                  <w:noWrap w:val="0"/>
                  <w:vAlign w:val="center"/>
                </w:tcPr>
                <w:p w14:paraId="5665D6B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90</w:t>
                  </w:r>
                </w:p>
              </w:tc>
              <w:tc>
                <w:tcPr>
                  <w:tcW w:w="489" w:type="pct"/>
                  <w:tcBorders>
                    <w:tl2br w:val="nil"/>
                    <w:tr2bl w:val="nil"/>
                  </w:tcBorders>
                  <w:noWrap w:val="0"/>
                  <w:vAlign w:val="bottom"/>
                </w:tcPr>
                <w:p w14:paraId="4FCCF89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lang w:val="en-US" w:eastAsia="zh-CN"/>
                    </w:rPr>
                    <w:t>8</w:t>
                  </w:r>
                  <w:r>
                    <w:rPr>
                      <w:color w:val="auto"/>
                      <w:szCs w:val="21"/>
                    </w:rPr>
                    <w:cr/>
                  </w:r>
                  <w:r>
                    <w:rPr>
                      <w:color w:val="auto"/>
                      <w:szCs w:val="21"/>
                    </w:rPr>
                    <w:t>4</w:t>
                  </w:r>
                </w:p>
              </w:tc>
              <w:tc>
                <w:tcPr>
                  <w:tcW w:w="394" w:type="pct"/>
                  <w:tcBorders>
                    <w:tl2br w:val="nil"/>
                    <w:tr2bl w:val="nil"/>
                  </w:tcBorders>
                  <w:noWrap w:val="0"/>
                  <w:vAlign w:val="center"/>
                </w:tcPr>
                <w:p w14:paraId="6359D5D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416" w:type="pct"/>
                  <w:tcBorders>
                    <w:tl2br w:val="nil"/>
                    <w:tr2bl w:val="nil"/>
                  </w:tcBorders>
                  <w:noWrap w:val="0"/>
                  <w:vAlign w:val="center"/>
                </w:tcPr>
                <w:p w14:paraId="097B647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72</w:t>
                  </w:r>
                </w:p>
              </w:tc>
              <w:tc>
                <w:tcPr>
                  <w:tcW w:w="379" w:type="pct"/>
                  <w:tcBorders>
                    <w:tl2br w:val="nil"/>
                    <w:tr2bl w:val="nil"/>
                  </w:tcBorders>
                  <w:noWrap w:val="0"/>
                  <w:vAlign w:val="center"/>
                </w:tcPr>
                <w:p w14:paraId="5BAA5E2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417" w:type="pct"/>
                  <w:tcBorders>
                    <w:tl2br w:val="nil"/>
                    <w:tr2bl w:val="nil"/>
                  </w:tcBorders>
                  <w:noWrap w:val="0"/>
                  <w:vAlign w:val="center"/>
                </w:tcPr>
                <w:p w14:paraId="3A7F76D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66</w:t>
                  </w:r>
                </w:p>
              </w:tc>
              <w:tc>
                <w:tcPr>
                  <w:tcW w:w="392" w:type="pct"/>
                  <w:tcBorders>
                    <w:tl2br w:val="nil"/>
                    <w:tr2bl w:val="nil"/>
                  </w:tcBorders>
                  <w:noWrap w:val="0"/>
                  <w:vAlign w:val="center"/>
                </w:tcPr>
                <w:p w14:paraId="2F1080D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391" w:type="pct"/>
                  <w:tcBorders>
                    <w:tl2br w:val="nil"/>
                    <w:tr2bl w:val="nil"/>
                  </w:tcBorders>
                  <w:noWrap w:val="0"/>
                  <w:vAlign w:val="center"/>
                </w:tcPr>
                <w:p w14:paraId="0C02068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c>
                <w:tcPr>
                  <w:tcW w:w="369" w:type="pct"/>
                  <w:tcBorders>
                    <w:tl2br w:val="nil"/>
                    <w:tr2bl w:val="nil"/>
                  </w:tcBorders>
                  <w:noWrap w:val="0"/>
                  <w:vAlign w:val="center"/>
                </w:tcPr>
                <w:p w14:paraId="63D1F5F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58</w:t>
                  </w:r>
                </w:p>
              </w:tc>
              <w:tc>
                <w:tcPr>
                  <w:tcW w:w="329" w:type="pct"/>
                  <w:tcBorders>
                    <w:tl2br w:val="nil"/>
                    <w:tr2bl w:val="nil"/>
                  </w:tcBorders>
                  <w:noWrap w:val="0"/>
                  <w:vAlign w:val="bottom"/>
                </w:tcPr>
                <w:p w14:paraId="63187D4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r>
            <w:tr w14:paraId="00D3DAE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2D50049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电动挖掘机</w:t>
                  </w:r>
                </w:p>
              </w:tc>
              <w:tc>
                <w:tcPr>
                  <w:tcW w:w="404" w:type="pct"/>
                  <w:tcBorders>
                    <w:tl2br w:val="nil"/>
                    <w:tr2bl w:val="nil"/>
                  </w:tcBorders>
                  <w:noWrap w:val="0"/>
                  <w:vAlign w:val="center"/>
                </w:tcPr>
                <w:p w14:paraId="1A02E45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86</w:t>
                  </w:r>
                </w:p>
              </w:tc>
              <w:tc>
                <w:tcPr>
                  <w:tcW w:w="489" w:type="pct"/>
                  <w:tcBorders>
                    <w:tl2br w:val="nil"/>
                    <w:tr2bl w:val="nil"/>
                  </w:tcBorders>
                  <w:noWrap w:val="0"/>
                  <w:vAlign w:val="bottom"/>
                </w:tcPr>
                <w:p w14:paraId="7492154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80</w:t>
                  </w:r>
                </w:p>
              </w:tc>
              <w:tc>
                <w:tcPr>
                  <w:tcW w:w="394" w:type="pct"/>
                  <w:tcBorders>
                    <w:tl2br w:val="nil"/>
                    <w:tr2bl w:val="nil"/>
                  </w:tcBorders>
                  <w:noWrap w:val="0"/>
                  <w:vAlign w:val="center"/>
                </w:tcPr>
                <w:p w14:paraId="436E472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74</w:t>
                  </w:r>
                </w:p>
              </w:tc>
              <w:tc>
                <w:tcPr>
                  <w:tcW w:w="416" w:type="pct"/>
                  <w:tcBorders>
                    <w:tl2br w:val="nil"/>
                    <w:tr2bl w:val="nil"/>
                  </w:tcBorders>
                  <w:noWrap w:val="0"/>
                  <w:vAlign w:val="center"/>
                </w:tcPr>
                <w:p w14:paraId="0A76095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379" w:type="pct"/>
                  <w:tcBorders>
                    <w:tl2br w:val="nil"/>
                    <w:tr2bl w:val="nil"/>
                  </w:tcBorders>
                  <w:noWrap w:val="0"/>
                  <w:vAlign w:val="center"/>
                </w:tcPr>
                <w:p w14:paraId="4005DFB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417" w:type="pct"/>
                  <w:tcBorders>
                    <w:tl2br w:val="nil"/>
                    <w:tr2bl w:val="nil"/>
                  </w:tcBorders>
                  <w:noWrap w:val="0"/>
                  <w:vAlign w:val="center"/>
                </w:tcPr>
                <w:p w14:paraId="28D76E8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62</w:t>
                  </w:r>
                </w:p>
              </w:tc>
              <w:tc>
                <w:tcPr>
                  <w:tcW w:w="392" w:type="pct"/>
                  <w:tcBorders>
                    <w:tl2br w:val="nil"/>
                    <w:tr2bl w:val="nil"/>
                  </w:tcBorders>
                  <w:noWrap w:val="0"/>
                  <w:vAlign w:val="center"/>
                </w:tcPr>
                <w:p w14:paraId="2722A4A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c>
                <w:tcPr>
                  <w:tcW w:w="391" w:type="pct"/>
                  <w:tcBorders>
                    <w:tl2br w:val="nil"/>
                    <w:tr2bl w:val="nil"/>
                  </w:tcBorders>
                  <w:noWrap w:val="0"/>
                  <w:vAlign w:val="center"/>
                </w:tcPr>
                <w:p w14:paraId="4FFA107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56</w:t>
                  </w:r>
                </w:p>
              </w:tc>
              <w:tc>
                <w:tcPr>
                  <w:tcW w:w="369" w:type="pct"/>
                  <w:tcBorders>
                    <w:tl2br w:val="nil"/>
                    <w:tr2bl w:val="nil"/>
                  </w:tcBorders>
                  <w:noWrap w:val="0"/>
                  <w:vAlign w:val="center"/>
                </w:tcPr>
                <w:p w14:paraId="367C5E3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54</w:t>
                  </w:r>
                </w:p>
              </w:tc>
              <w:tc>
                <w:tcPr>
                  <w:tcW w:w="329" w:type="pct"/>
                  <w:tcBorders>
                    <w:tl2br w:val="nil"/>
                    <w:tr2bl w:val="nil"/>
                  </w:tcBorders>
                  <w:noWrap w:val="0"/>
                  <w:vAlign w:val="bottom"/>
                </w:tcPr>
                <w:p w14:paraId="7B9875F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51</w:t>
                  </w:r>
                </w:p>
              </w:tc>
            </w:tr>
            <w:tr w14:paraId="20D4976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3A57AC6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轮式装载机</w:t>
                  </w:r>
                </w:p>
              </w:tc>
              <w:tc>
                <w:tcPr>
                  <w:tcW w:w="404" w:type="pct"/>
                  <w:tcBorders>
                    <w:tl2br w:val="nil"/>
                    <w:tr2bl w:val="nil"/>
                  </w:tcBorders>
                  <w:noWrap w:val="0"/>
                  <w:vAlign w:val="center"/>
                </w:tcPr>
                <w:p w14:paraId="5520D6D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95</w:t>
                  </w:r>
                </w:p>
              </w:tc>
              <w:tc>
                <w:tcPr>
                  <w:tcW w:w="489" w:type="pct"/>
                  <w:tcBorders>
                    <w:tl2br w:val="nil"/>
                    <w:tr2bl w:val="nil"/>
                  </w:tcBorders>
                  <w:noWrap w:val="0"/>
                  <w:vAlign w:val="bottom"/>
                </w:tcPr>
                <w:p w14:paraId="0638B2A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89</w:t>
                  </w:r>
                </w:p>
              </w:tc>
              <w:tc>
                <w:tcPr>
                  <w:tcW w:w="394" w:type="pct"/>
                  <w:tcBorders>
                    <w:tl2br w:val="nil"/>
                    <w:tr2bl w:val="nil"/>
                  </w:tcBorders>
                  <w:noWrap w:val="0"/>
                  <w:vAlign w:val="center"/>
                </w:tcPr>
                <w:p w14:paraId="1AD7E15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83</w:t>
                  </w:r>
                </w:p>
              </w:tc>
              <w:tc>
                <w:tcPr>
                  <w:tcW w:w="416" w:type="pct"/>
                  <w:tcBorders>
                    <w:tl2br w:val="nil"/>
                    <w:tr2bl w:val="nil"/>
                  </w:tcBorders>
                  <w:noWrap w:val="0"/>
                  <w:vAlign w:val="center"/>
                </w:tcPr>
                <w:p w14:paraId="078FC8C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77</w:t>
                  </w:r>
                </w:p>
              </w:tc>
              <w:tc>
                <w:tcPr>
                  <w:tcW w:w="379" w:type="pct"/>
                  <w:tcBorders>
                    <w:tl2br w:val="nil"/>
                    <w:tr2bl w:val="nil"/>
                  </w:tcBorders>
                  <w:noWrap w:val="0"/>
                  <w:vAlign w:val="center"/>
                </w:tcPr>
                <w:p w14:paraId="5BC3F20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73</w:t>
                  </w:r>
                </w:p>
              </w:tc>
              <w:tc>
                <w:tcPr>
                  <w:tcW w:w="417" w:type="pct"/>
                  <w:tcBorders>
                    <w:tl2br w:val="nil"/>
                    <w:tr2bl w:val="nil"/>
                  </w:tcBorders>
                  <w:noWrap w:val="0"/>
                  <w:vAlign w:val="center"/>
                </w:tcPr>
                <w:p w14:paraId="7CAF998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71</w:t>
                  </w:r>
                </w:p>
              </w:tc>
              <w:tc>
                <w:tcPr>
                  <w:tcW w:w="392" w:type="pct"/>
                  <w:tcBorders>
                    <w:tl2br w:val="nil"/>
                    <w:tr2bl w:val="nil"/>
                  </w:tcBorders>
                  <w:noWrap w:val="0"/>
                  <w:vAlign w:val="center"/>
                </w:tcPr>
                <w:p w14:paraId="635707B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69</w:t>
                  </w:r>
                </w:p>
              </w:tc>
              <w:tc>
                <w:tcPr>
                  <w:tcW w:w="391" w:type="pct"/>
                  <w:tcBorders>
                    <w:tl2br w:val="nil"/>
                    <w:tr2bl w:val="nil"/>
                  </w:tcBorders>
                  <w:noWrap w:val="0"/>
                  <w:vAlign w:val="center"/>
                </w:tcPr>
                <w:p w14:paraId="24B0830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65</w:t>
                  </w:r>
                </w:p>
              </w:tc>
              <w:tc>
                <w:tcPr>
                  <w:tcW w:w="369" w:type="pct"/>
                  <w:tcBorders>
                    <w:tl2br w:val="nil"/>
                    <w:tr2bl w:val="nil"/>
                  </w:tcBorders>
                  <w:noWrap w:val="0"/>
                  <w:vAlign w:val="center"/>
                </w:tcPr>
                <w:p w14:paraId="776CBB8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63</w:t>
                  </w:r>
                </w:p>
              </w:tc>
              <w:tc>
                <w:tcPr>
                  <w:tcW w:w="329" w:type="pct"/>
                  <w:tcBorders>
                    <w:tl2br w:val="nil"/>
                    <w:tr2bl w:val="nil"/>
                  </w:tcBorders>
                  <w:noWrap w:val="0"/>
                  <w:vAlign w:val="bottom"/>
                </w:tcPr>
                <w:p w14:paraId="54AD8C1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r>
            <w:tr w14:paraId="6349AD42">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05A2637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推土机</w:t>
                  </w:r>
                </w:p>
              </w:tc>
              <w:tc>
                <w:tcPr>
                  <w:tcW w:w="404" w:type="pct"/>
                  <w:tcBorders>
                    <w:tl2br w:val="nil"/>
                    <w:tr2bl w:val="nil"/>
                  </w:tcBorders>
                  <w:noWrap w:val="0"/>
                  <w:vAlign w:val="center"/>
                </w:tcPr>
                <w:p w14:paraId="4415E4F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88</w:t>
                  </w:r>
                </w:p>
              </w:tc>
              <w:tc>
                <w:tcPr>
                  <w:tcW w:w="489" w:type="pct"/>
                  <w:tcBorders>
                    <w:tl2br w:val="nil"/>
                    <w:tr2bl w:val="nil"/>
                  </w:tcBorders>
                  <w:noWrap w:val="0"/>
                  <w:vAlign w:val="bottom"/>
                </w:tcPr>
                <w:p w14:paraId="6E7E9B1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82</w:t>
                  </w:r>
                </w:p>
              </w:tc>
              <w:tc>
                <w:tcPr>
                  <w:tcW w:w="394" w:type="pct"/>
                  <w:tcBorders>
                    <w:tl2br w:val="nil"/>
                    <w:tr2bl w:val="nil"/>
                  </w:tcBorders>
                  <w:noWrap w:val="0"/>
                  <w:vAlign w:val="center"/>
                </w:tcPr>
                <w:p w14:paraId="0421540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76</w:t>
                  </w:r>
                </w:p>
              </w:tc>
              <w:tc>
                <w:tcPr>
                  <w:tcW w:w="416" w:type="pct"/>
                  <w:tcBorders>
                    <w:tl2br w:val="nil"/>
                    <w:tr2bl w:val="nil"/>
                  </w:tcBorders>
                  <w:noWrap w:val="0"/>
                  <w:vAlign w:val="center"/>
                </w:tcPr>
                <w:p w14:paraId="289F89B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70</w:t>
                  </w:r>
                </w:p>
              </w:tc>
              <w:tc>
                <w:tcPr>
                  <w:tcW w:w="379" w:type="pct"/>
                  <w:tcBorders>
                    <w:tl2br w:val="nil"/>
                    <w:tr2bl w:val="nil"/>
                  </w:tcBorders>
                  <w:noWrap w:val="0"/>
                  <w:vAlign w:val="center"/>
                </w:tcPr>
                <w:p w14:paraId="5CEE647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66</w:t>
                  </w:r>
                </w:p>
              </w:tc>
              <w:tc>
                <w:tcPr>
                  <w:tcW w:w="417" w:type="pct"/>
                  <w:tcBorders>
                    <w:tl2br w:val="nil"/>
                    <w:tr2bl w:val="nil"/>
                  </w:tcBorders>
                  <w:noWrap w:val="0"/>
                  <w:vAlign w:val="center"/>
                </w:tcPr>
                <w:p w14:paraId="4A35F04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392" w:type="pct"/>
                  <w:tcBorders>
                    <w:tl2br w:val="nil"/>
                    <w:tr2bl w:val="nil"/>
                  </w:tcBorders>
                  <w:noWrap w:val="0"/>
                  <w:vAlign w:val="center"/>
                </w:tcPr>
                <w:p w14:paraId="332FEF1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62</w:t>
                  </w:r>
                </w:p>
              </w:tc>
              <w:tc>
                <w:tcPr>
                  <w:tcW w:w="391" w:type="pct"/>
                  <w:tcBorders>
                    <w:tl2br w:val="nil"/>
                    <w:tr2bl w:val="nil"/>
                  </w:tcBorders>
                  <w:noWrap w:val="0"/>
                  <w:vAlign w:val="center"/>
                </w:tcPr>
                <w:p w14:paraId="5199646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58</w:t>
                  </w:r>
                </w:p>
              </w:tc>
              <w:tc>
                <w:tcPr>
                  <w:tcW w:w="369" w:type="pct"/>
                  <w:tcBorders>
                    <w:tl2br w:val="nil"/>
                    <w:tr2bl w:val="nil"/>
                  </w:tcBorders>
                  <w:noWrap w:val="0"/>
                  <w:vAlign w:val="center"/>
                </w:tcPr>
                <w:p w14:paraId="6D46AD6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56</w:t>
                  </w:r>
                </w:p>
              </w:tc>
              <w:tc>
                <w:tcPr>
                  <w:tcW w:w="329" w:type="pct"/>
                  <w:tcBorders>
                    <w:tl2br w:val="nil"/>
                    <w:tr2bl w:val="nil"/>
                  </w:tcBorders>
                  <w:noWrap w:val="0"/>
                  <w:vAlign w:val="bottom"/>
                </w:tcPr>
                <w:p w14:paraId="180A19B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53</w:t>
                  </w:r>
                </w:p>
              </w:tc>
            </w:tr>
            <w:tr w14:paraId="07F4008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0A35CBA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压路机</w:t>
                  </w:r>
                </w:p>
              </w:tc>
              <w:tc>
                <w:tcPr>
                  <w:tcW w:w="404" w:type="pct"/>
                  <w:tcBorders>
                    <w:tl2br w:val="nil"/>
                    <w:tr2bl w:val="nil"/>
                  </w:tcBorders>
                  <w:noWrap w:val="0"/>
                  <w:vAlign w:val="center"/>
                </w:tcPr>
                <w:p w14:paraId="24FF7BE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90</w:t>
                  </w:r>
                </w:p>
              </w:tc>
              <w:tc>
                <w:tcPr>
                  <w:tcW w:w="489" w:type="pct"/>
                  <w:tcBorders>
                    <w:tl2br w:val="nil"/>
                    <w:tr2bl w:val="nil"/>
                  </w:tcBorders>
                  <w:noWrap w:val="0"/>
                  <w:vAlign w:val="bottom"/>
                </w:tcPr>
                <w:p w14:paraId="2B0FD79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84</w:t>
                  </w:r>
                </w:p>
              </w:tc>
              <w:tc>
                <w:tcPr>
                  <w:tcW w:w="394" w:type="pct"/>
                  <w:tcBorders>
                    <w:tl2br w:val="nil"/>
                    <w:tr2bl w:val="nil"/>
                  </w:tcBorders>
                  <w:noWrap w:val="0"/>
                  <w:vAlign w:val="center"/>
                </w:tcPr>
                <w:p w14:paraId="1F2FEA8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416" w:type="pct"/>
                  <w:tcBorders>
                    <w:tl2br w:val="nil"/>
                    <w:tr2bl w:val="nil"/>
                  </w:tcBorders>
                  <w:noWrap w:val="0"/>
                  <w:vAlign w:val="center"/>
                </w:tcPr>
                <w:p w14:paraId="726FE90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72</w:t>
                  </w:r>
                </w:p>
              </w:tc>
              <w:tc>
                <w:tcPr>
                  <w:tcW w:w="379" w:type="pct"/>
                  <w:tcBorders>
                    <w:tl2br w:val="nil"/>
                    <w:tr2bl w:val="nil"/>
                  </w:tcBorders>
                  <w:noWrap w:val="0"/>
                  <w:vAlign w:val="center"/>
                </w:tcPr>
                <w:p w14:paraId="5DDA157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417" w:type="pct"/>
                  <w:tcBorders>
                    <w:tl2br w:val="nil"/>
                    <w:tr2bl w:val="nil"/>
                  </w:tcBorders>
                  <w:noWrap w:val="0"/>
                  <w:vAlign w:val="center"/>
                </w:tcPr>
                <w:p w14:paraId="01C94AD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66</w:t>
                  </w:r>
                </w:p>
              </w:tc>
              <w:tc>
                <w:tcPr>
                  <w:tcW w:w="392" w:type="pct"/>
                  <w:tcBorders>
                    <w:tl2br w:val="nil"/>
                    <w:tr2bl w:val="nil"/>
                  </w:tcBorders>
                  <w:noWrap w:val="0"/>
                  <w:vAlign w:val="center"/>
                </w:tcPr>
                <w:p w14:paraId="4DA4B66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391" w:type="pct"/>
                  <w:tcBorders>
                    <w:tl2br w:val="nil"/>
                    <w:tr2bl w:val="nil"/>
                  </w:tcBorders>
                  <w:noWrap w:val="0"/>
                  <w:vAlign w:val="center"/>
                </w:tcPr>
                <w:p w14:paraId="10CD344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c>
                <w:tcPr>
                  <w:tcW w:w="369" w:type="pct"/>
                  <w:tcBorders>
                    <w:tl2br w:val="nil"/>
                    <w:tr2bl w:val="nil"/>
                  </w:tcBorders>
                  <w:noWrap w:val="0"/>
                  <w:vAlign w:val="center"/>
                </w:tcPr>
                <w:p w14:paraId="2019443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58</w:t>
                  </w:r>
                </w:p>
              </w:tc>
              <w:tc>
                <w:tcPr>
                  <w:tcW w:w="329" w:type="pct"/>
                  <w:tcBorders>
                    <w:tl2br w:val="nil"/>
                    <w:tr2bl w:val="nil"/>
                  </w:tcBorders>
                  <w:noWrap w:val="0"/>
                  <w:vAlign w:val="bottom"/>
                </w:tcPr>
                <w:p w14:paraId="5DDDC21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r>
            <w:tr w14:paraId="7994F8C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03BEEC1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重型运输车</w:t>
                  </w:r>
                </w:p>
              </w:tc>
              <w:tc>
                <w:tcPr>
                  <w:tcW w:w="404" w:type="pct"/>
                  <w:tcBorders>
                    <w:tl2br w:val="nil"/>
                    <w:tr2bl w:val="nil"/>
                  </w:tcBorders>
                  <w:noWrap w:val="0"/>
                  <w:vAlign w:val="center"/>
                </w:tcPr>
                <w:p w14:paraId="1DAA294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90</w:t>
                  </w:r>
                </w:p>
              </w:tc>
              <w:tc>
                <w:tcPr>
                  <w:tcW w:w="489" w:type="pct"/>
                  <w:tcBorders>
                    <w:tl2br w:val="nil"/>
                    <w:tr2bl w:val="nil"/>
                  </w:tcBorders>
                  <w:noWrap w:val="0"/>
                  <w:vAlign w:val="bottom"/>
                </w:tcPr>
                <w:p w14:paraId="284336D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84</w:t>
                  </w:r>
                </w:p>
              </w:tc>
              <w:tc>
                <w:tcPr>
                  <w:tcW w:w="394" w:type="pct"/>
                  <w:tcBorders>
                    <w:tl2br w:val="nil"/>
                    <w:tr2bl w:val="nil"/>
                  </w:tcBorders>
                  <w:noWrap w:val="0"/>
                  <w:vAlign w:val="center"/>
                </w:tcPr>
                <w:p w14:paraId="6CC99F9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416" w:type="pct"/>
                  <w:tcBorders>
                    <w:tl2br w:val="nil"/>
                    <w:tr2bl w:val="nil"/>
                  </w:tcBorders>
                  <w:noWrap w:val="0"/>
                  <w:vAlign w:val="center"/>
                </w:tcPr>
                <w:p w14:paraId="35EAFF4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72</w:t>
                  </w:r>
                </w:p>
              </w:tc>
              <w:tc>
                <w:tcPr>
                  <w:tcW w:w="379" w:type="pct"/>
                  <w:tcBorders>
                    <w:tl2br w:val="nil"/>
                    <w:tr2bl w:val="nil"/>
                  </w:tcBorders>
                  <w:noWrap w:val="0"/>
                  <w:vAlign w:val="center"/>
                </w:tcPr>
                <w:p w14:paraId="3910398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417" w:type="pct"/>
                  <w:tcBorders>
                    <w:tl2br w:val="nil"/>
                    <w:tr2bl w:val="nil"/>
                  </w:tcBorders>
                  <w:noWrap w:val="0"/>
                  <w:vAlign w:val="center"/>
                </w:tcPr>
                <w:p w14:paraId="38F2360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66</w:t>
                  </w:r>
                </w:p>
              </w:tc>
              <w:tc>
                <w:tcPr>
                  <w:tcW w:w="392" w:type="pct"/>
                  <w:tcBorders>
                    <w:tl2br w:val="nil"/>
                    <w:tr2bl w:val="nil"/>
                  </w:tcBorders>
                  <w:noWrap w:val="0"/>
                  <w:vAlign w:val="center"/>
                </w:tcPr>
                <w:p w14:paraId="143B915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391" w:type="pct"/>
                  <w:tcBorders>
                    <w:tl2br w:val="nil"/>
                    <w:tr2bl w:val="nil"/>
                  </w:tcBorders>
                  <w:noWrap w:val="0"/>
                  <w:vAlign w:val="center"/>
                </w:tcPr>
                <w:p w14:paraId="483ABEC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c>
                <w:tcPr>
                  <w:tcW w:w="369" w:type="pct"/>
                  <w:tcBorders>
                    <w:tl2br w:val="nil"/>
                    <w:tr2bl w:val="nil"/>
                  </w:tcBorders>
                  <w:noWrap w:val="0"/>
                  <w:vAlign w:val="center"/>
                </w:tcPr>
                <w:p w14:paraId="083FF81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58</w:t>
                  </w:r>
                </w:p>
              </w:tc>
              <w:tc>
                <w:tcPr>
                  <w:tcW w:w="329" w:type="pct"/>
                  <w:tcBorders>
                    <w:tl2br w:val="nil"/>
                    <w:tr2bl w:val="nil"/>
                  </w:tcBorders>
                  <w:noWrap w:val="0"/>
                  <w:vAlign w:val="bottom"/>
                </w:tcPr>
                <w:p w14:paraId="0CA77C8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r>
            <w:tr w14:paraId="396EDCB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07F2B71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电锤</w:t>
                  </w:r>
                </w:p>
              </w:tc>
              <w:tc>
                <w:tcPr>
                  <w:tcW w:w="404" w:type="pct"/>
                  <w:tcBorders>
                    <w:tl2br w:val="nil"/>
                    <w:tr2bl w:val="nil"/>
                  </w:tcBorders>
                  <w:noWrap w:val="0"/>
                  <w:vAlign w:val="center"/>
                </w:tcPr>
                <w:p w14:paraId="11BD529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105</w:t>
                  </w:r>
                </w:p>
              </w:tc>
              <w:tc>
                <w:tcPr>
                  <w:tcW w:w="489" w:type="pct"/>
                  <w:tcBorders>
                    <w:tl2br w:val="nil"/>
                    <w:tr2bl w:val="nil"/>
                  </w:tcBorders>
                  <w:noWrap w:val="0"/>
                  <w:vAlign w:val="bottom"/>
                </w:tcPr>
                <w:p w14:paraId="02851B1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99</w:t>
                  </w:r>
                </w:p>
              </w:tc>
              <w:tc>
                <w:tcPr>
                  <w:tcW w:w="394" w:type="pct"/>
                  <w:tcBorders>
                    <w:tl2br w:val="nil"/>
                    <w:tr2bl w:val="nil"/>
                  </w:tcBorders>
                  <w:noWrap w:val="0"/>
                  <w:vAlign w:val="center"/>
                </w:tcPr>
                <w:p w14:paraId="28F3B75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93</w:t>
                  </w:r>
                </w:p>
              </w:tc>
              <w:tc>
                <w:tcPr>
                  <w:tcW w:w="416" w:type="pct"/>
                  <w:tcBorders>
                    <w:tl2br w:val="nil"/>
                    <w:tr2bl w:val="nil"/>
                  </w:tcBorders>
                  <w:noWrap w:val="0"/>
                  <w:vAlign w:val="center"/>
                </w:tcPr>
                <w:p w14:paraId="4966973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87</w:t>
                  </w:r>
                </w:p>
              </w:tc>
              <w:tc>
                <w:tcPr>
                  <w:tcW w:w="379" w:type="pct"/>
                  <w:tcBorders>
                    <w:tl2br w:val="nil"/>
                    <w:tr2bl w:val="nil"/>
                  </w:tcBorders>
                  <w:noWrap w:val="0"/>
                  <w:vAlign w:val="center"/>
                </w:tcPr>
                <w:p w14:paraId="62C8E3D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83</w:t>
                  </w:r>
                </w:p>
              </w:tc>
              <w:tc>
                <w:tcPr>
                  <w:tcW w:w="417" w:type="pct"/>
                  <w:tcBorders>
                    <w:tl2br w:val="nil"/>
                    <w:tr2bl w:val="nil"/>
                  </w:tcBorders>
                  <w:noWrap w:val="0"/>
                  <w:vAlign w:val="center"/>
                </w:tcPr>
                <w:p w14:paraId="7357637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81</w:t>
                  </w:r>
                </w:p>
              </w:tc>
              <w:tc>
                <w:tcPr>
                  <w:tcW w:w="392" w:type="pct"/>
                  <w:tcBorders>
                    <w:tl2br w:val="nil"/>
                    <w:tr2bl w:val="nil"/>
                  </w:tcBorders>
                  <w:noWrap w:val="0"/>
                  <w:vAlign w:val="center"/>
                </w:tcPr>
                <w:p w14:paraId="0FCC7F6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79</w:t>
                  </w:r>
                </w:p>
              </w:tc>
              <w:tc>
                <w:tcPr>
                  <w:tcW w:w="391" w:type="pct"/>
                  <w:tcBorders>
                    <w:tl2br w:val="nil"/>
                    <w:tr2bl w:val="nil"/>
                  </w:tcBorders>
                  <w:noWrap w:val="0"/>
                  <w:vAlign w:val="center"/>
                </w:tcPr>
                <w:p w14:paraId="68608DE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c>
                <w:tcPr>
                  <w:tcW w:w="369" w:type="pct"/>
                  <w:tcBorders>
                    <w:tl2br w:val="nil"/>
                    <w:tr2bl w:val="nil"/>
                  </w:tcBorders>
                  <w:noWrap w:val="0"/>
                  <w:vAlign w:val="center"/>
                </w:tcPr>
                <w:p w14:paraId="477987C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73</w:t>
                  </w:r>
                </w:p>
              </w:tc>
              <w:tc>
                <w:tcPr>
                  <w:tcW w:w="329" w:type="pct"/>
                  <w:tcBorders>
                    <w:tl2br w:val="nil"/>
                    <w:tr2bl w:val="nil"/>
                  </w:tcBorders>
                  <w:noWrap w:val="0"/>
                  <w:vAlign w:val="bottom"/>
                </w:tcPr>
                <w:p w14:paraId="23058D0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70</w:t>
                  </w:r>
                </w:p>
              </w:tc>
            </w:tr>
            <w:tr w14:paraId="1AE387E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1746B63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振动夯锤</w:t>
                  </w:r>
                </w:p>
              </w:tc>
              <w:tc>
                <w:tcPr>
                  <w:tcW w:w="404" w:type="pct"/>
                  <w:tcBorders>
                    <w:tl2br w:val="nil"/>
                    <w:tr2bl w:val="nil"/>
                  </w:tcBorders>
                  <w:noWrap w:val="0"/>
                  <w:vAlign w:val="center"/>
                </w:tcPr>
                <w:p w14:paraId="276960A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100</w:t>
                  </w:r>
                </w:p>
              </w:tc>
              <w:tc>
                <w:tcPr>
                  <w:tcW w:w="489" w:type="pct"/>
                  <w:tcBorders>
                    <w:tl2br w:val="nil"/>
                    <w:tr2bl w:val="nil"/>
                  </w:tcBorders>
                  <w:noWrap w:val="0"/>
                  <w:vAlign w:val="bottom"/>
                </w:tcPr>
                <w:p w14:paraId="5050012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94</w:t>
                  </w:r>
                </w:p>
              </w:tc>
              <w:tc>
                <w:tcPr>
                  <w:tcW w:w="394" w:type="pct"/>
                  <w:tcBorders>
                    <w:tl2br w:val="nil"/>
                    <w:tr2bl w:val="nil"/>
                  </w:tcBorders>
                  <w:noWrap w:val="0"/>
                  <w:vAlign w:val="center"/>
                </w:tcPr>
                <w:p w14:paraId="5A663B5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val="en-US" w:eastAsia="zh-CN"/>
                    </w:rPr>
                  </w:pPr>
                  <w:r>
                    <w:rPr>
                      <w:color w:val="auto"/>
                      <w:szCs w:val="21"/>
                    </w:rPr>
                    <w:cr/>
                  </w:r>
                  <w:r>
                    <w:rPr>
                      <w:color w:val="auto"/>
                      <w:szCs w:val="21"/>
                    </w:rPr>
                    <w:t>8</w:t>
                  </w:r>
                  <w:r>
                    <w:rPr>
                      <w:rFonts w:hint="eastAsia"/>
                      <w:color w:val="auto"/>
                      <w:szCs w:val="21"/>
                      <w:lang w:val="en-US" w:eastAsia="zh-CN"/>
                    </w:rPr>
                    <w:t>8</w:t>
                  </w:r>
                </w:p>
              </w:tc>
              <w:tc>
                <w:tcPr>
                  <w:tcW w:w="416" w:type="pct"/>
                  <w:tcBorders>
                    <w:tl2br w:val="nil"/>
                    <w:tr2bl w:val="nil"/>
                  </w:tcBorders>
                  <w:noWrap w:val="0"/>
                  <w:vAlign w:val="center"/>
                </w:tcPr>
                <w:p w14:paraId="0F14ADE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82</w:t>
                  </w:r>
                </w:p>
              </w:tc>
              <w:tc>
                <w:tcPr>
                  <w:tcW w:w="379" w:type="pct"/>
                  <w:tcBorders>
                    <w:tl2br w:val="nil"/>
                    <w:tr2bl w:val="nil"/>
                  </w:tcBorders>
                  <w:noWrap w:val="0"/>
                  <w:vAlign w:val="center"/>
                </w:tcPr>
                <w:p w14:paraId="3C93114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417" w:type="pct"/>
                  <w:tcBorders>
                    <w:tl2br w:val="nil"/>
                    <w:tr2bl w:val="nil"/>
                  </w:tcBorders>
                  <w:noWrap w:val="0"/>
                  <w:vAlign w:val="center"/>
                </w:tcPr>
                <w:p w14:paraId="1EDECA9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76</w:t>
                  </w:r>
                </w:p>
              </w:tc>
              <w:tc>
                <w:tcPr>
                  <w:tcW w:w="392" w:type="pct"/>
                  <w:tcBorders>
                    <w:tl2br w:val="nil"/>
                    <w:tr2bl w:val="nil"/>
                  </w:tcBorders>
                  <w:noWrap w:val="0"/>
                  <w:vAlign w:val="center"/>
                </w:tcPr>
                <w:p w14:paraId="60124E8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74</w:t>
                  </w:r>
                </w:p>
              </w:tc>
              <w:tc>
                <w:tcPr>
                  <w:tcW w:w="391" w:type="pct"/>
                  <w:tcBorders>
                    <w:tl2br w:val="nil"/>
                    <w:tr2bl w:val="nil"/>
                  </w:tcBorders>
                  <w:noWrap w:val="0"/>
                  <w:vAlign w:val="center"/>
                </w:tcPr>
                <w:p w14:paraId="162B3E9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70</w:t>
                  </w:r>
                </w:p>
              </w:tc>
              <w:tc>
                <w:tcPr>
                  <w:tcW w:w="369" w:type="pct"/>
                  <w:tcBorders>
                    <w:tl2br w:val="nil"/>
                    <w:tr2bl w:val="nil"/>
                  </w:tcBorders>
                  <w:noWrap w:val="0"/>
                  <w:vAlign w:val="center"/>
                </w:tcPr>
                <w:p w14:paraId="0038A6D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329" w:type="pct"/>
                  <w:tcBorders>
                    <w:tl2br w:val="nil"/>
                    <w:tr2bl w:val="nil"/>
                  </w:tcBorders>
                  <w:noWrap w:val="0"/>
                  <w:vAlign w:val="bottom"/>
                </w:tcPr>
                <w:p w14:paraId="4C51A9F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65</w:t>
                  </w:r>
                </w:p>
              </w:tc>
            </w:tr>
            <w:tr w14:paraId="50507E9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0EBB92F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打桩机</w:t>
                  </w:r>
                </w:p>
              </w:tc>
              <w:tc>
                <w:tcPr>
                  <w:tcW w:w="404" w:type="pct"/>
                  <w:tcBorders>
                    <w:tl2br w:val="nil"/>
                    <w:tr2bl w:val="nil"/>
                  </w:tcBorders>
                  <w:noWrap w:val="0"/>
                  <w:vAlign w:val="center"/>
                </w:tcPr>
                <w:p w14:paraId="41A4A86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110</w:t>
                  </w:r>
                </w:p>
              </w:tc>
              <w:tc>
                <w:tcPr>
                  <w:tcW w:w="489" w:type="pct"/>
                  <w:tcBorders>
                    <w:tl2br w:val="nil"/>
                    <w:tr2bl w:val="nil"/>
                  </w:tcBorders>
                  <w:noWrap w:val="0"/>
                  <w:vAlign w:val="bottom"/>
                </w:tcPr>
                <w:p w14:paraId="6592696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104</w:t>
                  </w:r>
                </w:p>
              </w:tc>
              <w:tc>
                <w:tcPr>
                  <w:tcW w:w="394" w:type="pct"/>
                  <w:tcBorders>
                    <w:tl2br w:val="nil"/>
                    <w:tr2bl w:val="nil"/>
                  </w:tcBorders>
                  <w:noWrap w:val="0"/>
                  <w:vAlign w:val="center"/>
                </w:tcPr>
                <w:p w14:paraId="5F72344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98</w:t>
                  </w:r>
                </w:p>
              </w:tc>
              <w:tc>
                <w:tcPr>
                  <w:tcW w:w="416" w:type="pct"/>
                  <w:tcBorders>
                    <w:tl2br w:val="nil"/>
                    <w:tr2bl w:val="nil"/>
                  </w:tcBorders>
                  <w:noWrap w:val="0"/>
                  <w:vAlign w:val="center"/>
                </w:tcPr>
                <w:p w14:paraId="1EEE188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92</w:t>
                  </w:r>
                </w:p>
              </w:tc>
              <w:tc>
                <w:tcPr>
                  <w:tcW w:w="379" w:type="pct"/>
                  <w:tcBorders>
                    <w:tl2br w:val="nil"/>
                    <w:tr2bl w:val="nil"/>
                  </w:tcBorders>
                  <w:noWrap w:val="0"/>
                  <w:vAlign w:val="center"/>
                </w:tcPr>
                <w:p w14:paraId="2DA78D6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88</w:t>
                  </w:r>
                </w:p>
              </w:tc>
              <w:tc>
                <w:tcPr>
                  <w:tcW w:w="417" w:type="pct"/>
                  <w:tcBorders>
                    <w:tl2br w:val="nil"/>
                    <w:tr2bl w:val="nil"/>
                  </w:tcBorders>
                  <w:noWrap w:val="0"/>
                  <w:vAlign w:val="center"/>
                </w:tcPr>
                <w:p w14:paraId="2993ED8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86</w:t>
                  </w:r>
                </w:p>
              </w:tc>
              <w:tc>
                <w:tcPr>
                  <w:tcW w:w="392" w:type="pct"/>
                  <w:tcBorders>
                    <w:tl2br w:val="nil"/>
                    <w:tr2bl w:val="nil"/>
                  </w:tcBorders>
                  <w:noWrap w:val="0"/>
                  <w:vAlign w:val="center"/>
                </w:tcPr>
                <w:p w14:paraId="7FFCCB8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84</w:t>
                  </w:r>
                </w:p>
              </w:tc>
              <w:tc>
                <w:tcPr>
                  <w:tcW w:w="391" w:type="pct"/>
                  <w:tcBorders>
                    <w:tl2br w:val="nil"/>
                    <w:tr2bl w:val="nil"/>
                  </w:tcBorders>
                  <w:noWrap w:val="0"/>
                  <w:vAlign w:val="center"/>
                </w:tcPr>
                <w:p w14:paraId="743D1A0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80</w:t>
                  </w:r>
                </w:p>
              </w:tc>
              <w:tc>
                <w:tcPr>
                  <w:tcW w:w="369" w:type="pct"/>
                  <w:tcBorders>
                    <w:tl2br w:val="nil"/>
                    <w:tr2bl w:val="nil"/>
                  </w:tcBorders>
                  <w:noWrap w:val="0"/>
                  <w:vAlign w:val="center"/>
                </w:tcPr>
                <w:p w14:paraId="1DF3B02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329" w:type="pct"/>
                  <w:tcBorders>
                    <w:tl2br w:val="nil"/>
                    <w:tr2bl w:val="nil"/>
                  </w:tcBorders>
                  <w:noWrap w:val="0"/>
                  <w:vAlign w:val="bottom"/>
                </w:tcPr>
                <w:p w14:paraId="511F5FC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r>
            <w:tr w14:paraId="772548A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47741AB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静力压桩机</w:t>
                  </w:r>
                </w:p>
              </w:tc>
              <w:tc>
                <w:tcPr>
                  <w:tcW w:w="404" w:type="pct"/>
                  <w:tcBorders>
                    <w:tl2br w:val="nil"/>
                    <w:tr2bl w:val="nil"/>
                  </w:tcBorders>
                  <w:noWrap w:val="0"/>
                  <w:vAlign w:val="center"/>
                </w:tcPr>
                <w:p w14:paraId="779565D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c>
                <w:tcPr>
                  <w:tcW w:w="489" w:type="pct"/>
                  <w:tcBorders>
                    <w:tl2br w:val="nil"/>
                    <w:tr2bl w:val="nil"/>
                  </w:tcBorders>
                  <w:noWrap w:val="0"/>
                  <w:vAlign w:val="bottom"/>
                </w:tcPr>
                <w:p w14:paraId="4382C6C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69</w:t>
                  </w:r>
                </w:p>
              </w:tc>
              <w:tc>
                <w:tcPr>
                  <w:tcW w:w="394" w:type="pct"/>
                  <w:tcBorders>
                    <w:tl2br w:val="nil"/>
                    <w:tr2bl w:val="nil"/>
                  </w:tcBorders>
                  <w:noWrap w:val="0"/>
                  <w:vAlign w:val="center"/>
                </w:tcPr>
                <w:p w14:paraId="7E834B1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63</w:t>
                  </w:r>
                </w:p>
              </w:tc>
              <w:tc>
                <w:tcPr>
                  <w:tcW w:w="416" w:type="pct"/>
                  <w:tcBorders>
                    <w:tl2br w:val="nil"/>
                    <w:tr2bl w:val="nil"/>
                  </w:tcBorders>
                  <w:noWrap w:val="0"/>
                  <w:vAlign w:val="center"/>
                </w:tcPr>
                <w:p w14:paraId="4F1A964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57</w:t>
                  </w:r>
                </w:p>
              </w:tc>
              <w:tc>
                <w:tcPr>
                  <w:tcW w:w="379" w:type="pct"/>
                  <w:tcBorders>
                    <w:tl2br w:val="nil"/>
                    <w:tr2bl w:val="nil"/>
                  </w:tcBorders>
                  <w:noWrap w:val="0"/>
                  <w:vAlign w:val="center"/>
                </w:tcPr>
                <w:p w14:paraId="3BA65FE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53</w:t>
                  </w:r>
                </w:p>
              </w:tc>
              <w:tc>
                <w:tcPr>
                  <w:tcW w:w="417" w:type="pct"/>
                  <w:tcBorders>
                    <w:tl2br w:val="nil"/>
                    <w:tr2bl w:val="nil"/>
                  </w:tcBorders>
                  <w:noWrap w:val="0"/>
                  <w:vAlign w:val="center"/>
                </w:tcPr>
                <w:p w14:paraId="5B76292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51</w:t>
                  </w:r>
                </w:p>
              </w:tc>
              <w:tc>
                <w:tcPr>
                  <w:tcW w:w="392" w:type="pct"/>
                  <w:tcBorders>
                    <w:tl2br w:val="nil"/>
                    <w:tr2bl w:val="nil"/>
                  </w:tcBorders>
                  <w:noWrap w:val="0"/>
                  <w:vAlign w:val="center"/>
                </w:tcPr>
                <w:p w14:paraId="576EA8D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49</w:t>
                  </w:r>
                </w:p>
              </w:tc>
              <w:tc>
                <w:tcPr>
                  <w:tcW w:w="391" w:type="pct"/>
                  <w:tcBorders>
                    <w:tl2br w:val="nil"/>
                    <w:tr2bl w:val="nil"/>
                  </w:tcBorders>
                  <w:noWrap w:val="0"/>
                  <w:vAlign w:val="center"/>
                </w:tcPr>
                <w:p w14:paraId="3CC66E4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45</w:t>
                  </w:r>
                </w:p>
              </w:tc>
              <w:tc>
                <w:tcPr>
                  <w:tcW w:w="369" w:type="pct"/>
                  <w:tcBorders>
                    <w:tl2br w:val="nil"/>
                    <w:tr2bl w:val="nil"/>
                  </w:tcBorders>
                  <w:noWrap w:val="0"/>
                  <w:vAlign w:val="center"/>
                </w:tcPr>
                <w:p w14:paraId="379E733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43</w:t>
                  </w:r>
                </w:p>
              </w:tc>
              <w:tc>
                <w:tcPr>
                  <w:tcW w:w="329" w:type="pct"/>
                  <w:tcBorders>
                    <w:tl2br w:val="nil"/>
                    <w:tr2bl w:val="nil"/>
                  </w:tcBorders>
                  <w:noWrap w:val="0"/>
                  <w:vAlign w:val="bottom"/>
                </w:tcPr>
                <w:p w14:paraId="05B77BC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40</w:t>
                  </w:r>
                </w:p>
              </w:tc>
            </w:tr>
            <w:tr w14:paraId="23E97CB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0121C01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摊铺机</w:t>
                  </w:r>
                </w:p>
              </w:tc>
              <w:tc>
                <w:tcPr>
                  <w:tcW w:w="404" w:type="pct"/>
                  <w:tcBorders>
                    <w:tl2br w:val="nil"/>
                    <w:tr2bl w:val="nil"/>
                  </w:tcBorders>
                  <w:noWrap w:val="0"/>
                  <w:vAlign w:val="center"/>
                </w:tcPr>
                <w:p w14:paraId="5123E94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87</w:t>
                  </w:r>
                </w:p>
              </w:tc>
              <w:tc>
                <w:tcPr>
                  <w:tcW w:w="489" w:type="pct"/>
                  <w:tcBorders>
                    <w:tl2br w:val="nil"/>
                    <w:tr2bl w:val="nil"/>
                  </w:tcBorders>
                  <w:noWrap w:val="0"/>
                  <w:vAlign w:val="bottom"/>
                </w:tcPr>
                <w:p w14:paraId="5BFF28C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81</w:t>
                  </w:r>
                </w:p>
              </w:tc>
              <w:tc>
                <w:tcPr>
                  <w:tcW w:w="394" w:type="pct"/>
                  <w:tcBorders>
                    <w:tl2br w:val="nil"/>
                    <w:tr2bl w:val="nil"/>
                  </w:tcBorders>
                  <w:noWrap w:val="0"/>
                  <w:vAlign w:val="center"/>
                </w:tcPr>
                <w:p w14:paraId="5C729CC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c>
                <w:tcPr>
                  <w:tcW w:w="416" w:type="pct"/>
                  <w:tcBorders>
                    <w:tl2br w:val="nil"/>
                    <w:tr2bl w:val="nil"/>
                  </w:tcBorders>
                  <w:noWrap w:val="0"/>
                  <w:vAlign w:val="center"/>
                </w:tcPr>
                <w:p w14:paraId="299C6CF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69</w:t>
                  </w:r>
                </w:p>
              </w:tc>
              <w:tc>
                <w:tcPr>
                  <w:tcW w:w="379" w:type="pct"/>
                  <w:tcBorders>
                    <w:tl2br w:val="nil"/>
                    <w:tr2bl w:val="nil"/>
                  </w:tcBorders>
                  <w:noWrap w:val="0"/>
                  <w:vAlign w:val="center"/>
                </w:tcPr>
                <w:p w14:paraId="0173519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65</w:t>
                  </w:r>
                </w:p>
              </w:tc>
              <w:tc>
                <w:tcPr>
                  <w:tcW w:w="417" w:type="pct"/>
                  <w:tcBorders>
                    <w:tl2br w:val="nil"/>
                    <w:tr2bl w:val="nil"/>
                  </w:tcBorders>
                  <w:noWrap w:val="0"/>
                  <w:vAlign w:val="center"/>
                </w:tcPr>
                <w:p w14:paraId="5CFB595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63</w:t>
                  </w:r>
                </w:p>
              </w:tc>
              <w:tc>
                <w:tcPr>
                  <w:tcW w:w="392" w:type="pct"/>
                  <w:tcBorders>
                    <w:tl2br w:val="nil"/>
                    <w:tr2bl w:val="nil"/>
                  </w:tcBorders>
                  <w:noWrap w:val="0"/>
                  <w:vAlign w:val="center"/>
                </w:tcPr>
                <w:p w14:paraId="671A24B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61</w:t>
                  </w:r>
                </w:p>
              </w:tc>
              <w:tc>
                <w:tcPr>
                  <w:tcW w:w="391" w:type="pct"/>
                  <w:tcBorders>
                    <w:tl2br w:val="nil"/>
                    <w:tr2bl w:val="nil"/>
                  </w:tcBorders>
                  <w:noWrap w:val="0"/>
                  <w:vAlign w:val="center"/>
                </w:tcPr>
                <w:p w14:paraId="4E2292D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57</w:t>
                  </w:r>
                </w:p>
              </w:tc>
              <w:tc>
                <w:tcPr>
                  <w:tcW w:w="369" w:type="pct"/>
                  <w:tcBorders>
                    <w:tl2br w:val="nil"/>
                    <w:tr2bl w:val="nil"/>
                  </w:tcBorders>
                  <w:noWrap w:val="0"/>
                  <w:vAlign w:val="center"/>
                </w:tcPr>
                <w:p w14:paraId="30B7236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c>
                <w:tcPr>
                  <w:tcW w:w="329" w:type="pct"/>
                  <w:tcBorders>
                    <w:tl2br w:val="nil"/>
                    <w:tr2bl w:val="nil"/>
                  </w:tcBorders>
                  <w:noWrap w:val="0"/>
                  <w:vAlign w:val="bottom"/>
                </w:tcPr>
                <w:p w14:paraId="08503D1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52</w:t>
                  </w:r>
                </w:p>
              </w:tc>
            </w:tr>
            <w:tr w14:paraId="7B90BDB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4E174CF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吊车</w:t>
                  </w:r>
                </w:p>
              </w:tc>
              <w:tc>
                <w:tcPr>
                  <w:tcW w:w="404" w:type="pct"/>
                  <w:tcBorders>
                    <w:tl2br w:val="nil"/>
                    <w:tr2bl w:val="nil"/>
                  </w:tcBorders>
                  <w:noWrap w:val="0"/>
                  <w:vAlign w:val="center"/>
                </w:tcPr>
                <w:p w14:paraId="5311883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87</w:t>
                  </w:r>
                </w:p>
              </w:tc>
              <w:tc>
                <w:tcPr>
                  <w:tcW w:w="489" w:type="pct"/>
                  <w:tcBorders>
                    <w:tl2br w:val="nil"/>
                    <w:tr2bl w:val="nil"/>
                  </w:tcBorders>
                  <w:noWrap w:val="0"/>
                  <w:vAlign w:val="bottom"/>
                </w:tcPr>
                <w:p w14:paraId="06B1341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81</w:t>
                  </w:r>
                </w:p>
              </w:tc>
              <w:tc>
                <w:tcPr>
                  <w:tcW w:w="394" w:type="pct"/>
                  <w:tcBorders>
                    <w:tl2br w:val="nil"/>
                    <w:tr2bl w:val="nil"/>
                  </w:tcBorders>
                  <w:noWrap w:val="0"/>
                  <w:vAlign w:val="center"/>
                </w:tcPr>
                <w:p w14:paraId="1A23F81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c>
                <w:tcPr>
                  <w:tcW w:w="416" w:type="pct"/>
                  <w:tcBorders>
                    <w:tl2br w:val="nil"/>
                    <w:tr2bl w:val="nil"/>
                  </w:tcBorders>
                  <w:noWrap w:val="0"/>
                  <w:vAlign w:val="center"/>
                </w:tcPr>
                <w:p w14:paraId="30ED071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69</w:t>
                  </w:r>
                </w:p>
              </w:tc>
              <w:tc>
                <w:tcPr>
                  <w:tcW w:w="379" w:type="pct"/>
                  <w:tcBorders>
                    <w:tl2br w:val="nil"/>
                    <w:tr2bl w:val="nil"/>
                  </w:tcBorders>
                  <w:noWrap w:val="0"/>
                  <w:vAlign w:val="center"/>
                </w:tcPr>
                <w:p w14:paraId="649CA28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65</w:t>
                  </w:r>
                </w:p>
              </w:tc>
              <w:tc>
                <w:tcPr>
                  <w:tcW w:w="417" w:type="pct"/>
                  <w:tcBorders>
                    <w:tl2br w:val="nil"/>
                    <w:tr2bl w:val="nil"/>
                  </w:tcBorders>
                  <w:noWrap w:val="0"/>
                  <w:vAlign w:val="center"/>
                </w:tcPr>
                <w:p w14:paraId="705E9C1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63</w:t>
                  </w:r>
                </w:p>
              </w:tc>
              <w:tc>
                <w:tcPr>
                  <w:tcW w:w="392" w:type="pct"/>
                  <w:tcBorders>
                    <w:tl2br w:val="nil"/>
                    <w:tr2bl w:val="nil"/>
                  </w:tcBorders>
                  <w:noWrap w:val="0"/>
                  <w:vAlign w:val="center"/>
                </w:tcPr>
                <w:p w14:paraId="04724A0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61</w:t>
                  </w:r>
                </w:p>
              </w:tc>
              <w:tc>
                <w:tcPr>
                  <w:tcW w:w="391" w:type="pct"/>
                  <w:tcBorders>
                    <w:tl2br w:val="nil"/>
                    <w:tr2bl w:val="nil"/>
                  </w:tcBorders>
                  <w:noWrap w:val="0"/>
                  <w:vAlign w:val="center"/>
                </w:tcPr>
                <w:p w14:paraId="56274A8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57</w:t>
                  </w:r>
                </w:p>
              </w:tc>
              <w:tc>
                <w:tcPr>
                  <w:tcW w:w="369" w:type="pct"/>
                  <w:tcBorders>
                    <w:tl2br w:val="nil"/>
                    <w:tr2bl w:val="nil"/>
                  </w:tcBorders>
                  <w:noWrap w:val="0"/>
                  <w:vAlign w:val="center"/>
                </w:tcPr>
                <w:p w14:paraId="5D14BC1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c>
                <w:tcPr>
                  <w:tcW w:w="329" w:type="pct"/>
                  <w:tcBorders>
                    <w:tl2br w:val="nil"/>
                    <w:tr2bl w:val="nil"/>
                  </w:tcBorders>
                  <w:noWrap w:val="0"/>
                  <w:vAlign w:val="bottom"/>
                </w:tcPr>
                <w:p w14:paraId="7C56A6D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52</w:t>
                  </w:r>
                </w:p>
              </w:tc>
            </w:tr>
          </w:tbl>
          <w:p w14:paraId="0195B88D">
            <w:pPr>
              <w:shd w:val="clear" w:color="auto" w:fill="auto"/>
              <w:spacing w:line="440" w:lineRule="exact"/>
              <w:ind w:firstLine="480" w:firstLineChars="200"/>
              <w:rPr>
                <w:color w:val="auto"/>
                <w:sz w:val="24"/>
              </w:rPr>
            </w:pPr>
            <w:r>
              <w:rPr>
                <w:color w:val="auto"/>
                <w:sz w:val="24"/>
              </w:rPr>
              <w:t>由于道路施工过程中不同施工阶段所使用施工机械不同，同时不同施工阶段可能出现多台机械同步施工的情形，本次评价根据不同施工阶段的特点，选取有代表性的施工机械，假设施工机械同时作业的场景，预测典型施工机械组合施工时在不同距离处的噪声影响，见表4-</w:t>
            </w:r>
            <w:r>
              <w:rPr>
                <w:rFonts w:hint="eastAsia"/>
                <w:color w:val="auto"/>
                <w:sz w:val="24"/>
                <w:lang w:val="en-US" w:eastAsia="zh-CN"/>
              </w:rPr>
              <w:t>6</w:t>
            </w:r>
            <w:r>
              <w:rPr>
                <w:color w:val="auto"/>
                <w:sz w:val="24"/>
              </w:rPr>
              <w:t>。</w:t>
            </w:r>
          </w:p>
          <w:p w14:paraId="3D24060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2" w:firstLineChars="200"/>
              <w:jc w:val="center"/>
              <w:textAlignment w:val="auto"/>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6</w:t>
            </w:r>
            <w:r>
              <w:rPr>
                <w:rFonts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ascii="Times New Roman" w:hAnsi="Times New Roman" w:eastAsia="宋体" w:cs="Times New Roman"/>
                <w:b/>
                <w:color w:val="auto"/>
                <w:sz w:val="21"/>
                <w:szCs w:val="21"/>
              </w:rPr>
              <w:t xml:space="preserve"> 不同施工阶段噪声预测表         单位：dB(A)</w:t>
            </w:r>
          </w:p>
          <w:tbl>
            <w:tblPr>
              <w:tblStyle w:val="28"/>
              <w:tblW w:w="5000"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829"/>
              <w:gridCol w:w="556"/>
              <w:gridCol w:w="556"/>
              <w:gridCol w:w="556"/>
              <w:gridCol w:w="556"/>
              <w:gridCol w:w="653"/>
              <w:gridCol w:w="653"/>
              <w:gridCol w:w="653"/>
              <w:gridCol w:w="653"/>
              <w:gridCol w:w="653"/>
              <w:gridCol w:w="667"/>
            </w:tblGrid>
            <w:tr w14:paraId="7E01F80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475" w:type="pct"/>
                  <w:vMerge w:val="restart"/>
                  <w:tcBorders>
                    <w:tl2br w:val="nil"/>
                    <w:tr2bl w:val="nil"/>
                  </w:tcBorders>
                  <w:noWrap w:val="0"/>
                  <w:vAlign w:val="center"/>
                </w:tcPr>
                <w:p w14:paraId="4FDAB1FB">
                  <w:pPr>
                    <w:shd w:val="clear" w:color="auto" w:fill="auto"/>
                    <w:tabs>
                      <w:tab w:val="center" w:pos="2520"/>
                    </w:tabs>
                    <w:spacing w:line="360" w:lineRule="exact"/>
                    <w:jc w:val="center"/>
                    <w:rPr>
                      <w:color w:val="auto"/>
                      <w:szCs w:val="21"/>
                    </w:rPr>
                  </w:pPr>
                  <w:r>
                    <w:rPr>
                      <w:color w:val="auto"/>
                      <w:szCs w:val="21"/>
                    </w:rPr>
                    <w:t>施工</w:t>
                  </w:r>
                </w:p>
                <w:p w14:paraId="2B465F78">
                  <w:pPr>
                    <w:shd w:val="clear" w:color="auto" w:fill="auto"/>
                    <w:tabs>
                      <w:tab w:val="center" w:pos="2520"/>
                    </w:tabs>
                    <w:spacing w:line="360" w:lineRule="exact"/>
                    <w:jc w:val="center"/>
                    <w:rPr>
                      <w:color w:val="auto"/>
                      <w:szCs w:val="21"/>
                    </w:rPr>
                  </w:pPr>
                  <w:r>
                    <w:rPr>
                      <w:color w:val="auto"/>
                      <w:szCs w:val="21"/>
                    </w:rPr>
                    <w:t>阶段</w:t>
                  </w:r>
                </w:p>
              </w:tc>
              <w:tc>
                <w:tcPr>
                  <w:tcW w:w="537" w:type="pct"/>
                  <w:vMerge w:val="restart"/>
                  <w:tcBorders>
                    <w:tl2br w:val="nil"/>
                    <w:tr2bl w:val="nil"/>
                  </w:tcBorders>
                  <w:noWrap w:val="0"/>
                  <w:vAlign w:val="center"/>
                </w:tcPr>
                <w:p w14:paraId="249A7D18">
                  <w:pPr>
                    <w:shd w:val="clear" w:color="auto" w:fill="auto"/>
                    <w:tabs>
                      <w:tab w:val="center" w:pos="2520"/>
                    </w:tabs>
                    <w:spacing w:line="360" w:lineRule="exact"/>
                    <w:jc w:val="center"/>
                    <w:rPr>
                      <w:color w:val="auto"/>
                      <w:szCs w:val="21"/>
                    </w:rPr>
                  </w:pPr>
                  <w:r>
                    <w:rPr>
                      <w:color w:val="auto"/>
                      <w:szCs w:val="21"/>
                    </w:rPr>
                    <w:t>机械</w:t>
                  </w:r>
                </w:p>
                <w:p w14:paraId="0093AFAF">
                  <w:pPr>
                    <w:shd w:val="clear" w:color="auto" w:fill="auto"/>
                    <w:tabs>
                      <w:tab w:val="center" w:pos="2520"/>
                    </w:tabs>
                    <w:spacing w:line="360" w:lineRule="exact"/>
                    <w:jc w:val="center"/>
                    <w:rPr>
                      <w:color w:val="auto"/>
                      <w:szCs w:val="21"/>
                    </w:rPr>
                  </w:pPr>
                  <w:r>
                    <w:rPr>
                      <w:color w:val="auto"/>
                      <w:szCs w:val="21"/>
                    </w:rPr>
                    <w:t>类型</w:t>
                  </w:r>
                </w:p>
              </w:tc>
              <w:tc>
                <w:tcPr>
                  <w:tcW w:w="3987" w:type="pct"/>
                  <w:gridSpan w:val="10"/>
                  <w:tcBorders>
                    <w:tl2br w:val="nil"/>
                    <w:tr2bl w:val="nil"/>
                  </w:tcBorders>
                  <w:noWrap w:val="0"/>
                  <w:vAlign w:val="center"/>
                </w:tcPr>
                <w:p w14:paraId="7A05EB9D">
                  <w:pPr>
                    <w:shd w:val="clear" w:color="auto" w:fill="auto"/>
                    <w:tabs>
                      <w:tab w:val="center" w:pos="2520"/>
                    </w:tabs>
                    <w:spacing w:line="360" w:lineRule="exact"/>
                    <w:jc w:val="center"/>
                    <w:rPr>
                      <w:color w:val="auto"/>
                      <w:szCs w:val="21"/>
                    </w:rPr>
                  </w:pPr>
                  <w:r>
                    <w:rPr>
                      <w:color w:val="auto"/>
                      <w:szCs w:val="21"/>
                    </w:rPr>
                    <w:t>距施工现场不同距离处噪声值</w:t>
                  </w:r>
                </w:p>
              </w:tc>
            </w:tr>
            <w:tr w14:paraId="196BE00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475" w:type="pct"/>
                  <w:vMerge w:val="continue"/>
                  <w:tcBorders>
                    <w:tl2br w:val="nil"/>
                    <w:tr2bl w:val="nil"/>
                  </w:tcBorders>
                  <w:noWrap w:val="0"/>
                  <w:vAlign w:val="center"/>
                </w:tcPr>
                <w:p w14:paraId="6653D164">
                  <w:pPr>
                    <w:shd w:val="clear" w:color="auto" w:fill="auto"/>
                    <w:tabs>
                      <w:tab w:val="center" w:pos="2520"/>
                    </w:tabs>
                    <w:spacing w:line="360" w:lineRule="exact"/>
                    <w:jc w:val="center"/>
                    <w:rPr>
                      <w:color w:val="auto"/>
                      <w:szCs w:val="21"/>
                    </w:rPr>
                  </w:pPr>
                </w:p>
              </w:tc>
              <w:tc>
                <w:tcPr>
                  <w:tcW w:w="537" w:type="pct"/>
                  <w:vMerge w:val="continue"/>
                  <w:tcBorders>
                    <w:tl2br w:val="nil"/>
                    <w:tr2bl w:val="nil"/>
                  </w:tcBorders>
                  <w:noWrap w:val="0"/>
                  <w:vAlign w:val="center"/>
                </w:tcPr>
                <w:p w14:paraId="7ADFCCCB">
                  <w:pPr>
                    <w:shd w:val="clear" w:color="auto" w:fill="auto"/>
                    <w:tabs>
                      <w:tab w:val="center" w:pos="2520"/>
                    </w:tabs>
                    <w:spacing w:line="360" w:lineRule="exact"/>
                    <w:jc w:val="center"/>
                    <w:rPr>
                      <w:color w:val="auto"/>
                      <w:szCs w:val="21"/>
                    </w:rPr>
                  </w:pPr>
                </w:p>
              </w:tc>
              <w:tc>
                <w:tcPr>
                  <w:tcW w:w="360" w:type="pct"/>
                  <w:tcBorders>
                    <w:tl2br w:val="nil"/>
                    <w:tr2bl w:val="nil"/>
                  </w:tcBorders>
                  <w:noWrap w:val="0"/>
                  <w:vAlign w:val="center"/>
                </w:tcPr>
                <w:p w14:paraId="0D2E40FD">
                  <w:pPr>
                    <w:shd w:val="clear" w:color="auto" w:fill="auto"/>
                    <w:tabs>
                      <w:tab w:val="center" w:pos="2520"/>
                    </w:tabs>
                    <w:spacing w:line="360" w:lineRule="exact"/>
                    <w:jc w:val="center"/>
                    <w:rPr>
                      <w:color w:val="auto"/>
                      <w:szCs w:val="21"/>
                    </w:rPr>
                  </w:pPr>
                  <w:r>
                    <w:rPr>
                      <w:color w:val="auto"/>
                      <w:szCs w:val="21"/>
                    </w:rPr>
                    <w:t>20m</w:t>
                  </w:r>
                </w:p>
              </w:tc>
              <w:tc>
                <w:tcPr>
                  <w:tcW w:w="360" w:type="pct"/>
                  <w:tcBorders>
                    <w:tl2br w:val="nil"/>
                    <w:tr2bl w:val="nil"/>
                  </w:tcBorders>
                  <w:noWrap w:val="0"/>
                  <w:vAlign w:val="center"/>
                </w:tcPr>
                <w:p w14:paraId="79A5E56C">
                  <w:pPr>
                    <w:shd w:val="clear" w:color="auto" w:fill="auto"/>
                    <w:tabs>
                      <w:tab w:val="center" w:pos="2520"/>
                    </w:tabs>
                    <w:spacing w:line="360" w:lineRule="exact"/>
                    <w:jc w:val="center"/>
                    <w:rPr>
                      <w:color w:val="auto"/>
                      <w:szCs w:val="21"/>
                    </w:rPr>
                  </w:pPr>
                  <w:r>
                    <w:rPr>
                      <w:color w:val="auto"/>
                      <w:szCs w:val="21"/>
                    </w:rPr>
                    <w:t>40m</w:t>
                  </w:r>
                </w:p>
              </w:tc>
              <w:tc>
                <w:tcPr>
                  <w:tcW w:w="360" w:type="pct"/>
                  <w:tcBorders>
                    <w:tl2br w:val="nil"/>
                    <w:tr2bl w:val="nil"/>
                  </w:tcBorders>
                  <w:noWrap w:val="0"/>
                  <w:vAlign w:val="center"/>
                </w:tcPr>
                <w:p w14:paraId="5C7E803D">
                  <w:pPr>
                    <w:shd w:val="clear" w:color="auto" w:fill="auto"/>
                    <w:tabs>
                      <w:tab w:val="center" w:pos="2520"/>
                    </w:tabs>
                    <w:spacing w:line="360" w:lineRule="exact"/>
                    <w:jc w:val="center"/>
                    <w:rPr>
                      <w:color w:val="auto"/>
                      <w:szCs w:val="21"/>
                    </w:rPr>
                  </w:pPr>
                  <w:r>
                    <w:rPr>
                      <w:color w:val="auto"/>
                      <w:szCs w:val="21"/>
                    </w:rPr>
                    <w:t>60m</w:t>
                  </w:r>
                </w:p>
              </w:tc>
              <w:tc>
                <w:tcPr>
                  <w:tcW w:w="360" w:type="pct"/>
                  <w:tcBorders>
                    <w:tl2br w:val="nil"/>
                    <w:tr2bl w:val="nil"/>
                  </w:tcBorders>
                  <w:noWrap w:val="0"/>
                  <w:vAlign w:val="center"/>
                </w:tcPr>
                <w:p w14:paraId="00779265">
                  <w:pPr>
                    <w:shd w:val="clear" w:color="auto" w:fill="auto"/>
                    <w:tabs>
                      <w:tab w:val="center" w:pos="2520"/>
                    </w:tabs>
                    <w:spacing w:line="360" w:lineRule="exact"/>
                    <w:jc w:val="center"/>
                    <w:rPr>
                      <w:color w:val="auto"/>
                      <w:szCs w:val="21"/>
                    </w:rPr>
                  </w:pPr>
                  <w:r>
                    <w:rPr>
                      <w:color w:val="auto"/>
                      <w:szCs w:val="21"/>
                    </w:rPr>
                    <w:t>80m</w:t>
                  </w:r>
                </w:p>
              </w:tc>
              <w:tc>
                <w:tcPr>
                  <w:tcW w:w="423" w:type="pct"/>
                  <w:tcBorders>
                    <w:tl2br w:val="nil"/>
                    <w:tr2bl w:val="nil"/>
                  </w:tcBorders>
                  <w:noWrap w:val="0"/>
                  <w:vAlign w:val="center"/>
                </w:tcPr>
                <w:p w14:paraId="2F891627">
                  <w:pPr>
                    <w:shd w:val="clear" w:color="auto" w:fill="auto"/>
                    <w:tabs>
                      <w:tab w:val="center" w:pos="2520"/>
                    </w:tabs>
                    <w:spacing w:line="360" w:lineRule="exact"/>
                    <w:jc w:val="center"/>
                    <w:rPr>
                      <w:color w:val="auto"/>
                      <w:szCs w:val="21"/>
                    </w:rPr>
                  </w:pPr>
                  <w:r>
                    <w:rPr>
                      <w:color w:val="auto"/>
                      <w:szCs w:val="21"/>
                    </w:rPr>
                    <w:t>100m</w:t>
                  </w:r>
                </w:p>
              </w:tc>
              <w:tc>
                <w:tcPr>
                  <w:tcW w:w="423" w:type="pct"/>
                  <w:tcBorders>
                    <w:tl2br w:val="nil"/>
                    <w:tr2bl w:val="nil"/>
                  </w:tcBorders>
                  <w:noWrap w:val="0"/>
                  <w:vAlign w:val="center"/>
                </w:tcPr>
                <w:p w14:paraId="16FF071D">
                  <w:pPr>
                    <w:shd w:val="clear" w:color="auto" w:fill="auto"/>
                    <w:tabs>
                      <w:tab w:val="center" w:pos="2520"/>
                    </w:tabs>
                    <w:spacing w:line="360" w:lineRule="exact"/>
                    <w:jc w:val="center"/>
                    <w:rPr>
                      <w:color w:val="auto"/>
                      <w:szCs w:val="21"/>
                    </w:rPr>
                  </w:pPr>
                  <w:r>
                    <w:rPr>
                      <w:color w:val="auto"/>
                      <w:szCs w:val="21"/>
                    </w:rPr>
                    <w:t>120m</w:t>
                  </w:r>
                </w:p>
              </w:tc>
              <w:tc>
                <w:tcPr>
                  <w:tcW w:w="423" w:type="pct"/>
                  <w:tcBorders>
                    <w:tl2br w:val="nil"/>
                    <w:tr2bl w:val="nil"/>
                  </w:tcBorders>
                  <w:noWrap w:val="0"/>
                  <w:vAlign w:val="center"/>
                </w:tcPr>
                <w:p w14:paraId="028E6F7B">
                  <w:pPr>
                    <w:shd w:val="clear" w:color="auto" w:fill="auto"/>
                    <w:tabs>
                      <w:tab w:val="center" w:pos="2520"/>
                    </w:tabs>
                    <w:spacing w:line="360" w:lineRule="exact"/>
                    <w:jc w:val="center"/>
                    <w:rPr>
                      <w:color w:val="auto"/>
                      <w:szCs w:val="21"/>
                    </w:rPr>
                  </w:pPr>
                  <w:r>
                    <w:rPr>
                      <w:color w:val="auto"/>
                      <w:szCs w:val="21"/>
                    </w:rPr>
                    <w:t>140m</w:t>
                  </w:r>
                </w:p>
              </w:tc>
              <w:tc>
                <w:tcPr>
                  <w:tcW w:w="423" w:type="pct"/>
                  <w:tcBorders>
                    <w:tl2br w:val="nil"/>
                    <w:tr2bl w:val="nil"/>
                  </w:tcBorders>
                  <w:noWrap w:val="0"/>
                  <w:vAlign w:val="center"/>
                </w:tcPr>
                <w:p w14:paraId="2F1E1C96">
                  <w:pPr>
                    <w:shd w:val="clear" w:color="auto" w:fill="auto"/>
                    <w:tabs>
                      <w:tab w:val="center" w:pos="2520"/>
                    </w:tabs>
                    <w:spacing w:line="360" w:lineRule="exact"/>
                    <w:jc w:val="center"/>
                    <w:rPr>
                      <w:color w:val="auto"/>
                      <w:szCs w:val="21"/>
                    </w:rPr>
                  </w:pPr>
                  <w:r>
                    <w:rPr>
                      <w:color w:val="auto"/>
                      <w:szCs w:val="21"/>
                    </w:rPr>
                    <w:t>160m</w:t>
                  </w:r>
                </w:p>
              </w:tc>
              <w:tc>
                <w:tcPr>
                  <w:tcW w:w="423" w:type="pct"/>
                  <w:tcBorders>
                    <w:tl2br w:val="nil"/>
                    <w:tr2bl w:val="nil"/>
                  </w:tcBorders>
                  <w:noWrap w:val="0"/>
                  <w:vAlign w:val="center"/>
                </w:tcPr>
                <w:p w14:paraId="31497223">
                  <w:pPr>
                    <w:shd w:val="clear" w:color="auto" w:fill="auto"/>
                    <w:tabs>
                      <w:tab w:val="center" w:pos="2520"/>
                    </w:tabs>
                    <w:spacing w:line="360" w:lineRule="exact"/>
                    <w:jc w:val="center"/>
                    <w:rPr>
                      <w:color w:val="auto"/>
                      <w:szCs w:val="21"/>
                    </w:rPr>
                  </w:pPr>
                  <w:r>
                    <w:rPr>
                      <w:color w:val="auto"/>
                      <w:szCs w:val="21"/>
                    </w:rPr>
                    <w:t>180m</w:t>
                  </w:r>
                </w:p>
              </w:tc>
              <w:tc>
                <w:tcPr>
                  <w:tcW w:w="431" w:type="pct"/>
                  <w:tcBorders>
                    <w:tl2br w:val="nil"/>
                    <w:tr2bl w:val="nil"/>
                  </w:tcBorders>
                  <w:noWrap w:val="0"/>
                  <w:vAlign w:val="center"/>
                </w:tcPr>
                <w:p w14:paraId="439F7EBB">
                  <w:pPr>
                    <w:shd w:val="clear" w:color="auto" w:fill="auto"/>
                    <w:tabs>
                      <w:tab w:val="center" w:pos="2520"/>
                    </w:tabs>
                    <w:spacing w:line="360" w:lineRule="exact"/>
                    <w:jc w:val="center"/>
                    <w:rPr>
                      <w:color w:val="auto"/>
                      <w:szCs w:val="21"/>
                    </w:rPr>
                  </w:pPr>
                  <w:r>
                    <w:rPr>
                      <w:color w:val="auto"/>
                      <w:szCs w:val="21"/>
                    </w:rPr>
                    <w:t>200m</w:t>
                  </w:r>
                </w:p>
              </w:tc>
            </w:tr>
            <w:tr w14:paraId="76A3F4F0">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75" w:type="pct"/>
                  <w:vMerge w:val="restart"/>
                  <w:tcBorders>
                    <w:tl2br w:val="nil"/>
                    <w:tr2bl w:val="nil"/>
                  </w:tcBorders>
                  <w:noWrap w:val="0"/>
                  <w:vAlign w:val="center"/>
                </w:tcPr>
                <w:p w14:paraId="3DFB508F">
                  <w:pPr>
                    <w:shd w:val="clear" w:color="auto" w:fill="auto"/>
                    <w:tabs>
                      <w:tab w:val="center" w:pos="2520"/>
                    </w:tabs>
                    <w:spacing w:line="360" w:lineRule="exact"/>
                    <w:jc w:val="center"/>
                    <w:rPr>
                      <w:color w:val="auto"/>
                      <w:szCs w:val="21"/>
                    </w:rPr>
                  </w:pPr>
                  <w:r>
                    <w:rPr>
                      <w:color w:val="auto"/>
                      <w:szCs w:val="21"/>
                    </w:rPr>
                    <w:t>路基</w:t>
                  </w:r>
                </w:p>
              </w:tc>
              <w:tc>
                <w:tcPr>
                  <w:tcW w:w="537" w:type="pct"/>
                  <w:tcBorders>
                    <w:tl2br w:val="nil"/>
                    <w:tr2bl w:val="nil"/>
                  </w:tcBorders>
                  <w:noWrap w:val="0"/>
                  <w:vAlign w:val="center"/>
                </w:tcPr>
                <w:p w14:paraId="04C2F17E">
                  <w:pPr>
                    <w:shd w:val="clear" w:color="auto" w:fill="auto"/>
                    <w:tabs>
                      <w:tab w:val="center" w:pos="2520"/>
                    </w:tabs>
                    <w:spacing w:line="360" w:lineRule="exact"/>
                    <w:jc w:val="center"/>
                    <w:rPr>
                      <w:color w:val="auto"/>
                      <w:szCs w:val="21"/>
                    </w:rPr>
                  </w:pPr>
                  <w:r>
                    <w:rPr>
                      <w:color w:val="auto"/>
                      <w:szCs w:val="21"/>
                    </w:rPr>
                    <w:t>挖掘机</w:t>
                  </w:r>
                </w:p>
              </w:tc>
              <w:tc>
                <w:tcPr>
                  <w:tcW w:w="360" w:type="pct"/>
                  <w:vMerge w:val="restart"/>
                  <w:tcBorders>
                    <w:tl2br w:val="nil"/>
                    <w:tr2bl w:val="nil"/>
                  </w:tcBorders>
                  <w:noWrap w:val="0"/>
                  <w:vAlign w:val="center"/>
                </w:tcPr>
                <w:p w14:paraId="43CB1190">
                  <w:pPr>
                    <w:shd w:val="clear" w:color="auto" w:fill="auto"/>
                    <w:tabs>
                      <w:tab w:val="center" w:pos="2520"/>
                    </w:tabs>
                    <w:spacing w:line="360" w:lineRule="exact"/>
                    <w:jc w:val="center"/>
                    <w:rPr>
                      <w:color w:val="auto"/>
                      <w:szCs w:val="21"/>
                    </w:rPr>
                  </w:pPr>
                  <w:r>
                    <w:rPr>
                      <w:color w:val="auto"/>
                      <w:szCs w:val="21"/>
                    </w:rPr>
                    <w:t>86.3</w:t>
                  </w:r>
                </w:p>
              </w:tc>
              <w:tc>
                <w:tcPr>
                  <w:tcW w:w="360" w:type="pct"/>
                  <w:vMerge w:val="restart"/>
                  <w:tcBorders>
                    <w:tl2br w:val="nil"/>
                    <w:tr2bl w:val="nil"/>
                  </w:tcBorders>
                  <w:noWrap w:val="0"/>
                  <w:vAlign w:val="center"/>
                </w:tcPr>
                <w:p w14:paraId="4F6A4344">
                  <w:pPr>
                    <w:shd w:val="clear" w:color="auto" w:fill="auto"/>
                    <w:tabs>
                      <w:tab w:val="center" w:pos="2520"/>
                    </w:tabs>
                    <w:spacing w:line="360" w:lineRule="exact"/>
                    <w:jc w:val="center"/>
                    <w:rPr>
                      <w:color w:val="auto"/>
                      <w:szCs w:val="21"/>
                    </w:rPr>
                  </w:pPr>
                  <w:r>
                    <w:rPr>
                      <w:color w:val="auto"/>
                      <w:szCs w:val="21"/>
                    </w:rPr>
                    <w:t>80.3</w:t>
                  </w:r>
                </w:p>
              </w:tc>
              <w:tc>
                <w:tcPr>
                  <w:tcW w:w="360" w:type="pct"/>
                  <w:vMerge w:val="restart"/>
                  <w:tcBorders>
                    <w:tl2br w:val="nil"/>
                    <w:tr2bl w:val="nil"/>
                  </w:tcBorders>
                  <w:noWrap w:val="0"/>
                  <w:vAlign w:val="center"/>
                </w:tcPr>
                <w:p w14:paraId="1BAC310E">
                  <w:pPr>
                    <w:shd w:val="clear" w:color="auto" w:fill="auto"/>
                    <w:tabs>
                      <w:tab w:val="center" w:pos="2520"/>
                    </w:tabs>
                    <w:spacing w:line="360" w:lineRule="exact"/>
                    <w:jc w:val="center"/>
                    <w:rPr>
                      <w:color w:val="auto"/>
                      <w:szCs w:val="21"/>
                    </w:rPr>
                  </w:pPr>
                  <w:r>
                    <w:rPr>
                      <w:color w:val="auto"/>
                      <w:szCs w:val="21"/>
                    </w:rPr>
                    <w:t>76.7</w:t>
                  </w:r>
                </w:p>
              </w:tc>
              <w:tc>
                <w:tcPr>
                  <w:tcW w:w="360" w:type="pct"/>
                  <w:vMerge w:val="restart"/>
                  <w:tcBorders>
                    <w:tl2br w:val="nil"/>
                    <w:tr2bl w:val="nil"/>
                  </w:tcBorders>
                  <w:noWrap w:val="0"/>
                  <w:vAlign w:val="center"/>
                </w:tcPr>
                <w:p w14:paraId="4AA95139">
                  <w:pPr>
                    <w:shd w:val="clear" w:color="auto" w:fill="auto"/>
                    <w:tabs>
                      <w:tab w:val="center" w:pos="2520"/>
                    </w:tabs>
                    <w:spacing w:line="360" w:lineRule="exact"/>
                    <w:jc w:val="center"/>
                    <w:rPr>
                      <w:color w:val="auto"/>
                      <w:szCs w:val="21"/>
                    </w:rPr>
                  </w:pPr>
                  <w:r>
                    <w:rPr>
                      <w:color w:val="auto"/>
                      <w:szCs w:val="21"/>
                    </w:rPr>
                    <w:t>74.2</w:t>
                  </w:r>
                </w:p>
              </w:tc>
              <w:tc>
                <w:tcPr>
                  <w:tcW w:w="423" w:type="pct"/>
                  <w:vMerge w:val="restart"/>
                  <w:tcBorders>
                    <w:tl2br w:val="nil"/>
                    <w:tr2bl w:val="nil"/>
                  </w:tcBorders>
                  <w:noWrap w:val="0"/>
                  <w:vAlign w:val="center"/>
                </w:tcPr>
                <w:p w14:paraId="17581455">
                  <w:pPr>
                    <w:shd w:val="clear" w:color="auto" w:fill="auto"/>
                    <w:tabs>
                      <w:tab w:val="center" w:pos="2520"/>
                    </w:tabs>
                    <w:spacing w:line="360" w:lineRule="exact"/>
                    <w:jc w:val="center"/>
                    <w:rPr>
                      <w:color w:val="auto"/>
                      <w:szCs w:val="21"/>
                    </w:rPr>
                  </w:pPr>
                  <w:r>
                    <w:rPr>
                      <w:color w:val="auto"/>
                      <w:szCs w:val="21"/>
                    </w:rPr>
                    <w:t>72.3</w:t>
                  </w:r>
                </w:p>
              </w:tc>
              <w:tc>
                <w:tcPr>
                  <w:tcW w:w="423" w:type="pct"/>
                  <w:vMerge w:val="restart"/>
                  <w:tcBorders>
                    <w:tl2br w:val="nil"/>
                    <w:tr2bl w:val="nil"/>
                  </w:tcBorders>
                  <w:noWrap w:val="0"/>
                  <w:vAlign w:val="center"/>
                </w:tcPr>
                <w:p w14:paraId="349427C6">
                  <w:pPr>
                    <w:shd w:val="clear" w:color="auto" w:fill="auto"/>
                    <w:tabs>
                      <w:tab w:val="center" w:pos="2520"/>
                    </w:tabs>
                    <w:spacing w:line="360" w:lineRule="exact"/>
                    <w:jc w:val="center"/>
                    <w:rPr>
                      <w:color w:val="auto"/>
                      <w:szCs w:val="21"/>
                    </w:rPr>
                  </w:pPr>
                  <w:r>
                    <w:rPr>
                      <w:color w:val="auto"/>
                      <w:szCs w:val="21"/>
                    </w:rPr>
                    <w:t>70.7</w:t>
                  </w:r>
                </w:p>
              </w:tc>
              <w:tc>
                <w:tcPr>
                  <w:tcW w:w="423" w:type="pct"/>
                  <w:vMerge w:val="restart"/>
                  <w:tcBorders>
                    <w:tl2br w:val="nil"/>
                    <w:tr2bl w:val="nil"/>
                  </w:tcBorders>
                  <w:noWrap w:val="0"/>
                  <w:vAlign w:val="center"/>
                </w:tcPr>
                <w:p w14:paraId="2C2CC4B3">
                  <w:pPr>
                    <w:shd w:val="clear" w:color="auto" w:fill="auto"/>
                    <w:tabs>
                      <w:tab w:val="center" w:pos="2520"/>
                    </w:tabs>
                    <w:spacing w:line="360" w:lineRule="exact"/>
                    <w:jc w:val="center"/>
                    <w:rPr>
                      <w:color w:val="auto"/>
                      <w:szCs w:val="21"/>
                    </w:rPr>
                  </w:pPr>
                  <w:r>
                    <w:rPr>
                      <w:color w:val="auto"/>
                      <w:szCs w:val="21"/>
                    </w:rPr>
                    <w:t>69.4</w:t>
                  </w:r>
                </w:p>
              </w:tc>
              <w:tc>
                <w:tcPr>
                  <w:tcW w:w="423" w:type="pct"/>
                  <w:vMerge w:val="restart"/>
                  <w:tcBorders>
                    <w:tl2br w:val="nil"/>
                    <w:tr2bl w:val="nil"/>
                  </w:tcBorders>
                  <w:noWrap w:val="0"/>
                  <w:vAlign w:val="center"/>
                </w:tcPr>
                <w:p w14:paraId="1493F78A">
                  <w:pPr>
                    <w:shd w:val="clear" w:color="auto" w:fill="auto"/>
                    <w:tabs>
                      <w:tab w:val="center" w:pos="2520"/>
                    </w:tabs>
                    <w:spacing w:line="360" w:lineRule="exact"/>
                    <w:jc w:val="center"/>
                    <w:rPr>
                      <w:color w:val="auto"/>
                      <w:szCs w:val="21"/>
                    </w:rPr>
                  </w:pPr>
                  <w:r>
                    <w:rPr>
                      <w:color w:val="auto"/>
                      <w:szCs w:val="21"/>
                    </w:rPr>
                    <w:t>68.2</w:t>
                  </w:r>
                </w:p>
              </w:tc>
              <w:tc>
                <w:tcPr>
                  <w:tcW w:w="423" w:type="pct"/>
                  <w:vMerge w:val="restart"/>
                  <w:tcBorders>
                    <w:tl2br w:val="nil"/>
                    <w:tr2bl w:val="nil"/>
                  </w:tcBorders>
                  <w:noWrap w:val="0"/>
                  <w:vAlign w:val="center"/>
                </w:tcPr>
                <w:p w14:paraId="1B7DBC81">
                  <w:pPr>
                    <w:shd w:val="clear" w:color="auto" w:fill="auto"/>
                    <w:tabs>
                      <w:tab w:val="center" w:pos="2520"/>
                    </w:tabs>
                    <w:spacing w:line="360" w:lineRule="exact"/>
                    <w:jc w:val="center"/>
                    <w:rPr>
                      <w:color w:val="auto"/>
                      <w:szCs w:val="21"/>
                    </w:rPr>
                  </w:pPr>
                  <w:r>
                    <w:rPr>
                      <w:color w:val="auto"/>
                      <w:szCs w:val="21"/>
                    </w:rPr>
                    <w:t>67.2</w:t>
                  </w:r>
                </w:p>
              </w:tc>
              <w:tc>
                <w:tcPr>
                  <w:tcW w:w="431" w:type="pct"/>
                  <w:vMerge w:val="restart"/>
                  <w:tcBorders>
                    <w:tl2br w:val="nil"/>
                    <w:tr2bl w:val="nil"/>
                  </w:tcBorders>
                  <w:noWrap w:val="0"/>
                  <w:vAlign w:val="center"/>
                </w:tcPr>
                <w:p w14:paraId="04CFC952">
                  <w:pPr>
                    <w:shd w:val="clear" w:color="auto" w:fill="auto"/>
                    <w:tabs>
                      <w:tab w:val="center" w:pos="2520"/>
                    </w:tabs>
                    <w:spacing w:line="360" w:lineRule="exact"/>
                    <w:jc w:val="center"/>
                    <w:rPr>
                      <w:color w:val="auto"/>
                      <w:szCs w:val="21"/>
                    </w:rPr>
                  </w:pPr>
                  <w:r>
                    <w:rPr>
                      <w:color w:val="auto"/>
                      <w:szCs w:val="21"/>
                    </w:rPr>
                    <w:t>66.3</w:t>
                  </w:r>
                </w:p>
              </w:tc>
            </w:tr>
            <w:tr w14:paraId="2CB196D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75" w:type="pct"/>
                  <w:vMerge w:val="continue"/>
                  <w:tcBorders>
                    <w:tl2br w:val="nil"/>
                    <w:tr2bl w:val="nil"/>
                  </w:tcBorders>
                  <w:noWrap w:val="0"/>
                  <w:vAlign w:val="center"/>
                </w:tcPr>
                <w:p w14:paraId="06DA97F4">
                  <w:pPr>
                    <w:shd w:val="clear" w:color="auto" w:fill="auto"/>
                    <w:tabs>
                      <w:tab w:val="center" w:pos="2520"/>
                    </w:tabs>
                    <w:spacing w:line="360" w:lineRule="exact"/>
                    <w:jc w:val="center"/>
                    <w:rPr>
                      <w:color w:val="auto"/>
                      <w:szCs w:val="21"/>
                    </w:rPr>
                  </w:pPr>
                </w:p>
              </w:tc>
              <w:tc>
                <w:tcPr>
                  <w:tcW w:w="537" w:type="pct"/>
                  <w:tcBorders>
                    <w:tl2br w:val="nil"/>
                    <w:tr2bl w:val="nil"/>
                  </w:tcBorders>
                  <w:noWrap w:val="0"/>
                  <w:vAlign w:val="center"/>
                </w:tcPr>
                <w:p w14:paraId="47E1EBA1">
                  <w:pPr>
                    <w:shd w:val="clear" w:color="auto" w:fill="auto"/>
                    <w:tabs>
                      <w:tab w:val="center" w:pos="2520"/>
                    </w:tabs>
                    <w:spacing w:line="360" w:lineRule="exact"/>
                    <w:jc w:val="center"/>
                    <w:rPr>
                      <w:color w:val="auto"/>
                      <w:szCs w:val="21"/>
                    </w:rPr>
                  </w:pPr>
                  <w:r>
                    <w:rPr>
                      <w:color w:val="auto"/>
                      <w:szCs w:val="21"/>
                    </w:rPr>
                    <w:t>装载机</w:t>
                  </w:r>
                </w:p>
              </w:tc>
              <w:tc>
                <w:tcPr>
                  <w:tcW w:w="360" w:type="pct"/>
                  <w:vMerge w:val="continue"/>
                  <w:tcBorders>
                    <w:tl2br w:val="nil"/>
                    <w:tr2bl w:val="nil"/>
                  </w:tcBorders>
                  <w:noWrap w:val="0"/>
                  <w:vAlign w:val="center"/>
                </w:tcPr>
                <w:p w14:paraId="67FCFBC3">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2DCD233D">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65A37E25">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09CD18C3">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465E97B8">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6BE03C4B">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6B10B90D">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4A8A4BD9">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1745CE82">
                  <w:pPr>
                    <w:shd w:val="clear" w:color="auto" w:fill="auto"/>
                    <w:tabs>
                      <w:tab w:val="center" w:pos="2520"/>
                    </w:tabs>
                    <w:spacing w:line="360" w:lineRule="exact"/>
                    <w:jc w:val="center"/>
                    <w:rPr>
                      <w:color w:val="auto"/>
                      <w:szCs w:val="21"/>
                    </w:rPr>
                  </w:pPr>
                </w:p>
              </w:tc>
              <w:tc>
                <w:tcPr>
                  <w:tcW w:w="431" w:type="pct"/>
                  <w:vMerge w:val="continue"/>
                  <w:tcBorders>
                    <w:tl2br w:val="nil"/>
                    <w:tr2bl w:val="nil"/>
                  </w:tcBorders>
                  <w:noWrap w:val="0"/>
                  <w:vAlign w:val="center"/>
                </w:tcPr>
                <w:p w14:paraId="2406312C">
                  <w:pPr>
                    <w:shd w:val="clear" w:color="auto" w:fill="auto"/>
                    <w:tabs>
                      <w:tab w:val="center" w:pos="2520"/>
                    </w:tabs>
                    <w:spacing w:line="360" w:lineRule="exact"/>
                    <w:jc w:val="center"/>
                    <w:rPr>
                      <w:color w:val="auto"/>
                      <w:szCs w:val="21"/>
                    </w:rPr>
                  </w:pPr>
                </w:p>
              </w:tc>
            </w:tr>
            <w:tr w14:paraId="2D959C4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75" w:type="pct"/>
                  <w:vMerge w:val="continue"/>
                  <w:tcBorders>
                    <w:tl2br w:val="nil"/>
                    <w:tr2bl w:val="nil"/>
                  </w:tcBorders>
                  <w:noWrap w:val="0"/>
                  <w:vAlign w:val="center"/>
                </w:tcPr>
                <w:p w14:paraId="72BA4784">
                  <w:pPr>
                    <w:shd w:val="clear" w:color="auto" w:fill="auto"/>
                    <w:tabs>
                      <w:tab w:val="center" w:pos="2520"/>
                    </w:tabs>
                    <w:spacing w:line="360" w:lineRule="exact"/>
                    <w:jc w:val="center"/>
                    <w:rPr>
                      <w:color w:val="auto"/>
                      <w:szCs w:val="21"/>
                    </w:rPr>
                  </w:pPr>
                </w:p>
              </w:tc>
              <w:tc>
                <w:tcPr>
                  <w:tcW w:w="537" w:type="pct"/>
                  <w:tcBorders>
                    <w:tl2br w:val="nil"/>
                    <w:tr2bl w:val="nil"/>
                  </w:tcBorders>
                  <w:noWrap w:val="0"/>
                  <w:vAlign w:val="center"/>
                </w:tcPr>
                <w:p w14:paraId="5FC36D26">
                  <w:pPr>
                    <w:shd w:val="clear" w:color="auto" w:fill="auto"/>
                    <w:tabs>
                      <w:tab w:val="center" w:pos="2520"/>
                    </w:tabs>
                    <w:spacing w:line="360" w:lineRule="exact"/>
                    <w:jc w:val="center"/>
                    <w:rPr>
                      <w:color w:val="auto"/>
                      <w:szCs w:val="21"/>
                    </w:rPr>
                  </w:pPr>
                  <w:r>
                    <w:rPr>
                      <w:color w:val="auto"/>
                      <w:szCs w:val="21"/>
                    </w:rPr>
                    <w:t>推土机</w:t>
                  </w:r>
                </w:p>
              </w:tc>
              <w:tc>
                <w:tcPr>
                  <w:tcW w:w="360" w:type="pct"/>
                  <w:vMerge w:val="continue"/>
                  <w:tcBorders>
                    <w:tl2br w:val="nil"/>
                    <w:tr2bl w:val="nil"/>
                  </w:tcBorders>
                  <w:noWrap w:val="0"/>
                  <w:vAlign w:val="center"/>
                </w:tcPr>
                <w:p w14:paraId="15C9BF04">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5E0C1F36">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565310DC">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01BDAE23">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2B82507B">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52A01108">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298F26C8">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7E9164AB">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01018C57">
                  <w:pPr>
                    <w:shd w:val="clear" w:color="auto" w:fill="auto"/>
                    <w:tabs>
                      <w:tab w:val="center" w:pos="2520"/>
                    </w:tabs>
                    <w:spacing w:line="360" w:lineRule="exact"/>
                    <w:jc w:val="center"/>
                    <w:rPr>
                      <w:color w:val="auto"/>
                      <w:szCs w:val="21"/>
                    </w:rPr>
                  </w:pPr>
                </w:p>
              </w:tc>
              <w:tc>
                <w:tcPr>
                  <w:tcW w:w="431" w:type="pct"/>
                  <w:vMerge w:val="continue"/>
                  <w:tcBorders>
                    <w:tl2br w:val="nil"/>
                    <w:tr2bl w:val="nil"/>
                  </w:tcBorders>
                  <w:noWrap w:val="0"/>
                  <w:vAlign w:val="center"/>
                </w:tcPr>
                <w:p w14:paraId="3676EB85">
                  <w:pPr>
                    <w:shd w:val="clear" w:color="auto" w:fill="auto"/>
                    <w:tabs>
                      <w:tab w:val="center" w:pos="2520"/>
                    </w:tabs>
                    <w:spacing w:line="360" w:lineRule="exact"/>
                    <w:jc w:val="center"/>
                    <w:rPr>
                      <w:color w:val="auto"/>
                      <w:szCs w:val="21"/>
                    </w:rPr>
                  </w:pPr>
                </w:p>
              </w:tc>
            </w:tr>
            <w:tr w14:paraId="69C5C77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75" w:type="pct"/>
                  <w:vMerge w:val="continue"/>
                  <w:tcBorders>
                    <w:tl2br w:val="nil"/>
                    <w:tr2bl w:val="nil"/>
                  </w:tcBorders>
                  <w:noWrap w:val="0"/>
                  <w:vAlign w:val="center"/>
                </w:tcPr>
                <w:p w14:paraId="031DEA14">
                  <w:pPr>
                    <w:shd w:val="clear" w:color="auto" w:fill="auto"/>
                    <w:tabs>
                      <w:tab w:val="center" w:pos="2520"/>
                    </w:tabs>
                    <w:spacing w:line="360" w:lineRule="exact"/>
                    <w:jc w:val="center"/>
                    <w:rPr>
                      <w:color w:val="auto"/>
                      <w:szCs w:val="21"/>
                    </w:rPr>
                  </w:pPr>
                </w:p>
              </w:tc>
              <w:tc>
                <w:tcPr>
                  <w:tcW w:w="537" w:type="pct"/>
                  <w:tcBorders>
                    <w:tl2br w:val="nil"/>
                    <w:tr2bl w:val="nil"/>
                  </w:tcBorders>
                  <w:noWrap w:val="0"/>
                  <w:vAlign w:val="center"/>
                </w:tcPr>
                <w:p w14:paraId="6E70AA4C">
                  <w:pPr>
                    <w:shd w:val="clear" w:color="auto" w:fill="auto"/>
                    <w:tabs>
                      <w:tab w:val="center" w:pos="2520"/>
                    </w:tabs>
                    <w:spacing w:line="360" w:lineRule="exact"/>
                    <w:jc w:val="center"/>
                    <w:rPr>
                      <w:color w:val="auto"/>
                      <w:szCs w:val="21"/>
                    </w:rPr>
                  </w:pPr>
                  <w:r>
                    <w:rPr>
                      <w:color w:val="auto"/>
                      <w:szCs w:val="21"/>
                    </w:rPr>
                    <w:t>压路机</w:t>
                  </w:r>
                </w:p>
              </w:tc>
              <w:tc>
                <w:tcPr>
                  <w:tcW w:w="360" w:type="pct"/>
                  <w:vMerge w:val="continue"/>
                  <w:tcBorders>
                    <w:tl2br w:val="nil"/>
                    <w:tr2bl w:val="nil"/>
                  </w:tcBorders>
                  <w:noWrap w:val="0"/>
                  <w:vAlign w:val="center"/>
                </w:tcPr>
                <w:p w14:paraId="1565FBC0">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3CF4F553">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34021A62">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5631FDF5">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4C2C7D32">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3AF80532">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37E0F75C">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435BAF0F">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41A40125">
                  <w:pPr>
                    <w:shd w:val="clear" w:color="auto" w:fill="auto"/>
                    <w:tabs>
                      <w:tab w:val="center" w:pos="2520"/>
                    </w:tabs>
                    <w:spacing w:line="360" w:lineRule="exact"/>
                    <w:jc w:val="center"/>
                    <w:rPr>
                      <w:color w:val="auto"/>
                      <w:szCs w:val="21"/>
                    </w:rPr>
                  </w:pPr>
                </w:p>
              </w:tc>
              <w:tc>
                <w:tcPr>
                  <w:tcW w:w="431" w:type="pct"/>
                  <w:vMerge w:val="continue"/>
                  <w:tcBorders>
                    <w:tl2br w:val="nil"/>
                    <w:tr2bl w:val="nil"/>
                  </w:tcBorders>
                  <w:noWrap w:val="0"/>
                  <w:vAlign w:val="center"/>
                </w:tcPr>
                <w:p w14:paraId="0F93F796">
                  <w:pPr>
                    <w:shd w:val="clear" w:color="auto" w:fill="auto"/>
                    <w:tabs>
                      <w:tab w:val="center" w:pos="2520"/>
                    </w:tabs>
                    <w:spacing w:line="360" w:lineRule="exact"/>
                    <w:jc w:val="center"/>
                    <w:rPr>
                      <w:color w:val="auto"/>
                      <w:szCs w:val="21"/>
                    </w:rPr>
                  </w:pPr>
                </w:p>
              </w:tc>
            </w:tr>
            <w:tr w14:paraId="16F1A5E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75" w:type="pct"/>
                  <w:vMerge w:val="continue"/>
                  <w:tcBorders>
                    <w:tl2br w:val="nil"/>
                    <w:tr2bl w:val="nil"/>
                  </w:tcBorders>
                  <w:noWrap w:val="0"/>
                  <w:vAlign w:val="center"/>
                </w:tcPr>
                <w:p w14:paraId="6BBCB048">
                  <w:pPr>
                    <w:shd w:val="clear" w:color="auto" w:fill="auto"/>
                    <w:tabs>
                      <w:tab w:val="center" w:pos="2520"/>
                    </w:tabs>
                    <w:spacing w:line="360" w:lineRule="exact"/>
                    <w:jc w:val="center"/>
                    <w:rPr>
                      <w:color w:val="auto"/>
                      <w:szCs w:val="21"/>
                    </w:rPr>
                  </w:pPr>
                </w:p>
              </w:tc>
              <w:tc>
                <w:tcPr>
                  <w:tcW w:w="537" w:type="pct"/>
                  <w:tcBorders>
                    <w:tl2br w:val="nil"/>
                    <w:tr2bl w:val="nil"/>
                  </w:tcBorders>
                  <w:noWrap w:val="0"/>
                  <w:vAlign w:val="center"/>
                </w:tcPr>
                <w:p w14:paraId="3EB5AEBB">
                  <w:pPr>
                    <w:shd w:val="clear" w:color="auto" w:fill="auto"/>
                    <w:tabs>
                      <w:tab w:val="center" w:pos="2520"/>
                    </w:tabs>
                    <w:spacing w:line="360" w:lineRule="exact"/>
                    <w:jc w:val="center"/>
                    <w:rPr>
                      <w:color w:val="auto"/>
                      <w:szCs w:val="21"/>
                    </w:rPr>
                  </w:pPr>
                  <w:r>
                    <w:rPr>
                      <w:color w:val="auto"/>
                      <w:szCs w:val="21"/>
                    </w:rPr>
                    <w:t>重型车</w:t>
                  </w:r>
                </w:p>
              </w:tc>
              <w:tc>
                <w:tcPr>
                  <w:tcW w:w="360" w:type="pct"/>
                  <w:vMerge w:val="continue"/>
                  <w:tcBorders>
                    <w:tl2br w:val="nil"/>
                    <w:tr2bl w:val="nil"/>
                  </w:tcBorders>
                  <w:noWrap w:val="0"/>
                  <w:vAlign w:val="center"/>
                </w:tcPr>
                <w:p w14:paraId="3DF98F17">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6EF9FDC2">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3A06603D">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10946A4A">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5BB7E866">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58EBB634">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083AD716">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16A0D53E">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0A33DB29">
                  <w:pPr>
                    <w:shd w:val="clear" w:color="auto" w:fill="auto"/>
                    <w:tabs>
                      <w:tab w:val="center" w:pos="2520"/>
                    </w:tabs>
                    <w:spacing w:line="360" w:lineRule="exact"/>
                    <w:jc w:val="center"/>
                    <w:rPr>
                      <w:color w:val="auto"/>
                      <w:szCs w:val="21"/>
                    </w:rPr>
                  </w:pPr>
                </w:p>
              </w:tc>
              <w:tc>
                <w:tcPr>
                  <w:tcW w:w="431" w:type="pct"/>
                  <w:vMerge w:val="continue"/>
                  <w:tcBorders>
                    <w:tl2br w:val="nil"/>
                    <w:tr2bl w:val="nil"/>
                  </w:tcBorders>
                  <w:noWrap w:val="0"/>
                  <w:vAlign w:val="center"/>
                </w:tcPr>
                <w:p w14:paraId="5F9F50DC">
                  <w:pPr>
                    <w:shd w:val="clear" w:color="auto" w:fill="auto"/>
                    <w:tabs>
                      <w:tab w:val="center" w:pos="2520"/>
                    </w:tabs>
                    <w:spacing w:line="360" w:lineRule="exact"/>
                    <w:jc w:val="center"/>
                    <w:rPr>
                      <w:color w:val="auto"/>
                      <w:szCs w:val="21"/>
                    </w:rPr>
                  </w:pPr>
                </w:p>
              </w:tc>
            </w:tr>
            <w:tr w14:paraId="06D57D24">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75" w:type="pct"/>
                  <w:vMerge w:val="restart"/>
                  <w:tcBorders>
                    <w:tl2br w:val="nil"/>
                    <w:tr2bl w:val="nil"/>
                  </w:tcBorders>
                  <w:noWrap w:val="0"/>
                  <w:vAlign w:val="center"/>
                </w:tcPr>
                <w:p w14:paraId="5B1FF019">
                  <w:pPr>
                    <w:shd w:val="clear" w:color="auto" w:fill="auto"/>
                    <w:tabs>
                      <w:tab w:val="center" w:pos="2520"/>
                    </w:tabs>
                    <w:spacing w:line="360" w:lineRule="exact"/>
                    <w:jc w:val="center"/>
                    <w:rPr>
                      <w:color w:val="auto"/>
                      <w:szCs w:val="21"/>
                    </w:rPr>
                  </w:pPr>
                  <w:r>
                    <w:rPr>
                      <w:color w:val="auto"/>
                      <w:szCs w:val="21"/>
                    </w:rPr>
                    <w:t>路面</w:t>
                  </w:r>
                </w:p>
              </w:tc>
              <w:tc>
                <w:tcPr>
                  <w:tcW w:w="537" w:type="pct"/>
                  <w:tcBorders>
                    <w:tl2br w:val="nil"/>
                    <w:tr2bl w:val="nil"/>
                  </w:tcBorders>
                  <w:noWrap w:val="0"/>
                  <w:vAlign w:val="center"/>
                </w:tcPr>
                <w:p w14:paraId="7D74DE15">
                  <w:pPr>
                    <w:shd w:val="clear" w:color="auto" w:fill="auto"/>
                    <w:tabs>
                      <w:tab w:val="center" w:pos="2520"/>
                    </w:tabs>
                    <w:spacing w:line="360" w:lineRule="exact"/>
                    <w:jc w:val="center"/>
                    <w:rPr>
                      <w:color w:val="auto"/>
                      <w:szCs w:val="21"/>
                    </w:rPr>
                  </w:pPr>
                  <w:r>
                    <w:rPr>
                      <w:color w:val="auto"/>
                      <w:szCs w:val="21"/>
                    </w:rPr>
                    <w:t>摊铺机</w:t>
                  </w:r>
                </w:p>
              </w:tc>
              <w:tc>
                <w:tcPr>
                  <w:tcW w:w="360" w:type="pct"/>
                  <w:vMerge w:val="restart"/>
                  <w:tcBorders>
                    <w:tl2br w:val="nil"/>
                    <w:tr2bl w:val="nil"/>
                  </w:tcBorders>
                  <w:noWrap w:val="0"/>
                  <w:vAlign w:val="center"/>
                </w:tcPr>
                <w:p w14:paraId="059BCDEF">
                  <w:pPr>
                    <w:shd w:val="clear" w:color="auto" w:fill="auto"/>
                    <w:tabs>
                      <w:tab w:val="center" w:pos="2520"/>
                    </w:tabs>
                    <w:spacing w:line="360" w:lineRule="exact"/>
                    <w:jc w:val="center"/>
                    <w:rPr>
                      <w:color w:val="auto"/>
                      <w:szCs w:val="21"/>
                    </w:rPr>
                  </w:pPr>
                  <w:r>
                    <w:rPr>
                      <w:color w:val="auto"/>
                      <w:szCs w:val="21"/>
                    </w:rPr>
                    <w:t>79.7</w:t>
                  </w:r>
                </w:p>
              </w:tc>
              <w:tc>
                <w:tcPr>
                  <w:tcW w:w="360" w:type="pct"/>
                  <w:vMerge w:val="restart"/>
                  <w:tcBorders>
                    <w:tl2br w:val="nil"/>
                    <w:tr2bl w:val="nil"/>
                  </w:tcBorders>
                  <w:noWrap w:val="0"/>
                  <w:vAlign w:val="center"/>
                </w:tcPr>
                <w:p w14:paraId="301B07A4">
                  <w:pPr>
                    <w:shd w:val="clear" w:color="auto" w:fill="auto"/>
                    <w:tabs>
                      <w:tab w:val="center" w:pos="2520"/>
                    </w:tabs>
                    <w:spacing w:line="360" w:lineRule="exact"/>
                    <w:jc w:val="center"/>
                    <w:rPr>
                      <w:color w:val="auto"/>
                      <w:szCs w:val="21"/>
                    </w:rPr>
                  </w:pPr>
                  <w:r>
                    <w:rPr>
                      <w:color w:val="auto"/>
                      <w:szCs w:val="21"/>
                    </w:rPr>
                    <w:t>73.7</w:t>
                  </w:r>
                </w:p>
              </w:tc>
              <w:tc>
                <w:tcPr>
                  <w:tcW w:w="360" w:type="pct"/>
                  <w:vMerge w:val="restart"/>
                  <w:tcBorders>
                    <w:tl2br w:val="nil"/>
                    <w:tr2bl w:val="nil"/>
                  </w:tcBorders>
                  <w:noWrap w:val="0"/>
                  <w:vAlign w:val="center"/>
                </w:tcPr>
                <w:p w14:paraId="26DA3BAA">
                  <w:pPr>
                    <w:shd w:val="clear" w:color="auto" w:fill="auto"/>
                    <w:tabs>
                      <w:tab w:val="center" w:pos="2520"/>
                    </w:tabs>
                    <w:spacing w:line="360" w:lineRule="exact"/>
                    <w:jc w:val="center"/>
                    <w:rPr>
                      <w:color w:val="auto"/>
                      <w:szCs w:val="21"/>
                    </w:rPr>
                  </w:pPr>
                  <w:r>
                    <w:rPr>
                      <w:color w:val="auto"/>
                      <w:szCs w:val="21"/>
                    </w:rPr>
                    <w:t>70.2</w:t>
                  </w:r>
                </w:p>
              </w:tc>
              <w:tc>
                <w:tcPr>
                  <w:tcW w:w="360" w:type="pct"/>
                  <w:vMerge w:val="restart"/>
                  <w:tcBorders>
                    <w:tl2br w:val="nil"/>
                    <w:tr2bl w:val="nil"/>
                  </w:tcBorders>
                  <w:noWrap w:val="0"/>
                  <w:vAlign w:val="center"/>
                </w:tcPr>
                <w:p w14:paraId="7CAF57E6">
                  <w:pPr>
                    <w:shd w:val="clear" w:color="auto" w:fill="auto"/>
                    <w:tabs>
                      <w:tab w:val="center" w:pos="2520"/>
                    </w:tabs>
                    <w:spacing w:line="360" w:lineRule="exact"/>
                    <w:jc w:val="center"/>
                    <w:rPr>
                      <w:color w:val="auto"/>
                      <w:szCs w:val="21"/>
                    </w:rPr>
                  </w:pPr>
                  <w:r>
                    <w:rPr>
                      <w:color w:val="auto"/>
                      <w:szCs w:val="21"/>
                    </w:rPr>
                    <w:t>67.7</w:t>
                  </w:r>
                </w:p>
              </w:tc>
              <w:tc>
                <w:tcPr>
                  <w:tcW w:w="423" w:type="pct"/>
                  <w:vMerge w:val="restart"/>
                  <w:tcBorders>
                    <w:tl2br w:val="nil"/>
                    <w:tr2bl w:val="nil"/>
                  </w:tcBorders>
                  <w:noWrap w:val="0"/>
                  <w:vAlign w:val="center"/>
                </w:tcPr>
                <w:p w14:paraId="0C187109">
                  <w:pPr>
                    <w:shd w:val="clear" w:color="auto" w:fill="auto"/>
                    <w:tabs>
                      <w:tab w:val="center" w:pos="2520"/>
                    </w:tabs>
                    <w:spacing w:line="360" w:lineRule="exact"/>
                    <w:jc w:val="center"/>
                    <w:rPr>
                      <w:color w:val="auto"/>
                      <w:szCs w:val="21"/>
                    </w:rPr>
                  </w:pPr>
                  <w:r>
                    <w:rPr>
                      <w:color w:val="auto"/>
                      <w:szCs w:val="21"/>
                    </w:rPr>
                    <w:t>65.7</w:t>
                  </w:r>
                </w:p>
              </w:tc>
              <w:tc>
                <w:tcPr>
                  <w:tcW w:w="423" w:type="pct"/>
                  <w:vMerge w:val="restart"/>
                  <w:tcBorders>
                    <w:tl2br w:val="nil"/>
                    <w:tr2bl w:val="nil"/>
                  </w:tcBorders>
                  <w:noWrap w:val="0"/>
                  <w:vAlign w:val="center"/>
                </w:tcPr>
                <w:p w14:paraId="7750E58A">
                  <w:pPr>
                    <w:shd w:val="clear" w:color="auto" w:fill="auto"/>
                    <w:tabs>
                      <w:tab w:val="center" w:pos="2520"/>
                    </w:tabs>
                    <w:spacing w:line="360" w:lineRule="exact"/>
                    <w:jc w:val="center"/>
                    <w:rPr>
                      <w:color w:val="auto"/>
                      <w:szCs w:val="21"/>
                    </w:rPr>
                  </w:pPr>
                  <w:r>
                    <w:rPr>
                      <w:color w:val="auto"/>
                      <w:szCs w:val="21"/>
                    </w:rPr>
                    <w:t>64.2</w:t>
                  </w:r>
                </w:p>
              </w:tc>
              <w:tc>
                <w:tcPr>
                  <w:tcW w:w="423" w:type="pct"/>
                  <w:vMerge w:val="restart"/>
                  <w:tcBorders>
                    <w:tl2br w:val="nil"/>
                    <w:tr2bl w:val="nil"/>
                  </w:tcBorders>
                  <w:noWrap w:val="0"/>
                  <w:vAlign w:val="center"/>
                </w:tcPr>
                <w:p w14:paraId="1A33AA5E">
                  <w:pPr>
                    <w:shd w:val="clear" w:color="auto" w:fill="auto"/>
                    <w:tabs>
                      <w:tab w:val="center" w:pos="2520"/>
                    </w:tabs>
                    <w:spacing w:line="360" w:lineRule="exact"/>
                    <w:jc w:val="center"/>
                    <w:rPr>
                      <w:color w:val="auto"/>
                      <w:szCs w:val="21"/>
                    </w:rPr>
                  </w:pPr>
                  <w:r>
                    <w:rPr>
                      <w:color w:val="auto"/>
                      <w:szCs w:val="21"/>
                    </w:rPr>
                    <w:t>62.8</w:t>
                  </w:r>
                </w:p>
              </w:tc>
              <w:tc>
                <w:tcPr>
                  <w:tcW w:w="423" w:type="pct"/>
                  <w:vMerge w:val="restart"/>
                  <w:tcBorders>
                    <w:tl2br w:val="nil"/>
                    <w:tr2bl w:val="nil"/>
                  </w:tcBorders>
                  <w:noWrap w:val="0"/>
                  <w:vAlign w:val="center"/>
                </w:tcPr>
                <w:p w14:paraId="32FB38E9">
                  <w:pPr>
                    <w:shd w:val="clear" w:color="auto" w:fill="auto"/>
                    <w:tabs>
                      <w:tab w:val="center" w:pos="2520"/>
                    </w:tabs>
                    <w:spacing w:line="360" w:lineRule="exact"/>
                    <w:jc w:val="center"/>
                    <w:rPr>
                      <w:color w:val="auto"/>
                      <w:szCs w:val="21"/>
                    </w:rPr>
                  </w:pPr>
                  <w:r>
                    <w:rPr>
                      <w:color w:val="auto"/>
                      <w:szCs w:val="21"/>
                    </w:rPr>
                    <w:t>61.7</w:t>
                  </w:r>
                </w:p>
              </w:tc>
              <w:tc>
                <w:tcPr>
                  <w:tcW w:w="423" w:type="pct"/>
                  <w:vMerge w:val="restart"/>
                  <w:tcBorders>
                    <w:tl2br w:val="nil"/>
                    <w:tr2bl w:val="nil"/>
                  </w:tcBorders>
                  <w:noWrap w:val="0"/>
                  <w:vAlign w:val="center"/>
                </w:tcPr>
                <w:p w14:paraId="1978C60D">
                  <w:pPr>
                    <w:shd w:val="clear" w:color="auto" w:fill="auto"/>
                    <w:tabs>
                      <w:tab w:val="center" w:pos="2520"/>
                    </w:tabs>
                    <w:spacing w:line="360" w:lineRule="exact"/>
                    <w:jc w:val="center"/>
                    <w:rPr>
                      <w:color w:val="auto"/>
                      <w:szCs w:val="21"/>
                    </w:rPr>
                  </w:pPr>
                  <w:r>
                    <w:rPr>
                      <w:color w:val="auto"/>
                      <w:szCs w:val="21"/>
                    </w:rPr>
                    <w:t>60.6</w:t>
                  </w:r>
                </w:p>
              </w:tc>
              <w:tc>
                <w:tcPr>
                  <w:tcW w:w="431" w:type="pct"/>
                  <w:vMerge w:val="restart"/>
                  <w:tcBorders>
                    <w:tl2br w:val="nil"/>
                    <w:tr2bl w:val="nil"/>
                  </w:tcBorders>
                  <w:noWrap w:val="0"/>
                  <w:vAlign w:val="center"/>
                </w:tcPr>
                <w:p w14:paraId="1B095D1B">
                  <w:pPr>
                    <w:shd w:val="clear" w:color="auto" w:fill="auto"/>
                    <w:tabs>
                      <w:tab w:val="center" w:pos="2520"/>
                    </w:tabs>
                    <w:spacing w:line="360" w:lineRule="exact"/>
                    <w:jc w:val="center"/>
                    <w:rPr>
                      <w:color w:val="auto"/>
                      <w:szCs w:val="21"/>
                    </w:rPr>
                  </w:pPr>
                  <w:r>
                    <w:rPr>
                      <w:color w:val="auto"/>
                      <w:szCs w:val="21"/>
                    </w:rPr>
                    <w:t>59.7</w:t>
                  </w:r>
                </w:p>
              </w:tc>
            </w:tr>
            <w:tr w14:paraId="1EC341F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75" w:type="pct"/>
                  <w:vMerge w:val="continue"/>
                  <w:tcBorders>
                    <w:tl2br w:val="nil"/>
                    <w:tr2bl w:val="nil"/>
                  </w:tcBorders>
                  <w:noWrap w:val="0"/>
                  <w:vAlign w:val="center"/>
                </w:tcPr>
                <w:p w14:paraId="0EFAF7DB">
                  <w:pPr>
                    <w:shd w:val="clear" w:color="auto" w:fill="auto"/>
                    <w:tabs>
                      <w:tab w:val="center" w:pos="2520"/>
                    </w:tabs>
                    <w:spacing w:line="360" w:lineRule="exact"/>
                    <w:jc w:val="center"/>
                    <w:rPr>
                      <w:color w:val="auto"/>
                      <w:szCs w:val="21"/>
                    </w:rPr>
                  </w:pPr>
                </w:p>
              </w:tc>
              <w:tc>
                <w:tcPr>
                  <w:tcW w:w="537" w:type="pct"/>
                  <w:tcBorders>
                    <w:tl2br w:val="nil"/>
                    <w:tr2bl w:val="nil"/>
                  </w:tcBorders>
                  <w:noWrap w:val="0"/>
                  <w:vAlign w:val="center"/>
                </w:tcPr>
                <w:p w14:paraId="6F1497AB">
                  <w:pPr>
                    <w:shd w:val="clear" w:color="auto" w:fill="auto"/>
                    <w:tabs>
                      <w:tab w:val="center" w:pos="2520"/>
                    </w:tabs>
                    <w:spacing w:line="360" w:lineRule="exact"/>
                    <w:jc w:val="center"/>
                    <w:rPr>
                      <w:color w:val="auto"/>
                      <w:szCs w:val="21"/>
                    </w:rPr>
                  </w:pPr>
                  <w:r>
                    <w:rPr>
                      <w:color w:val="auto"/>
                      <w:szCs w:val="21"/>
                    </w:rPr>
                    <w:t>压路机</w:t>
                  </w:r>
                </w:p>
              </w:tc>
              <w:tc>
                <w:tcPr>
                  <w:tcW w:w="360" w:type="pct"/>
                  <w:vMerge w:val="continue"/>
                  <w:tcBorders>
                    <w:tl2br w:val="nil"/>
                    <w:tr2bl w:val="nil"/>
                  </w:tcBorders>
                  <w:noWrap w:val="0"/>
                  <w:vAlign w:val="center"/>
                </w:tcPr>
                <w:p w14:paraId="2B822FCA">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0BA9F29E">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137A40DC">
                  <w:pPr>
                    <w:shd w:val="clear" w:color="auto" w:fill="auto"/>
                    <w:tabs>
                      <w:tab w:val="center" w:pos="2520"/>
                    </w:tabs>
                    <w:spacing w:line="360" w:lineRule="exact"/>
                    <w:jc w:val="center"/>
                    <w:rPr>
                      <w:color w:val="auto"/>
                      <w:szCs w:val="21"/>
                    </w:rPr>
                  </w:pPr>
                </w:p>
              </w:tc>
              <w:tc>
                <w:tcPr>
                  <w:tcW w:w="360" w:type="pct"/>
                  <w:vMerge w:val="continue"/>
                  <w:tcBorders>
                    <w:tl2br w:val="nil"/>
                    <w:tr2bl w:val="nil"/>
                  </w:tcBorders>
                  <w:noWrap w:val="0"/>
                  <w:vAlign w:val="center"/>
                </w:tcPr>
                <w:p w14:paraId="1092A80A">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79967804">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1F342ACC">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7CC78C1B">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16A53E38">
                  <w:pPr>
                    <w:shd w:val="clear" w:color="auto" w:fill="auto"/>
                    <w:tabs>
                      <w:tab w:val="center" w:pos="2520"/>
                    </w:tabs>
                    <w:spacing w:line="360" w:lineRule="exact"/>
                    <w:jc w:val="center"/>
                    <w:rPr>
                      <w:color w:val="auto"/>
                      <w:szCs w:val="21"/>
                    </w:rPr>
                  </w:pPr>
                </w:p>
              </w:tc>
              <w:tc>
                <w:tcPr>
                  <w:tcW w:w="423" w:type="pct"/>
                  <w:vMerge w:val="continue"/>
                  <w:tcBorders>
                    <w:tl2br w:val="nil"/>
                    <w:tr2bl w:val="nil"/>
                  </w:tcBorders>
                  <w:noWrap w:val="0"/>
                  <w:vAlign w:val="center"/>
                </w:tcPr>
                <w:p w14:paraId="5685462D">
                  <w:pPr>
                    <w:shd w:val="clear" w:color="auto" w:fill="auto"/>
                    <w:tabs>
                      <w:tab w:val="center" w:pos="2520"/>
                    </w:tabs>
                    <w:spacing w:line="360" w:lineRule="exact"/>
                    <w:jc w:val="center"/>
                    <w:rPr>
                      <w:color w:val="auto"/>
                      <w:szCs w:val="21"/>
                    </w:rPr>
                  </w:pPr>
                </w:p>
              </w:tc>
              <w:tc>
                <w:tcPr>
                  <w:tcW w:w="431" w:type="pct"/>
                  <w:vMerge w:val="continue"/>
                  <w:tcBorders>
                    <w:tl2br w:val="nil"/>
                    <w:tr2bl w:val="nil"/>
                  </w:tcBorders>
                  <w:noWrap w:val="0"/>
                  <w:vAlign w:val="center"/>
                </w:tcPr>
                <w:p w14:paraId="6BF20832">
                  <w:pPr>
                    <w:shd w:val="clear" w:color="auto" w:fill="auto"/>
                    <w:tabs>
                      <w:tab w:val="center" w:pos="2520"/>
                    </w:tabs>
                    <w:spacing w:line="360" w:lineRule="exact"/>
                    <w:jc w:val="center"/>
                    <w:rPr>
                      <w:color w:val="auto"/>
                      <w:szCs w:val="21"/>
                    </w:rPr>
                  </w:pPr>
                </w:p>
              </w:tc>
            </w:tr>
          </w:tbl>
          <w:p w14:paraId="768693B1">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由上表预测结果分析可知：</w:t>
            </w:r>
          </w:p>
          <w:p w14:paraId="54FAD16C">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①施工机械噪声近距离处噪声值较高，远距离处噪声值较低，随着距离的增加，施工机械噪声值逐渐衰减。</w:t>
            </w:r>
          </w:p>
          <w:p w14:paraId="56D416AE">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②除电锤、振动夯锤、打桩机等高噪声机械外，其他单机施工机械噪声在300m处可满足《声环境质量标准》（GB3096-2008）2类昼间标准要求。</w:t>
            </w:r>
          </w:p>
          <w:p w14:paraId="0A6716FE">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rPr>
              <w:t>③</w:t>
            </w:r>
            <w:r>
              <w:rPr>
                <w:rFonts w:hint="eastAsia"/>
                <w:color w:val="auto"/>
                <w:sz w:val="24"/>
                <w:lang w:val="en-US" w:eastAsia="zh-CN"/>
              </w:rPr>
              <w:t>项目施工机械噪声排放在120m外才可满足</w:t>
            </w:r>
            <w:r>
              <w:rPr>
                <w:rFonts w:hint="eastAsia"/>
                <w:color w:val="auto"/>
                <w:sz w:val="24"/>
                <w:lang w:eastAsia="en-US"/>
              </w:rPr>
              <w:t>《建筑施工噪声排放标准》（GB12523-20</w:t>
            </w:r>
            <w:r>
              <w:rPr>
                <w:rFonts w:hint="eastAsia"/>
                <w:color w:val="auto"/>
                <w:sz w:val="24"/>
                <w:lang w:val="en-US" w:eastAsia="en-US"/>
              </w:rPr>
              <w:t>25</w:t>
            </w:r>
            <w:r>
              <w:rPr>
                <w:rFonts w:hint="eastAsia"/>
                <w:color w:val="auto"/>
                <w:sz w:val="24"/>
                <w:lang w:eastAsia="en-US"/>
              </w:rPr>
              <w:t>）</w:t>
            </w:r>
            <w:r>
              <w:rPr>
                <w:rFonts w:hint="eastAsia"/>
                <w:color w:val="auto"/>
                <w:sz w:val="24"/>
              </w:rPr>
              <w:t>即昼间70dB</w:t>
            </w:r>
            <w:r>
              <w:rPr>
                <w:rFonts w:hint="eastAsia"/>
                <w:color w:val="auto"/>
                <w:sz w:val="24"/>
                <w:lang w:eastAsia="zh-CN"/>
              </w:rPr>
              <w:t>（</w:t>
            </w:r>
            <w:r>
              <w:rPr>
                <w:rFonts w:hint="eastAsia"/>
                <w:color w:val="auto"/>
                <w:sz w:val="24"/>
                <w:lang w:val="en-US" w:eastAsia="zh-CN"/>
              </w:rPr>
              <w:t>A</w:t>
            </w:r>
            <w:r>
              <w:rPr>
                <w:rFonts w:hint="eastAsia"/>
                <w:color w:val="auto"/>
                <w:sz w:val="24"/>
                <w:lang w:eastAsia="zh-CN"/>
              </w:rPr>
              <w:t>）</w:t>
            </w:r>
            <w:r>
              <w:rPr>
                <w:rFonts w:hint="eastAsia"/>
                <w:color w:val="auto"/>
                <w:sz w:val="24"/>
                <w:lang w:val="en-US" w:eastAsia="zh-CN"/>
              </w:rPr>
              <w:t>的要求。</w:t>
            </w:r>
          </w:p>
          <w:p w14:paraId="38DA3FA5">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aps w:val="0"/>
                <w:smallCaps w:val="0"/>
                <w:color w:val="auto"/>
                <w:spacing w:val="0"/>
                <w:w w:val="100"/>
                <w:kern w:val="2"/>
                <w:position w:val="0"/>
                <w:highlight w:val="none"/>
                <w:lang w:val="en-US" w:eastAsia="zh-CN"/>
              </w:rPr>
            </w:pPr>
            <w:r>
              <w:rPr>
                <w:rFonts w:hint="eastAsia"/>
                <w:color w:val="auto"/>
                <w:sz w:val="24"/>
                <w:lang w:val="en-US" w:eastAsia="zh-CN"/>
              </w:rPr>
              <w:t>④</w:t>
            </w:r>
            <w:r>
              <w:rPr>
                <w:color w:val="auto"/>
                <w:sz w:val="24"/>
              </w:rPr>
              <w:t>多台施工机械同时施工时，噪声值较大，虽然经距离、大气吸收、地面效应和其他方面效应引起的衰减后会有一定程度降低，但各阶段施工期对</w:t>
            </w:r>
            <w:r>
              <w:rPr>
                <w:rFonts w:hint="eastAsia"/>
                <w:color w:val="auto"/>
                <w:sz w:val="24"/>
                <w:lang w:val="en-US" w:eastAsia="zh-CN"/>
              </w:rPr>
              <w:t>周边环境</w:t>
            </w:r>
            <w:r>
              <w:rPr>
                <w:color w:val="auto"/>
                <w:sz w:val="24"/>
              </w:rPr>
              <w:t>影响</w:t>
            </w:r>
            <w:r>
              <w:rPr>
                <w:rFonts w:hint="eastAsia"/>
                <w:color w:val="auto"/>
                <w:sz w:val="24"/>
                <w:lang w:val="en-US" w:eastAsia="zh-CN"/>
              </w:rPr>
              <w:t>依然</w:t>
            </w:r>
            <w:r>
              <w:rPr>
                <w:color w:val="auto"/>
                <w:sz w:val="24"/>
              </w:rPr>
              <w:t>较大</w:t>
            </w:r>
            <w:r>
              <w:rPr>
                <w:rFonts w:hint="default" w:ascii="Times New Roman" w:hAnsi="Times New Roman" w:cs="Times New Roman"/>
                <w:caps w:val="0"/>
                <w:smallCaps w:val="0"/>
                <w:color w:val="auto"/>
                <w:spacing w:val="0"/>
                <w:w w:val="100"/>
                <w:kern w:val="2"/>
                <w:position w:val="0"/>
                <w:sz w:val="24"/>
                <w:highlight w:val="none"/>
              </w:rPr>
              <w:t>。</w:t>
            </w:r>
          </w:p>
          <w:p w14:paraId="5A8086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5</w:t>
            </w:r>
            <w:r>
              <w:rPr>
                <w:rFonts w:hint="default" w:ascii="Times New Roman" w:hAnsi="Times New Roman" w:eastAsia="宋体" w:cs="Times New Roman"/>
                <w:b/>
                <w:caps w:val="0"/>
                <w:smallCaps w:val="0"/>
                <w:color w:val="auto"/>
                <w:spacing w:val="0"/>
                <w:w w:val="100"/>
                <w:kern w:val="2"/>
                <w:position w:val="0"/>
                <w:sz w:val="24"/>
                <w:szCs w:val="24"/>
                <w:highlight w:val="none"/>
              </w:rPr>
              <w:t>固体废弃物影响分析</w:t>
            </w:r>
          </w:p>
          <w:p w14:paraId="0416CC0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szCs w:val="20"/>
              </w:rPr>
            </w:pPr>
            <w:r>
              <w:rPr>
                <w:color w:val="auto"/>
                <w:sz w:val="24"/>
                <w:szCs w:val="20"/>
              </w:rPr>
              <w:t>施工期固体废物主要包括</w:t>
            </w:r>
            <w:r>
              <w:rPr>
                <w:rFonts w:hint="eastAsia"/>
                <w:color w:val="auto"/>
                <w:sz w:val="24"/>
                <w:szCs w:val="20"/>
                <w:lang w:val="en-US" w:eastAsia="zh-CN"/>
              </w:rPr>
              <w:t>基础开挖弃土、临时沉淀池泥沙</w:t>
            </w:r>
            <w:r>
              <w:rPr>
                <w:rFonts w:hint="eastAsia"/>
                <w:color w:val="auto"/>
                <w:sz w:val="24"/>
                <w:szCs w:val="20"/>
              </w:rPr>
              <w:t>、</w:t>
            </w:r>
            <w:r>
              <w:rPr>
                <w:color w:val="auto"/>
                <w:sz w:val="24"/>
                <w:szCs w:val="20"/>
              </w:rPr>
              <w:t>废沥青路面、建筑垃圾和施工人员生活垃圾。</w:t>
            </w:r>
          </w:p>
          <w:p w14:paraId="7793256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lang w:val="en-US" w:eastAsia="zh-CN"/>
              </w:rPr>
            </w:pPr>
            <w:r>
              <w:rPr>
                <w:color w:val="auto"/>
                <w:sz w:val="24"/>
              </w:rPr>
              <w:t>（1）</w:t>
            </w:r>
            <w:r>
              <w:rPr>
                <w:rFonts w:hint="eastAsia"/>
                <w:color w:val="auto"/>
                <w:sz w:val="24"/>
                <w:lang w:val="en-US" w:eastAsia="zh-CN"/>
              </w:rPr>
              <w:t>弃土及临时沉淀池泥沙</w:t>
            </w:r>
          </w:p>
          <w:p w14:paraId="32B443B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pPr>
            <w:r>
              <w:rPr>
                <w:color w:val="auto"/>
                <w:sz w:val="24"/>
              </w:rPr>
              <w:t>石料等筑路筑材料按施工进度有计划购置，尽量减少余下的物料；路基工程</w:t>
            </w:r>
            <w:r>
              <w:rPr>
                <w:rFonts w:hint="eastAsia"/>
                <w:color w:val="auto"/>
                <w:sz w:val="24"/>
                <w:lang w:val="en-US" w:eastAsia="zh-CN"/>
              </w:rPr>
              <w:t>基础开挖</w:t>
            </w:r>
            <w:r>
              <w:rPr>
                <w:color w:val="auto"/>
                <w:sz w:val="24"/>
              </w:rPr>
              <w:t>产生的弃土临时堆存在道路红线范围内，并进行</w:t>
            </w:r>
            <w:r>
              <w:rPr>
                <w:rFonts w:hint="eastAsia"/>
                <w:color w:val="auto"/>
                <w:sz w:val="24"/>
                <w:lang w:val="en-US" w:eastAsia="zh-CN"/>
              </w:rPr>
              <w:t>遮盖、洒水等</w:t>
            </w:r>
            <w:r>
              <w:rPr>
                <w:color w:val="auto"/>
                <w:sz w:val="24"/>
              </w:rPr>
              <w:t>临时防护</w:t>
            </w:r>
            <w:r>
              <w:rPr>
                <w:rFonts w:hint="eastAsia"/>
                <w:color w:val="auto"/>
                <w:sz w:val="24"/>
                <w:lang w:eastAsia="zh-CN"/>
              </w:rPr>
              <w:t>；</w:t>
            </w:r>
            <w:r>
              <w:rPr>
                <w:rFonts w:hint="eastAsia"/>
                <w:color w:val="auto"/>
                <w:sz w:val="24"/>
                <w:lang w:val="en-US" w:eastAsia="zh-CN"/>
              </w:rPr>
              <w:t>施工期设置临时防渗沉淀池收集处置施工期废水，弃土及临时沉淀池泥沙集中清运至住建部门指定的既有社会弃土坑内处置</w:t>
            </w:r>
            <w:r>
              <w:rPr>
                <w:color w:val="auto"/>
                <w:sz w:val="24"/>
              </w:rPr>
              <w:t>。</w:t>
            </w:r>
          </w:p>
          <w:p w14:paraId="1E81EFF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（2）废沥青路面</w:t>
            </w:r>
          </w:p>
          <w:p w14:paraId="4C108BA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w:t>
            </w:r>
            <w:r>
              <w:rPr>
                <w:rFonts w:hint="eastAsia"/>
                <w:color w:val="auto"/>
                <w:sz w:val="24"/>
                <w:lang w:val="en-US" w:eastAsia="zh-CN"/>
              </w:rPr>
              <w:t>沥青路面铺设过程中可能</w:t>
            </w:r>
            <w:r>
              <w:rPr>
                <w:color w:val="auto"/>
                <w:sz w:val="24"/>
              </w:rPr>
              <w:t>会产生废沥青路面，集中收集后运至</w:t>
            </w:r>
            <w:r>
              <w:rPr>
                <w:rFonts w:hint="eastAsia"/>
                <w:color w:val="auto"/>
                <w:sz w:val="24"/>
                <w:lang w:val="en-US" w:eastAsia="zh-CN"/>
              </w:rPr>
              <w:t>政府主管部门</w:t>
            </w:r>
            <w:r>
              <w:rPr>
                <w:color w:val="auto"/>
                <w:sz w:val="24"/>
              </w:rPr>
              <w:t>指定地点堆存。</w:t>
            </w:r>
          </w:p>
          <w:p w14:paraId="759542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w:t>
            </w:r>
            <w:r>
              <w:rPr>
                <w:rFonts w:hint="eastAsia"/>
                <w:color w:val="auto"/>
                <w:sz w:val="24"/>
              </w:rPr>
              <w:t>3</w:t>
            </w:r>
            <w:r>
              <w:rPr>
                <w:color w:val="auto"/>
                <w:sz w:val="24"/>
              </w:rPr>
              <w:t>）建筑垃圾</w:t>
            </w:r>
          </w:p>
          <w:p w14:paraId="7E7FFE2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本工程</w:t>
            </w:r>
            <w:r>
              <w:rPr>
                <w:rFonts w:hint="eastAsia"/>
                <w:color w:val="auto"/>
                <w:sz w:val="24"/>
                <w:lang w:val="en-US" w:eastAsia="zh-CN"/>
              </w:rPr>
              <w:t>桥梁建设过程中</w:t>
            </w:r>
            <w:r>
              <w:rPr>
                <w:color w:val="auto"/>
                <w:sz w:val="24"/>
              </w:rPr>
              <w:t>会产生建筑垃圾，主要为砖石、混凝土、废钢材等，废钢材等可以回收利用的，集中收集后外售综合利用，砖石、混凝土不可回收利用的，运至</w:t>
            </w:r>
            <w:r>
              <w:rPr>
                <w:rFonts w:hint="eastAsia"/>
                <w:color w:val="auto"/>
                <w:sz w:val="24"/>
                <w:lang w:val="en-US" w:eastAsia="zh-CN"/>
              </w:rPr>
              <w:t>政府主管部门</w:t>
            </w:r>
            <w:r>
              <w:rPr>
                <w:color w:val="auto"/>
                <w:sz w:val="24"/>
              </w:rPr>
              <w:t>指定地点堆存。</w:t>
            </w:r>
          </w:p>
          <w:p w14:paraId="19853C2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w:t>
            </w:r>
            <w:r>
              <w:rPr>
                <w:rFonts w:hint="eastAsia"/>
                <w:color w:val="auto"/>
                <w:sz w:val="24"/>
              </w:rPr>
              <w:t>4</w:t>
            </w:r>
            <w:r>
              <w:rPr>
                <w:color w:val="auto"/>
                <w:sz w:val="24"/>
              </w:rPr>
              <w:t>）生活垃圾</w:t>
            </w:r>
          </w:p>
          <w:p w14:paraId="11DC101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施工人员生活垃圾产生量相对较小，但如果施工期间不注意此类垃圾的堆存，很容易引发蚊蝇滋生，本工程</w:t>
            </w:r>
            <w:r>
              <w:rPr>
                <w:rFonts w:hint="eastAsia"/>
                <w:color w:val="auto"/>
                <w:sz w:val="24"/>
                <w:lang w:val="en-US" w:eastAsia="zh-CN"/>
              </w:rPr>
              <w:t>不设置临时生活营地，施工人员</w:t>
            </w:r>
            <w:r>
              <w:rPr>
                <w:color w:val="auto"/>
                <w:sz w:val="24"/>
              </w:rPr>
              <w:t>生活垃圾</w:t>
            </w:r>
            <w:r>
              <w:rPr>
                <w:rFonts w:hint="eastAsia"/>
                <w:color w:val="auto"/>
                <w:sz w:val="24"/>
                <w:lang w:val="en-US" w:eastAsia="zh-CN"/>
              </w:rPr>
              <w:t>依托租住村镇既有垃圾点收集</w:t>
            </w:r>
            <w:r>
              <w:rPr>
                <w:color w:val="auto"/>
                <w:sz w:val="24"/>
              </w:rPr>
              <w:t>，严格管理，定期清运，交环卫部门统一处置，不会对周围环境产生明显影响。</w:t>
            </w:r>
          </w:p>
          <w:p w14:paraId="46B802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color w:val="auto"/>
                <w:sz w:val="24"/>
              </w:rPr>
              <w:t>工程施工期固体废物采取以上措施后可以得到妥善处置，不会对周围环境产生明显影响</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w:t>
            </w:r>
          </w:p>
          <w:p w14:paraId="27F85B6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color w:val="auto"/>
                <w:kern w:val="2"/>
                <w:sz w:val="24"/>
                <w:szCs w:val="24"/>
                <w:lang w:val="en-US" w:eastAsia="zh-CN" w:bidi="ar-SA"/>
              </w:rPr>
              <w:t>本项目施工期大气、水、噪声、固废以及生态环境影响汇总如下：</w:t>
            </w:r>
          </w:p>
          <w:p w14:paraId="4BAB2896">
            <w:pPr>
              <w:pStyle w:val="23"/>
              <w:spacing w:line="240" w:lineRule="auto"/>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表4-7                   生态环境影响分析汇总表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493"/>
              <w:gridCol w:w="994"/>
              <w:gridCol w:w="694"/>
              <w:gridCol w:w="3298"/>
              <w:gridCol w:w="1799"/>
            </w:tblGrid>
            <w:tr w14:paraId="34316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608" w:type="pct"/>
                  <w:gridSpan w:val="2"/>
                  <w:tcBorders>
                    <w:tl2br w:val="nil"/>
                    <w:tr2bl w:val="nil"/>
                  </w:tcBorders>
                  <w:noWrap w:val="0"/>
                  <w:vAlign w:val="center"/>
                </w:tcPr>
                <w:p w14:paraId="4A68A62C">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项目</w:t>
                  </w:r>
                </w:p>
              </w:tc>
              <w:tc>
                <w:tcPr>
                  <w:tcW w:w="643" w:type="pct"/>
                  <w:tcBorders>
                    <w:tl2br w:val="nil"/>
                    <w:tr2bl w:val="nil"/>
                  </w:tcBorders>
                  <w:noWrap w:val="0"/>
                  <w:vAlign w:val="center"/>
                </w:tcPr>
                <w:p w14:paraId="5874E446">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产生环节</w:t>
                  </w:r>
                </w:p>
              </w:tc>
              <w:tc>
                <w:tcPr>
                  <w:tcW w:w="449" w:type="pct"/>
                  <w:tcBorders>
                    <w:tl2br w:val="nil"/>
                    <w:tr2bl w:val="nil"/>
                  </w:tcBorders>
                  <w:noWrap w:val="0"/>
                  <w:vAlign w:val="center"/>
                </w:tcPr>
                <w:p w14:paraId="40146F7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影响因素</w:t>
                  </w:r>
                </w:p>
              </w:tc>
              <w:tc>
                <w:tcPr>
                  <w:tcW w:w="2134" w:type="pct"/>
                  <w:tcBorders>
                    <w:tl2br w:val="nil"/>
                    <w:tr2bl w:val="nil"/>
                  </w:tcBorders>
                  <w:noWrap w:val="0"/>
                  <w:vAlign w:val="center"/>
                </w:tcPr>
                <w:p w14:paraId="7570E9B0">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措施</w:t>
                  </w:r>
                </w:p>
              </w:tc>
              <w:tc>
                <w:tcPr>
                  <w:tcW w:w="1164" w:type="pct"/>
                  <w:tcBorders>
                    <w:tl2br w:val="nil"/>
                    <w:tr2bl w:val="nil"/>
                  </w:tcBorders>
                  <w:noWrap w:val="0"/>
                  <w:vAlign w:val="center"/>
                </w:tcPr>
                <w:p w14:paraId="0018E274">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影响情况</w:t>
                  </w:r>
                </w:p>
              </w:tc>
            </w:tr>
            <w:tr w14:paraId="1060C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tcBorders>
                    <w:tl2br w:val="nil"/>
                    <w:tr2bl w:val="nil"/>
                  </w:tcBorders>
                  <w:noWrap w:val="0"/>
                  <w:vAlign w:val="center"/>
                </w:tcPr>
                <w:p w14:paraId="7B87515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废气</w:t>
                  </w:r>
                </w:p>
              </w:tc>
              <w:tc>
                <w:tcPr>
                  <w:tcW w:w="319" w:type="pct"/>
                  <w:tcBorders>
                    <w:tl2br w:val="nil"/>
                    <w:tr2bl w:val="nil"/>
                  </w:tcBorders>
                  <w:noWrap w:val="0"/>
                  <w:vAlign w:val="center"/>
                </w:tcPr>
                <w:p w14:paraId="5434BBF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施工扬尘</w:t>
                  </w:r>
                </w:p>
              </w:tc>
              <w:tc>
                <w:tcPr>
                  <w:tcW w:w="643" w:type="pct"/>
                  <w:tcBorders>
                    <w:tl2br w:val="nil"/>
                    <w:tr2bl w:val="nil"/>
                  </w:tcBorders>
                  <w:noWrap w:val="0"/>
                  <w:vAlign w:val="center"/>
                </w:tcPr>
                <w:p w14:paraId="672E018A">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路基开挖、回填、边坡防护等土石方施工</w:t>
                  </w:r>
                </w:p>
              </w:tc>
              <w:tc>
                <w:tcPr>
                  <w:tcW w:w="449" w:type="pct"/>
                  <w:vMerge w:val="restart"/>
                  <w:tcBorders>
                    <w:tl2br w:val="nil"/>
                    <w:tr2bl w:val="nil"/>
                  </w:tcBorders>
                  <w:noWrap w:val="0"/>
                  <w:vAlign w:val="center"/>
                </w:tcPr>
                <w:p w14:paraId="17133C43">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大气</w:t>
                  </w:r>
                </w:p>
              </w:tc>
              <w:tc>
                <w:tcPr>
                  <w:tcW w:w="2134" w:type="pct"/>
                  <w:tcBorders>
                    <w:tl2br w:val="nil"/>
                    <w:tr2bl w:val="nil"/>
                  </w:tcBorders>
                  <w:noWrap w:val="0"/>
                  <w:vAlign w:val="center"/>
                </w:tcPr>
                <w:p w14:paraId="4AC19447">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ascii="Times New Roman"/>
                      <w:color w:val="auto"/>
                      <w:sz w:val="21"/>
                      <w:szCs w:val="21"/>
                    </w:rPr>
                    <w:t>施工场地对易起尘物料采用苫盖措施，避免扬尘污染，及时洒水抑尘，控制运输车辆车速，运输车辆采用密闭车辆运输或进行苫盖，防止运输过程发生遗撒，土石方施工尽量避开大风天气施工。施工现场设置垃圾暂存点，并及时回收，加强环境管理。</w:t>
                  </w:r>
                </w:p>
              </w:tc>
              <w:tc>
                <w:tcPr>
                  <w:tcW w:w="1164" w:type="pct"/>
                  <w:vMerge w:val="restart"/>
                  <w:tcBorders>
                    <w:tl2br w:val="nil"/>
                    <w:tr2bl w:val="nil"/>
                  </w:tcBorders>
                  <w:noWrap w:val="0"/>
                  <w:vAlign w:val="center"/>
                </w:tcPr>
                <w:p w14:paraId="4D4AE740">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通过采取措施，可有效减少施工期对项目周边大气环境的污染影响。</w:t>
                  </w:r>
                </w:p>
              </w:tc>
            </w:tr>
            <w:tr w14:paraId="77A09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tcBorders>
                    <w:tl2br w:val="nil"/>
                    <w:tr2bl w:val="nil"/>
                  </w:tcBorders>
                  <w:noWrap w:val="0"/>
                  <w:vAlign w:val="center"/>
                </w:tcPr>
                <w:p w14:paraId="2340F8A8">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319" w:type="pct"/>
                  <w:tcBorders>
                    <w:tl2br w:val="nil"/>
                    <w:tr2bl w:val="nil"/>
                  </w:tcBorders>
                  <w:noWrap w:val="0"/>
                  <w:vAlign w:val="center"/>
                </w:tcPr>
                <w:p w14:paraId="7B73AE8D">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沥青烟</w:t>
                  </w:r>
                </w:p>
              </w:tc>
              <w:tc>
                <w:tcPr>
                  <w:tcW w:w="643" w:type="pct"/>
                  <w:tcBorders>
                    <w:tl2br w:val="nil"/>
                    <w:tr2bl w:val="nil"/>
                  </w:tcBorders>
                  <w:noWrap w:val="0"/>
                  <w:vAlign w:val="center"/>
                </w:tcPr>
                <w:p w14:paraId="03CB2EE2">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沥青路面摊铺</w:t>
                  </w:r>
                </w:p>
              </w:tc>
              <w:tc>
                <w:tcPr>
                  <w:tcW w:w="449" w:type="pct"/>
                  <w:vMerge w:val="continue"/>
                  <w:tcBorders>
                    <w:tl2br w:val="nil"/>
                    <w:tr2bl w:val="nil"/>
                  </w:tcBorders>
                  <w:noWrap w:val="0"/>
                  <w:vAlign w:val="center"/>
                </w:tcPr>
                <w:p w14:paraId="362443E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2134" w:type="pct"/>
                  <w:tcBorders>
                    <w:tl2br w:val="nil"/>
                    <w:tr2bl w:val="nil"/>
                  </w:tcBorders>
                  <w:noWrap w:val="0"/>
                  <w:vAlign w:val="center"/>
                </w:tcPr>
                <w:p w14:paraId="4B1D7CD3">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r>
                    <w:rPr>
                      <w:rFonts w:ascii="Times New Roman"/>
                      <w:color w:val="auto"/>
                      <w:sz w:val="21"/>
                      <w:szCs w:val="21"/>
                    </w:rPr>
                    <w:t>沥青混凝土外购，不设置沥青</w:t>
                  </w:r>
                  <w:r>
                    <w:rPr>
                      <w:rFonts w:hint="eastAsia" w:ascii="Times New Roman"/>
                      <w:color w:val="auto"/>
                      <w:sz w:val="21"/>
                      <w:szCs w:val="21"/>
                      <w:lang w:eastAsia="zh-CN"/>
                    </w:rPr>
                    <w:t>拌和站</w:t>
                  </w:r>
                  <w:r>
                    <w:rPr>
                      <w:rFonts w:ascii="Times New Roman"/>
                      <w:color w:val="auto"/>
                      <w:sz w:val="21"/>
                      <w:szCs w:val="21"/>
                    </w:rPr>
                    <w:t>，采用机械摊铺，加强管理。</w:t>
                  </w:r>
                </w:p>
              </w:tc>
              <w:tc>
                <w:tcPr>
                  <w:tcW w:w="1164" w:type="pct"/>
                  <w:vMerge w:val="continue"/>
                  <w:tcBorders>
                    <w:tl2br w:val="nil"/>
                    <w:tr2bl w:val="nil"/>
                  </w:tcBorders>
                  <w:noWrap w:val="0"/>
                  <w:vAlign w:val="center"/>
                </w:tcPr>
                <w:p w14:paraId="229D283C">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r>
            <w:tr w14:paraId="37DBE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tcBorders>
                    <w:tl2br w:val="nil"/>
                    <w:tr2bl w:val="nil"/>
                  </w:tcBorders>
                  <w:noWrap w:val="0"/>
                  <w:vAlign w:val="center"/>
                </w:tcPr>
                <w:p w14:paraId="6EA71AA8">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废水</w:t>
                  </w:r>
                </w:p>
              </w:tc>
              <w:tc>
                <w:tcPr>
                  <w:tcW w:w="319" w:type="pct"/>
                  <w:tcBorders>
                    <w:tl2br w:val="nil"/>
                    <w:tr2bl w:val="nil"/>
                  </w:tcBorders>
                  <w:noWrap w:val="0"/>
                  <w:vAlign w:val="center"/>
                </w:tcPr>
                <w:p w14:paraId="297AA76C">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生活废水</w:t>
                  </w:r>
                </w:p>
              </w:tc>
              <w:tc>
                <w:tcPr>
                  <w:tcW w:w="643" w:type="pct"/>
                  <w:tcBorders>
                    <w:tl2br w:val="nil"/>
                    <w:tr2bl w:val="nil"/>
                  </w:tcBorders>
                  <w:noWrap w:val="0"/>
                  <w:vAlign w:val="center"/>
                </w:tcPr>
                <w:p w14:paraId="6E6A9FA9">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施工人员生活</w:t>
                  </w:r>
                </w:p>
              </w:tc>
              <w:tc>
                <w:tcPr>
                  <w:tcW w:w="449" w:type="pct"/>
                  <w:vMerge w:val="restart"/>
                  <w:tcBorders>
                    <w:tl2br w:val="nil"/>
                    <w:tr2bl w:val="nil"/>
                  </w:tcBorders>
                  <w:noWrap w:val="0"/>
                  <w:vAlign w:val="center"/>
                </w:tcPr>
                <w:p w14:paraId="191E9209">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水环境</w:t>
                  </w:r>
                </w:p>
              </w:tc>
              <w:tc>
                <w:tcPr>
                  <w:tcW w:w="2134" w:type="pct"/>
                  <w:tcBorders>
                    <w:tl2br w:val="nil"/>
                    <w:tr2bl w:val="nil"/>
                  </w:tcBorders>
                  <w:noWrap w:val="0"/>
                  <w:vAlign w:val="center"/>
                </w:tcPr>
                <w:p w14:paraId="32CCA564">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施工人员</w:t>
                  </w:r>
                  <w:r>
                    <w:rPr>
                      <w:rFonts w:hint="eastAsia" w:ascii="Times New Roman" w:hAnsi="Times New Roman" w:eastAsia="宋体" w:cs="Times New Roman"/>
                      <w:sz w:val="21"/>
                      <w:szCs w:val="21"/>
                      <w:vertAlign w:val="baseline"/>
                      <w:lang w:val="en-US" w:eastAsia="zh-CN"/>
                    </w:rPr>
                    <w:t>租住在周边村镇民房内</w:t>
                  </w:r>
                </w:p>
              </w:tc>
              <w:tc>
                <w:tcPr>
                  <w:tcW w:w="1164" w:type="pct"/>
                  <w:vMerge w:val="restart"/>
                  <w:tcBorders>
                    <w:tl2br w:val="nil"/>
                    <w:tr2bl w:val="nil"/>
                  </w:tcBorders>
                  <w:noWrap w:val="0"/>
                  <w:vAlign w:val="center"/>
                </w:tcPr>
                <w:p w14:paraId="5B57EE91">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本项目施工过程中产生的废水均得到合理处置，不与地表水或地下水发生水力联系，不会造成水环境污染、</w:t>
                  </w:r>
                </w:p>
              </w:tc>
            </w:tr>
            <w:tr w14:paraId="1DEFD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tcBorders>
                    <w:tl2br w:val="nil"/>
                    <w:tr2bl w:val="nil"/>
                  </w:tcBorders>
                  <w:noWrap w:val="0"/>
                  <w:vAlign w:val="center"/>
                </w:tcPr>
                <w:p w14:paraId="3B0BFE49">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319" w:type="pct"/>
                  <w:tcBorders>
                    <w:tl2br w:val="nil"/>
                    <w:tr2bl w:val="nil"/>
                  </w:tcBorders>
                  <w:noWrap w:val="0"/>
                  <w:vAlign w:val="center"/>
                </w:tcPr>
                <w:p w14:paraId="52CA0755">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施工废水</w:t>
                  </w:r>
                </w:p>
              </w:tc>
              <w:tc>
                <w:tcPr>
                  <w:tcW w:w="643" w:type="pct"/>
                  <w:tcBorders>
                    <w:tl2br w:val="nil"/>
                    <w:tr2bl w:val="nil"/>
                  </w:tcBorders>
                  <w:noWrap w:val="0"/>
                  <w:vAlign w:val="center"/>
                </w:tcPr>
                <w:p w14:paraId="39856FB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工程施工</w:t>
                  </w:r>
                </w:p>
              </w:tc>
              <w:tc>
                <w:tcPr>
                  <w:tcW w:w="449" w:type="pct"/>
                  <w:vMerge w:val="continue"/>
                  <w:tcBorders>
                    <w:tl2br w:val="nil"/>
                    <w:tr2bl w:val="nil"/>
                  </w:tcBorders>
                  <w:noWrap w:val="0"/>
                  <w:vAlign w:val="center"/>
                </w:tcPr>
                <w:p w14:paraId="7F2B16CC">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2134" w:type="pct"/>
                  <w:tcBorders>
                    <w:tl2br w:val="nil"/>
                    <w:tr2bl w:val="nil"/>
                  </w:tcBorders>
                  <w:noWrap w:val="0"/>
                  <w:vAlign w:val="center"/>
                </w:tcPr>
                <w:p w14:paraId="47CD8402">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施工废水：工程在桥梁施工场地附近设置泥浆干化池，泥浆及钻渣通过沉淀干化后运送至西面回填场地，沉淀后的上清液经用于洒水抑尘，不外排。</w:t>
                  </w:r>
                </w:p>
              </w:tc>
              <w:tc>
                <w:tcPr>
                  <w:tcW w:w="1164" w:type="pct"/>
                  <w:vMerge w:val="continue"/>
                  <w:tcBorders>
                    <w:tl2br w:val="nil"/>
                    <w:tr2bl w:val="nil"/>
                  </w:tcBorders>
                  <w:noWrap w:val="0"/>
                  <w:vAlign w:val="center"/>
                </w:tcPr>
                <w:p w14:paraId="77DE2A6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r>
            <w:tr w14:paraId="30E43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pct"/>
                  <w:gridSpan w:val="2"/>
                  <w:tcBorders>
                    <w:tl2br w:val="nil"/>
                    <w:tr2bl w:val="nil"/>
                  </w:tcBorders>
                  <w:noWrap w:val="0"/>
                  <w:vAlign w:val="center"/>
                </w:tcPr>
                <w:p w14:paraId="0095B73F">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噪声</w:t>
                  </w:r>
                </w:p>
              </w:tc>
              <w:tc>
                <w:tcPr>
                  <w:tcW w:w="643" w:type="pct"/>
                  <w:tcBorders>
                    <w:tl2br w:val="nil"/>
                    <w:tr2bl w:val="nil"/>
                  </w:tcBorders>
                  <w:noWrap w:val="0"/>
                  <w:vAlign w:val="center"/>
                </w:tcPr>
                <w:p w14:paraId="337B2039">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机械施工</w:t>
                  </w:r>
                </w:p>
              </w:tc>
              <w:tc>
                <w:tcPr>
                  <w:tcW w:w="449" w:type="pct"/>
                  <w:tcBorders>
                    <w:tl2br w:val="nil"/>
                    <w:tr2bl w:val="nil"/>
                  </w:tcBorders>
                  <w:noWrap w:val="0"/>
                  <w:vAlign w:val="center"/>
                </w:tcPr>
                <w:p w14:paraId="6A0C6416">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声环境</w:t>
                  </w:r>
                </w:p>
              </w:tc>
              <w:tc>
                <w:tcPr>
                  <w:tcW w:w="2134" w:type="pct"/>
                  <w:tcBorders>
                    <w:tl2br w:val="nil"/>
                    <w:tr2bl w:val="nil"/>
                  </w:tcBorders>
                  <w:noWrap w:val="0"/>
                  <w:vAlign w:val="center"/>
                </w:tcPr>
                <w:p w14:paraId="347C5354">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主要为建筑施工期间各种施工机械和运输车辆噪声，选用低噪声、低振动的施工机械设备和带有消声、隔音的附属设备，合理布置施工时间和布局，夜间禁止施工。</w:t>
                  </w:r>
                </w:p>
              </w:tc>
              <w:tc>
                <w:tcPr>
                  <w:tcW w:w="1164" w:type="pct"/>
                  <w:tcBorders>
                    <w:tl2br w:val="nil"/>
                    <w:tr2bl w:val="nil"/>
                  </w:tcBorders>
                  <w:noWrap w:val="0"/>
                  <w:vAlign w:val="center"/>
                </w:tcPr>
                <w:p w14:paraId="495D8D0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通过采取相关措施后可减少噪声对周围环境的影响。</w:t>
                  </w:r>
                </w:p>
              </w:tc>
            </w:tr>
            <w:tr w14:paraId="2C922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pct"/>
                  <w:gridSpan w:val="2"/>
                  <w:tcBorders>
                    <w:tl2br w:val="nil"/>
                    <w:tr2bl w:val="nil"/>
                  </w:tcBorders>
                  <w:noWrap w:val="0"/>
                  <w:vAlign w:val="center"/>
                </w:tcPr>
                <w:p w14:paraId="3664B914">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固废</w:t>
                  </w:r>
                </w:p>
              </w:tc>
              <w:tc>
                <w:tcPr>
                  <w:tcW w:w="643" w:type="pct"/>
                  <w:tcBorders>
                    <w:tl2br w:val="nil"/>
                    <w:tr2bl w:val="nil"/>
                  </w:tcBorders>
                  <w:noWrap w:val="0"/>
                  <w:vAlign w:val="center"/>
                </w:tcPr>
                <w:p w14:paraId="5E2AC261">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施工过程</w:t>
                  </w:r>
                </w:p>
              </w:tc>
              <w:tc>
                <w:tcPr>
                  <w:tcW w:w="449" w:type="pct"/>
                  <w:tcBorders>
                    <w:tl2br w:val="nil"/>
                    <w:tr2bl w:val="nil"/>
                  </w:tcBorders>
                  <w:noWrap w:val="0"/>
                  <w:vAlign w:val="center"/>
                </w:tcPr>
                <w:p w14:paraId="4BF4685A">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2134" w:type="pct"/>
                  <w:tcBorders>
                    <w:tl2br w:val="nil"/>
                    <w:tr2bl w:val="nil"/>
                  </w:tcBorders>
                  <w:noWrap w:val="0"/>
                  <w:vAlign w:val="center"/>
                </w:tcPr>
                <w:p w14:paraId="1E9271A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弃方主要是来自路基挖方，</w:t>
                  </w:r>
                  <w:r>
                    <w:rPr>
                      <w:rFonts w:hint="eastAsia" w:ascii="Times New Roman" w:hAnsi="Times New Roman" w:eastAsia="宋体" w:cs="Times New Roman"/>
                      <w:sz w:val="21"/>
                      <w:szCs w:val="21"/>
                      <w:vertAlign w:val="baseline"/>
                      <w:lang w:val="en-US" w:eastAsia="zh-CN"/>
                    </w:rPr>
                    <w:t>集中收集后</w:t>
                  </w:r>
                  <w:r>
                    <w:rPr>
                      <w:rFonts w:hint="default" w:ascii="Times New Roman" w:hAnsi="Times New Roman" w:eastAsia="宋体" w:cs="Times New Roman"/>
                      <w:sz w:val="21"/>
                      <w:szCs w:val="21"/>
                      <w:vertAlign w:val="baseline"/>
                      <w:lang w:val="en-US" w:eastAsia="zh-CN"/>
                    </w:rPr>
                    <w:t>运至项目依托的弃土场</w:t>
                  </w:r>
                  <w:r>
                    <w:rPr>
                      <w:rFonts w:hint="eastAsia" w:ascii="Times New Roman" w:hAnsi="Times New Roman" w:eastAsia="宋体" w:cs="Times New Roman"/>
                      <w:sz w:val="21"/>
                      <w:szCs w:val="21"/>
                      <w:vertAlign w:val="baseline"/>
                      <w:lang w:val="en-US" w:eastAsia="zh-CN"/>
                    </w:rPr>
                    <w:t>堆存处置；临时沉淀池泥沙集中收集后运至依托弃土场堆存</w:t>
                  </w:r>
                  <w:r>
                    <w:rPr>
                      <w:rFonts w:hint="default" w:ascii="Times New Roman" w:hAnsi="Times New Roman" w:eastAsia="宋体" w:cs="Times New Roman"/>
                      <w:sz w:val="21"/>
                      <w:szCs w:val="21"/>
                      <w:vertAlign w:val="baseline"/>
                      <w:lang w:val="en-US" w:eastAsia="zh-CN"/>
                    </w:rPr>
                    <w:t>；废沥青路面、建筑垃圾集中收集后运至政府指定地点堆存；生活垃圾由环卫部门统一处理，日产日清。</w:t>
                  </w:r>
                </w:p>
              </w:tc>
              <w:tc>
                <w:tcPr>
                  <w:tcW w:w="1164" w:type="pct"/>
                  <w:tcBorders>
                    <w:tl2br w:val="nil"/>
                    <w:tr2bl w:val="nil"/>
                  </w:tcBorders>
                  <w:noWrap w:val="0"/>
                  <w:vAlign w:val="center"/>
                </w:tcPr>
                <w:p w14:paraId="5255428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本项目施工期固体废物得到合理处置，不会对周围环境产生污染影响。</w:t>
                  </w:r>
                </w:p>
              </w:tc>
            </w:tr>
            <w:tr w14:paraId="49282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pct"/>
                  <w:gridSpan w:val="2"/>
                  <w:tcBorders>
                    <w:tl2br w:val="nil"/>
                    <w:tr2bl w:val="nil"/>
                  </w:tcBorders>
                  <w:noWrap w:val="0"/>
                  <w:vAlign w:val="center"/>
                </w:tcPr>
                <w:p w14:paraId="0955DB1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生态</w:t>
                  </w:r>
                </w:p>
              </w:tc>
              <w:tc>
                <w:tcPr>
                  <w:tcW w:w="643" w:type="pct"/>
                  <w:tcBorders>
                    <w:tl2br w:val="nil"/>
                    <w:tr2bl w:val="nil"/>
                  </w:tcBorders>
                  <w:noWrap w:val="0"/>
                  <w:vAlign w:val="center"/>
                </w:tcPr>
                <w:p w14:paraId="5772BACF">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施工过程</w:t>
                  </w:r>
                </w:p>
              </w:tc>
              <w:tc>
                <w:tcPr>
                  <w:tcW w:w="449" w:type="pct"/>
                  <w:tcBorders>
                    <w:tl2br w:val="nil"/>
                    <w:tr2bl w:val="nil"/>
                  </w:tcBorders>
                  <w:noWrap w:val="0"/>
                  <w:vAlign w:val="center"/>
                </w:tcPr>
                <w:p w14:paraId="074D12E4">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生态环境</w:t>
                  </w:r>
                </w:p>
              </w:tc>
              <w:tc>
                <w:tcPr>
                  <w:tcW w:w="2134" w:type="pct"/>
                  <w:tcBorders>
                    <w:tl2br w:val="nil"/>
                    <w:tr2bl w:val="nil"/>
                  </w:tcBorders>
                  <w:noWrap w:val="0"/>
                  <w:vAlign w:val="center"/>
                </w:tcPr>
                <w:p w14:paraId="7966047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加强施工管理，做好施工组织设计，科学规划施工场地，合理安排施工进度，避开大风和雨天施工。减少公路临时占地，做好临时用地的恢复工作；施工便道清理的表土、临时弃土采用苫布遮盖。保护植被，及时恢复被破坏的地表植被；做好水土保持工作，加强各道路沿线绿化和临时占地恢复。</w:t>
                  </w:r>
                </w:p>
              </w:tc>
              <w:tc>
                <w:tcPr>
                  <w:tcW w:w="1164" w:type="pct"/>
                  <w:tcBorders>
                    <w:tl2br w:val="nil"/>
                    <w:tr2bl w:val="nil"/>
                  </w:tcBorders>
                  <w:noWrap w:val="0"/>
                  <w:vAlign w:val="center"/>
                </w:tcPr>
                <w:p w14:paraId="1353A5D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本项目施工过程主要生态环境影响表现在工程占地对植被等自然环境的影响，通过采取避让等措施最大程度减少生态破坏。</w:t>
                  </w:r>
                </w:p>
              </w:tc>
            </w:tr>
          </w:tbl>
          <w:p w14:paraId="4D2E6F94">
            <w:pPr>
              <w:rPr>
                <w:rFonts w:hint="default"/>
              </w:rPr>
            </w:pPr>
          </w:p>
        </w:tc>
      </w:tr>
      <w:tr w14:paraId="0B8AD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2" w:type="pct"/>
            <w:tcBorders>
              <w:tl2br w:val="nil"/>
              <w:tr2bl w:val="nil"/>
            </w:tcBorders>
            <w:noWrap w:val="0"/>
            <w:tcMar>
              <w:left w:w="28" w:type="dxa"/>
              <w:right w:w="28" w:type="dxa"/>
            </w:tcMar>
            <w:vAlign w:val="center"/>
          </w:tcPr>
          <w:p w14:paraId="70E44E0C">
            <w:pPr>
              <w:pStyle w:val="24"/>
              <w:pageBreakBefore w:val="0"/>
              <w:wordWrap/>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bCs/>
                <w:caps w:val="0"/>
                <w:smallCaps w:val="0"/>
                <w:color w:val="auto"/>
                <w:spacing w:val="0"/>
                <w:w w:val="100"/>
                <w:kern w:val="2"/>
                <w:position w:val="0"/>
                <w:sz w:val="24"/>
                <w:szCs w:val="24"/>
                <w:highlight w:val="none"/>
              </w:rPr>
            </w:pPr>
            <w:r>
              <w:rPr>
                <w:rFonts w:hint="default" w:ascii="Times New Roman" w:hAnsi="Times New Roman" w:eastAsia="宋体" w:cs="Times New Roman"/>
                <w:bCs/>
                <w:caps w:val="0"/>
                <w:smallCaps w:val="0"/>
                <w:color w:val="auto"/>
                <w:spacing w:val="0"/>
                <w:w w:val="100"/>
                <w:kern w:val="2"/>
                <w:position w:val="0"/>
                <w:sz w:val="24"/>
                <w:szCs w:val="24"/>
                <w:highlight w:val="none"/>
              </w:rPr>
              <w:t>运营期生态环境影响分析</w:t>
            </w:r>
          </w:p>
        </w:tc>
        <w:tc>
          <w:tcPr>
            <w:tcW w:w="4617" w:type="pct"/>
            <w:tcBorders>
              <w:tl2br w:val="nil"/>
              <w:tr2bl w:val="nil"/>
            </w:tcBorders>
            <w:noWrap w:val="0"/>
            <w:vAlign w:val="top"/>
          </w:tcPr>
          <w:p w14:paraId="7A5A09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caps w:val="0"/>
                <w:smallCaps w:val="0"/>
                <w:color w:val="auto"/>
                <w:spacing w:val="0"/>
                <w:w w:val="100"/>
                <w:kern w:val="2"/>
                <w:position w:val="0"/>
                <w:sz w:val="24"/>
                <w:szCs w:val="24"/>
                <w:highlight w:val="none"/>
                <w:lang w:val="en-US" w:eastAsia="zh-CN"/>
              </w:rPr>
              <w:t>1、</w:t>
            </w: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运营期大气环境影响分析</w:t>
            </w:r>
          </w:p>
          <w:p w14:paraId="5C576E3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项目不设置公路服务设施，公路运营期大气污染源主要为汽车尾气及道路扬尘。</w:t>
            </w:r>
          </w:p>
          <w:p w14:paraId="7DC6BFD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（1）汽车尾气</w:t>
            </w:r>
          </w:p>
          <w:p w14:paraId="7B057C1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项目建成运营后，主要的大气污染源是汽车尾气污染物的排放，污染物包括CO、NO</w:t>
            </w:r>
            <w:r>
              <w:rPr>
                <w:color w:val="auto"/>
                <w:sz w:val="24"/>
                <w:vertAlign w:val="subscript"/>
              </w:rPr>
              <w:t>x</w:t>
            </w:r>
            <w:r>
              <w:rPr>
                <w:color w:val="auto"/>
                <w:sz w:val="24"/>
              </w:rPr>
              <w:t>及THC。</w:t>
            </w:r>
          </w:p>
          <w:p w14:paraId="16D05C2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公路为开放式的扩散空间，且单辆汽车为移动式污染源，整个公路可看作很长路段的线状污染源，汽车尾气相对于长路段来说，扩散至公路两侧一定距离处，各项目污染物浓度较低。本项目沿线较为空旷，扩散条件较好，不会对环境空气产生很大影响。另外随着我国执行单车排放标准的不断提高，单车尾气的排放量将会不断降低，项目通车运营后不会对沿线环境空气产生较明显的影响。</w:t>
            </w:r>
          </w:p>
          <w:p w14:paraId="6643983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（2）道路扬尘</w:t>
            </w:r>
          </w:p>
          <w:p w14:paraId="1E1BA0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caps w:val="0"/>
                <w:smallCaps w:val="0"/>
                <w:color w:val="auto"/>
                <w:spacing w:val="0"/>
                <w:w w:val="100"/>
                <w:kern w:val="2"/>
                <w:position w:val="0"/>
                <w:sz w:val="24"/>
                <w:highlight w:val="none"/>
                <w:lang w:val="en-US" w:eastAsia="zh-CN"/>
              </w:rPr>
            </w:pPr>
            <w:r>
              <w:rPr>
                <w:color w:val="auto"/>
                <w:sz w:val="24"/>
              </w:rPr>
              <w:t>运营期道路扬尘主要是车辆物料洒落及道路积尘扬起而产生的二次扬尘污染，本工程采用沥青混凝土路面，起尘量较少，此外，项目运营期加强对路面</w:t>
            </w:r>
            <w:r>
              <w:rPr>
                <w:rFonts w:hint="eastAsia"/>
                <w:color w:val="auto"/>
                <w:sz w:val="24"/>
                <w:lang w:val="en-US" w:eastAsia="zh-CN"/>
              </w:rPr>
              <w:t>维护</w:t>
            </w:r>
            <w:r>
              <w:rPr>
                <w:color w:val="auto"/>
                <w:sz w:val="24"/>
              </w:rPr>
              <w:t>、清扫保洁等措施后，道路扬尘对周围大气环境影响较小</w:t>
            </w:r>
            <w:r>
              <w:rPr>
                <w:rFonts w:hint="default" w:ascii="Times New Roman" w:hAnsi="Times New Roman" w:eastAsia="宋体" w:cs="Times New Roman"/>
                <w:b w:val="0"/>
                <w:bCs/>
                <w:caps w:val="0"/>
                <w:smallCaps w:val="0"/>
                <w:color w:val="auto"/>
                <w:spacing w:val="0"/>
                <w:w w:val="100"/>
                <w:kern w:val="2"/>
                <w:position w:val="0"/>
                <w:sz w:val="24"/>
                <w:highlight w:val="none"/>
                <w:lang w:val="en-US" w:eastAsia="zh-CN"/>
              </w:rPr>
              <w:t>。</w:t>
            </w:r>
          </w:p>
          <w:p w14:paraId="4FB2F2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val="0"/>
                <w:bCs w:val="0"/>
                <w:caps w:val="0"/>
                <w:smallCaps w:val="0"/>
                <w:color w:val="auto"/>
                <w:spacing w:val="0"/>
                <w:w w:val="100"/>
                <w:kern w:val="2"/>
                <w:position w:val="0"/>
                <w:sz w:val="24"/>
                <w:highlight w:val="none"/>
                <w:lang w:eastAsia="zh-CN"/>
              </w:rPr>
            </w:pPr>
            <w:r>
              <w:rPr>
                <w:rFonts w:hint="eastAsia" w:ascii="Times New Roman" w:hAnsi="Times New Roman" w:eastAsia="宋体" w:cs="Times New Roman"/>
                <w:b/>
                <w:caps w:val="0"/>
                <w:smallCaps w:val="0"/>
                <w:color w:val="auto"/>
                <w:spacing w:val="0"/>
                <w:w w:val="100"/>
                <w:kern w:val="2"/>
                <w:position w:val="0"/>
                <w:sz w:val="24"/>
                <w:highlight w:val="none"/>
                <w:lang w:val="en-US" w:eastAsia="zh-CN"/>
              </w:rPr>
              <w:t>2、</w:t>
            </w:r>
            <w:r>
              <w:rPr>
                <w:rFonts w:hint="default" w:ascii="Times New Roman" w:hAnsi="Times New Roman" w:eastAsia="宋体" w:cs="Times New Roman"/>
                <w:b/>
                <w:caps w:val="0"/>
                <w:smallCaps w:val="0"/>
                <w:color w:val="auto"/>
                <w:spacing w:val="0"/>
                <w:w w:val="100"/>
                <w:kern w:val="2"/>
                <w:position w:val="0"/>
                <w:sz w:val="24"/>
                <w:highlight w:val="none"/>
                <w:lang w:val="en-US" w:eastAsia="zh-CN"/>
              </w:rPr>
              <w:t>运营期水环境影响分析</w:t>
            </w:r>
          </w:p>
          <w:p w14:paraId="6721A79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（1）地表水环境影响分析</w:t>
            </w:r>
          </w:p>
          <w:p w14:paraId="4D3647B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项目不设服务区、收费站、管理处等集中服务设施，运营期不排放污水，运营期废水主要为雨天路面径流。</w:t>
            </w:r>
          </w:p>
          <w:p w14:paraId="26413E1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在公路建成投入运营后，废水主要为雨季路面产生的地表径流，路面径流的主要污染物为COD、石油类、SS等。影响路面径流污染物浓度的因素很多，包括降雨量、降雨时间、与车流量有关的路面及大气污染程度、两场降雨之间的间隔时间、路面宽度、长度等。由于各种因素随机性强，偶然性大，所以典型的路面径流雨水污染物浓度较难确定。</w:t>
            </w:r>
          </w:p>
          <w:p w14:paraId="32364EB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根据有关公路路面雨水径流实测资料，降雨初期30min内，路面径流污染物平均浓度为pH值6.4、SS100mg/L、BOD</w:t>
            </w:r>
            <w:r>
              <w:rPr>
                <w:color w:val="auto"/>
                <w:sz w:val="24"/>
                <w:vertAlign w:val="subscript"/>
              </w:rPr>
              <w:t>5</w:t>
            </w:r>
            <w:r>
              <w:rPr>
                <w:color w:val="auto"/>
                <w:sz w:val="24"/>
              </w:rPr>
              <w:t>.08mg/L、石油类11.25mg/L，降雨历时30min后，路面基本被冲洗干净，污染物含量较低，再经边坡对污染物的吸附等作用后，使污染物浓度变得更低，对水环境的影响是极其微弱的，不会对沿线水环境产生明显影响。</w:t>
            </w:r>
          </w:p>
          <w:p w14:paraId="67CF411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综上所述，项目运营期不会对沿线水环境产生明显影响。</w:t>
            </w:r>
          </w:p>
          <w:p w14:paraId="6B8455B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（2）地下水环境影响分析</w:t>
            </w:r>
          </w:p>
          <w:p w14:paraId="1693E16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根据《环境影响评价技术导则 地下水环境》（HJ610-2016），按照建设项目对地下水环境影响的程度，结合《建设项目环境影响评价分类管理名录》，将建设项目分为四类。Ⅰ类、Ⅱ类、Ⅲ类建设项目的地下水环境影响评价执行相应等级评价，Ⅳ类建设项目不开展地下水环境影响评价。</w:t>
            </w:r>
          </w:p>
          <w:p w14:paraId="7C66A0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pPr>
            <w:r>
              <w:rPr>
                <w:color w:val="auto"/>
                <w:sz w:val="24"/>
              </w:rPr>
              <w:t>对照《环境影响评价技术导则 地下水环境》（HJ610-2016）附录A，本工程为公路建设项目，属于Ⅳ类建设项目。因此，项目不开展地下水环境影响评价</w:t>
            </w:r>
            <w:r>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t>。</w:t>
            </w:r>
          </w:p>
          <w:p w14:paraId="47EA30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eastAsia" w:ascii="Times New Roman" w:hAnsi="Times New Roman" w:eastAsia="宋体" w:cs="Times New Roman"/>
                <w:b/>
                <w:bCs/>
                <w:caps w:val="0"/>
                <w:smallCaps w:val="0"/>
                <w:color w:val="auto"/>
                <w:spacing w:val="0"/>
                <w:w w:val="100"/>
                <w:kern w:val="2"/>
                <w:position w:val="0"/>
                <w:sz w:val="24"/>
                <w:highlight w:val="none"/>
                <w:lang w:eastAsia="zh-CN"/>
              </w:rPr>
            </w:pPr>
            <w:r>
              <w:rPr>
                <w:rFonts w:hint="default" w:ascii="Times New Roman" w:hAnsi="Times New Roman" w:eastAsia="宋体" w:cs="Times New Roman"/>
                <w:b/>
                <w:bCs/>
                <w:caps w:val="0"/>
                <w:smallCaps w:val="0"/>
                <w:color w:val="auto"/>
                <w:spacing w:val="0"/>
                <w:w w:val="100"/>
                <w:kern w:val="2"/>
                <w:position w:val="0"/>
                <w:sz w:val="24"/>
                <w:highlight w:val="none"/>
              </w:rPr>
              <w:t>4运营期噪声环境影响分析</w:t>
            </w:r>
          </w:p>
          <w:p w14:paraId="7E60B5BC">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color w:val="auto"/>
                <w:sz w:val="24"/>
                <w:szCs w:val="20"/>
              </w:rPr>
              <w:t>项目运营期道路上行驶的机动车辆，其发动机、冷却系统、传动系统、鸣笛等部件均会产生噪声；车辆行驶中引起的气流湍动、排气系统、轮胎与路面的</w:t>
            </w:r>
            <w:r>
              <w:rPr>
                <w:rFonts w:hint="eastAsia"/>
                <w:color w:val="auto"/>
                <w:sz w:val="24"/>
                <w:szCs w:val="20"/>
              </w:rPr>
              <w:t>摩擦等</w:t>
            </w:r>
            <w:r>
              <w:rPr>
                <w:color w:val="auto"/>
                <w:sz w:val="24"/>
                <w:szCs w:val="20"/>
              </w:rPr>
              <w:t>也会产生噪声</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w:t>
            </w:r>
          </w:p>
          <w:p w14:paraId="38B0DE0D">
            <w:pPr>
              <w:pStyle w:val="62"/>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480" w:firstLineChars="200"/>
              <w:jc w:val="left"/>
              <w:textAlignment w:val="auto"/>
              <w:rPr>
                <w:color w:val="auto"/>
                <w:sz w:val="24"/>
                <w:szCs w:val="24"/>
              </w:rPr>
            </w:pPr>
            <w:r>
              <w:rPr>
                <w:rFonts w:hint="eastAsia" w:ascii="Times New Roman" w:hAnsi="Times New Roman" w:eastAsia="宋体" w:cs="Times New Roman"/>
                <w:b w:val="0"/>
                <w:color w:val="auto"/>
                <w:kern w:val="2"/>
                <w:sz w:val="24"/>
                <w:szCs w:val="20"/>
                <w:lang w:val="en-US" w:eastAsia="zh-CN" w:bidi="ar-SA"/>
              </w:rPr>
              <w:t>根据现场勘察及设计资料可知，本项目周边无声环境保护目标</w:t>
            </w:r>
            <w:r>
              <w:rPr>
                <w:rFonts w:hint="eastAsia"/>
                <w:b w:val="0"/>
                <w:bCs/>
                <w:color w:val="auto"/>
                <w:sz w:val="24"/>
                <w:szCs w:val="24"/>
                <w:lang w:val="en-US" w:eastAsia="zh-CN"/>
              </w:rPr>
              <w:t>。本项目建成后可对该区域车流量进行分摊，考虑该路段交通噪声影响，因此本次评价采用环安科技噪声预测系统对该路段进行了近期、中期及远期噪声预测，预测结果如下：</w:t>
            </w:r>
          </w:p>
          <w:p w14:paraId="1174C069">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71C4EE44">
            <w:pPr>
              <w:pStyle w:val="22"/>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7A4B56A6">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147AB07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cs="Times New Roman"/>
                <w:caps w:val="0"/>
                <w:smallCaps w:val="0"/>
                <w:color w:val="auto"/>
                <w:spacing w:val="0"/>
                <w:w w:val="100"/>
                <w:kern w:val="2"/>
                <w:position w:val="0"/>
                <w:highlight w:val="none"/>
                <w:lang w:val="en-US" w:eastAsia="zh-CN"/>
              </w:rPr>
            </w:pPr>
          </w:p>
        </w:tc>
      </w:tr>
    </w:tbl>
    <w:p w14:paraId="4713A950">
      <w:pPr>
        <w:pStyle w:val="24"/>
        <w:pageBreakBefore w:val="0"/>
        <w:wordWrap/>
        <w:topLinePunct w:val="0"/>
        <w:bidi w:val="0"/>
        <w:spacing w:before="0" w:beforeAutospacing="0" w:after="0" w:afterAutospacing="0"/>
        <w:ind w:left="0" w:leftChars="0"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14174"/>
      </w:tblGrid>
      <w:tr w14:paraId="09CBECE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14174" w:type="dxa"/>
            <w:tcBorders>
              <w:tl2br w:val="nil"/>
              <w:tr2bl w:val="nil"/>
            </w:tcBorders>
            <w:noWrap w:val="0"/>
            <w:vAlign w:val="top"/>
          </w:tcPr>
          <w:p w14:paraId="38BFFAE8">
            <w:pPr>
              <w:spacing w:line="440" w:lineRule="exact"/>
              <w:ind w:firstLine="482" w:firstLineChars="200"/>
              <w:rPr>
                <w:rFonts w:ascii="Times New Roman" w:hAnsi="Times New Roman" w:eastAsia="宋体" w:cs="Times New Roman"/>
                <w:color w:val="auto"/>
                <w:sz w:val="24"/>
                <w:szCs w:val="20"/>
              </w:rPr>
            </w:pPr>
            <w:r>
              <w:rPr>
                <w:rFonts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4-8</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 xml:space="preserve">                                  公路</w:t>
            </w:r>
            <w:r>
              <w:rPr>
                <w:rFonts w:hint="eastAsia" w:ascii="Times New Roman" w:hAnsi="Times New Roman" w:eastAsia="宋体" w:cs="Times New Roman"/>
                <w:b/>
                <w:color w:val="auto"/>
                <w:sz w:val="24"/>
              </w:rPr>
              <w:t>道路噪声源强调查</w:t>
            </w:r>
            <w:r>
              <w:rPr>
                <w:rFonts w:hint="eastAsia" w:ascii="Times New Roman" w:hAnsi="Times New Roman" w:eastAsia="宋体" w:cs="Times New Roman"/>
                <w:b/>
                <w:color w:val="auto"/>
                <w:sz w:val="24"/>
                <w:lang w:val="en-US" w:eastAsia="zh-CN"/>
              </w:rPr>
              <w:t>清单</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39"/>
              <w:gridCol w:w="740"/>
              <w:gridCol w:w="742"/>
              <w:gridCol w:w="594"/>
              <w:gridCol w:w="742"/>
              <w:gridCol w:w="740"/>
              <w:gridCol w:w="751"/>
              <w:gridCol w:w="740"/>
              <w:gridCol w:w="742"/>
              <w:gridCol w:w="740"/>
              <w:gridCol w:w="742"/>
              <w:gridCol w:w="740"/>
              <w:gridCol w:w="751"/>
              <w:gridCol w:w="740"/>
              <w:gridCol w:w="742"/>
              <w:gridCol w:w="740"/>
              <w:gridCol w:w="742"/>
              <w:gridCol w:w="740"/>
              <w:gridCol w:w="748"/>
            </w:tblGrid>
            <w:tr w14:paraId="45EA6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tblHeader/>
                <w:jc w:val="center"/>
              </w:trPr>
              <w:tc>
                <w:tcPr>
                  <w:tcW w:w="265" w:type="pct"/>
                  <w:vMerge w:val="restart"/>
                  <w:tcBorders>
                    <w:tl2br w:val="nil"/>
                    <w:tr2bl w:val="nil"/>
                  </w:tcBorders>
                  <w:noWrap w:val="0"/>
                  <w:vAlign w:val="center"/>
                </w:tcPr>
                <w:p w14:paraId="64BC0876">
                  <w:pPr>
                    <w:adjustRightInd w:val="0"/>
                    <w:snapToGrid w:val="0"/>
                    <w:jc w:val="center"/>
                    <w:rPr>
                      <w:rFonts w:hint="default" w:ascii="Times New Roman" w:hAnsi="Times New Roman" w:eastAsia="宋体" w:cs="Times New Roman"/>
                      <w:b w:val="0"/>
                      <w:bCs w:val="0"/>
                      <w:color w:val="302116"/>
                      <w:sz w:val="21"/>
                      <w:szCs w:val="21"/>
                      <w:lang w:val="en-US" w:eastAsia="zh-CN"/>
                    </w:rPr>
                  </w:pPr>
                  <w:r>
                    <w:rPr>
                      <w:rFonts w:hint="default" w:ascii="Times New Roman" w:hAnsi="Times New Roman" w:eastAsia="宋体" w:cs="Times New Roman"/>
                      <w:b w:val="0"/>
                      <w:bCs w:val="0"/>
                      <w:color w:val="302116"/>
                      <w:sz w:val="21"/>
                      <w:szCs w:val="21"/>
                      <w:lang w:val="en-US" w:eastAsia="zh-CN"/>
                    </w:rPr>
                    <w:t>时期</w:t>
                  </w:r>
                </w:p>
              </w:tc>
              <w:tc>
                <w:tcPr>
                  <w:tcW w:w="1543" w:type="pct"/>
                  <w:gridSpan w:val="6"/>
                  <w:tcBorders>
                    <w:tl2br w:val="nil"/>
                    <w:tr2bl w:val="nil"/>
                  </w:tcBorders>
                  <w:noWrap w:val="0"/>
                  <w:vAlign w:val="center"/>
                </w:tcPr>
                <w:p w14:paraId="6452F711">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车流量/（</w:t>
                  </w:r>
                  <w:r>
                    <w:rPr>
                      <w:rFonts w:hint="default" w:ascii="Times New Roman" w:hAnsi="Times New Roman" w:eastAsia="宋体" w:cs="Times New Roman"/>
                      <w:b w:val="0"/>
                      <w:bCs w:val="0"/>
                      <w:color w:val="302116"/>
                      <w:sz w:val="21"/>
                      <w:szCs w:val="21"/>
                      <w:lang w:eastAsia="zh-CN"/>
                    </w:rPr>
                    <w:t>辆/h</w:t>
                  </w:r>
                  <w:r>
                    <w:rPr>
                      <w:rFonts w:hint="default" w:ascii="Times New Roman" w:hAnsi="Times New Roman" w:eastAsia="宋体" w:cs="Times New Roman"/>
                      <w:b w:val="0"/>
                      <w:bCs w:val="0"/>
                      <w:color w:val="302116"/>
                      <w:sz w:val="21"/>
                      <w:szCs w:val="21"/>
                      <w:lang w:val="en-US" w:eastAsia="zh-CN"/>
                    </w:rPr>
                    <w:t>）</w:t>
                  </w:r>
                </w:p>
              </w:tc>
              <w:tc>
                <w:tcPr>
                  <w:tcW w:w="1595" w:type="pct"/>
                  <w:gridSpan w:val="6"/>
                  <w:tcBorders>
                    <w:tl2br w:val="nil"/>
                    <w:tr2bl w:val="nil"/>
                  </w:tcBorders>
                  <w:noWrap w:val="0"/>
                  <w:vAlign w:val="center"/>
                </w:tcPr>
                <w:p w14:paraId="5F11C2B8">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车速</w:t>
                  </w:r>
                  <w:r>
                    <w:rPr>
                      <w:rFonts w:hint="default" w:ascii="Times New Roman" w:hAnsi="Times New Roman" w:eastAsia="宋体" w:cs="Times New Roman"/>
                      <w:b w:val="0"/>
                      <w:bCs w:val="0"/>
                      <w:color w:val="302116"/>
                      <w:sz w:val="21"/>
                      <w:szCs w:val="21"/>
                      <w:lang w:val="en-US" w:eastAsia="zh-CN"/>
                    </w:rPr>
                    <w:t>/（</w:t>
                  </w:r>
                  <w:r>
                    <w:rPr>
                      <w:rFonts w:hint="default" w:ascii="Times New Roman" w:hAnsi="Times New Roman" w:eastAsia="宋体" w:cs="Times New Roman"/>
                      <w:b w:val="0"/>
                      <w:bCs w:val="0"/>
                      <w:color w:val="302116"/>
                      <w:sz w:val="21"/>
                      <w:szCs w:val="21"/>
                      <w:lang w:eastAsia="zh-CN"/>
                    </w:rPr>
                    <w:t>km/h</w:t>
                  </w:r>
                  <w:r>
                    <w:rPr>
                      <w:rFonts w:hint="default" w:ascii="Times New Roman" w:hAnsi="Times New Roman" w:eastAsia="宋体" w:cs="Times New Roman"/>
                      <w:b w:val="0"/>
                      <w:bCs w:val="0"/>
                      <w:color w:val="302116"/>
                      <w:sz w:val="21"/>
                      <w:szCs w:val="21"/>
                      <w:lang w:val="en-US" w:eastAsia="zh-CN"/>
                    </w:rPr>
                    <w:t>）</w:t>
                  </w:r>
                </w:p>
              </w:tc>
              <w:tc>
                <w:tcPr>
                  <w:tcW w:w="1595" w:type="pct"/>
                  <w:gridSpan w:val="6"/>
                  <w:tcBorders>
                    <w:tl2br w:val="nil"/>
                    <w:tr2bl w:val="nil"/>
                  </w:tcBorders>
                  <w:noWrap w:val="0"/>
                  <w:vAlign w:val="center"/>
                </w:tcPr>
                <w:p w14:paraId="69057289">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源强/</w:t>
                  </w:r>
                  <w:r>
                    <w:rPr>
                      <w:rFonts w:hint="default" w:ascii="Times New Roman" w:hAnsi="Times New Roman" w:eastAsia="宋体" w:cs="Times New Roman"/>
                      <w:b w:val="0"/>
                      <w:bCs w:val="0"/>
                      <w:color w:val="302116"/>
                      <w:sz w:val="21"/>
                      <w:szCs w:val="21"/>
                      <w:lang w:eastAsia="zh-CN"/>
                    </w:rPr>
                    <w:t>dB(A)</w:t>
                  </w:r>
                </w:p>
              </w:tc>
            </w:tr>
            <w:tr w14:paraId="3251A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tblHeader/>
                <w:jc w:val="center"/>
              </w:trPr>
              <w:tc>
                <w:tcPr>
                  <w:tcW w:w="265" w:type="pct"/>
                  <w:vMerge w:val="continue"/>
                  <w:tcBorders>
                    <w:tl2br w:val="nil"/>
                    <w:tr2bl w:val="nil"/>
                  </w:tcBorders>
                  <w:noWrap w:val="0"/>
                  <w:vAlign w:val="center"/>
                </w:tcPr>
                <w:p w14:paraId="1F537D35">
                  <w:pPr>
                    <w:adjustRightInd w:val="0"/>
                    <w:snapToGrid w:val="0"/>
                    <w:jc w:val="center"/>
                    <w:rPr>
                      <w:rFonts w:hint="default" w:ascii="Times New Roman" w:hAnsi="Times New Roman" w:eastAsia="宋体" w:cs="Times New Roman"/>
                      <w:b w:val="0"/>
                      <w:bCs w:val="0"/>
                      <w:color w:val="302116"/>
                      <w:sz w:val="21"/>
                      <w:szCs w:val="21"/>
                      <w:lang w:eastAsia="zh-CN"/>
                    </w:rPr>
                  </w:pPr>
                </w:p>
              </w:tc>
              <w:tc>
                <w:tcPr>
                  <w:tcW w:w="531" w:type="pct"/>
                  <w:gridSpan w:val="2"/>
                  <w:tcBorders>
                    <w:tl2br w:val="nil"/>
                    <w:tr2bl w:val="nil"/>
                  </w:tcBorders>
                  <w:noWrap w:val="0"/>
                  <w:vAlign w:val="center"/>
                </w:tcPr>
                <w:p w14:paraId="53AAC6E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小型车</w:t>
                  </w:r>
                </w:p>
              </w:tc>
              <w:tc>
                <w:tcPr>
                  <w:tcW w:w="479" w:type="pct"/>
                  <w:gridSpan w:val="2"/>
                  <w:tcBorders>
                    <w:tl2br w:val="nil"/>
                    <w:tr2bl w:val="nil"/>
                  </w:tcBorders>
                  <w:noWrap w:val="0"/>
                  <w:tcMar>
                    <w:left w:w="0" w:type="dxa"/>
                    <w:right w:w="0" w:type="dxa"/>
                  </w:tcMar>
                  <w:vAlign w:val="center"/>
                </w:tcPr>
                <w:p w14:paraId="7D4CC76E">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中</w:t>
                  </w:r>
                  <w:r>
                    <w:rPr>
                      <w:rFonts w:hint="default" w:ascii="Times New Roman" w:hAnsi="Times New Roman" w:eastAsia="宋体" w:cs="Times New Roman"/>
                      <w:b w:val="0"/>
                      <w:bCs w:val="0"/>
                      <w:color w:val="302116"/>
                      <w:sz w:val="21"/>
                      <w:szCs w:val="21"/>
                      <w:lang w:eastAsia="zh-CN"/>
                    </w:rPr>
                    <w:t>型车</w:t>
                  </w:r>
                </w:p>
              </w:tc>
              <w:tc>
                <w:tcPr>
                  <w:tcW w:w="532" w:type="pct"/>
                  <w:gridSpan w:val="2"/>
                  <w:tcBorders>
                    <w:tl2br w:val="nil"/>
                    <w:tr2bl w:val="nil"/>
                  </w:tcBorders>
                  <w:noWrap w:val="0"/>
                  <w:vAlign w:val="center"/>
                </w:tcPr>
                <w:p w14:paraId="15503FD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大</w:t>
                  </w:r>
                  <w:r>
                    <w:rPr>
                      <w:rFonts w:hint="default" w:ascii="Times New Roman" w:hAnsi="Times New Roman" w:eastAsia="宋体" w:cs="Times New Roman"/>
                      <w:b w:val="0"/>
                      <w:bCs w:val="0"/>
                      <w:color w:val="302116"/>
                      <w:sz w:val="21"/>
                      <w:szCs w:val="21"/>
                      <w:lang w:eastAsia="zh-CN"/>
                    </w:rPr>
                    <w:t>型车</w:t>
                  </w:r>
                </w:p>
              </w:tc>
              <w:tc>
                <w:tcPr>
                  <w:tcW w:w="531" w:type="pct"/>
                  <w:gridSpan w:val="2"/>
                  <w:tcBorders>
                    <w:tl2br w:val="nil"/>
                    <w:tr2bl w:val="nil"/>
                  </w:tcBorders>
                  <w:noWrap w:val="0"/>
                  <w:vAlign w:val="center"/>
                </w:tcPr>
                <w:p w14:paraId="60DDA6BC">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小型车</w:t>
                  </w:r>
                </w:p>
              </w:tc>
              <w:tc>
                <w:tcPr>
                  <w:tcW w:w="531" w:type="pct"/>
                  <w:gridSpan w:val="2"/>
                  <w:tcBorders>
                    <w:tl2br w:val="nil"/>
                    <w:tr2bl w:val="nil"/>
                  </w:tcBorders>
                  <w:noWrap w:val="0"/>
                  <w:vAlign w:val="center"/>
                </w:tcPr>
                <w:p w14:paraId="78C10C6F">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中</w:t>
                  </w:r>
                  <w:r>
                    <w:rPr>
                      <w:rFonts w:hint="default" w:ascii="Times New Roman" w:hAnsi="Times New Roman" w:eastAsia="宋体" w:cs="Times New Roman"/>
                      <w:b w:val="0"/>
                      <w:bCs w:val="0"/>
                      <w:color w:val="302116"/>
                      <w:sz w:val="21"/>
                      <w:szCs w:val="21"/>
                      <w:lang w:eastAsia="zh-CN"/>
                    </w:rPr>
                    <w:t>型车</w:t>
                  </w:r>
                </w:p>
              </w:tc>
              <w:tc>
                <w:tcPr>
                  <w:tcW w:w="532" w:type="pct"/>
                  <w:gridSpan w:val="2"/>
                  <w:tcBorders>
                    <w:tl2br w:val="nil"/>
                    <w:tr2bl w:val="nil"/>
                  </w:tcBorders>
                  <w:noWrap w:val="0"/>
                  <w:vAlign w:val="center"/>
                </w:tcPr>
                <w:p w14:paraId="5FE2F6A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大</w:t>
                  </w:r>
                  <w:r>
                    <w:rPr>
                      <w:rFonts w:hint="default" w:ascii="Times New Roman" w:hAnsi="Times New Roman" w:eastAsia="宋体" w:cs="Times New Roman"/>
                      <w:b w:val="0"/>
                      <w:bCs w:val="0"/>
                      <w:color w:val="302116"/>
                      <w:sz w:val="21"/>
                      <w:szCs w:val="21"/>
                      <w:lang w:eastAsia="zh-CN"/>
                    </w:rPr>
                    <w:t>型车</w:t>
                  </w:r>
                </w:p>
              </w:tc>
              <w:tc>
                <w:tcPr>
                  <w:tcW w:w="531" w:type="pct"/>
                  <w:gridSpan w:val="2"/>
                  <w:tcBorders>
                    <w:tl2br w:val="nil"/>
                    <w:tr2bl w:val="nil"/>
                  </w:tcBorders>
                  <w:noWrap w:val="0"/>
                  <w:vAlign w:val="center"/>
                </w:tcPr>
                <w:p w14:paraId="452889D4">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小型车</w:t>
                  </w:r>
                </w:p>
              </w:tc>
              <w:tc>
                <w:tcPr>
                  <w:tcW w:w="531" w:type="pct"/>
                  <w:gridSpan w:val="2"/>
                  <w:tcBorders>
                    <w:tl2br w:val="nil"/>
                    <w:tr2bl w:val="nil"/>
                  </w:tcBorders>
                  <w:noWrap w:val="0"/>
                  <w:vAlign w:val="center"/>
                </w:tcPr>
                <w:p w14:paraId="4D607732">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中</w:t>
                  </w:r>
                  <w:r>
                    <w:rPr>
                      <w:rFonts w:hint="default" w:ascii="Times New Roman" w:hAnsi="Times New Roman" w:eastAsia="宋体" w:cs="Times New Roman"/>
                      <w:b w:val="0"/>
                      <w:bCs w:val="0"/>
                      <w:color w:val="302116"/>
                      <w:sz w:val="21"/>
                      <w:szCs w:val="21"/>
                      <w:lang w:eastAsia="zh-CN"/>
                    </w:rPr>
                    <w:t>型车</w:t>
                  </w:r>
                </w:p>
              </w:tc>
              <w:tc>
                <w:tcPr>
                  <w:tcW w:w="532" w:type="pct"/>
                  <w:gridSpan w:val="2"/>
                  <w:tcBorders>
                    <w:tl2br w:val="nil"/>
                    <w:tr2bl w:val="nil"/>
                  </w:tcBorders>
                  <w:noWrap w:val="0"/>
                  <w:vAlign w:val="center"/>
                </w:tcPr>
                <w:p w14:paraId="718DF7CF">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大</w:t>
                  </w:r>
                  <w:r>
                    <w:rPr>
                      <w:rFonts w:hint="default" w:ascii="Times New Roman" w:hAnsi="Times New Roman" w:eastAsia="宋体" w:cs="Times New Roman"/>
                      <w:b w:val="0"/>
                      <w:bCs w:val="0"/>
                      <w:color w:val="302116"/>
                      <w:sz w:val="21"/>
                      <w:szCs w:val="21"/>
                      <w:lang w:eastAsia="zh-CN"/>
                    </w:rPr>
                    <w:t>型车</w:t>
                  </w:r>
                </w:p>
              </w:tc>
            </w:tr>
            <w:tr w14:paraId="2B6D2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tblHeader/>
                <w:jc w:val="center"/>
              </w:trPr>
              <w:tc>
                <w:tcPr>
                  <w:tcW w:w="265" w:type="pct"/>
                  <w:vMerge w:val="continue"/>
                  <w:tcBorders>
                    <w:tl2br w:val="nil"/>
                    <w:tr2bl w:val="nil"/>
                  </w:tcBorders>
                  <w:noWrap w:val="0"/>
                  <w:vAlign w:val="center"/>
                </w:tcPr>
                <w:p w14:paraId="618FB9F1">
                  <w:pPr>
                    <w:adjustRightInd w:val="0"/>
                    <w:snapToGrid w:val="0"/>
                    <w:jc w:val="center"/>
                    <w:rPr>
                      <w:rFonts w:hint="default" w:ascii="Times New Roman" w:hAnsi="Times New Roman" w:eastAsia="宋体" w:cs="Times New Roman"/>
                      <w:b w:val="0"/>
                      <w:bCs w:val="0"/>
                      <w:color w:val="302116"/>
                      <w:sz w:val="21"/>
                      <w:szCs w:val="21"/>
                      <w:lang w:eastAsia="zh-CN"/>
                    </w:rPr>
                  </w:pPr>
                </w:p>
              </w:tc>
              <w:tc>
                <w:tcPr>
                  <w:tcW w:w="265" w:type="pct"/>
                  <w:tcBorders>
                    <w:tl2br w:val="nil"/>
                    <w:tr2bl w:val="nil"/>
                  </w:tcBorders>
                  <w:noWrap w:val="0"/>
                  <w:vAlign w:val="center"/>
                </w:tcPr>
                <w:p w14:paraId="5480ECF8">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53CF78C7">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13" w:type="pct"/>
                  <w:tcBorders>
                    <w:tl2br w:val="nil"/>
                    <w:tr2bl w:val="nil"/>
                  </w:tcBorders>
                  <w:noWrap w:val="0"/>
                  <w:tcMar>
                    <w:left w:w="0" w:type="dxa"/>
                    <w:right w:w="0" w:type="dxa"/>
                  </w:tcMar>
                  <w:vAlign w:val="center"/>
                </w:tcPr>
                <w:p w14:paraId="0FF79BBA">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212BA0A2">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78AC82DF">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6" w:type="pct"/>
                  <w:tcBorders>
                    <w:tl2br w:val="nil"/>
                    <w:tr2bl w:val="nil"/>
                  </w:tcBorders>
                  <w:noWrap w:val="0"/>
                  <w:vAlign w:val="center"/>
                </w:tcPr>
                <w:p w14:paraId="4ADB3FA0">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22D5B301">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7B86C398">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36D2A1D8">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747C9084">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06D49A43">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6" w:type="pct"/>
                  <w:tcBorders>
                    <w:tl2br w:val="nil"/>
                    <w:tr2bl w:val="nil"/>
                  </w:tcBorders>
                  <w:noWrap w:val="0"/>
                  <w:vAlign w:val="center"/>
                </w:tcPr>
                <w:p w14:paraId="7BED3ED4">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246B213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7E39337E">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3D990B1C">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2A8EDCFB">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521AE0C1">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6" w:type="pct"/>
                  <w:tcBorders>
                    <w:tl2br w:val="nil"/>
                    <w:tr2bl w:val="nil"/>
                  </w:tcBorders>
                  <w:noWrap w:val="0"/>
                  <w:vAlign w:val="center"/>
                </w:tcPr>
                <w:p w14:paraId="3C8A30B0">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r>
            <w:tr w14:paraId="4BC50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65" w:type="pct"/>
                  <w:tcBorders>
                    <w:tl2br w:val="nil"/>
                    <w:tr2bl w:val="nil"/>
                  </w:tcBorders>
                  <w:noWrap w:val="0"/>
                  <w:tcMar>
                    <w:left w:w="0" w:type="dxa"/>
                    <w:right w:w="0" w:type="dxa"/>
                  </w:tcMar>
                  <w:vAlign w:val="center"/>
                </w:tcPr>
                <w:p w14:paraId="4CE4858B">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近期</w:t>
                  </w:r>
                </w:p>
              </w:tc>
              <w:tc>
                <w:tcPr>
                  <w:tcW w:w="265" w:type="pct"/>
                  <w:tcBorders>
                    <w:tl2br w:val="nil"/>
                    <w:tr2bl w:val="nil"/>
                  </w:tcBorders>
                  <w:noWrap w:val="0"/>
                  <w:tcMar>
                    <w:left w:w="0" w:type="dxa"/>
                    <w:right w:w="0" w:type="dxa"/>
                  </w:tcMar>
                  <w:vAlign w:val="center"/>
                </w:tcPr>
                <w:p w14:paraId="0006EF54">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w:t>
                  </w:r>
                </w:p>
              </w:tc>
              <w:tc>
                <w:tcPr>
                  <w:tcW w:w="265" w:type="pct"/>
                  <w:tcBorders>
                    <w:tl2br w:val="nil"/>
                    <w:tr2bl w:val="nil"/>
                  </w:tcBorders>
                  <w:noWrap w:val="0"/>
                  <w:vAlign w:val="center"/>
                </w:tcPr>
                <w:p w14:paraId="308B648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17</w:t>
                  </w:r>
                </w:p>
              </w:tc>
              <w:tc>
                <w:tcPr>
                  <w:tcW w:w="213" w:type="pct"/>
                  <w:tcBorders>
                    <w:tl2br w:val="nil"/>
                    <w:tr2bl w:val="nil"/>
                  </w:tcBorders>
                  <w:noWrap w:val="0"/>
                  <w:tcMar>
                    <w:left w:w="0" w:type="dxa"/>
                    <w:right w:w="0" w:type="dxa"/>
                  </w:tcMar>
                  <w:vAlign w:val="center"/>
                </w:tcPr>
                <w:p w14:paraId="60CA844C">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14</w:t>
                  </w:r>
                </w:p>
              </w:tc>
              <w:tc>
                <w:tcPr>
                  <w:tcW w:w="265" w:type="pct"/>
                  <w:tcBorders>
                    <w:tl2br w:val="nil"/>
                    <w:tr2bl w:val="nil"/>
                  </w:tcBorders>
                  <w:noWrap w:val="0"/>
                  <w:vAlign w:val="center"/>
                </w:tcPr>
                <w:p w14:paraId="0A89B0C4">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w:t>
                  </w:r>
                </w:p>
              </w:tc>
              <w:tc>
                <w:tcPr>
                  <w:tcW w:w="265" w:type="pct"/>
                  <w:tcBorders>
                    <w:tl2br w:val="nil"/>
                    <w:tr2bl w:val="nil"/>
                  </w:tcBorders>
                  <w:noWrap/>
                  <w:tcMar>
                    <w:left w:w="0" w:type="dxa"/>
                    <w:right w:w="0" w:type="dxa"/>
                  </w:tcMar>
                  <w:vAlign w:val="center"/>
                </w:tcPr>
                <w:p w14:paraId="64648736">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4</w:t>
                  </w:r>
                </w:p>
              </w:tc>
              <w:tc>
                <w:tcPr>
                  <w:tcW w:w="266" w:type="pct"/>
                  <w:tcBorders>
                    <w:tl2br w:val="nil"/>
                    <w:tr2bl w:val="nil"/>
                  </w:tcBorders>
                  <w:noWrap w:val="0"/>
                  <w:vAlign w:val="center"/>
                </w:tcPr>
                <w:p w14:paraId="32419D7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w:t>
                  </w:r>
                </w:p>
              </w:tc>
              <w:tc>
                <w:tcPr>
                  <w:tcW w:w="265" w:type="pct"/>
                  <w:tcBorders>
                    <w:tl2br w:val="nil"/>
                    <w:tr2bl w:val="nil"/>
                  </w:tcBorders>
                  <w:noWrap w:val="0"/>
                  <w:tcMar>
                    <w:left w:w="0" w:type="dxa"/>
                    <w:right w:w="0" w:type="dxa"/>
                  </w:tcMar>
                  <w:vAlign w:val="center"/>
                </w:tcPr>
                <w:p w14:paraId="3FAF2C64">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50.74</w:t>
                  </w:r>
                </w:p>
              </w:tc>
              <w:tc>
                <w:tcPr>
                  <w:tcW w:w="265" w:type="pct"/>
                  <w:tcBorders>
                    <w:tl2br w:val="nil"/>
                    <w:tr2bl w:val="nil"/>
                  </w:tcBorders>
                  <w:noWrap w:val="0"/>
                  <w:tcMar>
                    <w:left w:w="0" w:type="dxa"/>
                    <w:right w:w="0" w:type="dxa"/>
                  </w:tcMar>
                  <w:vAlign w:val="center"/>
                </w:tcPr>
                <w:p w14:paraId="013B0141">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20.96</w:t>
                  </w:r>
                </w:p>
              </w:tc>
              <w:tc>
                <w:tcPr>
                  <w:tcW w:w="265" w:type="pct"/>
                  <w:tcBorders>
                    <w:tl2br w:val="nil"/>
                    <w:tr2bl w:val="nil"/>
                  </w:tcBorders>
                  <w:noWrap w:val="0"/>
                  <w:tcMar>
                    <w:left w:w="0" w:type="dxa"/>
                    <w:right w:w="0" w:type="dxa"/>
                  </w:tcMar>
                  <w:vAlign w:val="center"/>
                </w:tcPr>
                <w:p w14:paraId="5845EDB5">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35.38</w:t>
                  </w:r>
                </w:p>
              </w:tc>
              <w:tc>
                <w:tcPr>
                  <w:tcW w:w="265" w:type="pct"/>
                  <w:tcBorders>
                    <w:tl2br w:val="nil"/>
                    <w:tr2bl w:val="nil"/>
                  </w:tcBorders>
                  <w:noWrap w:val="0"/>
                  <w:tcMar>
                    <w:left w:w="0" w:type="dxa"/>
                    <w:right w:w="0" w:type="dxa"/>
                  </w:tcMar>
                  <w:vAlign w:val="center"/>
                </w:tcPr>
                <w:p w14:paraId="299100E7">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34.74</w:t>
                  </w:r>
                </w:p>
              </w:tc>
              <w:tc>
                <w:tcPr>
                  <w:tcW w:w="265" w:type="pct"/>
                  <w:tcBorders>
                    <w:tl2br w:val="nil"/>
                    <w:tr2bl w:val="nil"/>
                  </w:tcBorders>
                  <w:noWrap w:val="0"/>
                  <w:tcMar>
                    <w:left w:w="0" w:type="dxa"/>
                    <w:right w:w="0" w:type="dxa"/>
                  </w:tcMar>
                  <w:vAlign w:val="center"/>
                </w:tcPr>
                <w:p w14:paraId="2803D091">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35.43</w:t>
                  </w:r>
                </w:p>
              </w:tc>
              <w:tc>
                <w:tcPr>
                  <w:tcW w:w="266" w:type="pct"/>
                  <w:tcBorders>
                    <w:tl2br w:val="nil"/>
                    <w:tr2bl w:val="nil"/>
                  </w:tcBorders>
                  <w:noWrap w:val="0"/>
                  <w:tcMar>
                    <w:left w:w="0" w:type="dxa"/>
                    <w:right w:w="0" w:type="dxa"/>
                  </w:tcMar>
                  <w:vAlign w:val="center"/>
                </w:tcPr>
                <w:p w14:paraId="78493949">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34.97</w:t>
                  </w:r>
                </w:p>
              </w:tc>
              <w:tc>
                <w:tcPr>
                  <w:tcW w:w="265" w:type="pct"/>
                  <w:tcBorders>
                    <w:tl2br w:val="nil"/>
                    <w:tr2bl w:val="nil"/>
                  </w:tcBorders>
                  <w:noWrap w:val="0"/>
                  <w:tcMar>
                    <w:left w:w="0" w:type="dxa"/>
                    <w:right w:w="0" w:type="dxa"/>
                  </w:tcMar>
                  <w:vAlign w:val="center"/>
                </w:tcPr>
                <w:p w14:paraId="6C1F2644">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71.83</w:t>
                  </w:r>
                </w:p>
              </w:tc>
              <w:tc>
                <w:tcPr>
                  <w:tcW w:w="265" w:type="pct"/>
                  <w:tcBorders>
                    <w:tl2br w:val="nil"/>
                    <w:tr2bl w:val="nil"/>
                  </w:tcBorders>
                  <w:noWrap w:val="0"/>
                  <w:tcMar>
                    <w:left w:w="0" w:type="dxa"/>
                    <w:right w:w="0" w:type="dxa"/>
                  </w:tcMar>
                  <w:vAlign w:val="center"/>
                </w:tcPr>
                <w:p w14:paraId="13863950">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71.89</w:t>
                  </w:r>
                </w:p>
              </w:tc>
              <w:tc>
                <w:tcPr>
                  <w:tcW w:w="265" w:type="pct"/>
                  <w:tcBorders>
                    <w:tl2br w:val="nil"/>
                    <w:tr2bl w:val="nil"/>
                  </w:tcBorders>
                  <w:noWrap w:val="0"/>
                  <w:tcMar>
                    <w:left w:w="0" w:type="dxa"/>
                    <w:right w:w="0" w:type="dxa"/>
                  </w:tcMar>
                  <w:vAlign w:val="center"/>
                </w:tcPr>
                <w:p w14:paraId="2E5F7EE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71.50</w:t>
                  </w:r>
                </w:p>
              </w:tc>
              <w:tc>
                <w:tcPr>
                  <w:tcW w:w="265" w:type="pct"/>
                  <w:tcBorders>
                    <w:tl2br w:val="nil"/>
                    <w:tr2bl w:val="nil"/>
                  </w:tcBorders>
                  <w:noWrap w:val="0"/>
                  <w:tcMar>
                    <w:left w:w="0" w:type="dxa"/>
                    <w:right w:w="0" w:type="dxa"/>
                  </w:tcMar>
                  <w:vAlign w:val="center"/>
                </w:tcPr>
                <w:p w14:paraId="5C5496F2">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71.17</w:t>
                  </w:r>
                </w:p>
              </w:tc>
              <w:tc>
                <w:tcPr>
                  <w:tcW w:w="265" w:type="pct"/>
                  <w:tcBorders>
                    <w:tl2br w:val="nil"/>
                    <w:tr2bl w:val="nil"/>
                  </w:tcBorders>
                  <w:noWrap w:val="0"/>
                  <w:tcMar>
                    <w:left w:w="0" w:type="dxa"/>
                    <w:right w:w="0" w:type="dxa"/>
                  </w:tcMar>
                  <w:vAlign w:val="center"/>
                </w:tcPr>
                <w:p w14:paraId="5003F18F">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78.27</w:t>
                  </w:r>
                </w:p>
              </w:tc>
              <w:tc>
                <w:tcPr>
                  <w:tcW w:w="266" w:type="pct"/>
                  <w:tcBorders>
                    <w:tl2br w:val="nil"/>
                    <w:tr2bl w:val="nil"/>
                  </w:tcBorders>
                  <w:noWrap w:val="0"/>
                  <w:tcMar>
                    <w:left w:w="0" w:type="dxa"/>
                    <w:right w:w="0" w:type="dxa"/>
                  </w:tcMar>
                  <w:vAlign w:val="center"/>
                </w:tcPr>
                <w:p w14:paraId="1FD3DA9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78.07</w:t>
                  </w:r>
                </w:p>
              </w:tc>
            </w:tr>
            <w:tr w14:paraId="61845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65" w:type="pct"/>
                  <w:tcBorders>
                    <w:tl2br w:val="nil"/>
                    <w:tr2bl w:val="nil"/>
                  </w:tcBorders>
                  <w:noWrap w:val="0"/>
                  <w:tcMar>
                    <w:left w:w="0" w:type="dxa"/>
                    <w:right w:w="0" w:type="dxa"/>
                  </w:tcMar>
                  <w:vAlign w:val="center"/>
                </w:tcPr>
                <w:p w14:paraId="50B38750">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中期</w:t>
                  </w:r>
                </w:p>
              </w:tc>
              <w:tc>
                <w:tcPr>
                  <w:tcW w:w="265" w:type="pct"/>
                  <w:tcBorders>
                    <w:tl2br w:val="nil"/>
                    <w:tr2bl w:val="nil"/>
                  </w:tcBorders>
                  <w:noWrap w:val="0"/>
                  <w:tcMar>
                    <w:left w:w="0" w:type="dxa"/>
                    <w:right w:w="0" w:type="dxa"/>
                  </w:tcMar>
                  <w:vAlign w:val="center"/>
                </w:tcPr>
                <w:p w14:paraId="2ED2680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102</w:t>
                  </w:r>
                </w:p>
              </w:tc>
              <w:tc>
                <w:tcPr>
                  <w:tcW w:w="265" w:type="pct"/>
                  <w:tcBorders>
                    <w:tl2br w:val="nil"/>
                    <w:tr2bl w:val="nil"/>
                  </w:tcBorders>
                  <w:noWrap w:val="0"/>
                  <w:vAlign w:val="center"/>
                </w:tcPr>
                <w:p w14:paraId="589D6D22">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213" w:type="pct"/>
                  <w:tcBorders>
                    <w:tl2br w:val="nil"/>
                    <w:tr2bl w:val="nil"/>
                  </w:tcBorders>
                  <w:noWrap w:val="0"/>
                  <w:tcMar>
                    <w:left w:w="0" w:type="dxa"/>
                    <w:right w:w="0" w:type="dxa"/>
                  </w:tcMar>
                  <w:vAlign w:val="center"/>
                </w:tcPr>
                <w:p w14:paraId="05E5DE9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18</w:t>
                  </w:r>
                </w:p>
              </w:tc>
              <w:tc>
                <w:tcPr>
                  <w:tcW w:w="265" w:type="pct"/>
                  <w:tcBorders>
                    <w:tl2br w:val="nil"/>
                    <w:tr2bl w:val="nil"/>
                  </w:tcBorders>
                  <w:noWrap w:val="0"/>
                  <w:vAlign w:val="center"/>
                </w:tcPr>
                <w:p w14:paraId="1F1DA93C">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w:t>
                  </w:r>
                </w:p>
              </w:tc>
              <w:tc>
                <w:tcPr>
                  <w:tcW w:w="265" w:type="pct"/>
                  <w:tcBorders>
                    <w:tl2br w:val="nil"/>
                    <w:tr2bl w:val="nil"/>
                  </w:tcBorders>
                  <w:noWrap/>
                  <w:tcMar>
                    <w:left w:w="0" w:type="dxa"/>
                    <w:right w:w="0" w:type="dxa"/>
                  </w:tcMar>
                  <w:vAlign w:val="center"/>
                </w:tcPr>
                <w:p w14:paraId="332F6057">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w:t>
                  </w:r>
                </w:p>
              </w:tc>
              <w:tc>
                <w:tcPr>
                  <w:tcW w:w="266" w:type="pct"/>
                  <w:tcBorders>
                    <w:tl2br w:val="nil"/>
                    <w:tr2bl w:val="nil"/>
                  </w:tcBorders>
                  <w:noWrap w:val="0"/>
                  <w:vAlign w:val="center"/>
                </w:tcPr>
                <w:p w14:paraId="08AA9555">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tc>
              <w:tc>
                <w:tcPr>
                  <w:tcW w:w="265" w:type="pct"/>
                  <w:tcBorders>
                    <w:tl2br w:val="nil"/>
                    <w:tr2bl w:val="nil"/>
                  </w:tcBorders>
                  <w:noWrap w:val="0"/>
                  <w:tcMar>
                    <w:left w:w="0" w:type="dxa"/>
                    <w:right w:w="0" w:type="dxa"/>
                  </w:tcMar>
                  <w:vAlign w:val="center"/>
                </w:tcPr>
                <w:p w14:paraId="21C59E5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50.63</w:t>
                  </w:r>
                </w:p>
              </w:tc>
              <w:tc>
                <w:tcPr>
                  <w:tcW w:w="265" w:type="pct"/>
                  <w:tcBorders>
                    <w:tl2br w:val="nil"/>
                    <w:tr2bl w:val="nil"/>
                  </w:tcBorders>
                  <w:noWrap w:val="0"/>
                  <w:tcMar>
                    <w:left w:w="0" w:type="dxa"/>
                    <w:right w:w="0" w:type="dxa"/>
                  </w:tcMar>
                  <w:vAlign w:val="center"/>
                </w:tcPr>
                <w:p w14:paraId="7799C2E4">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50.94</w:t>
                  </w:r>
                </w:p>
              </w:tc>
              <w:tc>
                <w:tcPr>
                  <w:tcW w:w="265" w:type="pct"/>
                  <w:tcBorders>
                    <w:tl2br w:val="nil"/>
                    <w:tr2bl w:val="nil"/>
                  </w:tcBorders>
                  <w:noWrap w:val="0"/>
                  <w:tcMar>
                    <w:left w:w="0" w:type="dxa"/>
                    <w:right w:w="0" w:type="dxa"/>
                  </w:tcMar>
                  <w:vAlign w:val="center"/>
                </w:tcPr>
                <w:p w14:paraId="1A3501B8">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35.61</w:t>
                  </w:r>
                </w:p>
              </w:tc>
              <w:tc>
                <w:tcPr>
                  <w:tcW w:w="265" w:type="pct"/>
                  <w:tcBorders>
                    <w:tl2br w:val="nil"/>
                    <w:tr2bl w:val="nil"/>
                  </w:tcBorders>
                  <w:noWrap w:val="0"/>
                  <w:tcMar>
                    <w:left w:w="0" w:type="dxa"/>
                    <w:right w:w="0" w:type="dxa"/>
                  </w:tcMar>
                  <w:vAlign w:val="center"/>
                </w:tcPr>
                <w:p w14:paraId="7243D449">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34.80</w:t>
                  </w:r>
                </w:p>
              </w:tc>
              <w:tc>
                <w:tcPr>
                  <w:tcW w:w="265" w:type="pct"/>
                  <w:tcBorders>
                    <w:tl2br w:val="nil"/>
                    <w:tr2bl w:val="nil"/>
                  </w:tcBorders>
                  <w:noWrap w:val="0"/>
                  <w:tcMar>
                    <w:left w:w="0" w:type="dxa"/>
                    <w:right w:w="0" w:type="dxa"/>
                  </w:tcMar>
                  <w:vAlign w:val="center"/>
                </w:tcPr>
                <w:p w14:paraId="30760DD4">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35.59</w:t>
                  </w:r>
                </w:p>
              </w:tc>
              <w:tc>
                <w:tcPr>
                  <w:tcW w:w="266" w:type="pct"/>
                  <w:tcBorders>
                    <w:tl2br w:val="nil"/>
                    <w:tr2bl w:val="nil"/>
                  </w:tcBorders>
                  <w:noWrap w:val="0"/>
                  <w:tcMar>
                    <w:left w:w="0" w:type="dxa"/>
                    <w:right w:w="0" w:type="dxa"/>
                  </w:tcMar>
                  <w:vAlign w:val="center"/>
                </w:tcPr>
                <w:p w14:paraId="56E54A12">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35.01</w:t>
                  </w:r>
                </w:p>
              </w:tc>
              <w:tc>
                <w:tcPr>
                  <w:tcW w:w="265" w:type="pct"/>
                  <w:tcBorders>
                    <w:tl2br w:val="nil"/>
                    <w:tr2bl w:val="nil"/>
                  </w:tcBorders>
                  <w:noWrap w:val="0"/>
                  <w:tcMar>
                    <w:left w:w="0" w:type="dxa"/>
                    <w:right w:w="0" w:type="dxa"/>
                  </w:tcMar>
                  <w:vAlign w:val="center"/>
                </w:tcPr>
                <w:p w14:paraId="6BDFA2DE">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71.79</w:t>
                  </w:r>
                </w:p>
              </w:tc>
              <w:tc>
                <w:tcPr>
                  <w:tcW w:w="265" w:type="pct"/>
                  <w:tcBorders>
                    <w:tl2br w:val="nil"/>
                    <w:tr2bl w:val="nil"/>
                  </w:tcBorders>
                  <w:noWrap w:val="0"/>
                  <w:tcMar>
                    <w:left w:w="0" w:type="dxa"/>
                    <w:right w:w="0" w:type="dxa"/>
                  </w:tcMar>
                  <w:vAlign w:val="center"/>
                </w:tcPr>
                <w:p w14:paraId="5B78B3CE">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71.89</w:t>
                  </w:r>
                </w:p>
              </w:tc>
              <w:tc>
                <w:tcPr>
                  <w:tcW w:w="265" w:type="pct"/>
                  <w:tcBorders>
                    <w:tl2br w:val="nil"/>
                    <w:tr2bl w:val="nil"/>
                  </w:tcBorders>
                  <w:noWrap w:val="0"/>
                  <w:tcMar>
                    <w:left w:w="0" w:type="dxa"/>
                    <w:right w:w="0" w:type="dxa"/>
                  </w:tcMar>
                  <w:vAlign w:val="center"/>
                </w:tcPr>
                <w:p w14:paraId="387D631C">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71.61</w:t>
                  </w:r>
                </w:p>
              </w:tc>
              <w:tc>
                <w:tcPr>
                  <w:tcW w:w="265" w:type="pct"/>
                  <w:tcBorders>
                    <w:tl2br w:val="nil"/>
                    <w:tr2bl w:val="nil"/>
                  </w:tcBorders>
                  <w:noWrap w:val="0"/>
                  <w:tcMar>
                    <w:left w:w="0" w:type="dxa"/>
                    <w:right w:w="0" w:type="dxa"/>
                  </w:tcMar>
                  <w:vAlign w:val="center"/>
                </w:tcPr>
                <w:p w14:paraId="5855DB37">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71.20</w:t>
                  </w:r>
                </w:p>
              </w:tc>
              <w:tc>
                <w:tcPr>
                  <w:tcW w:w="265" w:type="pct"/>
                  <w:tcBorders>
                    <w:tl2br w:val="nil"/>
                    <w:tr2bl w:val="nil"/>
                  </w:tcBorders>
                  <w:noWrap w:val="0"/>
                  <w:tcMar>
                    <w:left w:w="0" w:type="dxa"/>
                    <w:right w:w="0" w:type="dxa"/>
                  </w:tcMar>
                  <w:vAlign w:val="center"/>
                </w:tcPr>
                <w:p w14:paraId="31F1E05C">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78.34</w:t>
                  </w:r>
                </w:p>
              </w:tc>
              <w:tc>
                <w:tcPr>
                  <w:tcW w:w="266" w:type="pct"/>
                  <w:tcBorders>
                    <w:tl2br w:val="nil"/>
                    <w:tr2bl w:val="nil"/>
                  </w:tcBorders>
                  <w:noWrap w:val="0"/>
                  <w:tcMar>
                    <w:left w:w="0" w:type="dxa"/>
                    <w:right w:w="0" w:type="dxa"/>
                  </w:tcMar>
                  <w:vAlign w:val="center"/>
                </w:tcPr>
                <w:p w14:paraId="5134622C">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78.08</w:t>
                  </w:r>
                </w:p>
              </w:tc>
            </w:tr>
            <w:tr w14:paraId="5DA41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65" w:type="pct"/>
                  <w:tcBorders>
                    <w:tl2br w:val="nil"/>
                    <w:tr2bl w:val="nil"/>
                  </w:tcBorders>
                  <w:noWrap w:val="0"/>
                  <w:tcMar>
                    <w:left w:w="0" w:type="dxa"/>
                    <w:right w:w="0" w:type="dxa"/>
                  </w:tcMar>
                  <w:vAlign w:val="center"/>
                </w:tcPr>
                <w:p w14:paraId="00C6D07C">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远期</w:t>
                  </w:r>
                </w:p>
              </w:tc>
              <w:tc>
                <w:tcPr>
                  <w:tcW w:w="265" w:type="pct"/>
                  <w:tcBorders>
                    <w:tl2br w:val="nil"/>
                    <w:tr2bl w:val="nil"/>
                  </w:tcBorders>
                  <w:noWrap w:val="0"/>
                  <w:tcMar>
                    <w:left w:w="0" w:type="dxa"/>
                    <w:right w:w="0" w:type="dxa"/>
                  </w:tcMar>
                  <w:vAlign w:val="center"/>
                </w:tcPr>
                <w:p w14:paraId="7E5C97AF">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129</w:t>
                  </w:r>
                </w:p>
              </w:tc>
              <w:tc>
                <w:tcPr>
                  <w:tcW w:w="265" w:type="pct"/>
                  <w:tcBorders>
                    <w:tl2br w:val="nil"/>
                    <w:tr2bl w:val="nil"/>
                  </w:tcBorders>
                  <w:noWrap w:val="0"/>
                  <w:vAlign w:val="center"/>
                </w:tcPr>
                <w:p w14:paraId="1399E13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29</w:t>
                  </w:r>
                </w:p>
              </w:tc>
              <w:tc>
                <w:tcPr>
                  <w:tcW w:w="213" w:type="pct"/>
                  <w:tcBorders>
                    <w:tl2br w:val="nil"/>
                    <w:tr2bl w:val="nil"/>
                  </w:tcBorders>
                  <w:noWrap w:val="0"/>
                  <w:tcMar>
                    <w:left w:w="0" w:type="dxa"/>
                    <w:right w:w="0" w:type="dxa"/>
                  </w:tcMar>
                  <w:vAlign w:val="center"/>
                </w:tcPr>
                <w:p w14:paraId="0DF61246">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23</w:t>
                  </w:r>
                </w:p>
              </w:tc>
              <w:tc>
                <w:tcPr>
                  <w:tcW w:w="265" w:type="pct"/>
                  <w:tcBorders>
                    <w:tl2br w:val="nil"/>
                    <w:tr2bl w:val="nil"/>
                  </w:tcBorders>
                  <w:noWrap w:val="0"/>
                  <w:vAlign w:val="center"/>
                </w:tcPr>
                <w:p w14:paraId="3E308CA6">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w:t>
                  </w:r>
                </w:p>
              </w:tc>
              <w:tc>
                <w:tcPr>
                  <w:tcW w:w="265" w:type="pct"/>
                  <w:tcBorders>
                    <w:tl2br w:val="nil"/>
                    <w:tr2bl w:val="nil"/>
                  </w:tcBorders>
                  <w:noWrap/>
                  <w:tcMar>
                    <w:left w:w="0" w:type="dxa"/>
                    <w:right w:w="0" w:type="dxa"/>
                  </w:tcMar>
                  <w:vAlign w:val="center"/>
                </w:tcPr>
                <w:p w14:paraId="476514E8">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6</w:t>
                  </w:r>
                </w:p>
              </w:tc>
              <w:tc>
                <w:tcPr>
                  <w:tcW w:w="266" w:type="pct"/>
                  <w:tcBorders>
                    <w:tl2br w:val="nil"/>
                    <w:tr2bl w:val="nil"/>
                  </w:tcBorders>
                  <w:noWrap w:val="0"/>
                  <w:vAlign w:val="center"/>
                </w:tcPr>
                <w:p w14:paraId="2644F6B8">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w:t>
                  </w:r>
                </w:p>
              </w:tc>
              <w:tc>
                <w:tcPr>
                  <w:tcW w:w="265" w:type="pct"/>
                  <w:tcBorders>
                    <w:tl2br w:val="nil"/>
                    <w:tr2bl w:val="nil"/>
                  </w:tcBorders>
                  <w:noWrap w:val="0"/>
                  <w:tcMar>
                    <w:left w:w="0" w:type="dxa"/>
                    <w:right w:w="0" w:type="dxa"/>
                  </w:tcMar>
                  <w:vAlign w:val="center"/>
                </w:tcPr>
                <w:p w14:paraId="15918A1D">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50.49</w:t>
                  </w:r>
                </w:p>
              </w:tc>
              <w:tc>
                <w:tcPr>
                  <w:tcW w:w="265" w:type="pct"/>
                  <w:tcBorders>
                    <w:tl2br w:val="nil"/>
                    <w:tr2bl w:val="nil"/>
                  </w:tcBorders>
                  <w:noWrap w:val="0"/>
                  <w:tcMar>
                    <w:left w:w="0" w:type="dxa"/>
                    <w:right w:w="0" w:type="dxa"/>
                  </w:tcMar>
                  <w:vAlign w:val="center"/>
                </w:tcPr>
                <w:p w14:paraId="02D938E8">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50.92</w:t>
                  </w:r>
                </w:p>
              </w:tc>
              <w:tc>
                <w:tcPr>
                  <w:tcW w:w="265" w:type="pct"/>
                  <w:tcBorders>
                    <w:tl2br w:val="nil"/>
                    <w:tr2bl w:val="nil"/>
                  </w:tcBorders>
                  <w:noWrap w:val="0"/>
                  <w:tcMar>
                    <w:left w:w="0" w:type="dxa"/>
                    <w:right w:w="0" w:type="dxa"/>
                  </w:tcMar>
                  <w:vAlign w:val="center"/>
                </w:tcPr>
                <w:p w14:paraId="5C7C0E97">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35.84</w:t>
                  </w:r>
                </w:p>
              </w:tc>
              <w:tc>
                <w:tcPr>
                  <w:tcW w:w="265" w:type="pct"/>
                  <w:tcBorders>
                    <w:tl2br w:val="nil"/>
                    <w:tr2bl w:val="nil"/>
                  </w:tcBorders>
                  <w:noWrap w:val="0"/>
                  <w:tcMar>
                    <w:left w:w="0" w:type="dxa"/>
                    <w:right w:w="0" w:type="dxa"/>
                  </w:tcMar>
                  <w:vAlign w:val="center"/>
                </w:tcPr>
                <w:p w14:paraId="653E102D">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34.87</w:t>
                  </w:r>
                </w:p>
              </w:tc>
              <w:tc>
                <w:tcPr>
                  <w:tcW w:w="265" w:type="pct"/>
                  <w:tcBorders>
                    <w:tl2br w:val="nil"/>
                    <w:tr2bl w:val="nil"/>
                  </w:tcBorders>
                  <w:noWrap w:val="0"/>
                  <w:tcMar>
                    <w:left w:w="0" w:type="dxa"/>
                    <w:right w:w="0" w:type="dxa"/>
                  </w:tcMar>
                  <w:vAlign w:val="center"/>
                </w:tcPr>
                <w:p w14:paraId="01FB8267">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35.76</w:t>
                  </w:r>
                </w:p>
              </w:tc>
              <w:tc>
                <w:tcPr>
                  <w:tcW w:w="266" w:type="pct"/>
                  <w:tcBorders>
                    <w:tl2br w:val="nil"/>
                    <w:tr2bl w:val="nil"/>
                  </w:tcBorders>
                  <w:noWrap w:val="0"/>
                  <w:tcMar>
                    <w:left w:w="0" w:type="dxa"/>
                    <w:right w:w="0" w:type="dxa"/>
                  </w:tcMar>
                  <w:vAlign w:val="center"/>
                </w:tcPr>
                <w:p w14:paraId="297FF3AA">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35.06</w:t>
                  </w:r>
                </w:p>
              </w:tc>
              <w:tc>
                <w:tcPr>
                  <w:tcW w:w="265" w:type="pct"/>
                  <w:tcBorders>
                    <w:tl2br w:val="nil"/>
                    <w:tr2bl w:val="nil"/>
                  </w:tcBorders>
                  <w:noWrap w:val="0"/>
                  <w:tcMar>
                    <w:left w:w="0" w:type="dxa"/>
                    <w:right w:w="0" w:type="dxa"/>
                  </w:tcMar>
                  <w:vAlign w:val="center"/>
                </w:tcPr>
                <w:p w14:paraId="1148B0D8">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71.75</w:t>
                  </w:r>
                </w:p>
              </w:tc>
              <w:tc>
                <w:tcPr>
                  <w:tcW w:w="265" w:type="pct"/>
                  <w:tcBorders>
                    <w:tl2br w:val="nil"/>
                    <w:tr2bl w:val="nil"/>
                  </w:tcBorders>
                  <w:noWrap w:val="0"/>
                  <w:tcMar>
                    <w:left w:w="0" w:type="dxa"/>
                    <w:right w:w="0" w:type="dxa"/>
                  </w:tcMar>
                  <w:vAlign w:val="center"/>
                </w:tcPr>
                <w:p w14:paraId="3AB2A2F1">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71.88</w:t>
                  </w:r>
                </w:p>
              </w:tc>
              <w:tc>
                <w:tcPr>
                  <w:tcW w:w="265" w:type="pct"/>
                  <w:tcBorders>
                    <w:tl2br w:val="nil"/>
                    <w:tr2bl w:val="nil"/>
                  </w:tcBorders>
                  <w:noWrap w:val="0"/>
                  <w:tcMar>
                    <w:left w:w="0" w:type="dxa"/>
                    <w:right w:w="0" w:type="dxa"/>
                  </w:tcMar>
                  <w:vAlign w:val="center"/>
                </w:tcPr>
                <w:p w14:paraId="5C6D030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71.72</w:t>
                  </w:r>
                </w:p>
              </w:tc>
              <w:tc>
                <w:tcPr>
                  <w:tcW w:w="265" w:type="pct"/>
                  <w:tcBorders>
                    <w:tl2br w:val="nil"/>
                    <w:tr2bl w:val="nil"/>
                  </w:tcBorders>
                  <w:noWrap w:val="0"/>
                  <w:tcMar>
                    <w:left w:w="0" w:type="dxa"/>
                    <w:right w:w="0" w:type="dxa"/>
                  </w:tcMar>
                  <w:vAlign w:val="center"/>
                </w:tcPr>
                <w:p w14:paraId="5D1E4B32">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71.24</w:t>
                  </w:r>
                </w:p>
              </w:tc>
              <w:tc>
                <w:tcPr>
                  <w:tcW w:w="265" w:type="pct"/>
                  <w:tcBorders>
                    <w:tl2br w:val="nil"/>
                    <w:tr2bl w:val="nil"/>
                  </w:tcBorders>
                  <w:noWrap w:val="0"/>
                  <w:tcMar>
                    <w:left w:w="0" w:type="dxa"/>
                    <w:right w:w="0" w:type="dxa"/>
                  </w:tcMar>
                  <w:vAlign w:val="center"/>
                </w:tcPr>
                <w:p w14:paraId="2846A729">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78.42</w:t>
                  </w:r>
                </w:p>
              </w:tc>
              <w:tc>
                <w:tcPr>
                  <w:tcW w:w="266" w:type="pct"/>
                  <w:tcBorders>
                    <w:tl2br w:val="nil"/>
                    <w:tr2bl w:val="nil"/>
                  </w:tcBorders>
                  <w:noWrap w:val="0"/>
                  <w:tcMar>
                    <w:left w:w="0" w:type="dxa"/>
                    <w:right w:w="0" w:type="dxa"/>
                  </w:tcMar>
                  <w:vAlign w:val="center"/>
                </w:tcPr>
                <w:p w14:paraId="49FB2E3E">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78.11</w:t>
                  </w:r>
                </w:p>
              </w:tc>
            </w:tr>
          </w:tbl>
          <w:p w14:paraId="2AFF2B3A">
            <w:pPr>
              <w:adjustRightInd w:val="0"/>
              <w:snapToGrid w:val="0"/>
              <w:jc w:val="center"/>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表</w:t>
            </w:r>
            <w:r>
              <w:rPr>
                <w:rFonts w:hint="default" w:ascii="Times New Roman" w:hAnsi="Times New Roman" w:eastAsia="宋体" w:cs="Times New Roman"/>
                <w:b/>
                <w:sz w:val="24"/>
                <w:szCs w:val="24"/>
                <w:lang w:val="en-US" w:eastAsia="zh-CN"/>
              </w:rPr>
              <w:t>4-</w:t>
            </w:r>
            <w:r>
              <w:rPr>
                <w:rFonts w:hint="eastAsia" w:ascii="Times New Roman" w:hAnsi="Times New Roman" w:eastAsia="宋体" w:cs="Times New Roman"/>
                <w:b/>
                <w:sz w:val="24"/>
                <w:szCs w:val="24"/>
                <w:lang w:val="en-US" w:eastAsia="zh-CN"/>
              </w:rPr>
              <w:t>9</w:t>
            </w:r>
            <w:r>
              <w:rPr>
                <w:rFonts w:hint="default" w:ascii="Times New Roman" w:hAnsi="Times New Roman" w:eastAsia="宋体" w:cs="Times New Roman"/>
                <w:b/>
                <w:sz w:val="24"/>
                <w:szCs w:val="24"/>
                <w:lang w:eastAsia="zh-CN"/>
              </w:rPr>
              <w:t xml:space="preserve"> </w:t>
            </w: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lang w:eastAsia="zh-CN"/>
              </w:rPr>
              <w:t xml:space="preserve"> 项目衰减预测结果表</w:t>
            </w:r>
          </w:p>
          <w:tbl>
            <w:tblPr>
              <w:tblStyle w:val="29"/>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189"/>
              <w:gridCol w:w="1189"/>
              <w:gridCol w:w="1189"/>
              <w:gridCol w:w="1189"/>
              <w:gridCol w:w="1189"/>
              <w:gridCol w:w="1189"/>
              <w:gridCol w:w="1385"/>
              <w:gridCol w:w="1386"/>
              <w:gridCol w:w="1408"/>
              <w:gridCol w:w="1386"/>
            </w:tblGrid>
            <w:tr w14:paraId="30900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tcBorders>
                    <w:tl2br w:val="nil"/>
                    <w:tr2bl w:val="nil"/>
                  </w:tcBorders>
                  <w:noWrap w:val="0"/>
                  <w:vAlign w:val="center"/>
                </w:tcPr>
                <w:p w14:paraId="5D6FD4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路段</w:t>
                  </w:r>
                </w:p>
              </w:tc>
              <w:tc>
                <w:tcPr>
                  <w:tcW w:w="426" w:type="pct"/>
                  <w:tcBorders>
                    <w:tl2br w:val="nil"/>
                    <w:tr2bl w:val="nil"/>
                  </w:tcBorders>
                  <w:noWrap w:val="0"/>
                  <w:vAlign w:val="center"/>
                </w:tcPr>
                <w:p w14:paraId="4402B8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20m</w:t>
                  </w:r>
                </w:p>
              </w:tc>
              <w:tc>
                <w:tcPr>
                  <w:tcW w:w="426" w:type="pct"/>
                  <w:tcBorders>
                    <w:tl2br w:val="nil"/>
                    <w:tr2bl w:val="nil"/>
                  </w:tcBorders>
                  <w:noWrap w:val="0"/>
                  <w:vAlign w:val="center"/>
                </w:tcPr>
                <w:p w14:paraId="1DD722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3</w:t>
                  </w:r>
                  <w:r>
                    <w:rPr>
                      <w:rFonts w:hint="default" w:ascii="Times New Roman" w:hAnsi="Times New Roman" w:eastAsia="宋体" w:cs="Times New Roman"/>
                      <w:b w:val="0"/>
                      <w:bCs w:val="0"/>
                      <w:color w:val="302116"/>
                      <w:sz w:val="21"/>
                      <w:szCs w:val="21"/>
                      <w:lang w:eastAsia="zh-CN"/>
                    </w:rPr>
                    <w:t>0m</w:t>
                  </w:r>
                </w:p>
              </w:tc>
              <w:tc>
                <w:tcPr>
                  <w:tcW w:w="426" w:type="pct"/>
                  <w:tcBorders>
                    <w:tl2br w:val="nil"/>
                    <w:tr2bl w:val="nil"/>
                  </w:tcBorders>
                  <w:noWrap w:val="0"/>
                  <w:vAlign w:val="center"/>
                </w:tcPr>
                <w:p w14:paraId="22A6EA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4</w:t>
                  </w:r>
                  <w:r>
                    <w:rPr>
                      <w:rFonts w:hint="default" w:ascii="Times New Roman" w:hAnsi="Times New Roman" w:eastAsia="宋体" w:cs="Times New Roman"/>
                      <w:b w:val="0"/>
                      <w:bCs w:val="0"/>
                      <w:color w:val="302116"/>
                      <w:sz w:val="21"/>
                      <w:szCs w:val="21"/>
                      <w:lang w:eastAsia="zh-CN"/>
                    </w:rPr>
                    <w:t>0m</w:t>
                  </w:r>
                </w:p>
              </w:tc>
              <w:tc>
                <w:tcPr>
                  <w:tcW w:w="426" w:type="pct"/>
                  <w:tcBorders>
                    <w:tl2br w:val="nil"/>
                    <w:tr2bl w:val="nil"/>
                  </w:tcBorders>
                  <w:noWrap w:val="0"/>
                  <w:vAlign w:val="center"/>
                </w:tcPr>
                <w:p w14:paraId="3EDB2D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5</w:t>
                  </w:r>
                  <w:r>
                    <w:rPr>
                      <w:rFonts w:hint="default" w:ascii="Times New Roman" w:hAnsi="Times New Roman" w:eastAsia="宋体" w:cs="Times New Roman"/>
                      <w:b w:val="0"/>
                      <w:bCs w:val="0"/>
                      <w:color w:val="302116"/>
                      <w:sz w:val="21"/>
                      <w:szCs w:val="21"/>
                      <w:lang w:eastAsia="zh-CN"/>
                    </w:rPr>
                    <w:t>0m</w:t>
                  </w:r>
                </w:p>
              </w:tc>
              <w:tc>
                <w:tcPr>
                  <w:tcW w:w="426" w:type="pct"/>
                  <w:tcBorders>
                    <w:tl2br w:val="nil"/>
                    <w:tr2bl w:val="nil"/>
                  </w:tcBorders>
                  <w:noWrap w:val="0"/>
                  <w:vAlign w:val="center"/>
                </w:tcPr>
                <w:p w14:paraId="005058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6</w:t>
                  </w:r>
                  <w:r>
                    <w:rPr>
                      <w:rFonts w:hint="default" w:ascii="Times New Roman" w:hAnsi="Times New Roman" w:eastAsia="宋体" w:cs="Times New Roman"/>
                      <w:b w:val="0"/>
                      <w:bCs w:val="0"/>
                      <w:color w:val="302116"/>
                      <w:sz w:val="21"/>
                      <w:szCs w:val="21"/>
                      <w:lang w:eastAsia="zh-CN"/>
                    </w:rPr>
                    <w:t>0m</w:t>
                  </w:r>
                </w:p>
              </w:tc>
              <w:tc>
                <w:tcPr>
                  <w:tcW w:w="426" w:type="pct"/>
                  <w:tcBorders>
                    <w:tl2br w:val="nil"/>
                    <w:tr2bl w:val="nil"/>
                  </w:tcBorders>
                  <w:noWrap w:val="0"/>
                  <w:vAlign w:val="center"/>
                </w:tcPr>
                <w:p w14:paraId="6304B2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8</w:t>
                  </w:r>
                  <w:r>
                    <w:rPr>
                      <w:rFonts w:hint="default" w:ascii="Times New Roman" w:hAnsi="Times New Roman" w:eastAsia="宋体" w:cs="Times New Roman"/>
                      <w:b w:val="0"/>
                      <w:bCs w:val="0"/>
                      <w:color w:val="302116"/>
                      <w:sz w:val="21"/>
                      <w:szCs w:val="21"/>
                      <w:lang w:eastAsia="zh-CN"/>
                    </w:rPr>
                    <w:t>0m</w:t>
                  </w:r>
                </w:p>
              </w:tc>
              <w:tc>
                <w:tcPr>
                  <w:tcW w:w="496" w:type="pct"/>
                  <w:tcBorders>
                    <w:tl2br w:val="nil"/>
                    <w:tr2bl w:val="nil"/>
                  </w:tcBorders>
                  <w:noWrap w:val="0"/>
                  <w:vAlign w:val="center"/>
                </w:tcPr>
                <w:p w14:paraId="739F8A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1</w:t>
                  </w:r>
                  <w:r>
                    <w:rPr>
                      <w:rFonts w:hint="default" w:ascii="Times New Roman" w:hAnsi="Times New Roman" w:eastAsia="宋体" w:cs="Times New Roman"/>
                      <w:b w:val="0"/>
                      <w:bCs w:val="0"/>
                      <w:color w:val="302116"/>
                      <w:sz w:val="21"/>
                      <w:szCs w:val="21"/>
                      <w:lang w:val="en-US" w:eastAsia="zh-CN"/>
                    </w:rPr>
                    <w:t>0</w:t>
                  </w:r>
                  <w:r>
                    <w:rPr>
                      <w:rFonts w:hint="default" w:ascii="Times New Roman" w:hAnsi="Times New Roman" w:eastAsia="宋体" w:cs="Times New Roman"/>
                      <w:b w:val="0"/>
                      <w:bCs w:val="0"/>
                      <w:color w:val="302116"/>
                      <w:sz w:val="21"/>
                      <w:szCs w:val="21"/>
                      <w:lang w:eastAsia="zh-CN"/>
                    </w:rPr>
                    <w:t>0m</w:t>
                  </w:r>
                </w:p>
              </w:tc>
              <w:tc>
                <w:tcPr>
                  <w:tcW w:w="496" w:type="pct"/>
                  <w:tcBorders>
                    <w:tl2br w:val="nil"/>
                    <w:tr2bl w:val="nil"/>
                  </w:tcBorders>
                  <w:noWrap w:val="0"/>
                  <w:vAlign w:val="center"/>
                </w:tcPr>
                <w:p w14:paraId="55749F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1</w:t>
                  </w:r>
                  <w:r>
                    <w:rPr>
                      <w:rFonts w:hint="default" w:ascii="Times New Roman" w:hAnsi="Times New Roman" w:eastAsia="宋体" w:cs="Times New Roman"/>
                      <w:b w:val="0"/>
                      <w:bCs w:val="0"/>
                      <w:color w:val="302116"/>
                      <w:sz w:val="21"/>
                      <w:szCs w:val="21"/>
                      <w:lang w:val="en-US" w:eastAsia="zh-CN"/>
                    </w:rPr>
                    <w:t>2</w:t>
                  </w:r>
                  <w:r>
                    <w:rPr>
                      <w:rFonts w:hint="default" w:ascii="Times New Roman" w:hAnsi="Times New Roman" w:eastAsia="宋体" w:cs="Times New Roman"/>
                      <w:b w:val="0"/>
                      <w:bCs w:val="0"/>
                      <w:color w:val="302116"/>
                      <w:sz w:val="21"/>
                      <w:szCs w:val="21"/>
                      <w:lang w:eastAsia="zh-CN"/>
                    </w:rPr>
                    <w:t>0m</w:t>
                  </w:r>
                </w:p>
              </w:tc>
              <w:tc>
                <w:tcPr>
                  <w:tcW w:w="504" w:type="pct"/>
                  <w:tcBorders>
                    <w:tl2br w:val="nil"/>
                    <w:tr2bl w:val="nil"/>
                  </w:tcBorders>
                  <w:noWrap w:val="0"/>
                  <w:vAlign w:val="center"/>
                </w:tcPr>
                <w:p w14:paraId="76ABA0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1</w:t>
                  </w:r>
                  <w:r>
                    <w:rPr>
                      <w:rFonts w:hint="default" w:ascii="Times New Roman" w:hAnsi="Times New Roman" w:eastAsia="宋体" w:cs="Times New Roman"/>
                      <w:b w:val="0"/>
                      <w:bCs w:val="0"/>
                      <w:color w:val="302116"/>
                      <w:sz w:val="21"/>
                      <w:szCs w:val="21"/>
                      <w:lang w:val="en-US" w:eastAsia="zh-CN"/>
                    </w:rPr>
                    <w:t>6</w:t>
                  </w:r>
                  <w:r>
                    <w:rPr>
                      <w:rFonts w:hint="default" w:ascii="Times New Roman" w:hAnsi="Times New Roman" w:eastAsia="宋体" w:cs="Times New Roman"/>
                      <w:b w:val="0"/>
                      <w:bCs w:val="0"/>
                      <w:color w:val="302116"/>
                      <w:sz w:val="21"/>
                      <w:szCs w:val="21"/>
                      <w:lang w:eastAsia="zh-CN"/>
                    </w:rPr>
                    <w:t>0m</w:t>
                  </w:r>
                </w:p>
              </w:tc>
              <w:tc>
                <w:tcPr>
                  <w:tcW w:w="496" w:type="pct"/>
                  <w:tcBorders>
                    <w:tl2br w:val="nil"/>
                    <w:tr2bl w:val="nil"/>
                  </w:tcBorders>
                  <w:noWrap w:val="0"/>
                  <w:vAlign w:val="center"/>
                </w:tcPr>
                <w:p w14:paraId="2094C2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200m</w:t>
                  </w:r>
                </w:p>
              </w:tc>
            </w:tr>
            <w:tr w14:paraId="410F7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restart"/>
                  <w:tcBorders>
                    <w:tl2br w:val="nil"/>
                    <w:tr2bl w:val="nil"/>
                  </w:tcBorders>
                  <w:noWrap w:val="0"/>
                  <w:vAlign w:val="center"/>
                </w:tcPr>
                <w:p w14:paraId="3E57A2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近期</w:t>
                  </w:r>
                </w:p>
              </w:tc>
              <w:tc>
                <w:tcPr>
                  <w:tcW w:w="426" w:type="pct"/>
                  <w:tcBorders>
                    <w:tl2br w:val="nil"/>
                    <w:tr2bl w:val="nil"/>
                  </w:tcBorders>
                  <w:noWrap w:val="0"/>
                  <w:vAlign w:val="center"/>
                </w:tcPr>
                <w:p w14:paraId="4F82916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57.2</w:t>
                  </w:r>
                </w:p>
              </w:tc>
              <w:tc>
                <w:tcPr>
                  <w:tcW w:w="426" w:type="pct"/>
                  <w:tcBorders>
                    <w:tl2br w:val="nil"/>
                    <w:tr2bl w:val="nil"/>
                  </w:tcBorders>
                  <w:noWrap w:val="0"/>
                  <w:vAlign w:val="center"/>
                </w:tcPr>
                <w:p w14:paraId="5B2CDC6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51.9</w:t>
                  </w:r>
                </w:p>
              </w:tc>
              <w:tc>
                <w:tcPr>
                  <w:tcW w:w="426" w:type="pct"/>
                  <w:tcBorders>
                    <w:tl2br w:val="nil"/>
                    <w:tr2bl w:val="nil"/>
                  </w:tcBorders>
                  <w:noWrap w:val="0"/>
                  <w:vAlign w:val="center"/>
                </w:tcPr>
                <w:p w14:paraId="6601015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48.4</w:t>
                  </w:r>
                </w:p>
              </w:tc>
              <w:tc>
                <w:tcPr>
                  <w:tcW w:w="426" w:type="pct"/>
                  <w:tcBorders>
                    <w:tl2br w:val="nil"/>
                    <w:tr2bl w:val="nil"/>
                  </w:tcBorders>
                  <w:noWrap w:val="0"/>
                  <w:vAlign w:val="center"/>
                </w:tcPr>
                <w:p w14:paraId="542ACAD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45.8</w:t>
                  </w:r>
                </w:p>
              </w:tc>
              <w:tc>
                <w:tcPr>
                  <w:tcW w:w="426" w:type="pct"/>
                  <w:tcBorders>
                    <w:tl2br w:val="nil"/>
                    <w:tr2bl w:val="nil"/>
                  </w:tcBorders>
                  <w:noWrap w:val="0"/>
                  <w:vAlign w:val="center"/>
                </w:tcPr>
                <w:p w14:paraId="22D15EA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43.7</w:t>
                  </w:r>
                </w:p>
              </w:tc>
              <w:tc>
                <w:tcPr>
                  <w:tcW w:w="426" w:type="pct"/>
                  <w:tcBorders>
                    <w:tl2br w:val="nil"/>
                    <w:tr2bl w:val="nil"/>
                  </w:tcBorders>
                  <w:noWrap w:val="0"/>
                  <w:vAlign w:val="center"/>
                </w:tcPr>
                <w:p w14:paraId="5CAE945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40.5</w:t>
                  </w:r>
                </w:p>
              </w:tc>
              <w:tc>
                <w:tcPr>
                  <w:tcW w:w="496" w:type="pct"/>
                  <w:tcBorders>
                    <w:tl2br w:val="nil"/>
                    <w:tr2bl w:val="nil"/>
                  </w:tcBorders>
                  <w:noWrap w:val="0"/>
                  <w:vAlign w:val="center"/>
                </w:tcPr>
                <w:p w14:paraId="6E56236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38.0</w:t>
                  </w:r>
                </w:p>
              </w:tc>
              <w:tc>
                <w:tcPr>
                  <w:tcW w:w="496" w:type="pct"/>
                  <w:tcBorders>
                    <w:tl2br w:val="nil"/>
                    <w:tr2bl w:val="nil"/>
                  </w:tcBorders>
                  <w:noWrap w:val="0"/>
                  <w:vAlign w:val="center"/>
                </w:tcPr>
                <w:p w14:paraId="2E99297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35.9</w:t>
                  </w:r>
                </w:p>
              </w:tc>
              <w:tc>
                <w:tcPr>
                  <w:tcW w:w="504" w:type="pct"/>
                  <w:tcBorders>
                    <w:tl2br w:val="nil"/>
                    <w:tr2bl w:val="nil"/>
                  </w:tcBorders>
                  <w:noWrap w:val="0"/>
                  <w:vAlign w:val="center"/>
                </w:tcPr>
                <w:p w14:paraId="421BFE7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32.7</w:t>
                  </w:r>
                </w:p>
              </w:tc>
              <w:tc>
                <w:tcPr>
                  <w:tcW w:w="496" w:type="pct"/>
                  <w:tcBorders>
                    <w:tl2br w:val="nil"/>
                    <w:tr2bl w:val="nil"/>
                  </w:tcBorders>
                  <w:noWrap w:val="0"/>
                  <w:vAlign w:val="center"/>
                </w:tcPr>
                <w:p w14:paraId="7E3701B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30.2</w:t>
                  </w:r>
                </w:p>
              </w:tc>
            </w:tr>
            <w:tr w14:paraId="38C6A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noWrap w:val="0"/>
                  <w:vAlign w:val="center"/>
                </w:tcPr>
                <w:p w14:paraId="425533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p>
              </w:tc>
              <w:tc>
                <w:tcPr>
                  <w:tcW w:w="426" w:type="pct"/>
                  <w:tcBorders>
                    <w:tl2br w:val="nil"/>
                    <w:tr2bl w:val="nil"/>
                  </w:tcBorders>
                  <w:noWrap w:val="0"/>
                  <w:vAlign w:val="center"/>
                </w:tcPr>
                <w:p w14:paraId="230F11F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50.3</w:t>
                  </w:r>
                </w:p>
              </w:tc>
              <w:tc>
                <w:tcPr>
                  <w:tcW w:w="426" w:type="pct"/>
                  <w:tcBorders>
                    <w:tl2br w:val="nil"/>
                    <w:tr2bl w:val="nil"/>
                  </w:tcBorders>
                  <w:noWrap w:val="0"/>
                  <w:vAlign w:val="center"/>
                </w:tcPr>
                <w:p w14:paraId="314D842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45.0</w:t>
                  </w:r>
                </w:p>
              </w:tc>
              <w:tc>
                <w:tcPr>
                  <w:tcW w:w="426" w:type="pct"/>
                  <w:tcBorders>
                    <w:tl2br w:val="nil"/>
                    <w:tr2bl w:val="nil"/>
                  </w:tcBorders>
                  <w:noWrap w:val="0"/>
                  <w:vAlign w:val="center"/>
                </w:tcPr>
                <w:p w14:paraId="41BD7C8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41.6</w:t>
                  </w:r>
                </w:p>
              </w:tc>
              <w:tc>
                <w:tcPr>
                  <w:tcW w:w="426" w:type="pct"/>
                  <w:tcBorders>
                    <w:tl2br w:val="nil"/>
                    <w:tr2bl w:val="nil"/>
                  </w:tcBorders>
                  <w:noWrap w:val="0"/>
                  <w:vAlign w:val="center"/>
                </w:tcPr>
                <w:p w14:paraId="5F99069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38.9</w:t>
                  </w:r>
                </w:p>
              </w:tc>
              <w:tc>
                <w:tcPr>
                  <w:tcW w:w="426" w:type="pct"/>
                  <w:tcBorders>
                    <w:tl2br w:val="nil"/>
                    <w:tr2bl w:val="nil"/>
                  </w:tcBorders>
                  <w:noWrap w:val="0"/>
                  <w:vAlign w:val="center"/>
                </w:tcPr>
                <w:p w14:paraId="53D5899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36.9</w:t>
                  </w:r>
                </w:p>
              </w:tc>
              <w:tc>
                <w:tcPr>
                  <w:tcW w:w="426" w:type="pct"/>
                  <w:tcBorders>
                    <w:tl2br w:val="nil"/>
                    <w:tr2bl w:val="nil"/>
                  </w:tcBorders>
                  <w:noWrap w:val="0"/>
                  <w:vAlign w:val="center"/>
                </w:tcPr>
                <w:p w14:paraId="458B339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33.6</w:t>
                  </w:r>
                </w:p>
              </w:tc>
              <w:tc>
                <w:tcPr>
                  <w:tcW w:w="496" w:type="pct"/>
                  <w:tcBorders>
                    <w:tl2br w:val="nil"/>
                    <w:tr2bl w:val="nil"/>
                  </w:tcBorders>
                  <w:noWrap w:val="0"/>
                  <w:vAlign w:val="center"/>
                </w:tcPr>
                <w:p w14:paraId="40B7661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31.1</w:t>
                  </w:r>
                </w:p>
              </w:tc>
              <w:tc>
                <w:tcPr>
                  <w:tcW w:w="496" w:type="pct"/>
                  <w:tcBorders>
                    <w:tl2br w:val="nil"/>
                    <w:tr2bl w:val="nil"/>
                  </w:tcBorders>
                  <w:noWrap w:val="0"/>
                  <w:vAlign w:val="center"/>
                </w:tcPr>
                <w:p w14:paraId="2704017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29.0</w:t>
                  </w:r>
                </w:p>
              </w:tc>
              <w:tc>
                <w:tcPr>
                  <w:tcW w:w="504" w:type="pct"/>
                  <w:tcBorders>
                    <w:tl2br w:val="nil"/>
                    <w:tr2bl w:val="nil"/>
                  </w:tcBorders>
                  <w:noWrap w:val="0"/>
                  <w:vAlign w:val="center"/>
                </w:tcPr>
                <w:p w14:paraId="2EF477C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25.8</w:t>
                  </w:r>
                </w:p>
              </w:tc>
              <w:tc>
                <w:tcPr>
                  <w:tcW w:w="496" w:type="pct"/>
                  <w:tcBorders>
                    <w:tl2br w:val="nil"/>
                    <w:tr2bl w:val="nil"/>
                  </w:tcBorders>
                  <w:noWrap w:val="0"/>
                  <w:vAlign w:val="center"/>
                </w:tcPr>
                <w:p w14:paraId="7795C1A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23.4</w:t>
                  </w:r>
                </w:p>
              </w:tc>
            </w:tr>
            <w:tr w14:paraId="7D2F8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restart"/>
                  <w:tcBorders>
                    <w:tl2br w:val="nil"/>
                    <w:tr2bl w:val="nil"/>
                  </w:tcBorders>
                  <w:noWrap w:val="0"/>
                  <w:vAlign w:val="center"/>
                </w:tcPr>
                <w:p w14:paraId="7C8367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中期</w:t>
                  </w:r>
                </w:p>
              </w:tc>
              <w:tc>
                <w:tcPr>
                  <w:tcW w:w="426" w:type="pct"/>
                  <w:tcBorders>
                    <w:tl2br w:val="nil"/>
                    <w:tr2bl w:val="nil"/>
                  </w:tcBorders>
                  <w:noWrap w:val="0"/>
                  <w:vAlign w:val="center"/>
                </w:tcPr>
                <w:p w14:paraId="245DA6E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58.3</w:t>
                  </w:r>
                </w:p>
              </w:tc>
              <w:tc>
                <w:tcPr>
                  <w:tcW w:w="426" w:type="pct"/>
                  <w:tcBorders>
                    <w:tl2br w:val="nil"/>
                    <w:tr2bl w:val="nil"/>
                  </w:tcBorders>
                  <w:noWrap w:val="0"/>
                  <w:vAlign w:val="center"/>
                </w:tcPr>
                <w:p w14:paraId="7CF7E81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53.0</w:t>
                  </w:r>
                </w:p>
              </w:tc>
              <w:tc>
                <w:tcPr>
                  <w:tcW w:w="426" w:type="pct"/>
                  <w:tcBorders>
                    <w:tl2br w:val="nil"/>
                    <w:tr2bl w:val="nil"/>
                  </w:tcBorders>
                  <w:noWrap w:val="0"/>
                  <w:vAlign w:val="center"/>
                </w:tcPr>
                <w:p w14:paraId="144DE65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49.5</w:t>
                  </w:r>
                </w:p>
              </w:tc>
              <w:tc>
                <w:tcPr>
                  <w:tcW w:w="426" w:type="pct"/>
                  <w:tcBorders>
                    <w:tl2br w:val="nil"/>
                    <w:tr2bl w:val="nil"/>
                  </w:tcBorders>
                  <w:noWrap w:val="0"/>
                  <w:vAlign w:val="center"/>
                </w:tcPr>
                <w:p w14:paraId="5D05D28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46.9</w:t>
                  </w:r>
                </w:p>
              </w:tc>
              <w:tc>
                <w:tcPr>
                  <w:tcW w:w="426" w:type="pct"/>
                  <w:tcBorders>
                    <w:tl2br w:val="nil"/>
                    <w:tr2bl w:val="nil"/>
                  </w:tcBorders>
                  <w:noWrap w:val="0"/>
                  <w:vAlign w:val="center"/>
                </w:tcPr>
                <w:p w14:paraId="2B506BE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44.8</w:t>
                  </w:r>
                </w:p>
              </w:tc>
              <w:tc>
                <w:tcPr>
                  <w:tcW w:w="426" w:type="pct"/>
                  <w:tcBorders>
                    <w:tl2br w:val="nil"/>
                    <w:tr2bl w:val="nil"/>
                  </w:tcBorders>
                  <w:noWrap w:val="0"/>
                  <w:vAlign w:val="center"/>
                </w:tcPr>
                <w:p w14:paraId="33E126B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41.6</w:t>
                  </w:r>
                </w:p>
              </w:tc>
              <w:tc>
                <w:tcPr>
                  <w:tcW w:w="496" w:type="pct"/>
                  <w:tcBorders>
                    <w:tl2br w:val="nil"/>
                    <w:tr2bl w:val="nil"/>
                  </w:tcBorders>
                  <w:noWrap w:val="0"/>
                  <w:vAlign w:val="center"/>
                </w:tcPr>
                <w:p w14:paraId="5231D93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39.0</w:t>
                  </w:r>
                </w:p>
              </w:tc>
              <w:tc>
                <w:tcPr>
                  <w:tcW w:w="496" w:type="pct"/>
                  <w:tcBorders>
                    <w:tl2br w:val="nil"/>
                    <w:tr2bl w:val="nil"/>
                  </w:tcBorders>
                  <w:noWrap w:val="0"/>
                  <w:vAlign w:val="center"/>
                </w:tcPr>
                <w:p w14:paraId="23A838C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37.0</w:t>
                  </w:r>
                </w:p>
              </w:tc>
              <w:tc>
                <w:tcPr>
                  <w:tcW w:w="504" w:type="pct"/>
                  <w:tcBorders>
                    <w:tl2br w:val="nil"/>
                    <w:tr2bl w:val="nil"/>
                  </w:tcBorders>
                  <w:noWrap w:val="0"/>
                  <w:vAlign w:val="center"/>
                </w:tcPr>
                <w:p w14:paraId="6BEA0B2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33.8</w:t>
                  </w:r>
                </w:p>
              </w:tc>
              <w:tc>
                <w:tcPr>
                  <w:tcW w:w="496" w:type="pct"/>
                  <w:tcBorders>
                    <w:tl2br w:val="nil"/>
                    <w:tr2bl w:val="nil"/>
                  </w:tcBorders>
                  <w:noWrap w:val="0"/>
                  <w:vAlign w:val="center"/>
                </w:tcPr>
                <w:p w14:paraId="58E00D1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31.3</w:t>
                  </w:r>
                </w:p>
              </w:tc>
            </w:tr>
            <w:tr w14:paraId="1C5E9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noWrap w:val="0"/>
                  <w:vAlign w:val="center"/>
                </w:tcPr>
                <w:p w14:paraId="2C7B35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p>
              </w:tc>
              <w:tc>
                <w:tcPr>
                  <w:tcW w:w="426" w:type="pct"/>
                  <w:tcBorders>
                    <w:tl2br w:val="nil"/>
                    <w:tr2bl w:val="nil"/>
                  </w:tcBorders>
                  <w:noWrap w:val="0"/>
                  <w:vAlign w:val="center"/>
                </w:tcPr>
                <w:p w14:paraId="3FB527E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51.7</w:t>
                  </w:r>
                </w:p>
              </w:tc>
              <w:tc>
                <w:tcPr>
                  <w:tcW w:w="426" w:type="pct"/>
                  <w:tcBorders>
                    <w:tl2br w:val="nil"/>
                    <w:tr2bl w:val="nil"/>
                  </w:tcBorders>
                  <w:noWrap w:val="0"/>
                  <w:vAlign w:val="center"/>
                </w:tcPr>
                <w:p w14:paraId="6BA61AD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46.4</w:t>
                  </w:r>
                </w:p>
              </w:tc>
              <w:tc>
                <w:tcPr>
                  <w:tcW w:w="426" w:type="pct"/>
                  <w:tcBorders>
                    <w:tl2br w:val="nil"/>
                    <w:tr2bl w:val="nil"/>
                  </w:tcBorders>
                  <w:noWrap w:val="0"/>
                  <w:vAlign w:val="center"/>
                </w:tcPr>
                <w:p w14:paraId="519C565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42.9</w:t>
                  </w:r>
                </w:p>
              </w:tc>
              <w:tc>
                <w:tcPr>
                  <w:tcW w:w="426" w:type="pct"/>
                  <w:tcBorders>
                    <w:tl2br w:val="nil"/>
                    <w:tr2bl w:val="nil"/>
                  </w:tcBorders>
                  <w:noWrap w:val="0"/>
                  <w:vAlign w:val="center"/>
                </w:tcPr>
                <w:p w14:paraId="01D08FD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40.3</w:t>
                  </w:r>
                </w:p>
              </w:tc>
              <w:tc>
                <w:tcPr>
                  <w:tcW w:w="426" w:type="pct"/>
                  <w:tcBorders>
                    <w:tl2br w:val="nil"/>
                    <w:tr2bl w:val="nil"/>
                  </w:tcBorders>
                  <w:noWrap w:val="0"/>
                  <w:vAlign w:val="center"/>
                </w:tcPr>
                <w:p w14:paraId="264A0CB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38.2</w:t>
                  </w:r>
                </w:p>
              </w:tc>
              <w:tc>
                <w:tcPr>
                  <w:tcW w:w="426" w:type="pct"/>
                  <w:tcBorders>
                    <w:tl2br w:val="nil"/>
                    <w:tr2bl w:val="nil"/>
                  </w:tcBorders>
                  <w:noWrap w:val="0"/>
                  <w:vAlign w:val="center"/>
                </w:tcPr>
                <w:p w14:paraId="012E47E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34.9</w:t>
                  </w:r>
                </w:p>
              </w:tc>
              <w:tc>
                <w:tcPr>
                  <w:tcW w:w="496" w:type="pct"/>
                  <w:tcBorders>
                    <w:tl2br w:val="nil"/>
                    <w:tr2bl w:val="nil"/>
                  </w:tcBorders>
                  <w:noWrap w:val="0"/>
                  <w:vAlign w:val="center"/>
                </w:tcPr>
                <w:p w14:paraId="3DE7099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32.4</w:t>
                  </w:r>
                </w:p>
              </w:tc>
              <w:tc>
                <w:tcPr>
                  <w:tcW w:w="496" w:type="pct"/>
                  <w:tcBorders>
                    <w:tl2br w:val="nil"/>
                    <w:tr2bl w:val="nil"/>
                  </w:tcBorders>
                  <w:noWrap w:val="0"/>
                  <w:vAlign w:val="center"/>
                </w:tcPr>
                <w:p w14:paraId="71CE0AC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30.4</w:t>
                  </w:r>
                </w:p>
              </w:tc>
              <w:tc>
                <w:tcPr>
                  <w:tcW w:w="504" w:type="pct"/>
                  <w:tcBorders>
                    <w:tl2br w:val="nil"/>
                    <w:tr2bl w:val="nil"/>
                  </w:tcBorders>
                  <w:noWrap w:val="0"/>
                  <w:vAlign w:val="center"/>
                </w:tcPr>
                <w:p w14:paraId="10EF299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27.2</w:t>
                  </w:r>
                </w:p>
              </w:tc>
              <w:tc>
                <w:tcPr>
                  <w:tcW w:w="496" w:type="pct"/>
                  <w:tcBorders>
                    <w:tl2br w:val="nil"/>
                    <w:tr2bl w:val="nil"/>
                  </w:tcBorders>
                  <w:noWrap w:val="0"/>
                  <w:vAlign w:val="center"/>
                </w:tcPr>
                <w:p w14:paraId="692E94B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24.7</w:t>
                  </w:r>
                </w:p>
              </w:tc>
            </w:tr>
            <w:tr w14:paraId="64D71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restart"/>
                  <w:tcBorders>
                    <w:tl2br w:val="nil"/>
                    <w:tr2bl w:val="nil"/>
                  </w:tcBorders>
                  <w:noWrap w:val="0"/>
                  <w:vAlign w:val="center"/>
                </w:tcPr>
                <w:p w14:paraId="515C36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val="en-US" w:eastAsia="zh-CN"/>
                    </w:rPr>
                  </w:pPr>
                  <w:r>
                    <w:rPr>
                      <w:rFonts w:hint="default" w:ascii="Times New Roman" w:hAnsi="Times New Roman" w:eastAsia="宋体" w:cs="Times New Roman"/>
                      <w:b w:val="0"/>
                      <w:bCs w:val="0"/>
                      <w:color w:val="302116"/>
                      <w:sz w:val="21"/>
                      <w:szCs w:val="21"/>
                      <w:lang w:val="en-US" w:eastAsia="zh-CN"/>
                    </w:rPr>
                    <w:t>远期</w:t>
                  </w:r>
                </w:p>
              </w:tc>
              <w:tc>
                <w:tcPr>
                  <w:tcW w:w="426" w:type="pct"/>
                  <w:tcBorders>
                    <w:tl2br w:val="nil"/>
                    <w:tr2bl w:val="nil"/>
                  </w:tcBorders>
                  <w:noWrap w:val="0"/>
                  <w:vAlign w:val="center"/>
                </w:tcPr>
                <w:p w14:paraId="58E69C6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60.5</w:t>
                  </w:r>
                </w:p>
              </w:tc>
              <w:tc>
                <w:tcPr>
                  <w:tcW w:w="426" w:type="pct"/>
                  <w:tcBorders>
                    <w:tl2br w:val="nil"/>
                    <w:tr2bl w:val="nil"/>
                  </w:tcBorders>
                  <w:noWrap w:val="0"/>
                  <w:vAlign w:val="center"/>
                </w:tcPr>
                <w:p w14:paraId="603E011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55.2</w:t>
                  </w:r>
                </w:p>
              </w:tc>
              <w:tc>
                <w:tcPr>
                  <w:tcW w:w="426" w:type="pct"/>
                  <w:tcBorders>
                    <w:tl2br w:val="nil"/>
                    <w:tr2bl w:val="nil"/>
                  </w:tcBorders>
                  <w:noWrap w:val="0"/>
                  <w:vAlign w:val="center"/>
                </w:tcPr>
                <w:p w14:paraId="79B49C0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51.7</w:t>
                  </w:r>
                </w:p>
              </w:tc>
              <w:tc>
                <w:tcPr>
                  <w:tcW w:w="426" w:type="pct"/>
                  <w:tcBorders>
                    <w:tl2br w:val="nil"/>
                    <w:tr2bl w:val="nil"/>
                  </w:tcBorders>
                  <w:noWrap w:val="0"/>
                  <w:vAlign w:val="center"/>
                </w:tcPr>
                <w:p w14:paraId="4E02174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49.1</w:t>
                  </w:r>
                </w:p>
              </w:tc>
              <w:tc>
                <w:tcPr>
                  <w:tcW w:w="426" w:type="pct"/>
                  <w:tcBorders>
                    <w:tl2br w:val="nil"/>
                    <w:tr2bl w:val="nil"/>
                  </w:tcBorders>
                  <w:noWrap w:val="0"/>
                  <w:vAlign w:val="center"/>
                </w:tcPr>
                <w:p w14:paraId="2B26557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47.0</w:t>
                  </w:r>
                </w:p>
              </w:tc>
              <w:tc>
                <w:tcPr>
                  <w:tcW w:w="426" w:type="pct"/>
                  <w:tcBorders>
                    <w:tl2br w:val="nil"/>
                    <w:tr2bl w:val="nil"/>
                  </w:tcBorders>
                  <w:noWrap w:val="0"/>
                  <w:vAlign w:val="center"/>
                </w:tcPr>
                <w:p w14:paraId="18672ED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43.7</w:t>
                  </w:r>
                </w:p>
              </w:tc>
              <w:tc>
                <w:tcPr>
                  <w:tcW w:w="496" w:type="pct"/>
                  <w:tcBorders>
                    <w:tl2br w:val="nil"/>
                    <w:tr2bl w:val="nil"/>
                  </w:tcBorders>
                  <w:noWrap w:val="0"/>
                  <w:vAlign w:val="center"/>
                </w:tcPr>
                <w:p w14:paraId="4D9D663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41.2</w:t>
                  </w:r>
                </w:p>
              </w:tc>
              <w:tc>
                <w:tcPr>
                  <w:tcW w:w="496" w:type="pct"/>
                  <w:tcBorders>
                    <w:tl2br w:val="nil"/>
                    <w:tr2bl w:val="nil"/>
                  </w:tcBorders>
                  <w:noWrap w:val="0"/>
                  <w:vAlign w:val="center"/>
                </w:tcPr>
                <w:p w14:paraId="6D5F29F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39.2</w:t>
                  </w:r>
                </w:p>
              </w:tc>
              <w:tc>
                <w:tcPr>
                  <w:tcW w:w="504" w:type="pct"/>
                  <w:tcBorders>
                    <w:tl2br w:val="nil"/>
                    <w:tr2bl w:val="nil"/>
                  </w:tcBorders>
                  <w:noWrap w:val="0"/>
                  <w:vAlign w:val="center"/>
                </w:tcPr>
                <w:p w14:paraId="6912DAA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36.0</w:t>
                  </w:r>
                </w:p>
              </w:tc>
              <w:tc>
                <w:tcPr>
                  <w:tcW w:w="496" w:type="pct"/>
                  <w:tcBorders>
                    <w:tl2br w:val="nil"/>
                    <w:tr2bl w:val="nil"/>
                  </w:tcBorders>
                  <w:noWrap w:val="0"/>
                  <w:vAlign w:val="center"/>
                </w:tcPr>
                <w:p w14:paraId="37D3052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33.5</w:t>
                  </w:r>
                </w:p>
              </w:tc>
            </w:tr>
            <w:tr w14:paraId="45FC0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noWrap w:val="0"/>
                  <w:vAlign w:val="center"/>
                </w:tcPr>
                <w:p w14:paraId="2CD1A1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rPr>
                  </w:pPr>
                </w:p>
              </w:tc>
              <w:tc>
                <w:tcPr>
                  <w:tcW w:w="426" w:type="pct"/>
                  <w:tcBorders>
                    <w:tl2br w:val="nil"/>
                    <w:tr2bl w:val="nil"/>
                  </w:tcBorders>
                  <w:noWrap w:val="0"/>
                  <w:vAlign w:val="center"/>
                </w:tcPr>
                <w:p w14:paraId="5080A8C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54.0</w:t>
                  </w:r>
                </w:p>
              </w:tc>
              <w:tc>
                <w:tcPr>
                  <w:tcW w:w="426" w:type="pct"/>
                  <w:tcBorders>
                    <w:tl2br w:val="nil"/>
                    <w:tr2bl w:val="nil"/>
                  </w:tcBorders>
                  <w:noWrap w:val="0"/>
                  <w:vAlign w:val="center"/>
                </w:tcPr>
                <w:p w14:paraId="5F130C2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48.7</w:t>
                  </w:r>
                </w:p>
              </w:tc>
              <w:tc>
                <w:tcPr>
                  <w:tcW w:w="426" w:type="pct"/>
                  <w:tcBorders>
                    <w:tl2br w:val="nil"/>
                    <w:tr2bl w:val="nil"/>
                  </w:tcBorders>
                  <w:noWrap w:val="0"/>
                  <w:vAlign w:val="center"/>
                </w:tcPr>
                <w:p w14:paraId="1BAD368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45.2</w:t>
                  </w:r>
                </w:p>
              </w:tc>
              <w:tc>
                <w:tcPr>
                  <w:tcW w:w="426" w:type="pct"/>
                  <w:tcBorders>
                    <w:tl2br w:val="nil"/>
                    <w:tr2bl w:val="nil"/>
                  </w:tcBorders>
                  <w:noWrap w:val="0"/>
                  <w:vAlign w:val="center"/>
                </w:tcPr>
                <w:p w14:paraId="5333786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42.6</w:t>
                  </w:r>
                </w:p>
              </w:tc>
              <w:tc>
                <w:tcPr>
                  <w:tcW w:w="426" w:type="pct"/>
                  <w:tcBorders>
                    <w:tl2br w:val="nil"/>
                    <w:tr2bl w:val="nil"/>
                  </w:tcBorders>
                  <w:noWrap w:val="0"/>
                  <w:vAlign w:val="center"/>
                </w:tcPr>
                <w:p w14:paraId="049DC17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40.5</w:t>
                  </w:r>
                </w:p>
              </w:tc>
              <w:tc>
                <w:tcPr>
                  <w:tcW w:w="426" w:type="pct"/>
                  <w:tcBorders>
                    <w:tl2br w:val="nil"/>
                    <w:tr2bl w:val="nil"/>
                  </w:tcBorders>
                  <w:noWrap w:val="0"/>
                  <w:vAlign w:val="center"/>
                </w:tcPr>
                <w:p w14:paraId="2CC34CD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37.2</w:t>
                  </w:r>
                </w:p>
              </w:tc>
              <w:tc>
                <w:tcPr>
                  <w:tcW w:w="496" w:type="pct"/>
                  <w:tcBorders>
                    <w:tl2br w:val="nil"/>
                    <w:tr2bl w:val="nil"/>
                  </w:tcBorders>
                  <w:noWrap w:val="0"/>
                  <w:vAlign w:val="center"/>
                </w:tcPr>
                <w:p w14:paraId="2BD70D9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34.7</w:t>
                  </w:r>
                </w:p>
              </w:tc>
              <w:tc>
                <w:tcPr>
                  <w:tcW w:w="496" w:type="pct"/>
                  <w:tcBorders>
                    <w:tl2br w:val="nil"/>
                    <w:tr2bl w:val="nil"/>
                  </w:tcBorders>
                  <w:noWrap w:val="0"/>
                  <w:vAlign w:val="center"/>
                </w:tcPr>
                <w:p w14:paraId="02413FB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32.7</w:t>
                  </w:r>
                </w:p>
              </w:tc>
              <w:tc>
                <w:tcPr>
                  <w:tcW w:w="504" w:type="pct"/>
                  <w:tcBorders>
                    <w:tl2br w:val="nil"/>
                    <w:tr2bl w:val="nil"/>
                  </w:tcBorders>
                  <w:noWrap w:val="0"/>
                  <w:vAlign w:val="center"/>
                </w:tcPr>
                <w:p w14:paraId="3AD3F58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29.5</w:t>
                  </w:r>
                </w:p>
              </w:tc>
              <w:tc>
                <w:tcPr>
                  <w:tcW w:w="496" w:type="pct"/>
                  <w:tcBorders>
                    <w:tl2br w:val="nil"/>
                    <w:tr2bl w:val="nil"/>
                  </w:tcBorders>
                  <w:noWrap w:val="0"/>
                  <w:vAlign w:val="center"/>
                </w:tcPr>
                <w:p w14:paraId="0B5C15F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27.0</w:t>
                  </w:r>
                </w:p>
              </w:tc>
            </w:tr>
          </w:tbl>
          <w:p w14:paraId="1CEF6871">
            <w:pPr>
              <w:pStyle w:val="62"/>
              <w:shd w:val="clear" w:color="auto" w:fill="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4-</w:t>
            </w:r>
            <w:r>
              <w:rPr>
                <w:rFonts w:hint="eastAsia" w:ascii="Times New Roman" w:hAnsi="Times New Roman" w:cs="Times New Roman"/>
                <w:color w:val="auto"/>
                <w:sz w:val="24"/>
                <w:szCs w:val="24"/>
                <w:lang w:val="en-US" w:eastAsia="zh-CN"/>
              </w:rPr>
              <w:t>10</w:t>
            </w:r>
            <w:r>
              <w:rPr>
                <w:rFonts w:hint="eastAsia" w:ascii="Times New Roman" w:hAnsi="Times New Roman" w:eastAsia="宋体" w:cs="Times New Roman"/>
                <w:color w:val="auto"/>
                <w:sz w:val="24"/>
                <w:szCs w:val="24"/>
              </w:rPr>
              <w:t xml:space="preserve">          交通噪声的达标距离（距中心线）                           单位：m</w:t>
            </w:r>
          </w:p>
          <w:tbl>
            <w:tblPr>
              <w:tblStyle w:val="29"/>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33"/>
              <w:gridCol w:w="3434"/>
              <w:gridCol w:w="3434"/>
              <w:gridCol w:w="3654"/>
            </w:tblGrid>
            <w:tr w14:paraId="2FA57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0" w:type="pct"/>
                  <w:gridSpan w:val="2"/>
                  <w:vMerge w:val="restart"/>
                  <w:tcBorders>
                    <w:tl2br w:val="nil"/>
                    <w:tr2bl w:val="nil"/>
                  </w:tcBorders>
                  <w:noWrap w:val="0"/>
                  <w:vAlign w:val="center"/>
                </w:tcPr>
                <w:p w14:paraId="313D8157">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运营时期</w:t>
                  </w:r>
                </w:p>
              </w:tc>
              <w:tc>
                <w:tcPr>
                  <w:tcW w:w="2539" w:type="pct"/>
                  <w:gridSpan w:val="2"/>
                  <w:tcBorders>
                    <w:tl2br w:val="nil"/>
                    <w:tr2bl w:val="nil"/>
                  </w:tcBorders>
                  <w:noWrap w:val="0"/>
                  <w:vAlign w:val="center"/>
                </w:tcPr>
                <w:p w14:paraId="521BA76D">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达标距离</w:t>
                  </w:r>
                </w:p>
              </w:tc>
            </w:tr>
            <w:tr w14:paraId="365BC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0" w:type="pct"/>
                  <w:gridSpan w:val="2"/>
                  <w:vMerge w:val="continue"/>
                  <w:tcBorders>
                    <w:tl2br w:val="nil"/>
                    <w:tr2bl w:val="nil"/>
                  </w:tcBorders>
                  <w:noWrap w:val="0"/>
                  <w:vAlign w:val="center"/>
                </w:tcPr>
                <w:p w14:paraId="5A5A9C8D">
                  <w:pPr>
                    <w:pStyle w:val="85"/>
                    <w:shd w:val="clear" w:color="auto" w:fill="auto"/>
                    <w:adjustRightInd w:val="0"/>
                    <w:snapToGrid w:val="0"/>
                    <w:spacing w:line="240" w:lineRule="auto"/>
                    <w:ind w:firstLine="0" w:firstLineChars="0"/>
                    <w:jc w:val="center"/>
                    <w:rPr>
                      <w:color w:val="auto"/>
                      <w:sz w:val="21"/>
                    </w:rPr>
                  </w:pPr>
                </w:p>
              </w:tc>
              <w:tc>
                <w:tcPr>
                  <w:tcW w:w="1230" w:type="pct"/>
                  <w:tcBorders>
                    <w:tl2br w:val="nil"/>
                    <w:tr2bl w:val="nil"/>
                  </w:tcBorders>
                  <w:noWrap w:val="0"/>
                  <w:vAlign w:val="center"/>
                </w:tcPr>
                <w:p w14:paraId="15D3F526">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2类</w:t>
                  </w:r>
                </w:p>
              </w:tc>
              <w:tc>
                <w:tcPr>
                  <w:tcW w:w="1309" w:type="pct"/>
                  <w:tcBorders>
                    <w:tl2br w:val="nil"/>
                    <w:tr2bl w:val="nil"/>
                  </w:tcBorders>
                  <w:noWrap w:val="0"/>
                  <w:vAlign w:val="center"/>
                </w:tcPr>
                <w:p w14:paraId="1019A6AB">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4a类</w:t>
                  </w:r>
                </w:p>
              </w:tc>
            </w:tr>
            <w:tr w14:paraId="0009D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restart"/>
                  <w:tcBorders>
                    <w:tl2br w:val="nil"/>
                    <w:tr2bl w:val="nil"/>
                  </w:tcBorders>
                  <w:noWrap w:val="0"/>
                  <w:vAlign w:val="center"/>
                </w:tcPr>
                <w:p w14:paraId="733C6D08">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202</w:t>
                  </w:r>
                  <w:r>
                    <w:rPr>
                      <w:rFonts w:hint="eastAsia"/>
                      <w:color w:val="auto"/>
                      <w:sz w:val="21"/>
                      <w:lang w:val="en-US" w:eastAsia="zh-CN"/>
                    </w:rPr>
                    <w:t>6</w:t>
                  </w:r>
                </w:p>
              </w:tc>
              <w:tc>
                <w:tcPr>
                  <w:tcW w:w="1230" w:type="pct"/>
                  <w:tcBorders>
                    <w:tl2br w:val="nil"/>
                    <w:tr2bl w:val="nil"/>
                  </w:tcBorders>
                  <w:noWrap w:val="0"/>
                  <w:vAlign w:val="center"/>
                </w:tcPr>
                <w:p w14:paraId="127EB0BD">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昼间</w:t>
                  </w:r>
                </w:p>
              </w:tc>
              <w:tc>
                <w:tcPr>
                  <w:tcW w:w="1230" w:type="pct"/>
                  <w:tcBorders>
                    <w:tl2br w:val="nil"/>
                    <w:tr2bl w:val="nil"/>
                  </w:tcBorders>
                  <w:noWrap w:val="0"/>
                  <w:vAlign w:val="center"/>
                </w:tcPr>
                <w:p w14:paraId="7A40FDF7">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7557709E">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＜20</w:t>
                  </w:r>
                </w:p>
              </w:tc>
            </w:tr>
            <w:tr w14:paraId="40D6B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continue"/>
                  <w:tcBorders>
                    <w:tl2br w:val="nil"/>
                    <w:tr2bl w:val="nil"/>
                  </w:tcBorders>
                  <w:noWrap w:val="0"/>
                  <w:vAlign w:val="center"/>
                </w:tcPr>
                <w:p w14:paraId="7B0F0356">
                  <w:pPr>
                    <w:pStyle w:val="85"/>
                    <w:shd w:val="clear" w:color="auto" w:fill="auto"/>
                    <w:adjustRightInd w:val="0"/>
                    <w:snapToGrid w:val="0"/>
                    <w:spacing w:line="240" w:lineRule="auto"/>
                    <w:ind w:firstLine="0" w:firstLineChars="0"/>
                    <w:jc w:val="center"/>
                    <w:rPr>
                      <w:rFonts w:hint="eastAsia"/>
                      <w:color w:val="auto"/>
                      <w:sz w:val="21"/>
                    </w:rPr>
                  </w:pPr>
                </w:p>
              </w:tc>
              <w:tc>
                <w:tcPr>
                  <w:tcW w:w="1230" w:type="pct"/>
                  <w:tcBorders>
                    <w:tl2br w:val="nil"/>
                    <w:tr2bl w:val="nil"/>
                  </w:tcBorders>
                  <w:noWrap w:val="0"/>
                  <w:vAlign w:val="center"/>
                </w:tcPr>
                <w:p w14:paraId="0FAACDD4">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夜间</w:t>
                  </w:r>
                </w:p>
              </w:tc>
              <w:tc>
                <w:tcPr>
                  <w:tcW w:w="1230" w:type="pct"/>
                  <w:tcBorders>
                    <w:tl2br w:val="nil"/>
                    <w:tr2bl w:val="nil"/>
                  </w:tcBorders>
                  <w:noWrap w:val="0"/>
                  <w:vAlign w:val="center"/>
                </w:tcPr>
                <w:p w14:paraId="2192317F">
                  <w:pPr>
                    <w:shd w:val="clear" w:color="auto" w:fill="auto"/>
                    <w:adjustRightInd w:val="0"/>
                    <w:snapToGrid w:val="0"/>
                    <w:spacing w:line="240" w:lineRule="auto"/>
                    <w:ind w:firstLine="0" w:firstLineChars="0"/>
                    <w:jc w:val="center"/>
                    <w:rPr>
                      <w:rFonts w:hint="default"/>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6AC77404">
                  <w:pPr>
                    <w:shd w:val="clear" w:color="auto" w:fill="auto"/>
                    <w:adjustRightInd w:val="0"/>
                    <w:snapToGrid w:val="0"/>
                    <w:spacing w:line="240" w:lineRule="auto"/>
                    <w:ind w:firstLine="0" w:firstLineChars="0"/>
                    <w:jc w:val="center"/>
                    <w:rPr>
                      <w:rFonts w:hint="default"/>
                      <w:b w:val="0"/>
                      <w:bCs w:val="0"/>
                      <w:color w:val="auto"/>
                      <w:sz w:val="21"/>
                      <w:lang w:val="en-US" w:eastAsia="zh-CN"/>
                    </w:rPr>
                  </w:pPr>
                  <w:r>
                    <w:rPr>
                      <w:rFonts w:hint="eastAsia"/>
                      <w:b w:val="0"/>
                      <w:bCs w:val="0"/>
                      <w:color w:val="auto"/>
                      <w:sz w:val="21"/>
                    </w:rPr>
                    <w:t>＜20</w:t>
                  </w:r>
                </w:p>
              </w:tc>
            </w:tr>
            <w:tr w14:paraId="0AE68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restart"/>
                  <w:tcBorders>
                    <w:tl2br w:val="nil"/>
                    <w:tr2bl w:val="nil"/>
                  </w:tcBorders>
                  <w:noWrap w:val="0"/>
                  <w:vAlign w:val="center"/>
                </w:tcPr>
                <w:p w14:paraId="09C0E521">
                  <w:pPr>
                    <w:pStyle w:val="85"/>
                    <w:shd w:val="clear" w:color="auto" w:fill="auto"/>
                    <w:adjustRightInd w:val="0"/>
                    <w:snapToGrid w:val="0"/>
                    <w:spacing w:line="240" w:lineRule="auto"/>
                    <w:ind w:firstLine="0" w:firstLineChars="0"/>
                    <w:jc w:val="center"/>
                    <w:rPr>
                      <w:rFonts w:hint="eastAsia" w:eastAsia="宋体"/>
                      <w:color w:val="auto"/>
                      <w:sz w:val="21"/>
                      <w:lang w:eastAsia="zh-CN"/>
                    </w:rPr>
                  </w:pPr>
                  <w:r>
                    <w:rPr>
                      <w:rFonts w:hint="eastAsia"/>
                      <w:color w:val="auto"/>
                      <w:sz w:val="21"/>
                      <w:lang w:eastAsia="zh-CN"/>
                    </w:rPr>
                    <w:t>2033</w:t>
                  </w:r>
                </w:p>
              </w:tc>
              <w:tc>
                <w:tcPr>
                  <w:tcW w:w="1230" w:type="pct"/>
                  <w:tcBorders>
                    <w:tl2br w:val="nil"/>
                    <w:tr2bl w:val="nil"/>
                  </w:tcBorders>
                  <w:noWrap w:val="0"/>
                  <w:vAlign w:val="center"/>
                </w:tcPr>
                <w:p w14:paraId="2A81949D">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昼间</w:t>
                  </w:r>
                </w:p>
              </w:tc>
              <w:tc>
                <w:tcPr>
                  <w:tcW w:w="1230" w:type="pct"/>
                  <w:tcBorders>
                    <w:tl2br w:val="nil"/>
                    <w:tr2bl w:val="nil"/>
                  </w:tcBorders>
                  <w:noWrap w:val="0"/>
                  <w:vAlign w:val="center"/>
                </w:tcPr>
                <w:p w14:paraId="0C96F64F">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78AE11DB">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＜20</w:t>
                  </w:r>
                </w:p>
              </w:tc>
            </w:tr>
            <w:tr w14:paraId="731A8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30" w:type="pct"/>
                  <w:vMerge w:val="continue"/>
                  <w:tcBorders>
                    <w:tl2br w:val="nil"/>
                    <w:tr2bl w:val="nil"/>
                  </w:tcBorders>
                  <w:noWrap w:val="0"/>
                  <w:vAlign w:val="center"/>
                </w:tcPr>
                <w:p w14:paraId="2D5264CB">
                  <w:pPr>
                    <w:pStyle w:val="85"/>
                    <w:shd w:val="clear" w:color="auto" w:fill="auto"/>
                    <w:adjustRightInd w:val="0"/>
                    <w:snapToGrid w:val="0"/>
                    <w:spacing w:line="240" w:lineRule="auto"/>
                    <w:ind w:firstLine="0" w:firstLineChars="0"/>
                    <w:jc w:val="center"/>
                    <w:rPr>
                      <w:rFonts w:hint="eastAsia"/>
                      <w:color w:val="auto"/>
                      <w:sz w:val="21"/>
                    </w:rPr>
                  </w:pPr>
                </w:p>
              </w:tc>
              <w:tc>
                <w:tcPr>
                  <w:tcW w:w="1230" w:type="pct"/>
                  <w:tcBorders>
                    <w:tl2br w:val="nil"/>
                    <w:tr2bl w:val="nil"/>
                  </w:tcBorders>
                  <w:noWrap w:val="0"/>
                  <w:vAlign w:val="center"/>
                </w:tcPr>
                <w:p w14:paraId="1F3C2A68">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夜间</w:t>
                  </w:r>
                </w:p>
              </w:tc>
              <w:tc>
                <w:tcPr>
                  <w:tcW w:w="1230" w:type="pct"/>
                  <w:tcBorders>
                    <w:tl2br w:val="nil"/>
                    <w:tr2bl w:val="nil"/>
                  </w:tcBorders>
                  <w:noWrap w:val="0"/>
                  <w:vAlign w:val="center"/>
                </w:tcPr>
                <w:p w14:paraId="7A16A21A">
                  <w:pPr>
                    <w:shd w:val="clear" w:color="auto" w:fill="auto"/>
                    <w:adjustRightInd w:val="0"/>
                    <w:snapToGrid w:val="0"/>
                    <w:spacing w:line="240" w:lineRule="auto"/>
                    <w:ind w:firstLine="0" w:firstLineChars="0"/>
                    <w:jc w:val="center"/>
                    <w:rPr>
                      <w:rFonts w:hint="default"/>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269FB5D2">
                  <w:pPr>
                    <w:shd w:val="clear" w:color="auto" w:fill="auto"/>
                    <w:adjustRightInd w:val="0"/>
                    <w:snapToGrid w:val="0"/>
                    <w:spacing w:line="240" w:lineRule="auto"/>
                    <w:ind w:firstLine="0" w:firstLineChars="0"/>
                    <w:jc w:val="center"/>
                    <w:rPr>
                      <w:rFonts w:hint="eastAsia"/>
                      <w:b w:val="0"/>
                      <w:bCs w:val="0"/>
                      <w:color w:val="auto"/>
                      <w:sz w:val="21"/>
                      <w:lang w:val="en-US" w:eastAsia="zh-CN"/>
                    </w:rPr>
                  </w:pPr>
                  <w:r>
                    <w:rPr>
                      <w:rFonts w:hint="eastAsia"/>
                      <w:b w:val="0"/>
                      <w:bCs w:val="0"/>
                      <w:color w:val="auto"/>
                      <w:sz w:val="21"/>
                    </w:rPr>
                    <w:t>＜20</w:t>
                  </w:r>
                </w:p>
              </w:tc>
            </w:tr>
            <w:tr w14:paraId="7E283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restart"/>
                  <w:tcBorders>
                    <w:tl2br w:val="nil"/>
                    <w:tr2bl w:val="nil"/>
                  </w:tcBorders>
                  <w:noWrap w:val="0"/>
                  <w:vAlign w:val="center"/>
                </w:tcPr>
                <w:p w14:paraId="064899C4">
                  <w:pPr>
                    <w:pStyle w:val="85"/>
                    <w:shd w:val="clear" w:color="auto" w:fill="auto"/>
                    <w:adjustRightInd w:val="0"/>
                    <w:snapToGrid w:val="0"/>
                    <w:spacing w:line="240" w:lineRule="auto"/>
                    <w:ind w:firstLine="0" w:firstLineChars="0"/>
                    <w:jc w:val="center"/>
                    <w:rPr>
                      <w:rFonts w:hint="eastAsia" w:eastAsia="宋体"/>
                      <w:color w:val="auto"/>
                      <w:sz w:val="21"/>
                      <w:lang w:eastAsia="zh-CN"/>
                    </w:rPr>
                  </w:pPr>
                  <w:r>
                    <w:rPr>
                      <w:rFonts w:hint="eastAsia"/>
                      <w:color w:val="auto"/>
                      <w:sz w:val="21"/>
                      <w:lang w:eastAsia="zh-CN"/>
                    </w:rPr>
                    <w:t>2041</w:t>
                  </w:r>
                </w:p>
              </w:tc>
              <w:tc>
                <w:tcPr>
                  <w:tcW w:w="1230" w:type="pct"/>
                  <w:tcBorders>
                    <w:tl2br w:val="nil"/>
                    <w:tr2bl w:val="nil"/>
                  </w:tcBorders>
                  <w:noWrap w:val="0"/>
                  <w:vAlign w:val="center"/>
                </w:tcPr>
                <w:p w14:paraId="111572F8">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昼间</w:t>
                  </w:r>
                </w:p>
              </w:tc>
              <w:tc>
                <w:tcPr>
                  <w:tcW w:w="1230" w:type="pct"/>
                  <w:tcBorders>
                    <w:tl2br w:val="nil"/>
                    <w:tr2bl w:val="nil"/>
                  </w:tcBorders>
                  <w:noWrap w:val="0"/>
                  <w:vAlign w:val="center"/>
                </w:tcPr>
                <w:p w14:paraId="7E822397">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7B5C25D3">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＜20</w:t>
                  </w:r>
                </w:p>
              </w:tc>
            </w:tr>
            <w:tr w14:paraId="5D3BE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continue"/>
                  <w:tcBorders>
                    <w:tl2br w:val="nil"/>
                    <w:tr2bl w:val="nil"/>
                  </w:tcBorders>
                  <w:noWrap w:val="0"/>
                  <w:vAlign w:val="center"/>
                </w:tcPr>
                <w:p w14:paraId="55743647">
                  <w:pPr>
                    <w:pStyle w:val="85"/>
                    <w:shd w:val="clear" w:color="auto" w:fill="auto"/>
                    <w:adjustRightInd w:val="0"/>
                    <w:snapToGrid w:val="0"/>
                    <w:spacing w:line="240" w:lineRule="auto"/>
                    <w:ind w:firstLine="0" w:firstLineChars="0"/>
                    <w:jc w:val="center"/>
                    <w:rPr>
                      <w:rFonts w:hint="eastAsia"/>
                      <w:color w:val="auto"/>
                      <w:sz w:val="21"/>
                    </w:rPr>
                  </w:pPr>
                </w:p>
              </w:tc>
              <w:tc>
                <w:tcPr>
                  <w:tcW w:w="1230" w:type="pct"/>
                  <w:tcBorders>
                    <w:tl2br w:val="nil"/>
                    <w:tr2bl w:val="nil"/>
                  </w:tcBorders>
                  <w:noWrap w:val="0"/>
                  <w:vAlign w:val="center"/>
                </w:tcPr>
                <w:p w14:paraId="6D4A0295">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夜间</w:t>
                  </w:r>
                </w:p>
              </w:tc>
              <w:tc>
                <w:tcPr>
                  <w:tcW w:w="1230" w:type="pct"/>
                  <w:tcBorders>
                    <w:tl2br w:val="nil"/>
                    <w:tr2bl w:val="nil"/>
                  </w:tcBorders>
                  <w:noWrap w:val="0"/>
                  <w:vAlign w:val="center"/>
                </w:tcPr>
                <w:p w14:paraId="20E4FB5D">
                  <w:pPr>
                    <w:shd w:val="clear" w:color="auto" w:fill="auto"/>
                    <w:adjustRightInd w:val="0"/>
                    <w:snapToGrid w:val="0"/>
                    <w:spacing w:line="240" w:lineRule="auto"/>
                    <w:ind w:firstLine="0" w:firstLineChars="0"/>
                    <w:jc w:val="center"/>
                    <w:rPr>
                      <w:rFonts w:hint="default"/>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5695E57D">
                  <w:pPr>
                    <w:shd w:val="clear" w:color="auto" w:fill="auto"/>
                    <w:adjustRightInd w:val="0"/>
                    <w:snapToGrid w:val="0"/>
                    <w:spacing w:line="240" w:lineRule="auto"/>
                    <w:ind w:firstLine="0" w:firstLineChars="0"/>
                    <w:jc w:val="center"/>
                    <w:rPr>
                      <w:rFonts w:hint="eastAsia"/>
                      <w:b w:val="0"/>
                      <w:bCs w:val="0"/>
                      <w:color w:val="auto"/>
                      <w:sz w:val="21"/>
                      <w:lang w:val="en-US" w:eastAsia="zh-CN"/>
                    </w:rPr>
                  </w:pPr>
                  <w:r>
                    <w:rPr>
                      <w:rFonts w:hint="eastAsia"/>
                      <w:b w:val="0"/>
                      <w:bCs w:val="0"/>
                      <w:color w:val="auto"/>
                      <w:sz w:val="21"/>
                    </w:rPr>
                    <w:t>＜20</w:t>
                  </w:r>
                </w:p>
              </w:tc>
            </w:tr>
            <w:tr w14:paraId="78E7C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continue"/>
                  <w:tcBorders>
                    <w:tl2br w:val="nil"/>
                    <w:tr2bl w:val="nil"/>
                  </w:tcBorders>
                  <w:noWrap w:val="0"/>
                  <w:vAlign w:val="center"/>
                </w:tcPr>
                <w:p w14:paraId="18C45718">
                  <w:pPr>
                    <w:pStyle w:val="85"/>
                    <w:shd w:val="clear" w:color="auto" w:fill="auto"/>
                    <w:adjustRightInd w:val="0"/>
                    <w:snapToGrid w:val="0"/>
                    <w:spacing w:line="240" w:lineRule="auto"/>
                    <w:ind w:firstLine="0" w:firstLineChars="0"/>
                    <w:jc w:val="center"/>
                    <w:rPr>
                      <w:rFonts w:hint="eastAsia"/>
                      <w:color w:val="auto"/>
                      <w:sz w:val="21"/>
                    </w:rPr>
                  </w:pPr>
                </w:p>
              </w:tc>
              <w:tc>
                <w:tcPr>
                  <w:tcW w:w="1230" w:type="pct"/>
                  <w:tcBorders>
                    <w:tl2br w:val="nil"/>
                    <w:tr2bl w:val="nil"/>
                  </w:tcBorders>
                  <w:noWrap w:val="0"/>
                  <w:vAlign w:val="center"/>
                </w:tcPr>
                <w:p w14:paraId="70E9441C">
                  <w:pPr>
                    <w:pStyle w:val="85"/>
                    <w:shd w:val="clear" w:color="auto" w:fill="auto"/>
                    <w:adjustRightInd w:val="0"/>
                    <w:snapToGrid w:val="0"/>
                    <w:spacing w:line="240" w:lineRule="auto"/>
                    <w:ind w:firstLine="0" w:firstLineChars="0"/>
                    <w:jc w:val="center"/>
                    <w:rPr>
                      <w:rFonts w:hint="eastAsia"/>
                      <w:color w:val="auto"/>
                      <w:sz w:val="21"/>
                      <w:lang w:val="en-US" w:eastAsia="zh-CN"/>
                    </w:rPr>
                  </w:pPr>
                  <w:r>
                    <w:rPr>
                      <w:rFonts w:hint="eastAsia"/>
                      <w:color w:val="auto"/>
                      <w:sz w:val="21"/>
                      <w:lang w:val="en-US" w:eastAsia="zh-CN"/>
                    </w:rPr>
                    <w:t>夜间</w:t>
                  </w:r>
                </w:p>
              </w:tc>
              <w:tc>
                <w:tcPr>
                  <w:tcW w:w="1230" w:type="pct"/>
                  <w:tcBorders>
                    <w:tl2br w:val="nil"/>
                    <w:tr2bl w:val="nil"/>
                  </w:tcBorders>
                  <w:noWrap w:val="0"/>
                  <w:vAlign w:val="center"/>
                </w:tcPr>
                <w:p w14:paraId="194893CB">
                  <w:pPr>
                    <w:shd w:val="clear" w:color="auto" w:fill="auto"/>
                    <w:adjustRightInd w:val="0"/>
                    <w:snapToGrid w:val="0"/>
                    <w:spacing w:line="240" w:lineRule="auto"/>
                    <w:ind w:firstLine="0" w:firstLineChars="0"/>
                    <w:jc w:val="center"/>
                    <w:rPr>
                      <w:rFonts w:hint="eastAsia"/>
                      <w:b w:val="0"/>
                      <w:bCs w:val="0"/>
                      <w:color w:val="auto"/>
                      <w:sz w:val="21"/>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41D50D5F">
                  <w:pPr>
                    <w:shd w:val="clear" w:color="auto" w:fill="auto"/>
                    <w:adjustRightInd w:val="0"/>
                    <w:snapToGrid w:val="0"/>
                    <w:spacing w:line="240" w:lineRule="auto"/>
                    <w:ind w:firstLine="0" w:firstLineChars="0"/>
                    <w:jc w:val="center"/>
                    <w:rPr>
                      <w:rFonts w:hint="eastAsia"/>
                      <w:b w:val="0"/>
                      <w:bCs w:val="0"/>
                      <w:color w:val="auto"/>
                      <w:sz w:val="21"/>
                    </w:rPr>
                  </w:pPr>
                  <w:r>
                    <w:rPr>
                      <w:rFonts w:hint="eastAsia"/>
                      <w:b w:val="0"/>
                      <w:bCs w:val="0"/>
                      <w:color w:val="auto"/>
                      <w:sz w:val="21"/>
                    </w:rPr>
                    <w:t>＜20</w:t>
                  </w:r>
                </w:p>
              </w:tc>
            </w:tr>
          </w:tbl>
          <w:p w14:paraId="5EDDEB57">
            <w:pPr>
              <w:pStyle w:val="86"/>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项目运营期近期、中期、远期噪声预测结果汇总结果见噪声专项评价。</w:t>
            </w:r>
          </w:p>
          <w:p w14:paraId="5B19F30F">
            <w:pPr>
              <w:pStyle w:val="24"/>
              <w:pageBreakBefore w:val="0"/>
              <w:wordWrap/>
              <w:topLinePunct w:val="0"/>
              <w:bidi w:val="0"/>
              <w:spacing w:before="0" w:beforeAutospacing="0" w:after="0" w:afterAutospacing="0"/>
              <w:ind w:right="0"/>
              <w:jc w:val="both"/>
              <w:rPr>
                <w:rFonts w:hint="default" w:ascii="Times New Roman" w:hAnsi="Times New Roman" w:eastAsia="黑体" w:cs="Times New Roman"/>
                <w:caps w:val="0"/>
                <w:smallCaps w:val="0"/>
                <w:snapToGrid w:val="0"/>
                <w:color w:val="auto"/>
                <w:spacing w:val="0"/>
                <w:w w:val="100"/>
                <w:kern w:val="2"/>
                <w:position w:val="0"/>
                <w:sz w:val="36"/>
                <w:szCs w:val="36"/>
                <w:highlight w:val="none"/>
                <w:vertAlign w:val="baseline"/>
              </w:rPr>
            </w:pPr>
          </w:p>
        </w:tc>
      </w:tr>
    </w:tbl>
    <w:p w14:paraId="337E55F2">
      <w:pPr>
        <w:pStyle w:val="24"/>
        <w:pageBreakBefore w:val="0"/>
        <w:wordWrap/>
        <w:topLinePunct w:val="0"/>
        <w:bidi w:val="0"/>
        <w:spacing w:before="0" w:beforeAutospacing="0" w:after="0" w:afterAutospacing="0"/>
        <w:ind w:left="0" w:leftChars="0"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5078" w:type="pct"/>
        <w:tblInd w:w="-58" w:type="dxa"/>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Layout w:type="fixed"/>
        <w:tblCellMar>
          <w:top w:w="0" w:type="dxa"/>
          <w:left w:w="108" w:type="dxa"/>
          <w:bottom w:w="0" w:type="dxa"/>
          <w:right w:w="108" w:type="dxa"/>
        </w:tblCellMar>
      </w:tblPr>
      <w:tblGrid>
        <w:gridCol w:w="748"/>
        <w:gridCol w:w="7907"/>
      </w:tblGrid>
      <w:tr w14:paraId="0DC39DC8">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108" w:type="dxa"/>
            <w:bottom w:w="0" w:type="dxa"/>
            <w:right w:w="108" w:type="dxa"/>
          </w:tblCellMar>
        </w:tblPrEx>
        <w:tc>
          <w:tcPr>
            <w:tcW w:w="432" w:type="pct"/>
            <w:tcBorders>
              <w:tl2br w:val="nil"/>
              <w:tr2bl w:val="nil"/>
            </w:tcBorders>
            <w:noWrap w:val="0"/>
            <w:vAlign w:val="top"/>
          </w:tcPr>
          <w:p w14:paraId="71239B21">
            <w:pPr>
              <w:pStyle w:val="24"/>
              <w:pageBreakBefore w:val="0"/>
              <w:wordWrap/>
              <w:topLinePunct w:val="0"/>
              <w:bidi w:val="0"/>
              <w:spacing w:before="0" w:beforeAutospacing="0" w:after="0" w:afterAutospacing="0"/>
              <w:ind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vertAlign w:val="baseline"/>
              </w:rPr>
            </w:pPr>
          </w:p>
        </w:tc>
        <w:tc>
          <w:tcPr>
            <w:tcW w:w="4567" w:type="pct"/>
            <w:tcBorders>
              <w:tl2br w:val="nil"/>
              <w:tr2bl w:val="nil"/>
            </w:tcBorders>
            <w:noWrap w:val="0"/>
            <w:vAlign w:val="top"/>
          </w:tcPr>
          <w:p w14:paraId="5247FCF9">
            <w:pPr>
              <w:pStyle w:val="11"/>
              <w:keepNext w:val="0"/>
              <w:keepLines w:val="0"/>
              <w:pageBreakBefore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5</w:t>
            </w:r>
            <w:r>
              <w:rPr>
                <w:rFonts w:hint="default" w:ascii="Times New Roman" w:hAnsi="Times New Roman" w:cs="Times New Roman"/>
                <w:b/>
                <w:bCs/>
                <w:caps w:val="0"/>
                <w:smallCaps w:val="0"/>
                <w:color w:val="auto"/>
                <w:spacing w:val="0"/>
                <w:w w:val="100"/>
                <w:kern w:val="2"/>
                <w:position w:val="0"/>
                <w:sz w:val="24"/>
                <w:highlight w:val="none"/>
              </w:rPr>
              <w:t>运营期固废环境影响分析</w:t>
            </w:r>
          </w:p>
          <w:p w14:paraId="6FB4D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caps w:val="0"/>
                <w:smallCaps w:val="0"/>
                <w:color w:val="auto"/>
                <w:spacing w:val="0"/>
                <w:w w:val="100"/>
                <w:kern w:val="2"/>
                <w:position w:val="0"/>
                <w:sz w:val="24"/>
                <w:szCs w:val="24"/>
                <w:highlight w:val="none"/>
                <w:lang w:val="en-US" w:eastAsia="zh-CN"/>
              </w:rPr>
              <w:t>营运期固体废物主要为道路养护废沥青渣，行驶车辆抛洒的垃圾等，数量较少，成分较单一，公路维护人员将其收集后定期运至附近生活垃圾填埋场填埋处置。</w:t>
            </w:r>
          </w:p>
          <w:p w14:paraId="6B43D69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6环境风险分析</w:t>
            </w:r>
          </w:p>
          <w:p w14:paraId="15594F0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b/>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val="0"/>
                <w:caps w:val="0"/>
                <w:smallCaps w:val="0"/>
                <w:color w:val="auto"/>
                <w:spacing w:val="0"/>
                <w:w w:val="100"/>
                <w:kern w:val="2"/>
                <w:position w:val="0"/>
                <w:sz w:val="24"/>
                <w:szCs w:val="24"/>
                <w:highlight w:val="none"/>
                <w:lang w:val="en-US" w:eastAsia="zh-CN"/>
              </w:rPr>
              <w:t>6.1环境风险识别</w:t>
            </w:r>
          </w:p>
          <w:p w14:paraId="0DF0881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rPr>
            </w:pP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危险品运输对沿线环境造成严重污染的可能性很小，但不能排除重大交通事故等意外事件发生。一旦发生车辆侧翻、严重车祸等重大事故将导致汽油等危险品泄漏。若易燃、易爆危险品发生火灾、爆炸事故，将引发次生环境风险。主要可能的环境风险如下：</w:t>
            </w:r>
          </w:p>
          <w:p w14:paraId="6CEBC7D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rPr>
            </w:pP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（1）车辆撞击罐体破损导致汽油等液态危险品泄漏到路面，沿道路护坡流入周边地表，导致车辆本身油品及运输的汽油等液态危险品直接进入地表</w:t>
            </w:r>
            <w:r>
              <w:rPr>
                <w:rFonts w:hint="eastAsia" w:ascii="Times New Roman" w:hAnsi="Times New Roman" w:eastAsia="宋体" w:cs="Times New Roman"/>
                <w:bCs/>
                <w:caps w:val="0"/>
                <w:smallCaps w:val="0"/>
                <w:color w:val="auto"/>
                <w:spacing w:val="0"/>
                <w:w w:val="100"/>
                <w:kern w:val="2"/>
                <w:position w:val="0"/>
                <w:sz w:val="24"/>
                <w:szCs w:val="24"/>
                <w:highlight w:val="none"/>
                <w:lang w:val="en-US" w:eastAsia="zh-CN"/>
              </w:rPr>
              <w:t>水</w:t>
            </w: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，将严重污染</w:t>
            </w:r>
            <w:r>
              <w:rPr>
                <w:rFonts w:hint="eastAsia" w:ascii="Times New Roman" w:hAnsi="Times New Roman" w:eastAsia="宋体" w:cs="Times New Roman"/>
                <w:bCs/>
                <w:caps w:val="0"/>
                <w:smallCaps w:val="0"/>
                <w:color w:val="auto"/>
                <w:spacing w:val="0"/>
                <w:w w:val="100"/>
                <w:kern w:val="2"/>
                <w:position w:val="0"/>
                <w:sz w:val="24"/>
                <w:szCs w:val="24"/>
                <w:highlight w:val="none"/>
                <w:lang w:val="en-US" w:eastAsia="zh-CN"/>
              </w:rPr>
              <w:t>地表水</w:t>
            </w: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及下游水体水质，影响农田灌溉用水及沿线野生动物饮水。</w:t>
            </w:r>
          </w:p>
          <w:p w14:paraId="2FB627A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2）另外汽油等物质易挥发，泄漏情况下挥发到大气中，污染大气环境；泄漏油品进入周边土壤，影响土壤环境质量。火灾、爆炸过程产生CO、SO2等物质，污染大气环境。火灾爆炸事故产生的消防废水进入土壤，影响周边土壤环境质量。</w:t>
            </w:r>
          </w:p>
          <w:p w14:paraId="3584B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b/>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val="0"/>
                <w:caps w:val="0"/>
                <w:smallCaps w:val="0"/>
                <w:color w:val="auto"/>
                <w:spacing w:val="0"/>
                <w:w w:val="100"/>
                <w:kern w:val="2"/>
                <w:position w:val="0"/>
                <w:sz w:val="24"/>
                <w:szCs w:val="24"/>
                <w:highlight w:val="none"/>
                <w:lang w:val="en-US" w:eastAsia="zh-CN"/>
              </w:rPr>
              <w:t>6.2环境风险防范措施</w:t>
            </w:r>
          </w:p>
          <w:p w14:paraId="020ED31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1、危险品运输车辆环境风险防范措施</w:t>
            </w:r>
          </w:p>
          <w:p w14:paraId="334F58E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1）加强车辆管理，加强车检工作，保证上路车辆车况良好；运输危险品须持有公安部门颁发的三张证书，即运输许可证、驾驶员执照及保安员证书。所有从事危险品运输的车辆，必须在车前醒目位置悬挂黄底黑字</w:t>
            </w:r>
            <w:r>
              <w:rPr>
                <w:rFonts w:hint="eastAsia" w:ascii="宋体" w:hAnsi="宋体" w:eastAsia="宋体" w:cs="宋体"/>
                <w:b w:val="0"/>
                <w:bCs w:val="0"/>
                <w:caps w:val="0"/>
                <w:smallCaps w:val="0"/>
                <w:color w:val="auto"/>
                <w:spacing w:val="0"/>
                <w:w w:val="100"/>
                <w:kern w:val="2"/>
                <w:position w:val="0"/>
                <w:sz w:val="24"/>
                <w:szCs w:val="24"/>
                <w:highlight w:val="none"/>
                <w:lang w:val="en-US" w:eastAsia="zh-CN"/>
              </w:rPr>
              <w:t>“危险品”</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字样的三角旗，严格禁止车辆超载。严禁超载超限车辆上路，尤其是运输危险物质的车辆需严加管控，严格审查车辆运输资质，仔细排查车辆可能存在</w:t>
            </w:r>
            <w:r>
              <w:rPr>
                <w:rFonts w:hint="eastAsia" w:ascii="宋体" w:hAnsi="宋体" w:eastAsia="宋体" w:cs="宋体"/>
                <w:b w:val="0"/>
                <w:bCs w:val="0"/>
                <w:caps w:val="0"/>
                <w:smallCaps w:val="0"/>
                <w:color w:val="auto"/>
                <w:spacing w:val="0"/>
                <w:w w:val="100"/>
                <w:kern w:val="2"/>
                <w:position w:val="0"/>
                <w:sz w:val="24"/>
                <w:szCs w:val="24"/>
                <w:highlight w:val="none"/>
                <w:lang w:val="en-US" w:eastAsia="zh-CN"/>
              </w:rPr>
              <w:t>的“跑、冒、滴、漏”现</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象，检验不合格的一律不准进入本公路。</w:t>
            </w:r>
          </w:p>
          <w:p w14:paraId="374FF56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（2）建立道路运输在线监控系统，直接与公路管理单位相连，并与项目沿线地方环保部门相连，危险品车辆一旦发生事故，第一时间启动应急措施。</w:t>
            </w:r>
          </w:p>
          <w:p w14:paraId="369F6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3）加强危险品运输管理登记制度，运输汽油等危险品的车辆进入本公路前，应当向相关管理部门通报，经批准后方可驶入。加强运输危险品车辆的质量及运行状态检查，特别是安全防范措施的检查，消灭事故隐患。危险品运输车辆一般应安排在交通量较少时段通行，恶劣天气条件下，严禁运输危险品车辆通过桥梁，危险品车辆严禁在0:00-6:00行驶。</w:t>
            </w:r>
          </w:p>
          <w:p w14:paraId="4D1BC40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（4）环境风险重点防控路段控制危险品运输车辆的行车速度，降低危险品事故的发生。</w:t>
            </w:r>
          </w:p>
          <w:p w14:paraId="06E6E13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2、大气环境风险防范措施</w:t>
            </w:r>
          </w:p>
          <w:p w14:paraId="4C024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（1）公路管理部门应制定具体的突发环境事件应急预案，配备相应的应急物资和设备，以便能及时采取相应的应急措施，将环境污染减小到最低程度。</w:t>
            </w:r>
          </w:p>
          <w:p w14:paraId="522DB7F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2）加强消防安全意识，尤其是对运输易燃可燃危险物品的车辆驾驶人员要加强宣传教育，培养谨慎驾驶意识，养成车辆检修习惯，提高风险防范意识，从源头预防因交通事故或泄漏事故引发的火灾或爆炸事故的发生。</w:t>
            </w:r>
          </w:p>
          <w:p w14:paraId="6DAE5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eastAsia="宋体"/>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3、地表水风险防范措施</w:t>
            </w:r>
          </w:p>
          <w:p w14:paraId="6DF0143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为强化运营期路面径流及废水污染防控，规避人为因素及车辆通行对地表水敏感区域的影响，在桥梁运营区域增设专项标识牌，明确通行要求及环保警示，具体设置如下：</w:t>
            </w:r>
          </w:p>
          <w:p w14:paraId="3D0D7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减速标识牌：在桥梁两端入口处各设置1块反光减速标识牌，尺寸为120cm×80cm，安装高度不低于2.5m，清晰标注“前方桥面，减速慢行（限速30km/h）”，引导过往车辆减速通行，减少车辆颠簸产生的废水飞溅、径流紊乱，降低废水漫溢风险。</w:t>
            </w:r>
          </w:p>
          <w:p w14:paraId="3F77F2A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地表水敏感区域标识牌：在桥梁两端入口及桥面中间位置，各设置1块地表水敏感区域提示标识牌，采用反光材质，标注“进入地表水敏感区域，严禁违规排放、严禁倾倒污染物”，明确告知过往车辆及人员该区域环保要求，强化环保意识。</w:t>
            </w:r>
          </w:p>
          <w:p w14:paraId="1151A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辅助提示标识：在桥面两侧护栏每隔10m张贴1块小型提示标识，标注“保护地表水环境，请勿破坏废水收集设施”，提醒桥梁维护人员及过往人员规范操作，严禁损坏集水槽、集水井、导流管道等设施，防范人为破坏导致的废水泄漏污染。</w:t>
            </w:r>
          </w:p>
          <w:p w14:paraId="53BBDDD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所有标识牌需定期检查，每半年清理表面污渍、检查反光效果，及时更换破损、模糊的标识牌，确保标识清晰、醒目，切实发挥警示、引导作用，配合废水收集系统，全面防范运营期桥面废水对地表水环境的影响，保障阳霞艾肯河支流水体质量符合相关标准要求。</w:t>
            </w:r>
          </w:p>
        </w:tc>
      </w:tr>
      <w:tr w14:paraId="604A536D">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108" w:type="dxa"/>
            <w:bottom w:w="0" w:type="dxa"/>
            <w:right w:w="108" w:type="dxa"/>
          </w:tblCellMar>
        </w:tblPrEx>
        <w:tc>
          <w:tcPr>
            <w:tcW w:w="432" w:type="pct"/>
            <w:tcBorders>
              <w:tl2br w:val="nil"/>
              <w:tr2bl w:val="nil"/>
            </w:tcBorders>
            <w:noWrap w:val="0"/>
            <w:vAlign w:val="top"/>
          </w:tcPr>
          <w:p w14:paraId="18BDD7F9">
            <w:pPr>
              <w:pStyle w:val="24"/>
              <w:pageBreakBefore w:val="0"/>
              <w:wordWrap/>
              <w:topLinePunct w:val="0"/>
              <w:bidi w:val="0"/>
              <w:spacing w:before="0" w:beforeAutospacing="0" w:after="0" w:afterAutospacing="0"/>
              <w:ind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vertAlign w:val="baseline"/>
              </w:rPr>
            </w:pPr>
            <w:r>
              <w:rPr>
                <w:rFonts w:hint="default" w:ascii="Times New Roman" w:hAnsi="Times New Roman" w:eastAsia="宋体" w:cs="Times New Roman"/>
                <w:bCs/>
                <w:caps w:val="0"/>
                <w:smallCaps w:val="0"/>
                <w:color w:val="auto"/>
                <w:spacing w:val="0"/>
                <w:w w:val="100"/>
                <w:kern w:val="2"/>
                <w:position w:val="0"/>
                <w:sz w:val="24"/>
                <w:szCs w:val="24"/>
                <w:highlight w:val="none"/>
              </w:rPr>
              <w:t>选址选线环境合理性分析</w:t>
            </w:r>
          </w:p>
        </w:tc>
        <w:tc>
          <w:tcPr>
            <w:tcW w:w="4567" w:type="pct"/>
            <w:tcBorders>
              <w:tl2br w:val="nil"/>
              <w:tr2bl w:val="nil"/>
            </w:tcBorders>
            <w:noWrap w:val="0"/>
            <w:vAlign w:val="top"/>
          </w:tcPr>
          <w:p w14:paraId="2B173FA7">
            <w:pPr>
              <w:shd w:val="clear" w:color="auto" w:fill="auto"/>
              <w:spacing w:line="440" w:lineRule="exact"/>
              <w:ind w:firstLine="482" w:firstLineChars="200"/>
              <w:rPr>
                <w:rFonts w:hint="default" w:eastAsia="宋体"/>
                <w:b/>
                <w:bCs/>
                <w:color w:val="auto"/>
                <w:sz w:val="24"/>
                <w:lang w:val="en-US" w:eastAsia="zh-CN"/>
              </w:rPr>
            </w:pPr>
            <w:r>
              <w:rPr>
                <w:rFonts w:hint="eastAsia"/>
                <w:b/>
                <w:bCs/>
                <w:color w:val="auto"/>
                <w:sz w:val="24"/>
                <w:lang w:val="en-US" w:eastAsia="zh-CN"/>
              </w:rPr>
              <w:t>1、选址政策符合性分析</w:t>
            </w:r>
          </w:p>
          <w:p w14:paraId="72714D63">
            <w:pPr>
              <w:shd w:val="clear" w:color="auto" w:fill="auto"/>
              <w:spacing w:line="440" w:lineRule="exact"/>
              <w:ind w:firstLine="480" w:firstLineChars="200"/>
              <w:rPr>
                <w:rFonts w:hint="default"/>
                <w:b w:val="0"/>
                <w:bCs w:val="0"/>
                <w:color w:val="auto"/>
                <w:sz w:val="24"/>
                <w:lang w:val="en-US" w:eastAsia="zh-CN"/>
              </w:rPr>
            </w:pPr>
            <w:r>
              <w:rPr>
                <w:rFonts w:hint="eastAsia"/>
                <w:b w:val="0"/>
                <w:bCs w:val="0"/>
                <w:color w:val="auto"/>
                <w:sz w:val="24"/>
                <w:lang w:val="en-US" w:eastAsia="zh-CN"/>
              </w:rPr>
              <w:t>本项目选址政府符合性分析汇总如下：</w:t>
            </w:r>
          </w:p>
          <w:p w14:paraId="063751B1">
            <w:pPr>
              <w:shd w:val="clear" w:color="auto" w:fill="auto"/>
              <w:spacing w:line="440" w:lineRule="exact"/>
              <w:ind w:firstLine="482" w:firstLineChars="200"/>
              <w:rPr>
                <w:rFonts w:hint="default"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表4-10            选址合理性政策符合性汇总表</w:t>
            </w:r>
          </w:p>
          <w:tbl>
            <w:tblPr>
              <w:tblStyle w:val="29"/>
              <w:tblW w:w="0" w:type="auto"/>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522"/>
              <w:gridCol w:w="2663"/>
              <w:gridCol w:w="2087"/>
              <w:gridCol w:w="942"/>
            </w:tblGrid>
            <w:tr w14:paraId="5BA4142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41EBB2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序号</w:t>
                  </w:r>
                </w:p>
              </w:tc>
              <w:tc>
                <w:tcPr>
                  <w:tcW w:w="4185" w:type="dxa"/>
                  <w:gridSpan w:val="2"/>
                  <w:tcBorders>
                    <w:tl2br w:val="nil"/>
                    <w:tr2bl w:val="nil"/>
                  </w:tcBorders>
                  <w:noWrap w:val="0"/>
                  <w:vAlign w:val="center"/>
                </w:tcPr>
                <w:p w14:paraId="6FFD8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管理要求</w:t>
                  </w:r>
                </w:p>
              </w:tc>
              <w:tc>
                <w:tcPr>
                  <w:tcW w:w="2087" w:type="dxa"/>
                  <w:tcBorders>
                    <w:tl2br w:val="nil"/>
                    <w:tr2bl w:val="nil"/>
                  </w:tcBorders>
                  <w:noWrap w:val="0"/>
                  <w:vAlign w:val="center"/>
                </w:tcPr>
                <w:p w14:paraId="71632D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本项目</w:t>
                  </w:r>
                </w:p>
              </w:tc>
              <w:tc>
                <w:tcPr>
                  <w:tcW w:w="942" w:type="dxa"/>
                  <w:tcBorders>
                    <w:tl2br w:val="nil"/>
                    <w:tr2bl w:val="nil"/>
                  </w:tcBorders>
                  <w:noWrap w:val="0"/>
                  <w:vAlign w:val="center"/>
                </w:tcPr>
                <w:p w14:paraId="76E190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符合性</w:t>
                  </w:r>
                </w:p>
              </w:tc>
            </w:tr>
            <w:tr w14:paraId="6DE9303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20E9A8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p>
              </w:tc>
              <w:tc>
                <w:tcPr>
                  <w:tcW w:w="1522" w:type="dxa"/>
                  <w:tcBorders>
                    <w:tl2br w:val="nil"/>
                    <w:tr2bl w:val="nil"/>
                  </w:tcBorders>
                  <w:noWrap w:val="0"/>
                  <w:vAlign w:val="center"/>
                </w:tcPr>
                <w:p w14:paraId="14CB9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《关于加强用地审批前期工作积极推进基础设施项目建设的通知》（自然资发〔2022〕130号）</w:t>
                  </w:r>
                </w:p>
              </w:tc>
              <w:tc>
                <w:tcPr>
                  <w:tcW w:w="2663" w:type="dxa"/>
                  <w:tcBorders>
                    <w:tl2br w:val="nil"/>
                    <w:tr2bl w:val="nil"/>
                  </w:tcBorders>
                  <w:noWrap w:val="0"/>
                  <w:vAlign w:val="center"/>
                </w:tcPr>
                <w:p w14:paraId="46734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办理用地预审时，涉及占用耕地的，原则上项目所在区域补充耕地储备库指标应当充足，储备指标不足的地方自然资源主管部门应明确补充耕地落实方式，符合条件的可申请跨省域补充耕地国家统筹，并承诺在农用地转用报批时能够落实占补平衡要求，建设单位应承诺将补充耕地费用纳入工程概算；涉及占用永久基本农田的，需落实永久基本农田补划，明确永久基本农田补划地块。</w:t>
                  </w:r>
                </w:p>
              </w:tc>
              <w:tc>
                <w:tcPr>
                  <w:tcW w:w="2087" w:type="dxa"/>
                  <w:tcBorders>
                    <w:tl2br w:val="nil"/>
                    <w:tr2bl w:val="nil"/>
                  </w:tcBorders>
                  <w:noWrap w:val="0"/>
                  <w:vAlign w:val="center"/>
                </w:tcPr>
                <w:p w14:paraId="35D6C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本</w:t>
                  </w:r>
                  <w:r>
                    <w:rPr>
                      <w:rFonts w:ascii="宋体" w:hAnsi="宋体" w:eastAsia="宋体" w:cs="宋体"/>
                      <w:spacing w:val="8"/>
                      <w:sz w:val="21"/>
                      <w:szCs w:val="21"/>
                      <w:highlight w:val="none"/>
                    </w:rPr>
                    <w:t>工程</w:t>
                  </w:r>
                  <w:r>
                    <w:rPr>
                      <w:rFonts w:hint="eastAsia" w:ascii="宋体" w:hAnsi="宋体" w:eastAsia="宋体" w:cs="宋体"/>
                      <w:spacing w:val="8"/>
                      <w:sz w:val="21"/>
                      <w:szCs w:val="21"/>
                      <w:highlight w:val="none"/>
                      <w:lang w:val="en-US" w:eastAsia="zh-CN"/>
                    </w:rPr>
                    <w:t>未占用耕地及基本农田。</w:t>
                  </w:r>
                </w:p>
              </w:tc>
              <w:tc>
                <w:tcPr>
                  <w:tcW w:w="942" w:type="dxa"/>
                  <w:tcBorders>
                    <w:tl2br w:val="nil"/>
                    <w:tr2bl w:val="nil"/>
                  </w:tcBorders>
                  <w:noWrap w:val="0"/>
                  <w:vAlign w:val="center"/>
                </w:tcPr>
                <w:p w14:paraId="5AF92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0AB956E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7409D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w:t>
                  </w:r>
                </w:p>
              </w:tc>
              <w:tc>
                <w:tcPr>
                  <w:tcW w:w="1522" w:type="dxa"/>
                  <w:tcBorders>
                    <w:tl2br w:val="nil"/>
                    <w:tr2bl w:val="nil"/>
                  </w:tcBorders>
                  <w:noWrap w:val="0"/>
                  <w:vAlign w:val="center"/>
                </w:tcPr>
                <w:p w14:paraId="687906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《自然资源部 农业农村部 国家林业和草原局 〈关于严格耕地用途管制有关问题的通知〉》（自然资发〔2021〕166号）</w:t>
                  </w:r>
                </w:p>
              </w:tc>
              <w:tc>
                <w:tcPr>
                  <w:tcW w:w="2663" w:type="dxa"/>
                  <w:tcBorders>
                    <w:tl2br w:val="nil"/>
                    <w:tr2bl w:val="nil"/>
                  </w:tcBorders>
                  <w:noWrap w:val="0"/>
                  <w:vAlign w:val="center"/>
                </w:tcPr>
                <w:p w14:paraId="715DE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已划定的永久基本农田，任何单位和个人不得擅自占用或者改变用途。非农业建设不得“未批先建”。能源、交通、水利、军事设施等重大建设项目选址确实难以避让永久基本农田的，经依法批准，应在落实耕地占补平衡基础上，按照数量不减、质量不降原则，在可以长期稳定利用的耕地上落实永久基本农田补划任务。</w:t>
                  </w:r>
                </w:p>
              </w:tc>
              <w:tc>
                <w:tcPr>
                  <w:tcW w:w="2087" w:type="dxa"/>
                  <w:tcBorders>
                    <w:tl2br w:val="nil"/>
                    <w:tr2bl w:val="nil"/>
                  </w:tcBorders>
                  <w:noWrap w:val="0"/>
                  <w:vAlign w:val="center"/>
                </w:tcPr>
                <w:p w14:paraId="74C8A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ascii="宋体" w:hAnsi="宋体" w:eastAsia="宋体" w:cs="宋体"/>
                      <w:spacing w:val="8"/>
                      <w:sz w:val="21"/>
                      <w:szCs w:val="21"/>
                      <w:highlight w:val="none"/>
                      <w:lang w:val="en-US" w:eastAsia="zh-CN"/>
                    </w:rPr>
                    <w:t>本</w:t>
                  </w:r>
                  <w:r>
                    <w:rPr>
                      <w:rFonts w:ascii="宋体" w:hAnsi="宋体" w:eastAsia="宋体" w:cs="宋体"/>
                      <w:spacing w:val="8"/>
                      <w:sz w:val="21"/>
                      <w:szCs w:val="21"/>
                      <w:highlight w:val="none"/>
                    </w:rPr>
                    <w:t>工程</w:t>
                  </w:r>
                  <w:r>
                    <w:rPr>
                      <w:rFonts w:hint="eastAsia" w:ascii="宋体" w:hAnsi="宋体" w:eastAsia="宋体" w:cs="宋体"/>
                      <w:spacing w:val="8"/>
                      <w:sz w:val="21"/>
                      <w:szCs w:val="21"/>
                      <w:highlight w:val="none"/>
                      <w:lang w:val="en-US" w:eastAsia="zh-CN"/>
                    </w:rPr>
                    <w:t>未占用基本农田。</w:t>
                  </w:r>
                </w:p>
              </w:tc>
              <w:tc>
                <w:tcPr>
                  <w:tcW w:w="942" w:type="dxa"/>
                  <w:tcBorders>
                    <w:tl2br w:val="nil"/>
                    <w:tr2bl w:val="nil"/>
                  </w:tcBorders>
                  <w:noWrap w:val="0"/>
                  <w:vAlign w:val="center"/>
                </w:tcPr>
                <w:p w14:paraId="75F396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3E52EA3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4E3C8D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1522" w:type="dxa"/>
                  <w:tcBorders>
                    <w:tl2br w:val="nil"/>
                    <w:tr2bl w:val="nil"/>
                  </w:tcBorders>
                  <w:noWrap w:val="0"/>
                  <w:vAlign w:val="center"/>
                </w:tcPr>
                <w:p w14:paraId="29A59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《自然资源部 〈关于积极做好用地用海要素保障的通知〉》（自然资发〔2022〕129号）</w:t>
                  </w:r>
                </w:p>
              </w:tc>
              <w:tc>
                <w:tcPr>
                  <w:tcW w:w="2663" w:type="dxa"/>
                  <w:tcBorders>
                    <w:tl2br w:val="nil"/>
                    <w:tr2bl w:val="nil"/>
                  </w:tcBorders>
                  <w:noWrap w:val="0"/>
                  <w:vAlign w:val="center"/>
                </w:tcPr>
                <w:p w14:paraId="692F84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落实临时用地政策。建设周期较长的能源、交通、水利等基础设施建设项目施工使用的临时用地，期限不超过四年。直接服务于铁路工程施工的制梁场、拌和站，需临时使用土地的，其土地复垦方案通过论证，业主单位签订承诺书，明确了复垦完成时限和恢复责任，确保能恢复种植条件的，可以占用耕地，不得占用永久基本农田。</w:t>
                  </w:r>
                </w:p>
              </w:tc>
              <w:tc>
                <w:tcPr>
                  <w:tcW w:w="2087" w:type="dxa"/>
                  <w:tcBorders>
                    <w:tl2br w:val="nil"/>
                    <w:tr2bl w:val="nil"/>
                  </w:tcBorders>
                  <w:noWrap w:val="0"/>
                  <w:vAlign w:val="center"/>
                </w:tcPr>
                <w:p w14:paraId="163C94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本项目为交通工程建设，施工期较短仅4个月，施工期不涉及施工营地，施工便道等临时工程建设，不占用永久基本农田。</w:t>
                  </w:r>
                </w:p>
              </w:tc>
              <w:tc>
                <w:tcPr>
                  <w:tcW w:w="942" w:type="dxa"/>
                  <w:tcBorders>
                    <w:tl2br w:val="nil"/>
                    <w:tr2bl w:val="nil"/>
                  </w:tcBorders>
                  <w:noWrap w:val="0"/>
                  <w:vAlign w:val="center"/>
                </w:tcPr>
                <w:p w14:paraId="48F5F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36A93C5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1C1B8D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w:t>
                  </w:r>
                </w:p>
              </w:tc>
              <w:tc>
                <w:tcPr>
                  <w:tcW w:w="1522" w:type="dxa"/>
                  <w:tcBorders>
                    <w:tl2br w:val="nil"/>
                    <w:tr2bl w:val="nil"/>
                  </w:tcBorders>
                  <w:noWrap w:val="0"/>
                  <w:vAlign w:val="center"/>
                </w:tcPr>
                <w:p w14:paraId="4F775C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《关于规范临时用地管理的通知》（自然资规〔2021〕2号）</w:t>
                  </w:r>
                </w:p>
              </w:tc>
              <w:tc>
                <w:tcPr>
                  <w:tcW w:w="2663" w:type="dxa"/>
                  <w:tcBorders>
                    <w:tl2br w:val="nil"/>
                    <w:tr2bl w:val="nil"/>
                  </w:tcBorders>
                  <w:noWrap w:val="0"/>
                  <w:vAlign w:val="center"/>
                </w:tcPr>
                <w:p w14:paraId="01622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铁路、公路等单独选址建设项目，应科学组织施工，节约集约使用临时用地。制梁场、拌和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tc>
              <w:tc>
                <w:tcPr>
                  <w:tcW w:w="2087" w:type="dxa"/>
                  <w:tcBorders>
                    <w:tl2br w:val="nil"/>
                    <w:tr2bl w:val="nil"/>
                  </w:tcBorders>
                  <w:noWrap w:val="0"/>
                  <w:vAlign w:val="center"/>
                </w:tcPr>
                <w:p w14:paraId="015033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本项目为交通工程建设，施工期较短仅4个月，施工期不涉及施工营地，施工便道等临时工程建设。</w:t>
                  </w:r>
                </w:p>
              </w:tc>
              <w:tc>
                <w:tcPr>
                  <w:tcW w:w="942" w:type="dxa"/>
                  <w:tcBorders>
                    <w:tl2br w:val="nil"/>
                    <w:tr2bl w:val="nil"/>
                  </w:tcBorders>
                  <w:noWrap w:val="0"/>
                  <w:vAlign w:val="center"/>
                </w:tcPr>
                <w:p w14:paraId="11292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bl>
          <w:p w14:paraId="3CBB9931">
            <w:pPr>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auto"/>
                <w:sz w:val="24"/>
                <w:lang w:val="en-US" w:eastAsia="zh-CN"/>
              </w:rPr>
            </w:pPr>
            <w:r>
              <w:rPr>
                <w:rFonts w:hint="eastAsia"/>
                <w:b w:val="0"/>
                <w:bCs w:val="0"/>
                <w:color w:val="auto"/>
                <w:sz w:val="24"/>
                <w:lang w:val="en-US" w:eastAsia="zh-CN"/>
              </w:rPr>
              <w:t>综上，本项目施工期及运营期做好占地范围内及周边生态环境保护，符合《中华人民共和国土地管理法》相关法律法规要求，综合考虑本项目选址符合要求。</w:t>
            </w:r>
          </w:p>
          <w:p w14:paraId="3F386670">
            <w:pPr>
              <w:pageBreakBefore w:val="0"/>
              <w:shd w:val="clear" w:color="auto" w:fill="auto"/>
              <w:kinsoku/>
              <w:wordWrap/>
              <w:overflowPunct/>
              <w:topLinePunct w:val="0"/>
              <w:autoSpaceDE/>
              <w:autoSpaceDN/>
              <w:bidi w:val="0"/>
              <w:adjustRightInd/>
              <w:snapToGrid/>
              <w:spacing w:line="360" w:lineRule="auto"/>
              <w:ind w:firstLine="482" w:firstLineChars="200"/>
              <w:textAlignment w:val="auto"/>
              <w:rPr>
                <w:b/>
                <w:bCs/>
                <w:color w:val="auto"/>
                <w:sz w:val="24"/>
              </w:rPr>
            </w:pPr>
            <w:r>
              <w:rPr>
                <w:rFonts w:hint="eastAsia"/>
                <w:b/>
                <w:bCs/>
                <w:color w:val="auto"/>
                <w:sz w:val="24"/>
                <w:lang w:val="en-US" w:eastAsia="zh-CN"/>
              </w:rPr>
              <w:t>2</w:t>
            </w:r>
            <w:r>
              <w:rPr>
                <w:b/>
                <w:bCs/>
                <w:color w:val="auto"/>
                <w:sz w:val="24"/>
              </w:rPr>
              <w:t>、选址的环境可行性：</w:t>
            </w:r>
          </w:p>
          <w:p w14:paraId="104C3382">
            <w:pPr>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bCs/>
                <w:color w:val="auto"/>
                <w:sz w:val="24"/>
              </w:rPr>
              <w:t>项目位于</w:t>
            </w:r>
            <w:r>
              <w:rPr>
                <w:rFonts w:hint="eastAsia"/>
                <w:bCs/>
                <w:color w:val="auto"/>
                <w:sz w:val="24"/>
              </w:rPr>
              <w:t>新疆</w:t>
            </w:r>
            <w:r>
              <w:rPr>
                <w:rFonts w:hint="eastAsia"/>
                <w:bCs/>
                <w:color w:val="auto"/>
                <w:sz w:val="24"/>
                <w:lang w:val="en-US" w:eastAsia="zh-CN"/>
              </w:rPr>
              <w:t>巴州轮台县阳霞镇附近</w:t>
            </w:r>
            <w:r>
              <w:rPr>
                <w:color w:val="auto"/>
                <w:sz w:val="24"/>
              </w:rPr>
              <w:t>，工程线路附近无活动断裂分布，也无泥石流、崩塌、滑坡等不良地质现象存在。</w:t>
            </w:r>
            <w:r>
              <w:rPr>
                <w:rFonts w:hint="eastAsia"/>
                <w:color w:val="auto"/>
                <w:sz w:val="24"/>
              </w:rPr>
              <w:t>现有</w:t>
            </w:r>
            <w:r>
              <w:rPr>
                <w:color w:val="auto"/>
                <w:sz w:val="24"/>
              </w:rPr>
              <w:t>场地稳定性尚好，适宜线路工程的建设。</w:t>
            </w:r>
          </w:p>
          <w:p w14:paraId="111DB827">
            <w:pPr>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项目占地不涉及基本农田等，</w:t>
            </w:r>
            <w:r>
              <w:rPr>
                <w:rFonts w:hint="eastAsia"/>
                <w:color w:val="auto"/>
                <w:sz w:val="24"/>
                <w:lang w:val="en-US" w:eastAsia="zh-CN"/>
              </w:rPr>
              <w:t>工程方案</w:t>
            </w:r>
            <w:r>
              <w:rPr>
                <w:rFonts w:hint="eastAsia"/>
                <w:color w:val="auto"/>
                <w:sz w:val="24"/>
                <w:lang w:eastAsia="zh-CN"/>
              </w:rPr>
              <w:t>选择已充分考虑了环境保护要素，</w:t>
            </w:r>
            <w:r>
              <w:rPr>
                <w:color w:val="auto"/>
                <w:sz w:val="24"/>
              </w:rPr>
              <w:t>建成后对完善</w:t>
            </w:r>
            <w:r>
              <w:rPr>
                <w:rFonts w:hint="eastAsia"/>
                <w:color w:val="auto"/>
                <w:sz w:val="24"/>
                <w:lang w:val="en-US" w:eastAsia="zh-CN"/>
              </w:rPr>
              <w:t>轮台县</w:t>
            </w:r>
            <w:r>
              <w:rPr>
                <w:color w:val="auto"/>
                <w:sz w:val="24"/>
              </w:rPr>
              <w:t>道路基础设施，推动</w:t>
            </w:r>
            <w:r>
              <w:rPr>
                <w:rFonts w:hint="eastAsia"/>
                <w:color w:val="auto"/>
                <w:sz w:val="24"/>
                <w:lang w:val="en-US" w:eastAsia="zh-CN"/>
              </w:rPr>
              <w:t>区域交通</w:t>
            </w:r>
            <w:r>
              <w:rPr>
                <w:color w:val="auto"/>
                <w:sz w:val="24"/>
              </w:rPr>
              <w:t>经济发展起到重要作用</w:t>
            </w:r>
            <w:r>
              <w:rPr>
                <w:rFonts w:hint="eastAsia"/>
                <w:color w:val="auto"/>
                <w:sz w:val="24"/>
                <w:lang w:eastAsia="zh-CN"/>
              </w:rPr>
              <w:t>。</w:t>
            </w:r>
            <w:r>
              <w:rPr>
                <w:color w:val="auto"/>
                <w:sz w:val="24"/>
              </w:rPr>
              <w:t>项目</w:t>
            </w:r>
            <w:r>
              <w:rPr>
                <w:bCs/>
                <w:color w:val="auto"/>
                <w:sz w:val="24"/>
              </w:rPr>
              <w:t>选线与区域土地利用规划、城市总体规划、城市综合交通规划、</w:t>
            </w:r>
            <w:r>
              <w:rPr>
                <w:rFonts w:hint="eastAsia"/>
                <w:bCs/>
                <w:color w:val="auto"/>
                <w:sz w:val="24"/>
                <w:lang w:eastAsia="zh-CN"/>
              </w:rPr>
              <w:t>轮台县</w:t>
            </w:r>
            <w:r>
              <w:rPr>
                <w:bCs/>
                <w:color w:val="auto"/>
                <w:sz w:val="24"/>
              </w:rPr>
              <w:t>规划相协调，评价范围内不涉及自然保护区、风景名胜区、世界文化与自然遗产地、森林公园、地质公园等重要生态保护区域。</w:t>
            </w:r>
          </w:p>
          <w:p w14:paraId="6D336ABD">
            <w:pPr>
              <w:pageBreakBefore w:val="0"/>
              <w:widowControl/>
              <w:shd w:val="clear" w:color="auto" w:fill="auto"/>
              <w:kinsoku/>
              <w:wordWrap/>
              <w:overflowPunct/>
              <w:topLinePunct w:val="0"/>
              <w:autoSpaceDE/>
              <w:autoSpaceDN/>
              <w:bidi w:val="0"/>
              <w:adjustRightInd/>
              <w:snapToGrid/>
              <w:spacing w:line="360" w:lineRule="auto"/>
              <w:ind w:firstLine="480" w:firstLineChars="200"/>
              <w:jc w:val="left"/>
              <w:textAlignment w:val="auto"/>
              <w:rPr>
                <w:bCs/>
                <w:color w:val="auto"/>
                <w:kern w:val="0"/>
                <w:sz w:val="24"/>
                <w:szCs w:val="22"/>
              </w:rPr>
            </w:pPr>
            <w:r>
              <w:rPr>
                <w:bCs/>
                <w:color w:val="auto"/>
                <w:kern w:val="0"/>
                <w:sz w:val="24"/>
                <w:szCs w:val="22"/>
              </w:rPr>
              <w:t>综上分析，本项目</w:t>
            </w:r>
            <w:r>
              <w:rPr>
                <w:rFonts w:hint="eastAsia"/>
                <w:bCs/>
                <w:color w:val="auto"/>
                <w:kern w:val="0"/>
                <w:sz w:val="24"/>
                <w:szCs w:val="22"/>
              </w:rPr>
              <w:t>从</w:t>
            </w:r>
            <w:r>
              <w:rPr>
                <w:bCs/>
                <w:color w:val="auto"/>
                <w:kern w:val="0"/>
                <w:sz w:val="24"/>
                <w:szCs w:val="22"/>
              </w:rPr>
              <w:t>环境</w:t>
            </w:r>
            <w:r>
              <w:rPr>
                <w:rFonts w:hint="eastAsia"/>
                <w:bCs/>
                <w:color w:val="auto"/>
                <w:kern w:val="0"/>
                <w:sz w:val="24"/>
                <w:szCs w:val="22"/>
              </w:rPr>
              <w:t>保护角度考虑，在各项环保措施落实到位的前提下，</w:t>
            </w:r>
            <w:r>
              <w:rPr>
                <w:bCs/>
                <w:color w:val="auto"/>
                <w:kern w:val="0"/>
                <w:sz w:val="24"/>
                <w:szCs w:val="22"/>
              </w:rPr>
              <w:t>选址选线合理</w:t>
            </w:r>
            <w:r>
              <w:rPr>
                <w:rFonts w:hint="eastAsia"/>
                <w:bCs/>
                <w:color w:val="auto"/>
                <w:kern w:val="0"/>
                <w:sz w:val="24"/>
                <w:szCs w:val="22"/>
              </w:rPr>
              <w:t>可行</w:t>
            </w:r>
            <w:r>
              <w:rPr>
                <w:bCs/>
                <w:color w:val="auto"/>
                <w:kern w:val="0"/>
                <w:sz w:val="24"/>
                <w:szCs w:val="22"/>
              </w:rPr>
              <w:t>。</w:t>
            </w:r>
          </w:p>
          <w:p w14:paraId="00CE1FFC">
            <w:pPr>
              <w:keepNext/>
              <w:keepLines/>
              <w:pageBreakBefore w:val="0"/>
              <w:shd w:val="clear" w:color="auto" w:fill="auto"/>
              <w:kinsoku/>
              <w:wordWrap/>
              <w:overflowPunct/>
              <w:topLinePunct w:val="0"/>
              <w:autoSpaceDE/>
              <w:autoSpaceDN/>
              <w:bidi w:val="0"/>
              <w:adjustRightInd/>
              <w:snapToGrid/>
              <w:spacing w:line="360" w:lineRule="auto"/>
              <w:ind w:firstLine="482" w:firstLineChars="200"/>
              <w:textAlignment w:val="auto"/>
              <w:rPr>
                <w:b/>
                <w:color w:val="auto"/>
                <w:sz w:val="24"/>
              </w:rPr>
            </w:pPr>
            <w:r>
              <w:rPr>
                <w:rFonts w:hint="eastAsia"/>
                <w:b/>
                <w:color w:val="auto"/>
                <w:sz w:val="24"/>
                <w:lang w:val="en-US" w:eastAsia="zh-CN"/>
              </w:rPr>
              <w:t>3</w:t>
            </w:r>
            <w:r>
              <w:rPr>
                <w:b/>
                <w:color w:val="auto"/>
                <w:sz w:val="24"/>
              </w:rPr>
              <w:t>、对</w:t>
            </w:r>
            <w:r>
              <w:rPr>
                <w:rFonts w:hint="eastAsia"/>
                <w:b/>
                <w:color w:val="auto"/>
                <w:sz w:val="24"/>
                <w:lang w:val="en-US" w:eastAsia="zh-CN"/>
              </w:rPr>
              <w:t>周边</w:t>
            </w:r>
            <w:r>
              <w:rPr>
                <w:b/>
                <w:color w:val="auto"/>
                <w:sz w:val="24"/>
              </w:rPr>
              <w:t>环境质量的影响分析</w:t>
            </w:r>
          </w:p>
          <w:p w14:paraId="629153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r>
              <w:rPr>
                <w:color w:val="auto"/>
                <w:kern w:val="0"/>
                <w:sz w:val="24"/>
              </w:rPr>
              <w:t>由工程分析和影响预测可知，工程实施后通过采取有效</w:t>
            </w:r>
            <w:r>
              <w:rPr>
                <w:color w:val="auto"/>
                <w:sz w:val="24"/>
                <w:szCs w:val="20"/>
              </w:rPr>
              <w:t>防治措施，</w:t>
            </w:r>
            <w:r>
              <w:rPr>
                <w:color w:val="auto"/>
                <w:kern w:val="0"/>
                <w:sz w:val="24"/>
              </w:rPr>
              <w:t>不会对</w:t>
            </w:r>
            <w:r>
              <w:rPr>
                <w:rFonts w:hint="eastAsia"/>
                <w:color w:val="auto"/>
                <w:kern w:val="0"/>
                <w:sz w:val="24"/>
                <w:lang w:val="en-US" w:eastAsia="zh-CN"/>
              </w:rPr>
              <w:t>周边</w:t>
            </w:r>
            <w:r>
              <w:rPr>
                <w:color w:val="auto"/>
                <w:kern w:val="0"/>
                <w:sz w:val="24"/>
              </w:rPr>
              <w:t>声环境、大气环境、生态环境、水环境产生明显影响。</w:t>
            </w:r>
            <w:r>
              <w:rPr>
                <w:rFonts w:hint="eastAsia"/>
                <w:color w:val="auto"/>
                <w:kern w:val="0"/>
                <w:sz w:val="24"/>
                <w:lang w:val="en-US" w:eastAsia="zh-CN"/>
              </w:rPr>
              <w:t>项目工程周边无环境敏感目标，且</w:t>
            </w:r>
            <w:r>
              <w:rPr>
                <w:color w:val="auto"/>
                <w:kern w:val="0"/>
                <w:sz w:val="24"/>
              </w:rPr>
              <w:t>施工期</w:t>
            </w:r>
            <w:r>
              <w:rPr>
                <w:rFonts w:hint="eastAsia"/>
                <w:color w:val="auto"/>
                <w:kern w:val="0"/>
                <w:sz w:val="24"/>
                <w:lang w:val="en-US" w:eastAsia="zh-CN"/>
              </w:rPr>
              <w:t>不长</w:t>
            </w:r>
            <w:r>
              <w:rPr>
                <w:color w:val="auto"/>
                <w:kern w:val="0"/>
                <w:sz w:val="24"/>
              </w:rPr>
              <w:t>，随着施工的结束，影响也就消除，同时通过采取生态恢复措施，也可以在一定程度上弥补工程建设造成的水土流失；运营期通过采取有效</w:t>
            </w:r>
            <w:r>
              <w:rPr>
                <w:color w:val="auto"/>
                <w:sz w:val="24"/>
                <w:szCs w:val="20"/>
              </w:rPr>
              <w:t>防治措施后，</w:t>
            </w:r>
            <w:r>
              <w:rPr>
                <w:color w:val="auto"/>
                <w:kern w:val="0"/>
                <w:sz w:val="24"/>
              </w:rPr>
              <w:t>不会对周边声环境、大气环境、生态环境、水环境产生明显影响</w:t>
            </w:r>
            <w:r>
              <w:rPr>
                <w:rFonts w:hint="default" w:ascii="Times New Roman" w:hAnsi="Times New Roman" w:eastAsia="宋体" w:cs="Times New Roman"/>
                <w:caps w:val="0"/>
                <w:smallCaps w:val="0"/>
                <w:color w:val="auto"/>
                <w:spacing w:val="0"/>
                <w:w w:val="100"/>
                <w:kern w:val="2"/>
                <w:position w:val="0"/>
                <w:sz w:val="24"/>
                <w:szCs w:val="24"/>
                <w:highlight w:val="none"/>
                <w:u w:val="none"/>
                <w:lang w:val="en-US" w:eastAsia="zh-CN"/>
              </w:rPr>
              <w:t>。</w:t>
            </w:r>
          </w:p>
          <w:p w14:paraId="411308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8F435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472575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691E72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1E500F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3A581C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606924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C8BAD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160EDC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FD3D6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0B19A4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272F8B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6CF7A5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75EFEC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6337B1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2D12D7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6BA30C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1B79B9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144EF5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089F48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4DD15E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1B975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1A0B4F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74C0D3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3979B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720" w:firstLineChars="200"/>
              <w:textAlignment w:val="auto"/>
              <w:rPr>
                <w:rFonts w:hint="default" w:ascii="Times New Roman" w:hAnsi="Times New Roman" w:eastAsia="黑体" w:cs="Times New Roman"/>
                <w:caps w:val="0"/>
                <w:smallCaps w:val="0"/>
                <w:snapToGrid w:val="0"/>
                <w:color w:val="auto"/>
                <w:spacing w:val="0"/>
                <w:w w:val="100"/>
                <w:kern w:val="2"/>
                <w:position w:val="0"/>
                <w:sz w:val="36"/>
                <w:szCs w:val="36"/>
                <w:highlight w:val="none"/>
                <w:vertAlign w:val="baseline"/>
              </w:rPr>
            </w:pPr>
          </w:p>
        </w:tc>
      </w:tr>
    </w:tbl>
    <w:p w14:paraId="77648CBB">
      <w:pPr>
        <w:pStyle w:val="24"/>
        <w:pageBreakBefore w:val="0"/>
        <w:wordWrap/>
        <w:topLinePunct w:val="0"/>
        <w:bidi w:val="0"/>
        <w:spacing w:before="0" w:beforeAutospacing="0" w:after="0" w:afterAutospacing="0"/>
        <w:ind w:left="0" w:leftChars="0"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7D3B52BC">
      <w:pPr>
        <w:pStyle w:val="24"/>
        <w:pageBreakBefore w:val="0"/>
        <w:wordWrap/>
        <w:topLinePunct w:val="0"/>
        <w:bidi w:val="0"/>
        <w:adjustRightInd w:val="0"/>
        <w:snapToGrid w:val="0"/>
        <w:spacing w:before="0" w:beforeAutospacing="0" w:after="0" w:afterAutospacing="0" w:line="14" w:lineRule="auto"/>
        <w:ind w:left="0" w:leftChars="0" w:right="0"/>
        <w:jc w:val="center"/>
        <w:outlineLvl w:val="9"/>
        <w:rPr>
          <w:rFonts w:hint="default" w:ascii="Times New Roman" w:hAnsi="Times New Roman" w:eastAsia="黑体" w:cs="Times New Roman"/>
          <w:caps w:val="0"/>
          <w:smallCaps w:val="0"/>
          <w:snapToGrid w:val="0"/>
          <w:color w:val="auto"/>
          <w:spacing w:val="0"/>
          <w:w w:val="100"/>
          <w:kern w:val="2"/>
          <w:position w:val="0"/>
          <w:sz w:val="30"/>
          <w:szCs w:val="30"/>
          <w:highlight w:val="none"/>
        </w:rPr>
      </w:pPr>
    </w:p>
    <w:p w14:paraId="1A8AEC5A">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bookmarkStart w:id="21" w:name="_Toc2419"/>
      <w:r>
        <w:rPr>
          <w:rFonts w:hint="default" w:ascii="Times New Roman" w:hAnsi="Times New Roman" w:eastAsia="黑体" w:cs="Times New Roman"/>
          <w:caps w:val="0"/>
          <w:smallCaps w:val="0"/>
          <w:snapToGrid w:val="0"/>
          <w:color w:val="auto"/>
          <w:spacing w:val="0"/>
          <w:w w:val="100"/>
          <w:kern w:val="2"/>
          <w:position w:val="0"/>
          <w:sz w:val="30"/>
          <w:szCs w:val="30"/>
          <w:highlight w:val="none"/>
        </w:rPr>
        <w:t>五、主要生态环境保护措施</w:t>
      </w:r>
      <w:bookmarkEnd w:id="21"/>
    </w:p>
    <w:tbl>
      <w:tblPr>
        <w:tblStyle w:val="28"/>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7669"/>
      </w:tblGrid>
      <w:tr w14:paraId="5DD0F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noWrap w:val="0"/>
            <w:tcMar>
              <w:left w:w="28" w:type="dxa"/>
              <w:right w:w="28" w:type="dxa"/>
            </w:tcMar>
            <w:vAlign w:val="center"/>
          </w:tcPr>
          <w:p w14:paraId="31029435">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bCs/>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施工期生态环境保护措施</w:t>
            </w:r>
          </w:p>
        </w:tc>
        <w:tc>
          <w:tcPr>
            <w:tcW w:w="9098" w:type="dxa"/>
            <w:tcBorders>
              <w:tl2br w:val="nil"/>
              <w:tr2bl w:val="nil"/>
            </w:tcBorders>
            <w:noWrap w:val="0"/>
            <w:vAlign w:val="top"/>
          </w:tcPr>
          <w:p w14:paraId="2643DBC5">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1</w:t>
            </w:r>
            <w:r>
              <w:rPr>
                <w:rFonts w:hint="default" w:ascii="Times New Roman" w:hAnsi="Times New Roman" w:eastAsia="宋体" w:cs="Times New Roman"/>
                <w:b/>
                <w:bCs/>
                <w:caps w:val="0"/>
                <w:smallCaps w:val="0"/>
                <w:color w:val="auto"/>
                <w:spacing w:val="0"/>
                <w:w w:val="100"/>
                <w:kern w:val="2"/>
                <w:position w:val="0"/>
                <w:sz w:val="24"/>
                <w:szCs w:val="24"/>
                <w:highlight w:val="none"/>
              </w:rPr>
              <w:t>施工期生态环境保护措施</w:t>
            </w:r>
          </w:p>
          <w:p w14:paraId="0A496BC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eastAsia"/>
                <w:b/>
                <w:bCs/>
                <w:color w:val="auto"/>
                <w:kern w:val="0"/>
                <w:sz w:val="24"/>
                <w:lang w:val="en-US" w:eastAsia="zh-CN"/>
              </w:rPr>
            </w:pPr>
            <w:r>
              <w:rPr>
                <w:rFonts w:hint="eastAsia"/>
                <w:b/>
                <w:bCs/>
                <w:color w:val="auto"/>
                <w:kern w:val="0"/>
                <w:sz w:val="24"/>
                <w:lang w:val="en-US" w:eastAsia="zh-CN"/>
              </w:rPr>
              <w:t>1.1陆生生态保护措施</w:t>
            </w:r>
          </w:p>
          <w:p w14:paraId="665DFC9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针对施工期场地平整、机械作业、便道铺设等活动造成的植被覆盖率下降、土壤理化性质改变、陆生动物惊扰、景观协调性破坏等影响，采取以下分级保护措施：</w:t>
            </w:r>
          </w:p>
          <w:p w14:paraId="143F648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（1）严格管控施工扰动范围，减少植被破坏</w:t>
            </w:r>
          </w:p>
          <w:p w14:paraId="2BEC372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①划定明确的施工红线，施工机械、物料堆放、作业活动均限制在红线范围内，严禁超范围碾压周边植被；临时用地优先选用原有公路用地、闲置空地，确需占用林草用地的，需履行审批手续，且施工结束后恢复面积不低于占用面积。②施工前清理地表植被时，对杨树、柳树等本土乔木及假木贼、苦豆子等可移植草本/灌木，采取带土移栽方式迁至项目周边适宜区域，移栽后安排专人养护，提高存活率；对无法移植的植被，留存根系土壤，施工结束后用于场地植被恢复。③施工便道、作业区周边设置绿色围挡，围挡高度不低于2.0m，防止施工机械、人员随意进入非施工区域，避免对周边果园、人工植被区造成二次扰动。</w:t>
            </w:r>
          </w:p>
          <w:p w14:paraId="64716C0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（2）减轻施工对土壤的扰动与污染，恢复土壤功能</w:t>
            </w:r>
          </w:p>
          <w:p w14:paraId="3B2FBC2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①施工机械行驶设置固定路线，避免随意碾压；物料堆放区、机械停放区铺设防渗土工布和钢板，防止土壤被压实、油污污染；对施工中被压实的表层土壤，施工结束后及时进行翻松处理，恢复土壤孔隙结构。②施工过程中产生的建筑垃圾（碎砖块、混凝土残渣）、施工废料（废弃包装、建材边角料）实行分类收集，设置专用密闭堆放点，做到“日产日清”，严禁随意堆放、掩埋；废钢材等可回收物外售综合利用，不可回收建筑垃圾清运至政府指定地点处置，防止土壤局部污染。③路基开挖、老桥拆除产生的弃土临时堆存于道路红线内，采取篷布覆盖、周边设置挡土埂等防护措施，防止雨水冲刷造成土壤流失，弃土最终清运至指定弃土坑，堆存区表层覆土后及时补植植被。</w:t>
            </w:r>
          </w:p>
          <w:p w14:paraId="1D5CBAD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（3）减少施工活动对陆生动物的惊扰，保护动物栖息环境</w:t>
            </w:r>
          </w:p>
          <w:p w14:paraId="1573252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①合理安排施工时间，避开鸟类（麻雀、乌鸦）、小型兽类（田鼠、灰仓鼠）的觅食（清晨、傍晚）和繁殖期，严禁在繁殖期进行大规模爆破、切割等强噪声作业；夜间（24:00-8:00）停止露天施工作业，减少灯光、噪声对动物的惊扰。②施工区域设置“禁止捕杀、惊扰野生动物”警示标识，加强对施工人员的宣传教育，严禁捕捉、伤害周边动物；施工过程中若发现动物巢穴，及时采取避让措施，不得随意破坏。③施工期做好扬尘、噪声防控（配套雾炮机降尘、选用低噪声机械），减少粉尘、噪声对动物觅食、栖息行为的影响；施工结束后，及时清理施工场地，恢复周边植被，为动物回归创造适宜环境。</w:t>
            </w:r>
          </w:p>
          <w:p w14:paraId="58C21D1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（4）及时恢复施工区域景观，改善视觉影响</w:t>
            </w:r>
          </w:p>
          <w:p w14:paraId="162EDB3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①施工期间，对裸露场地、物料堆放区采用绿色防尘网覆盖，临时围挡进行绿化装饰（张贴绿植图案、悬挂盆栽），减少施工场景与周边人居、自然景观的反差。②施工结束后，拆除临时围挡、临时设施，对施工扰动区域进行场地平整，按照“本土适生、景观协调”原则补植植被，优先选用杨树、柳树、芦苇等项目区原有植被类型，兼顾生态恢复与景观效果；对施工便道等临时用地，恢复为原有土地利用类型（村庄用地、河流水面周边恢复草本植被）。</w:t>
            </w:r>
          </w:p>
          <w:p w14:paraId="4E0DAD4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eastAsia"/>
                <w:b/>
                <w:bCs/>
                <w:color w:val="auto"/>
                <w:kern w:val="0"/>
                <w:sz w:val="24"/>
                <w:lang w:val="en-US" w:eastAsia="zh-CN"/>
              </w:rPr>
            </w:pPr>
            <w:r>
              <w:rPr>
                <w:rFonts w:hint="eastAsia"/>
                <w:b/>
                <w:bCs/>
                <w:color w:val="auto"/>
                <w:kern w:val="0"/>
                <w:sz w:val="24"/>
                <w:lang w:val="en-US" w:eastAsia="zh-CN"/>
              </w:rPr>
              <w:t>1.2水生生态保护措施</w:t>
            </w:r>
          </w:p>
          <w:p w14:paraId="12F7E8F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针对项目跨河道建设，施工期老桥拆除、基础施工造成的河道悬浮物增加、水生生物栖息地扰动、施工废水污染水体等影响，采取全程防控、源头治理的保护措施，重点保护阳霞艾肯河支流的叶尔羌高原鳅、长身高原鳅等土著鱼类及水生生态系统：</w:t>
            </w:r>
          </w:p>
          <w:p w14:paraId="26EAE5A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（1）老桥拆除全过程防控，减少河道扰动与建筑垃圾入河</w:t>
            </w:r>
          </w:p>
          <w:p w14:paraId="0C31320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①拆除前，在桥梁上下游各50m处设置双层拦污网（网眼尺寸不大于5cm），拦污网底部固定至河底，顶部高出水面1.0m，防止拆除过程中混凝土块、钢筋、碎石等建筑垃圾坠入河道；同时在桥底铺设防坠土工布，收集切割、破碎产生的碎渣，做到“边拆除、边清理”。②严格遵循“竖向分层、横向分条、纵向分段、对称拆除、平衡受力”原则，采用分段切割+架桥机吊运工艺替代传统机械破碎，避免大块建筑垃圾坠入河道；对拱肋、拱波等关键部位拆除时，分段长度控制在1.5-4m，切割后及时吊运至岸边，严禁在河道上方悬空堆放建筑垃圾。③拆除过程中安排专人值守河道，及时清理不慎落入水中的杂物、碎渣；拆除完成后，对河道进行全面清淤，清除河底沉积的建筑垃圾、泥沙，恢复河道原有水流形态和河床平整度。</w:t>
            </w:r>
          </w:p>
          <w:p w14:paraId="114B7C6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（2）桥梁基础施工源头管控，防止泥浆、废水污染水体</w:t>
            </w:r>
          </w:p>
          <w:p w14:paraId="10D57DD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①钻孔灌注桩、基坑开挖等基础施工时，在施工区域周边设置泥浆沉淀池+防渗围堰，沉淀池采用三级沉淀设计，施工产生的泥浆全部排入沉淀池处理，严禁直接排入河道；泥浆经沉淀后，上清液回用于施工场地洒水降尘，沉淀的泥沙脱水后作为建筑垃圾清运，不得随意倾倒至河道。②基础施工采用套管防护工艺，套管深入河底以下0.5m，防止施工过程中河道泥沙扰动、泥浆泄漏，减少水体悬浮物浓度升高对水生生物的影响；施工过程中控制作业速度，避免快速开挖造成河床垮塌、泥沙入河。③严禁在河道内进行施工机械清洗、车辆冲洗等作业；施工机械停放区设置隔油沉淀池，施工机械跑冒滴漏的油污、清洗废水全部收集至隔油沉淀池，经隔油、沉淀处理后回用，尾水用于施工场地降尘，严禁排入河道。</w:t>
            </w:r>
          </w:p>
          <w:p w14:paraId="0470972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（3）施工废水全程管控，杜绝污染物入河</w:t>
            </w:r>
          </w:p>
          <w:p w14:paraId="5AE50DA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①施工场地设置环形排水沟、集水井，收集施工场地雨水冲刷产生的污水、运输车辆轮胎冲洗废水，所有废水经沉淀池（SS去除）+隔油池处理后循环回用，实现施工废水“零外排”。②施工材料严禁堆放在河道周边50m范围内，物料堆放区铺设防渗土工布，设置防雨棚和截水沟，防止雨水冲刷造成物料流失、污染水体；油料储存采用密闭储罐，储罐下方设置防渗围堰和集油坑，防止油料泄漏入河。③施工人员生活污水依托周边村庄既有污水处理设施处置，不设置独立施工营地，严禁在河道周边随意排放生活污水。</w:t>
            </w:r>
          </w:p>
          <w:p w14:paraId="7375BD7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（4）保护水生生物生存环境，减少施工对水生生物的影响</w:t>
            </w:r>
          </w:p>
          <w:p w14:paraId="7FF8AB2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①基础施工、河道清理作业避开土著鱼类的繁殖期，若施工周期与繁殖期重叠，采取暂停水下作业、设置生物庇护区等措施，保护鱼类亲体和幼体。②施工过程中减少对河道水流的阻断，严禁在河道内设置临时围堰等阻水设施，保证河道水体的连通性和流动性，满足水生生物的生存、洄游需求（虽项目区鱼类无洄游习性，但需保证其栖息环境的稳定性）。③施工结束后，对河道周边的施工扰动区域进行生态修复，在河道岸边补植芦苇等水生植物，恢复水生植物群落，为水生生物提供栖息、觅食场所；同时清理河道内的施工设施，恢复河道自然生态风貌。</w:t>
            </w:r>
          </w:p>
          <w:p w14:paraId="180AC04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color w:val="auto"/>
                <w:kern w:val="0"/>
                <w:sz w:val="24"/>
                <w:lang w:val="en-US" w:eastAsia="zh-CN"/>
              </w:rPr>
            </w:pPr>
            <w:r>
              <w:rPr>
                <w:rFonts w:hint="eastAsia"/>
                <w:color w:val="auto"/>
                <w:kern w:val="0"/>
                <w:sz w:val="24"/>
                <w:lang w:val="en-US" w:eastAsia="zh-CN"/>
              </w:rPr>
              <w:t>加强施工期水生生态监控，及时处置环境问题施工期安排专人对河道水质、水生生物活动情况进行定期监控，每周监测1次河道悬浮物浓度，若发现水体浑浊、建筑垃圾入河等问题，立即停工并采取清理、整改措施；若发现水生生物异常死亡情况，及时联系当地生态环境部门和水产部门，开展调查与处置。</w:t>
            </w:r>
          </w:p>
          <w:p w14:paraId="700C2635">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2</w:t>
            </w:r>
            <w:r>
              <w:rPr>
                <w:rFonts w:hint="default" w:ascii="Times New Roman" w:hAnsi="Times New Roman" w:eastAsia="宋体" w:cs="Times New Roman"/>
                <w:b/>
                <w:bCs/>
                <w:caps w:val="0"/>
                <w:smallCaps w:val="0"/>
                <w:color w:val="auto"/>
                <w:spacing w:val="0"/>
                <w:w w:val="100"/>
                <w:kern w:val="2"/>
                <w:position w:val="0"/>
                <w:sz w:val="24"/>
                <w:highlight w:val="none"/>
              </w:rPr>
              <w:t>大气环境保护措施</w:t>
            </w:r>
          </w:p>
          <w:p w14:paraId="20E29DA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（1）项目采取分段施工，敏感目标附近，施工区域外侧需设置施工围挡等。</w:t>
            </w:r>
          </w:p>
          <w:p w14:paraId="702A6C9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（2）开挖、拆迁过程中，洒水使作业区域保持一定的湿度：施工场地内松散、干涸的表土，也应经常洒水、篷布遮盖等措施防治粉尘；回填土方时，在表层土质干燥时应适当洒水，防止粉尘飞扬。</w:t>
            </w:r>
          </w:p>
          <w:p w14:paraId="42D1DD9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（3）加强回填土方堆放场的管理，要制定土方表面压实、定期喷水、覆盖等措施；不需要的建筑材料、弃渣等应及时运走，不宜长时间堆积。</w:t>
            </w:r>
          </w:p>
          <w:p w14:paraId="3B0698E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4）运土卡车及建筑材料运输车应按规定配置防洒装备，装载不宜过满，并用篷布遮盖，保证运输过程中不散落；并规划好运输车辆的运行路线与时间，尽量避免在交通集中区和居民住宅等敏感区行驶；对环境要求高的路段，应根据实际情况选择在夜间运输，以减少粉尘对环境的影响。</w:t>
            </w:r>
          </w:p>
          <w:p w14:paraId="4864B7F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5）加强路面维护及施工运输车辆的运输管理，尽可能防止运输的物料洒落、装卸场地在装卸前冲洗干净，减少车轮、底盘等携带泥土散落路面。其他运输易产生扬尘污染物料的车辆，应当采用密闭或覆盖，装载的散装物料不得超过车厢挡板的高度；运输途中的散装物料不得沿途泄漏、散落或者飞扬。</w:t>
            </w:r>
          </w:p>
          <w:p w14:paraId="657F2A7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（6）对</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运输过程中洒落</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在路面上的泥土要及时清扫，以减少运行过程中的扬尘，并通过定时洒水等措施来抑尘。</w:t>
            </w:r>
          </w:p>
          <w:p w14:paraId="2A97548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（7）为防止建材堆场在有风时产生扬尘，各建材堆场应采取遮蔽挡风措施，除需防水的物料外，在干燥有风时洒水保湿。</w:t>
            </w:r>
          </w:p>
          <w:p w14:paraId="58675C7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（8）施工过程中，各类建筑垃圾应及时清理，严禁将废弃的建筑材料作为燃料燃烧。</w:t>
            </w:r>
          </w:p>
          <w:p w14:paraId="149A1BE2">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（9）</w:t>
            </w:r>
            <w:r>
              <w:rPr>
                <w:rFonts w:hint="default" w:ascii="Times New Roman" w:hAnsi="Times New Roman" w:eastAsia="宋体" w:cs="Times New Roman"/>
                <w:caps w:val="0"/>
                <w:smallCaps w:val="0"/>
                <w:color w:val="auto"/>
                <w:spacing w:val="0"/>
                <w:w w:val="100"/>
                <w:kern w:val="2"/>
                <w:position w:val="0"/>
                <w:sz w:val="24"/>
                <w:highlight w:val="none"/>
              </w:rPr>
              <w:t>采用无热源或高温容器将沥青</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混凝土</w:t>
            </w:r>
            <w:r>
              <w:rPr>
                <w:rFonts w:hint="default" w:ascii="Times New Roman" w:hAnsi="Times New Roman" w:eastAsia="宋体" w:cs="Times New Roman"/>
                <w:caps w:val="0"/>
                <w:smallCaps w:val="0"/>
                <w:color w:val="auto"/>
                <w:spacing w:val="0"/>
                <w:w w:val="100"/>
                <w:kern w:val="2"/>
                <w:position w:val="0"/>
                <w:sz w:val="24"/>
                <w:highlight w:val="none"/>
              </w:rPr>
              <w:t>运至铺浇工地，沥青采取全封闭沥青摊铺车进行作业，可以从根本上解决沥青烟污染的问题。沥青烟气的排放浓度较低，对周围环境影响较小。</w:t>
            </w:r>
          </w:p>
          <w:p w14:paraId="04B093D4">
            <w:pPr>
              <w:pStyle w:val="22"/>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10</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施工期临时混凝土拌和站做好筒仓及搅拌站封闭措施，安装除尘装置，确保临时搅拌站粉尘达标排放，减少对周边大气环境影响。</w:t>
            </w:r>
          </w:p>
          <w:p w14:paraId="3D7912C7">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lang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3</w:t>
            </w:r>
            <w:r>
              <w:rPr>
                <w:rFonts w:hint="default" w:ascii="Times New Roman" w:hAnsi="Times New Roman" w:eastAsia="宋体" w:cs="Times New Roman"/>
                <w:b/>
                <w:bCs/>
                <w:caps w:val="0"/>
                <w:smallCaps w:val="0"/>
                <w:color w:val="auto"/>
                <w:spacing w:val="0"/>
                <w:w w:val="100"/>
                <w:kern w:val="2"/>
                <w:position w:val="0"/>
                <w:sz w:val="24"/>
                <w:highlight w:val="none"/>
              </w:rPr>
              <w:t>地表水环境保护措施</w:t>
            </w:r>
          </w:p>
          <w:p w14:paraId="048093E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桥梁建设施工工艺不当或施工管理不强，产生的施工泥渣、机械漏油、施工物料受雨水冲刷入地表水将影响水质。环评要求尽量采用先进的设备、机械，以有效地减少跑、冒、滴、漏的数量及机械维修的次数，同时及时检修施工机械设备，避免跑、冒、滴、漏的发生，从而减少含油污水的产生量。注意检查维护施工机械，防止油料发生泄漏污染水体。施工材料如油料、化学品等禁止堆放在地表水体附近，并应备有临时遮挡的雨布。施工机械停放区设置隔油沉淀池，将施工机械冲洗废水收集至隔油沉淀池内统一处置，经过隔油隔渣处理后回用，尾水用于施工场地洒水降尘，严禁排入附近水体。严格落实以上地表水保护措施，从源头杜绝施工废水排入附近水体。</w:t>
            </w:r>
          </w:p>
          <w:p w14:paraId="2A8FA7FA">
            <w:pPr>
              <w:pageBreakBefore w:val="0"/>
              <w:widowControl/>
              <w:kinsoku/>
              <w:wordWrap/>
              <w:overflowPunct/>
              <w:topLinePunct w:val="0"/>
              <w:autoSpaceDE/>
              <w:autoSpaceDN/>
              <w:bidi w:val="0"/>
              <w:adjustRightInd w:val="0"/>
              <w:snapToGrid w:val="0"/>
              <w:spacing w:beforeAutospacing="0" w:afterAutospacing="0" w:line="360" w:lineRule="auto"/>
              <w:ind w:right="0" w:firstLine="482" w:firstLineChars="200"/>
              <w:jc w:val="left"/>
              <w:textAlignment w:val="auto"/>
              <w:rPr>
                <w:rFonts w:hint="default" w:ascii="Times New Roman" w:hAnsi="Times New Roman" w:eastAsia="宋体" w:cs="Times New Roman"/>
                <w:b/>
                <w:bCs/>
                <w:caps w:val="0"/>
                <w:smallCaps w:val="0"/>
                <w:color w:val="auto"/>
                <w:spacing w:val="0"/>
                <w:w w:val="100"/>
                <w:kern w:val="2"/>
                <w:position w:val="0"/>
                <w:sz w:val="24"/>
                <w:highlight w:val="none"/>
                <w:lang w:bidi="ar"/>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bidi="ar"/>
              </w:rPr>
              <w:t>4</w:t>
            </w:r>
            <w:r>
              <w:rPr>
                <w:rFonts w:hint="default" w:ascii="Times New Roman" w:hAnsi="Times New Roman" w:eastAsia="宋体" w:cs="Times New Roman"/>
                <w:b/>
                <w:bCs/>
                <w:caps w:val="0"/>
                <w:smallCaps w:val="0"/>
                <w:color w:val="auto"/>
                <w:spacing w:val="0"/>
                <w:w w:val="100"/>
                <w:kern w:val="2"/>
                <w:position w:val="0"/>
                <w:sz w:val="24"/>
                <w:highlight w:val="none"/>
                <w:lang w:bidi="ar"/>
              </w:rPr>
              <w:t>声环境保护措施</w:t>
            </w:r>
          </w:p>
          <w:p w14:paraId="6ABF8A90">
            <w:pPr>
              <w:pageBreakBefore w:val="0"/>
              <w:shd w:val="clear" w:color="auto" w:fill="auto"/>
              <w:kinsoku/>
              <w:wordWrap/>
              <w:overflowPunct/>
              <w:topLinePunct w:val="0"/>
              <w:autoSpaceDE/>
              <w:autoSpaceDN/>
              <w:bidi w:val="0"/>
              <w:adjustRightInd w:val="0"/>
              <w:snapToGrid w:val="0"/>
              <w:spacing w:line="360" w:lineRule="auto"/>
              <w:ind w:firstLine="480" w:firstLineChars="200"/>
              <w:textAlignment w:val="auto"/>
              <w:rPr>
                <w:color w:val="auto"/>
                <w:sz w:val="24"/>
                <w:szCs w:val="20"/>
              </w:rPr>
            </w:pPr>
            <w:r>
              <w:rPr>
                <w:color w:val="auto"/>
                <w:sz w:val="24"/>
                <w:szCs w:val="20"/>
              </w:rPr>
              <w:t>施工期的噪声主要来自道路施工等部分及施工机械和运输车辆。</w:t>
            </w:r>
          </w:p>
          <w:p w14:paraId="5CD7D597">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（1）施工单位必须选用符合国家有关标准的施工设施和运输车辆，尽量选用低噪声的施工工艺。振动较大的固定机械设备应加装减振机座，同时加强各类施工设备的维护和保养，保持其更好</w:t>
            </w:r>
            <w:r>
              <w:rPr>
                <w:rFonts w:hint="eastAsia"/>
                <w:color w:val="auto"/>
                <w:kern w:val="0"/>
                <w:sz w:val="24"/>
                <w:lang w:eastAsia="zh-CN"/>
              </w:rPr>
              <w:t>地</w:t>
            </w:r>
            <w:r>
              <w:rPr>
                <w:color w:val="auto"/>
                <w:kern w:val="0"/>
                <w:sz w:val="24"/>
              </w:rPr>
              <w:t>运转，尽量降低噪声源强。</w:t>
            </w:r>
          </w:p>
          <w:p w14:paraId="6A779F5A">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（2</w:t>
            </w:r>
            <w:r>
              <w:rPr>
                <w:rFonts w:hint="eastAsia"/>
                <w:color w:val="auto"/>
                <w:kern w:val="0"/>
                <w:sz w:val="24"/>
                <w:lang w:eastAsia="zh-CN"/>
              </w:rPr>
              <w:t>）根</w:t>
            </w:r>
            <w:r>
              <w:rPr>
                <w:color w:val="auto"/>
                <w:kern w:val="0"/>
                <w:sz w:val="24"/>
              </w:rPr>
              <w:t>据调查，施工现场噪声有时超出噪声标准限值，一般可采取变动施工方法措施</w:t>
            </w:r>
            <w:r>
              <w:rPr>
                <w:bCs/>
                <w:color w:val="auto"/>
                <w:sz w:val="24"/>
                <w:szCs w:val="20"/>
              </w:rPr>
              <w:t>和控制施工时间</w:t>
            </w:r>
            <w:r>
              <w:rPr>
                <w:color w:val="auto"/>
                <w:kern w:val="0"/>
                <w:sz w:val="24"/>
              </w:rPr>
              <w:t>缓解。如噪声源强大的作业时间可放在昼间（</w:t>
            </w:r>
            <w:r>
              <w:rPr>
                <w:rFonts w:hint="eastAsia"/>
                <w:color w:val="auto"/>
                <w:kern w:val="0"/>
                <w:sz w:val="24"/>
              </w:rPr>
              <w:t>8</w:t>
            </w:r>
            <w:r>
              <w:rPr>
                <w:rFonts w:hint="eastAsia"/>
                <w:color w:val="auto"/>
                <w:kern w:val="0"/>
                <w:sz w:val="24"/>
                <w:lang w:eastAsia="zh-CN"/>
              </w:rPr>
              <w:t>:</w:t>
            </w:r>
            <w:r>
              <w:rPr>
                <w:color w:val="auto"/>
                <w:kern w:val="0"/>
                <w:sz w:val="24"/>
              </w:rPr>
              <w:t>00～</w:t>
            </w:r>
            <w:r>
              <w:rPr>
                <w:rFonts w:hint="eastAsia"/>
                <w:color w:val="auto"/>
                <w:kern w:val="0"/>
                <w:sz w:val="24"/>
              </w:rPr>
              <w:t>24</w:t>
            </w:r>
            <w:r>
              <w:rPr>
                <w:rFonts w:hint="eastAsia"/>
                <w:color w:val="auto"/>
                <w:kern w:val="0"/>
                <w:sz w:val="24"/>
                <w:lang w:eastAsia="zh-CN"/>
              </w:rPr>
              <w:t>:</w:t>
            </w:r>
            <w:r>
              <w:rPr>
                <w:color w:val="auto"/>
                <w:kern w:val="0"/>
                <w:sz w:val="24"/>
              </w:rPr>
              <w:t>00）进行或对各种施工机械操作时间</w:t>
            </w:r>
            <w:r>
              <w:rPr>
                <w:rFonts w:hint="eastAsia"/>
                <w:color w:val="auto"/>
                <w:kern w:val="0"/>
                <w:sz w:val="24"/>
                <w:lang w:eastAsia="zh-CN"/>
              </w:rPr>
              <w:t>做</w:t>
            </w:r>
            <w:r>
              <w:rPr>
                <w:rFonts w:hint="eastAsia"/>
                <w:color w:val="auto"/>
                <w:kern w:val="0"/>
                <w:sz w:val="24"/>
              </w:rPr>
              <w:t>适当调整</w:t>
            </w:r>
            <w:r>
              <w:rPr>
                <w:color w:val="auto"/>
                <w:kern w:val="0"/>
                <w:sz w:val="24"/>
              </w:rPr>
              <w:t>，并通过文明施工、加强有效管理加以缓解。</w:t>
            </w:r>
          </w:p>
          <w:p w14:paraId="6FD8B494">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（3）合理安排施工活动，缩短工期，减少施工噪声影响时间，避免强噪声施工机械在同一区域内同时使用。</w:t>
            </w:r>
          </w:p>
          <w:p w14:paraId="0E43EF57">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（4）强声源噪声施工机械夜间（</w:t>
            </w:r>
            <w:r>
              <w:rPr>
                <w:rFonts w:hint="eastAsia"/>
                <w:color w:val="auto"/>
                <w:kern w:val="0"/>
                <w:sz w:val="24"/>
              </w:rPr>
              <w:t>24:00~8:00</w:t>
            </w:r>
            <w:r>
              <w:rPr>
                <w:color w:val="auto"/>
                <w:kern w:val="0"/>
                <w:sz w:val="24"/>
              </w:rPr>
              <w:t>）应停止施工作业。必须连续施工作业的工点，施工单位应视具体情况及时与当地政府部门取得联系，按规定申领夜间施工证，同时发布公告最大限度地争取民众支持。</w:t>
            </w:r>
          </w:p>
          <w:p w14:paraId="0157DEB6">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（5）对必须进行夜间运输的，应设置禁鸣和限速标志牌，车辆夜间通过时速度应小于30km/h。</w:t>
            </w:r>
          </w:p>
          <w:p w14:paraId="213519B8">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（6）做好宣传工作，倡导科学管理和文明施工。由于技术条件、施工现场客观环</w:t>
            </w:r>
            <w:r>
              <w:rPr>
                <w:rFonts w:hint="eastAsia"/>
                <w:color w:val="auto"/>
                <w:kern w:val="0"/>
                <w:sz w:val="24"/>
                <w:lang w:eastAsia="zh-CN"/>
              </w:rPr>
              <w:t>境的</w:t>
            </w:r>
            <w:r>
              <w:rPr>
                <w:color w:val="auto"/>
                <w:kern w:val="0"/>
                <w:sz w:val="24"/>
              </w:rPr>
              <w:t>限制，即使采用了相应的控制对策和措施，施工噪声、振动仍可能对周围环境产生一定的影响，为此要向施工车辆运输沿线受影响的居民和有关单位做好宣传工作，以提高人们对不利影响的心理承受力；加强施工现场的科学管理，做好施工人员的环境保护意识的教育；大力倡导文明施工的自觉性。</w:t>
            </w:r>
          </w:p>
          <w:p w14:paraId="4701F35A">
            <w:pPr>
              <w:keepNext/>
              <w:keepLines/>
              <w:pageBreakBefore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highlight w:val="none"/>
              </w:rPr>
            </w:pPr>
            <w:r>
              <w:rPr>
                <w:color w:val="auto"/>
                <w:kern w:val="0"/>
                <w:sz w:val="24"/>
              </w:rPr>
              <w:t>通过采取以上措施，可减少施工噪声对周围环境的影响，满足</w:t>
            </w:r>
            <w:r>
              <w:rPr>
                <w:rFonts w:hint="default"/>
                <w:color w:val="auto"/>
                <w:kern w:val="0"/>
                <w:sz w:val="24"/>
                <w:lang w:eastAsia="en-US"/>
              </w:rPr>
              <w:t>《建筑施工噪声排放标准》（GB12523-20</w:t>
            </w:r>
            <w:r>
              <w:rPr>
                <w:rFonts w:hint="default"/>
                <w:color w:val="auto"/>
                <w:kern w:val="0"/>
                <w:sz w:val="24"/>
                <w:lang w:val="en-US" w:eastAsia="en-US"/>
              </w:rPr>
              <w:t>25</w:t>
            </w:r>
            <w:r>
              <w:rPr>
                <w:rFonts w:hint="default"/>
                <w:color w:val="auto"/>
                <w:kern w:val="0"/>
                <w:sz w:val="24"/>
                <w:lang w:eastAsia="en-US"/>
              </w:rPr>
              <w:t>）</w:t>
            </w:r>
            <w:r>
              <w:rPr>
                <w:color w:val="auto"/>
                <w:kern w:val="0"/>
                <w:sz w:val="24"/>
              </w:rPr>
              <w:t>标准要求，保证周围声环境质量不被严重破坏</w:t>
            </w:r>
            <w:r>
              <w:rPr>
                <w:rFonts w:hint="default" w:ascii="Times New Roman" w:hAnsi="Times New Roman" w:eastAsia="宋体" w:cs="Times New Roman"/>
                <w:caps w:val="0"/>
                <w:smallCaps w:val="0"/>
                <w:color w:val="auto"/>
                <w:spacing w:val="0"/>
                <w:w w:val="100"/>
                <w:kern w:val="2"/>
                <w:position w:val="0"/>
                <w:sz w:val="24"/>
                <w:highlight w:val="none"/>
              </w:rPr>
              <w:t>。</w:t>
            </w:r>
          </w:p>
          <w:p w14:paraId="7F640BD5">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5</w:t>
            </w:r>
            <w:r>
              <w:rPr>
                <w:rFonts w:hint="default" w:ascii="Times New Roman" w:hAnsi="Times New Roman" w:eastAsia="宋体" w:cs="Times New Roman"/>
                <w:b/>
                <w:bCs/>
                <w:caps w:val="0"/>
                <w:smallCaps w:val="0"/>
                <w:color w:val="auto"/>
                <w:spacing w:val="0"/>
                <w:w w:val="100"/>
                <w:kern w:val="2"/>
                <w:position w:val="0"/>
                <w:sz w:val="24"/>
                <w:highlight w:val="none"/>
              </w:rPr>
              <w:t>固体废物</w:t>
            </w:r>
          </w:p>
          <w:p w14:paraId="03ACD342">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为</w:t>
            </w:r>
            <w:r>
              <w:rPr>
                <w:color w:val="auto"/>
                <w:kern w:val="0"/>
                <w:sz w:val="24"/>
              </w:rPr>
              <w:t>施工期固体废物主要包括表土</w:t>
            </w:r>
            <w:r>
              <w:rPr>
                <w:rFonts w:hint="eastAsia"/>
                <w:color w:val="auto"/>
                <w:kern w:val="0"/>
                <w:sz w:val="24"/>
                <w:lang w:eastAsia="zh-CN"/>
              </w:rPr>
              <w:t>、</w:t>
            </w:r>
            <w:r>
              <w:rPr>
                <w:rFonts w:hint="eastAsia"/>
                <w:color w:val="auto"/>
                <w:kern w:val="0"/>
                <w:sz w:val="24"/>
                <w:lang w:val="en-US" w:eastAsia="zh-CN"/>
              </w:rPr>
              <w:t>基础开挖弃方</w:t>
            </w:r>
            <w:r>
              <w:rPr>
                <w:color w:val="auto"/>
                <w:kern w:val="0"/>
                <w:sz w:val="24"/>
              </w:rPr>
              <w:t>、废沥青路面、建筑垃圾和施工人员生活垃圾。</w:t>
            </w:r>
          </w:p>
          <w:p w14:paraId="2775AE94">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bCs/>
                <w:color w:val="auto"/>
                <w:kern w:val="0"/>
                <w:sz w:val="24"/>
              </w:rPr>
            </w:pPr>
            <w:r>
              <w:rPr>
                <w:color w:val="auto"/>
                <w:sz w:val="24"/>
              </w:rPr>
              <w:t>路基工程清理地表产生的</w:t>
            </w:r>
            <w:r>
              <w:rPr>
                <w:rFonts w:hint="eastAsia"/>
                <w:color w:val="auto"/>
                <w:sz w:val="24"/>
                <w:lang w:val="en-US" w:eastAsia="zh-CN"/>
              </w:rPr>
              <w:t>表土</w:t>
            </w:r>
            <w:r>
              <w:rPr>
                <w:color w:val="auto"/>
                <w:sz w:val="24"/>
              </w:rPr>
              <w:t>临时堆存在道路红线范围内，并进行临时防护，待施工时作为路基边坡包边土使用</w:t>
            </w:r>
            <w:r>
              <w:rPr>
                <w:rFonts w:hint="eastAsia"/>
                <w:color w:val="auto"/>
                <w:sz w:val="24"/>
                <w:lang w:eastAsia="zh-CN"/>
              </w:rPr>
              <w:t>；</w:t>
            </w:r>
            <w:r>
              <w:rPr>
                <w:rFonts w:hint="eastAsia"/>
                <w:color w:val="auto"/>
                <w:sz w:val="24"/>
                <w:lang w:val="en-US" w:eastAsia="zh-CN"/>
              </w:rPr>
              <w:t>基础开挖产生的弃方以及施工期临时沉淀池泥沙清运至住建部门指定的既有社会弃土场处置</w:t>
            </w:r>
            <w:r>
              <w:rPr>
                <w:color w:val="auto"/>
                <w:sz w:val="24"/>
              </w:rPr>
              <w:t>；建筑垃圾运至政府指定地点堆存；废沥青路面集中收集后运至政府指定地点堆存</w:t>
            </w:r>
            <w:r>
              <w:rPr>
                <w:rFonts w:hint="eastAsia"/>
                <w:color w:val="auto"/>
                <w:sz w:val="24"/>
              </w:rPr>
              <w:t>；</w:t>
            </w:r>
            <w:r>
              <w:rPr>
                <w:bCs/>
                <w:color w:val="auto"/>
                <w:kern w:val="0"/>
                <w:sz w:val="24"/>
              </w:rPr>
              <w:t>本工程建设过程中产生的生活垃圾集中堆存，严格管理，定期清运，交环卫部门统一处理，不会对周围环境产生明显影响。</w:t>
            </w:r>
          </w:p>
          <w:p w14:paraId="4731E61E">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建筑垃圾</w:t>
            </w:r>
            <w:r>
              <w:rPr>
                <w:rFonts w:hint="eastAsia"/>
                <w:color w:val="auto"/>
                <w:kern w:val="0"/>
                <w:sz w:val="24"/>
              </w:rPr>
              <w:t>及废沥青路面</w:t>
            </w:r>
            <w:r>
              <w:rPr>
                <w:color w:val="auto"/>
                <w:kern w:val="0"/>
                <w:sz w:val="24"/>
              </w:rPr>
              <w:t>由施工单位或承建单位外运，运输过程中严格按照如下规定执行：</w:t>
            </w:r>
          </w:p>
          <w:p w14:paraId="411C240C">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①施工单位在开工前，应当与市容环境卫生行政主管部门签订市容环境卫生责任书，对施工过程中产生</w:t>
            </w:r>
            <w:r>
              <w:rPr>
                <w:rFonts w:hint="eastAsia"/>
                <w:color w:val="auto"/>
                <w:kern w:val="0"/>
                <w:sz w:val="24"/>
                <w:lang w:eastAsia="zh-CN"/>
              </w:rPr>
              <w:t>的</w:t>
            </w:r>
            <w:r>
              <w:rPr>
                <w:color w:val="auto"/>
                <w:kern w:val="0"/>
                <w:sz w:val="24"/>
              </w:rPr>
              <w:t>各类建筑垃圾应当及时清理，保持施工现场整洁；</w:t>
            </w:r>
          </w:p>
          <w:p w14:paraId="33DBAE37">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②工程施工现场出入口的道路应当硬化，配置相应的冲洗设施，车辆冲洗干净后，方可驶离工地；</w:t>
            </w:r>
          </w:p>
          <w:p w14:paraId="5C2C05D2">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③按照市容环境卫生行政主管部门核定的时间、路线、地点运输和倾倒建筑垃圾，禁止偷倒、乱倒建筑垃圾；</w:t>
            </w:r>
          </w:p>
          <w:p w14:paraId="58BBEC06">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④建筑垃圾运输车辆应当采取密闭措施，不得超载运输，不得车轮带泥，不得遗撒、泄漏；</w:t>
            </w:r>
          </w:p>
          <w:p w14:paraId="468DC963">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⑤建筑垃圾运输作业时，建设单位应当督促运输单位在清运时间内组织人力、物力或委托专业市容环境卫生服务单位做好沿途的污染清理工作；清运过程中造成交通安全设施损坏的，应予以赔偿。</w:t>
            </w:r>
          </w:p>
          <w:p w14:paraId="2C0EF02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rPr>
            </w:pPr>
            <w:r>
              <w:rPr>
                <w:color w:val="auto"/>
                <w:kern w:val="0"/>
                <w:sz w:val="24"/>
              </w:rPr>
              <w:t>综上，施工期固废在全部合理处置情况下，不会对周围环境产生影响</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w:t>
            </w:r>
          </w:p>
        </w:tc>
      </w:tr>
      <w:tr w14:paraId="7C9CF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noWrap w:val="0"/>
            <w:tcMar>
              <w:left w:w="28" w:type="dxa"/>
              <w:right w:w="28" w:type="dxa"/>
            </w:tcMar>
            <w:vAlign w:val="center"/>
          </w:tcPr>
          <w:p w14:paraId="18AA90C2">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bCs/>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运营期生态环境保护措施</w:t>
            </w:r>
          </w:p>
        </w:tc>
        <w:tc>
          <w:tcPr>
            <w:tcW w:w="9098" w:type="dxa"/>
            <w:tcBorders>
              <w:tl2br w:val="nil"/>
              <w:tr2bl w:val="nil"/>
            </w:tcBorders>
            <w:noWrap w:val="0"/>
            <w:vAlign w:val="top"/>
          </w:tcPr>
          <w:p w14:paraId="2F757374">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color w:val="auto"/>
                <w:sz w:val="24"/>
              </w:rPr>
            </w:pPr>
            <w:r>
              <w:rPr>
                <w:b/>
                <w:color w:val="auto"/>
                <w:sz w:val="24"/>
              </w:rPr>
              <w:t>1运营期大气污染防治措施</w:t>
            </w:r>
          </w:p>
          <w:p w14:paraId="2A3838A1">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rFonts w:hint="eastAsia"/>
                <w:color w:val="auto"/>
                <w:sz w:val="24"/>
                <w:lang w:val="en-US" w:eastAsia="zh-CN"/>
              </w:rPr>
              <w:t>本</w:t>
            </w:r>
            <w:r>
              <w:rPr>
                <w:color w:val="auto"/>
                <w:sz w:val="24"/>
              </w:rPr>
              <w:t>项目不设置服务设施，运营期大气污染源主要为汽车尾气及道路扬尘。项目运营期加强检查，禁止不符合排放标准要求的</w:t>
            </w:r>
            <w:r>
              <w:rPr>
                <w:rFonts w:hint="eastAsia"/>
                <w:color w:val="auto"/>
                <w:sz w:val="24"/>
                <w:lang w:eastAsia="zh-CN"/>
              </w:rPr>
              <w:t>车辆</w:t>
            </w:r>
            <w:r>
              <w:rPr>
                <w:color w:val="auto"/>
                <w:sz w:val="24"/>
              </w:rPr>
              <w:t>上路，同时加强路面洒水、清扫保洁等措施。</w:t>
            </w:r>
          </w:p>
          <w:p w14:paraId="5AC5CDEB">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①环保、交通部门加强合作，对机动车尾气达标排放定期检测，对超标排放的机动车辆强制安装尾气净化装置。</w:t>
            </w:r>
          </w:p>
          <w:p w14:paraId="0DEDB71D">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②加强机动车的检修与维护，加强车检，严格车检规程，确保上路车况良好。</w:t>
            </w:r>
          </w:p>
          <w:p w14:paraId="4F310F3D">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③加强对道路的养护，使道路保持良好的运营状态，减少塞车现象发生。</w:t>
            </w:r>
          </w:p>
          <w:p w14:paraId="04FEC956">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④鼓励和支持生产，</w:t>
            </w:r>
            <w:r>
              <w:rPr>
                <w:rFonts w:hint="eastAsia"/>
                <w:color w:val="auto"/>
                <w:sz w:val="24"/>
              </w:rPr>
              <w:t>使用</w:t>
            </w:r>
            <w:r>
              <w:rPr>
                <w:color w:val="auto"/>
                <w:sz w:val="24"/>
              </w:rPr>
              <w:t>优质燃料油，采取措施减少燃料油中有害物质对环境空气的污染。</w:t>
            </w:r>
          </w:p>
          <w:p w14:paraId="7E55A64B">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⑤加强道路两侧的绿化，这样既可以净化吸收车辆尾气中的污染物，又可以美化环境和改善公路沿线景观效果。</w:t>
            </w:r>
          </w:p>
          <w:p w14:paraId="502576FF">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color w:val="auto"/>
                <w:sz w:val="24"/>
              </w:rPr>
            </w:pPr>
            <w:r>
              <w:rPr>
                <w:b/>
                <w:color w:val="auto"/>
                <w:sz w:val="24"/>
              </w:rPr>
              <w:t>2运营期水环境污染防治措施</w:t>
            </w:r>
          </w:p>
          <w:p w14:paraId="5ECBD4CA">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rFonts w:hint="eastAsia"/>
                <w:color w:val="auto"/>
                <w:spacing w:val="-2"/>
                <w:sz w:val="24"/>
              </w:rPr>
            </w:pPr>
            <w:r>
              <w:rPr>
                <w:color w:val="auto"/>
                <w:spacing w:val="-2"/>
                <w:sz w:val="24"/>
              </w:rPr>
              <w:t>在公路建成投入运营后，废水主要为雨季路面产生的地表径流。</w:t>
            </w:r>
            <w:r>
              <w:rPr>
                <w:rFonts w:hint="eastAsia"/>
                <w:color w:val="auto"/>
                <w:spacing w:val="-2"/>
                <w:sz w:val="24"/>
              </w:rPr>
              <w:t>影响路面径流污染的因素众多，包括降雨量、降雨时间、与车流量有关的路面及大气污染程度、两场降雨之间的间隔时间、路面宽度、纳污路段长度等，一般随着降雨量的增加而增大，降雨一段时间后，污染会逐渐降低。路面径流在通过路面横坡自然散排、漫流到排水沟或边沟中，或通过边坡急流槽集中排入排水沟的过程中伴随着降水稀释、泥沙对污染物的吸附、径流水自净等才进入水体，从而使污染物浓度变得更低，并且这种影响将随降雨历时的延长而降低或随降雨的消失而消失。</w:t>
            </w:r>
          </w:p>
          <w:p w14:paraId="18E283BE">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rFonts w:hint="eastAsia" w:eastAsia="宋体"/>
                <w:color w:val="auto"/>
                <w:spacing w:val="-2"/>
                <w:sz w:val="24"/>
                <w:lang w:eastAsia="zh-CN"/>
              </w:rPr>
            </w:pPr>
            <w:r>
              <w:rPr>
                <w:color w:val="auto"/>
                <w:spacing w:val="-2"/>
                <w:sz w:val="24"/>
              </w:rPr>
              <w:t>项目运营期</w:t>
            </w:r>
            <w:r>
              <w:rPr>
                <w:rFonts w:hint="eastAsia"/>
                <w:color w:val="auto"/>
                <w:spacing w:val="-2"/>
                <w:sz w:val="24"/>
                <w:lang w:val="en-US" w:eastAsia="zh-CN"/>
              </w:rPr>
              <w:t>为防止路面产生的地表径流对周边水环境造成污染，拟</w:t>
            </w:r>
            <w:r>
              <w:rPr>
                <w:color w:val="auto"/>
                <w:spacing w:val="-2"/>
                <w:sz w:val="24"/>
              </w:rPr>
              <w:t>采取</w:t>
            </w:r>
            <w:r>
              <w:rPr>
                <w:rFonts w:hint="eastAsia"/>
                <w:color w:val="auto"/>
                <w:spacing w:val="-2"/>
                <w:sz w:val="24"/>
                <w:lang w:val="en-US" w:eastAsia="zh-CN"/>
              </w:rPr>
              <w:t>以下</w:t>
            </w:r>
            <w:r>
              <w:rPr>
                <w:color w:val="auto"/>
                <w:spacing w:val="-2"/>
                <w:sz w:val="24"/>
              </w:rPr>
              <w:t>措施</w:t>
            </w:r>
            <w:r>
              <w:rPr>
                <w:rFonts w:hint="eastAsia"/>
                <w:color w:val="auto"/>
                <w:spacing w:val="-2"/>
                <w:sz w:val="24"/>
                <w:lang w:eastAsia="zh-CN"/>
              </w:rPr>
              <w:t>：</w:t>
            </w:r>
          </w:p>
          <w:p w14:paraId="0A192617">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color w:val="auto"/>
                <w:spacing w:val="-2"/>
                <w:sz w:val="24"/>
              </w:rPr>
            </w:pPr>
            <w:r>
              <w:rPr>
                <w:color w:val="auto"/>
                <w:spacing w:val="-2"/>
                <w:sz w:val="24"/>
              </w:rPr>
              <w:t>①应禁止漏油、不安装保护帆布的货车和超载车通过路面，以防止公路上车辆漏油和货物洒落在道路上，造成沿线地面及水体污染和安全事故隐患。</w:t>
            </w:r>
          </w:p>
          <w:p w14:paraId="43731808">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color w:val="auto"/>
                <w:spacing w:val="-2"/>
                <w:sz w:val="24"/>
              </w:rPr>
            </w:pPr>
            <w:r>
              <w:rPr>
                <w:color w:val="auto"/>
                <w:spacing w:val="-2"/>
                <w:sz w:val="24"/>
              </w:rPr>
              <w:t>②编制运输车辆事故应急预案，如发生事故应立即通知有关部门，采取应急行动。</w:t>
            </w:r>
          </w:p>
          <w:p w14:paraId="19202B3F">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color w:val="auto"/>
                <w:spacing w:val="-2"/>
                <w:sz w:val="24"/>
              </w:rPr>
            </w:pPr>
            <w:r>
              <w:rPr>
                <w:color w:val="auto"/>
                <w:spacing w:val="-2"/>
                <w:sz w:val="24"/>
              </w:rPr>
              <w:t>综上所述，项目实施后对区域水环境造成影响的可能性较小，防治措施可行。</w:t>
            </w:r>
          </w:p>
          <w:p w14:paraId="02F5C558">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color w:val="auto"/>
                <w:sz w:val="24"/>
              </w:rPr>
            </w:pPr>
            <w:r>
              <w:rPr>
                <w:b/>
                <w:color w:val="auto"/>
                <w:sz w:val="24"/>
              </w:rPr>
              <w:t>3运营期噪声污染防治措施</w:t>
            </w:r>
          </w:p>
          <w:p w14:paraId="15114FB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textAlignment w:val="auto"/>
              <w:rPr>
                <w:color w:val="auto"/>
                <w:sz w:val="24"/>
                <w:szCs w:val="20"/>
              </w:rPr>
            </w:pPr>
            <w:r>
              <w:rPr>
                <w:rFonts w:hint="eastAsia"/>
                <w:color w:val="auto"/>
                <w:sz w:val="24"/>
                <w:szCs w:val="20"/>
                <w:lang w:val="en-US" w:eastAsia="zh-CN"/>
              </w:rPr>
              <w:t>详见噪声专章</w:t>
            </w:r>
            <w:r>
              <w:rPr>
                <w:color w:val="auto"/>
                <w:sz w:val="24"/>
                <w:szCs w:val="20"/>
              </w:rPr>
              <w:t>。</w:t>
            </w:r>
          </w:p>
          <w:p w14:paraId="47530135">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bCs/>
                <w:color w:val="auto"/>
                <w:sz w:val="24"/>
              </w:rPr>
            </w:pPr>
            <w:r>
              <w:rPr>
                <w:b/>
                <w:bCs/>
                <w:color w:val="auto"/>
                <w:sz w:val="24"/>
              </w:rPr>
              <w:t>4</w:t>
            </w:r>
            <w:r>
              <w:rPr>
                <w:b/>
                <w:color w:val="auto"/>
                <w:sz w:val="24"/>
              </w:rPr>
              <w:t>固体废物污染防治措施</w:t>
            </w:r>
          </w:p>
          <w:p w14:paraId="27B33BB8">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szCs w:val="20"/>
              </w:rPr>
            </w:pPr>
            <w:r>
              <w:rPr>
                <w:color w:val="auto"/>
                <w:sz w:val="24"/>
                <w:szCs w:val="20"/>
              </w:rPr>
              <w:t>项目运营期固体废物主要为日常养护过程中产生的零星筑路废料，</w:t>
            </w:r>
            <w:r>
              <w:rPr>
                <w:rFonts w:hint="eastAsia"/>
                <w:color w:val="auto"/>
                <w:sz w:val="24"/>
                <w:szCs w:val="20"/>
              </w:rPr>
              <w:t>集中收集清运至市政部门指定地点处理</w:t>
            </w:r>
            <w:r>
              <w:rPr>
                <w:color w:val="auto"/>
                <w:sz w:val="24"/>
                <w:szCs w:val="20"/>
              </w:rPr>
              <w:t>。</w:t>
            </w:r>
          </w:p>
          <w:p w14:paraId="67653730">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color w:val="auto"/>
                <w:sz w:val="24"/>
              </w:rPr>
            </w:pPr>
            <w:r>
              <w:rPr>
                <w:b/>
                <w:color w:val="auto"/>
                <w:sz w:val="24"/>
              </w:rPr>
              <w:t>5生态环境保护防治措施</w:t>
            </w:r>
          </w:p>
          <w:p w14:paraId="073ACB80">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rFonts w:hint="eastAsia"/>
                <w:bCs/>
                <w:color w:val="auto"/>
                <w:sz w:val="24"/>
                <w:szCs w:val="20"/>
              </w:rPr>
            </w:pPr>
            <w:r>
              <w:rPr>
                <w:rFonts w:hint="eastAsia"/>
                <w:bCs/>
                <w:color w:val="auto"/>
                <w:sz w:val="24"/>
                <w:szCs w:val="20"/>
                <w:lang w:val="en-US" w:eastAsia="zh-CN"/>
              </w:rPr>
              <w:t>及时对植被进行养护，减少沿线植被破坏；加强对来往车辆的监测，禁止超标车辆上路行驶，限制行驶速度，降低车辆噪声和尾气对动植物带来的不良影响。</w:t>
            </w:r>
            <w:r>
              <w:rPr>
                <w:rFonts w:hint="eastAsia"/>
                <w:bCs/>
                <w:color w:val="auto"/>
                <w:sz w:val="24"/>
                <w:szCs w:val="20"/>
              </w:rPr>
              <w:t xml:space="preserve"> </w:t>
            </w:r>
          </w:p>
          <w:p w14:paraId="2A0CA50A">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textAlignment w:val="auto"/>
              <w:rPr>
                <w:b/>
                <w:color w:val="auto"/>
                <w:kern w:val="0"/>
                <w:sz w:val="24"/>
              </w:rPr>
            </w:pPr>
            <w:r>
              <w:rPr>
                <w:rFonts w:hint="eastAsia"/>
                <w:b/>
                <w:color w:val="auto"/>
                <w:sz w:val="24"/>
                <w:lang w:val="en-US" w:eastAsia="zh-CN"/>
              </w:rPr>
              <w:t>6</w:t>
            </w:r>
            <w:r>
              <w:rPr>
                <w:b/>
                <w:color w:val="auto"/>
                <w:kern w:val="0"/>
                <w:sz w:val="24"/>
              </w:rPr>
              <w:t>环境风险防范措施</w:t>
            </w:r>
          </w:p>
          <w:p w14:paraId="668DA9A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rFonts w:hint="eastAsia"/>
                <w:bCs/>
                <w:color w:val="auto"/>
                <w:sz w:val="24"/>
                <w:szCs w:val="20"/>
              </w:rPr>
              <w:t>（</w:t>
            </w:r>
            <w:r>
              <w:rPr>
                <w:bCs/>
                <w:color w:val="auto"/>
                <w:sz w:val="24"/>
                <w:szCs w:val="20"/>
              </w:rPr>
              <w:t>1）预防管理措施</w:t>
            </w:r>
          </w:p>
          <w:p w14:paraId="7CEC79A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防范危险化学品运输风险事故的最主要措施是要严格执行国家和有关部门颁布的危险货物运输相关法规。</w:t>
            </w:r>
          </w:p>
          <w:p w14:paraId="06A5FF03">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①加强对从事危险货物运输业主、驾驶员及押运员的安全教育和运输车辆的安全检查，使从业人员具有高度责任感，使车辆处于完好的技术状态。</w:t>
            </w:r>
          </w:p>
          <w:p w14:paraId="266E6EC8">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②危险品运输车辆在进入公路前，应向当地公路运输管理部门领取申报表，在入口处接受公安或交通管理部门的抽查，并提交申报表。申报表主要报告项目有危险货物运输执照号码、货物品种、等级和编号、收发货人姓名、装卸地点、货物特性等。危险品运输车辆一般应安排在交通量较少时段通行，在气候不好的条件下应禁止其上路，从而加强对运输危险品的车辆进行有效管理。</w:t>
            </w:r>
          </w:p>
          <w:p w14:paraId="43602D5C">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③实行危险品运输车辆的检查制度，在入口处的超宽车道</w:t>
            </w:r>
            <w:r>
              <w:rPr>
                <w:rFonts w:hint="eastAsia"/>
                <w:bCs/>
                <w:color w:val="auto"/>
                <w:sz w:val="24"/>
                <w:szCs w:val="20"/>
                <w:lang w:eastAsia="zh-CN"/>
              </w:rPr>
              <w:t>（</w:t>
            </w:r>
            <w:r>
              <w:rPr>
                <w:bCs/>
                <w:color w:val="auto"/>
                <w:sz w:val="24"/>
                <w:szCs w:val="20"/>
              </w:rPr>
              <w:t>一般为最外侧车道</w:t>
            </w:r>
            <w:r>
              <w:rPr>
                <w:rFonts w:hint="eastAsia"/>
                <w:bCs/>
                <w:color w:val="auto"/>
                <w:sz w:val="24"/>
                <w:szCs w:val="20"/>
                <w:lang w:eastAsia="zh-CN"/>
              </w:rPr>
              <w:t>）</w:t>
            </w:r>
            <w:r>
              <w:rPr>
                <w:bCs/>
                <w:color w:val="auto"/>
                <w:sz w:val="24"/>
                <w:szCs w:val="20"/>
              </w:rPr>
              <w:t>设置危险</w:t>
            </w:r>
            <w:r>
              <w:rPr>
                <w:rFonts w:hint="eastAsia" w:ascii="宋体" w:hAnsi="宋体" w:eastAsia="宋体" w:cs="宋体"/>
                <w:bCs/>
                <w:color w:val="auto"/>
                <w:sz w:val="24"/>
                <w:szCs w:val="20"/>
              </w:rPr>
              <w:t>品运输申报点。对申报运输危险品的车辆进行“准运证</w:t>
            </w:r>
            <w:r>
              <w:rPr>
                <w:rFonts w:hint="eastAsia" w:ascii="宋体" w:hAnsi="宋体" w:eastAsia="宋体" w:cs="宋体"/>
                <w:bCs/>
                <w:color w:val="auto"/>
                <w:sz w:val="24"/>
                <w:szCs w:val="20"/>
                <w:lang w:eastAsia="zh-CN"/>
              </w:rPr>
              <w:t>”“</w:t>
            </w:r>
            <w:r>
              <w:rPr>
                <w:rFonts w:hint="eastAsia" w:ascii="宋体" w:hAnsi="宋体" w:eastAsia="宋体" w:cs="宋体"/>
                <w:bCs/>
                <w:color w:val="auto"/>
                <w:sz w:val="24"/>
                <w:szCs w:val="20"/>
              </w:rPr>
              <w:t>驾驶员证</w:t>
            </w:r>
            <w:r>
              <w:rPr>
                <w:rFonts w:hint="eastAsia" w:ascii="宋体" w:hAnsi="宋体" w:eastAsia="宋体" w:cs="宋体"/>
                <w:bCs/>
                <w:color w:val="auto"/>
                <w:sz w:val="24"/>
                <w:szCs w:val="20"/>
                <w:lang w:eastAsia="zh-CN"/>
              </w:rPr>
              <w:t>”“</w:t>
            </w:r>
            <w:r>
              <w:rPr>
                <w:rFonts w:hint="eastAsia" w:ascii="宋体" w:hAnsi="宋体" w:eastAsia="宋体" w:cs="宋体"/>
                <w:bCs/>
                <w:color w:val="auto"/>
                <w:sz w:val="24"/>
                <w:szCs w:val="20"/>
              </w:rPr>
              <w:t>押运员证”和危险</w:t>
            </w:r>
            <w:r>
              <w:rPr>
                <w:bCs/>
                <w:color w:val="auto"/>
                <w:sz w:val="24"/>
                <w:szCs w:val="20"/>
              </w:rPr>
              <w:t>品运输行车路单</w:t>
            </w:r>
            <w:r>
              <w:rPr>
                <w:rFonts w:hint="eastAsia"/>
                <w:bCs/>
                <w:color w:val="auto"/>
                <w:sz w:val="24"/>
                <w:szCs w:val="20"/>
                <w:lang w:eastAsia="zh-CN"/>
              </w:rPr>
              <w:t>（</w:t>
            </w:r>
            <w:r>
              <w:rPr>
                <w:bCs/>
                <w:color w:val="auto"/>
                <w:sz w:val="24"/>
                <w:szCs w:val="20"/>
              </w:rPr>
              <w:t>以下简称</w:t>
            </w:r>
            <w:r>
              <w:rPr>
                <w:rFonts w:hint="eastAsia" w:ascii="宋体" w:hAnsi="宋体" w:eastAsia="宋体" w:cs="宋体"/>
                <w:bCs/>
                <w:color w:val="auto"/>
                <w:sz w:val="24"/>
                <w:szCs w:val="20"/>
              </w:rPr>
              <w:t>“三证一单”</w:t>
            </w:r>
            <w:r>
              <w:rPr>
                <w:rFonts w:hint="eastAsia"/>
                <w:bCs/>
                <w:color w:val="auto"/>
                <w:sz w:val="24"/>
                <w:szCs w:val="20"/>
                <w:lang w:eastAsia="zh-CN"/>
              </w:rPr>
              <w:t>）</w:t>
            </w:r>
            <w:r>
              <w:rPr>
                <w:bCs/>
                <w:color w:val="auto"/>
                <w:sz w:val="24"/>
                <w:szCs w:val="20"/>
              </w:rPr>
              <w:t>检查</w:t>
            </w:r>
            <w:r>
              <w:rPr>
                <w:rFonts w:hint="eastAsia" w:ascii="宋体" w:hAnsi="宋体" w:eastAsia="宋体" w:cs="宋体"/>
                <w:bCs/>
                <w:color w:val="auto"/>
                <w:sz w:val="24"/>
                <w:szCs w:val="20"/>
              </w:rPr>
              <w:t>，“三证一单”不</w:t>
            </w:r>
            <w:r>
              <w:rPr>
                <w:bCs/>
                <w:color w:val="auto"/>
                <w:sz w:val="24"/>
                <w:szCs w:val="20"/>
              </w:rPr>
              <w:t>全的车辆将不允许驶上公路。除证件检查外，必要时应对运输危险品的车辆进行安全检查。如《压力容器使用证》的有效性及检验合格证等，对有安全隐患的车辆进行安全检查，在未排除隐患前不允许进入公路。</w:t>
            </w:r>
          </w:p>
          <w:p w14:paraId="240C4FD5">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④设置警示牌，提请司机小心驾驶。</w:t>
            </w:r>
          </w:p>
          <w:p w14:paraId="783DA599">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⑤交通、公安、环保部门要相互配合，提高快速反应、处置能力，要改善和提高相应的装备水平。</w:t>
            </w:r>
          </w:p>
          <w:p w14:paraId="4CA40DEC">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（2）交通事故预防措施</w:t>
            </w:r>
          </w:p>
          <w:p w14:paraId="7C601DB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①为保证车辆和行人的安全，降低交通事故发生率，应加强公路管理，在路旁还应设置雨雪天气的最高限速牌。在天气非常恶劣时应封闭公路，以确保公路安全运行。</w:t>
            </w:r>
          </w:p>
          <w:p w14:paraId="57115E2E">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②完善公路管理制度，对超速行驶、酒后驾车、带病行驶及超载行驶的车辆和驾驶员要严加管理，一旦发现要立即制止，防止交通事故的发生。立一支能够处理突发性事故的消防队伍，以保证把事故产生的危害降低到</w:t>
            </w:r>
            <w:r>
              <w:rPr>
                <w:rFonts w:hint="eastAsia"/>
                <w:bCs/>
                <w:color w:val="auto"/>
                <w:sz w:val="24"/>
                <w:szCs w:val="20"/>
                <w:lang w:eastAsia="zh-CN"/>
              </w:rPr>
              <w:t>最低</w:t>
            </w:r>
            <w:r>
              <w:rPr>
                <w:bCs/>
                <w:color w:val="auto"/>
                <w:sz w:val="24"/>
                <w:szCs w:val="20"/>
              </w:rPr>
              <w:t>。</w:t>
            </w:r>
          </w:p>
          <w:p w14:paraId="1898D55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（3）危险品运输预防和控制措施</w:t>
            </w:r>
          </w:p>
          <w:p w14:paraId="18727EF9">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①设立限速标志和要求，禁止超速行驶。</w:t>
            </w:r>
          </w:p>
          <w:p w14:paraId="24CB801C">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②就本项目危险品运输管理而言，公路管理部门对运输危险品车辆实行申报管理制度。对“三证”不齐的车辆坚决不给上路，同时要避免在行车高峰期和不良气候条件下运输危险品。</w:t>
            </w:r>
          </w:p>
          <w:p w14:paraId="2AF0672E">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（4）加强道路交通管理，防范事故风险</w:t>
            </w:r>
          </w:p>
          <w:p w14:paraId="128EEEC7">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加强道路管理，完善交通标志，约束驾驶员，规范上路车辆的安全行驶，就能够大大降低事故发生概率。路</w:t>
            </w:r>
            <w:r>
              <w:rPr>
                <w:rFonts w:hint="eastAsia"/>
                <w:bCs/>
                <w:color w:val="auto"/>
                <w:sz w:val="24"/>
                <w:szCs w:val="20"/>
                <w:lang w:val="en-US" w:eastAsia="zh-CN"/>
              </w:rPr>
              <w:t>边</w:t>
            </w:r>
            <w:r>
              <w:rPr>
                <w:bCs/>
                <w:color w:val="auto"/>
                <w:sz w:val="24"/>
                <w:szCs w:val="20"/>
              </w:rPr>
              <w:t>设置限速警示牌，提醒司机进入敏感路段，谨慎驾驶，防止交通事故。</w:t>
            </w:r>
          </w:p>
          <w:p w14:paraId="46D4D0E6">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rFonts w:hint="eastAsia"/>
                <w:bCs/>
                <w:color w:val="auto"/>
                <w:sz w:val="24"/>
                <w:szCs w:val="20"/>
              </w:rPr>
              <w:t>（5）</w:t>
            </w:r>
            <w:r>
              <w:rPr>
                <w:bCs/>
                <w:color w:val="auto"/>
                <w:sz w:val="24"/>
                <w:szCs w:val="20"/>
              </w:rPr>
              <w:t>风险事故控制措施</w:t>
            </w:r>
          </w:p>
          <w:p w14:paraId="64DDCDDB">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①加强对车辆的管理，保证车况良好；禁止酒后开车、疲劳开车、强行超车。</w:t>
            </w:r>
          </w:p>
          <w:p w14:paraId="2EFF440B">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②遇雪、雾、路面结冰等情况，应禁止运载危险品车辆通行。</w:t>
            </w:r>
          </w:p>
          <w:p w14:paraId="76E20CA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③公路管理处建立一支训练有素设备齐全的事故应急队伍，及时、科学</w:t>
            </w:r>
            <w:r>
              <w:rPr>
                <w:rFonts w:hint="eastAsia"/>
                <w:bCs/>
                <w:color w:val="auto"/>
                <w:sz w:val="24"/>
                <w:szCs w:val="20"/>
                <w:lang w:eastAsia="zh-CN"/>
              </w:rPr>
              <w:t>地</w:t>
            </w:r>
            <w:r>
              <w:rPr>
                <w:bCs/>
                <w:color w:val="auto"/>
                <w:sz w:val="24"/>
                <w:szCs w:val="20"/>
              </w:rPr>
              <w:t>处理交通运输事故。</w:t>
            </w:r>
          </w:p>
          <w:p w14:paraId="032EAEDD">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④危险品运输一旦发生交通事故，在尽快处理的同时加强与沿线公路、公安和环保部门的联系，以便对</w:t>
            </w:r>
            <w:r>
              <w:rPr>
                <w:rFonts w:hint="eastAsia"/>
                <w:bCs/>
                <w:color w:val="auto"/>
                <w:sz w:val="24"/>
                <w:szCs w:val="20"/>
                <w:lang w:eastAsia="zh-CN"/>
              </w:rPr>
              <w:t>影响</w:t>
            </w:r>
            <w:r>
              <w:rPr>
                <w:bCs/>
                <w:color w:val="auto"/>
                <w:sz w:val="24"/>
                <w:szCs w:val="20"/>
              </w:rPr>
              <w:t>人员进行监控和善后处理。</w:t>
            </w:r>
          </w:p>
          <w:p w14:paraId="5F8CB661">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⑤当事故发生时，如危险品为固态，可清扫处理，并对事故记录备案；如为气态且有剧毒，消防人员应戴防毒面具进行处理；在危险品</w:t>
            </w:r>
            <w:r>
              <w:rPr>
                <w:rFonts w:hint="eastAsia"/>
                <w:bCs/>
                <w:color w:val="auto"/>
                <w:sz w:val="24"/>
                <w:szCs w:val="20"/>
                <w:lang w:eastAsia="zh-CN"/>
              </w:rPr>
              <w:t>溢出</w:t>
            </w:r>
            <w:r>
              <w:rPr>
                <w:bCs/>
                <w:color w:val="auto"/>
                <w:sz w:val="24"/>
                <w:szCs w:val="20"/>
              </w:rPr>
              <w:t>无法避免的情况下，需立即通知生态环境部门、公安部门，必要时对沿线污染范围内的人员进行疏离，避免发生人员伤亡。如为液态出现</w:t>
            </w:r>
            <w:r>
              <w:rPr>
                <w:rFonts w:hint="eastAsia"/>
                <w:bCs/>
                <w:color w:val="auto"/>
                <w:sz w:val="24"/>
                <w:szCs w:val="20"/>
              </w:rPr>
              <w:t>化学品泄漏</w:t>
            </w:r>
            <w:r>
              <w:rPr>
                <w:bCs/>
                <w:color w:val="auto"/>
                <w:sz w:val="24"/>
                <w:szCs w:val="20"/>
              </w:rPr>
              <w:t>，应用砂子或锯末吸收清除并用水清洗，清洗废水及时收集于临时储罐装置中，根据污染性质妥善处理。如无法避免危险品已进入水体，应立即通知环保部门，及时打捞掉入水体中的危险品容器。派环保专家和监测人员到现场监测分析，可根据污染物性质选择适当的方法进行处理。</w:t>
            </w:r>
          </w:p>
          <w:p w14:paraId="52C5F125">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 xml:space="preserve">⑥制定危险品运输风险应急预案，建立一支处理突发性事故的消防队伍，当事故发生时，能尽快报警，使应急队伍尽快到达处理应急事故，保证把事故产生的危害降到最小。参加应急救援单位根据应急预案的职责分工制定相应的应急救援预案。 </w:t>
            </w:r>
          </w:p>
          <w:p w14:paraId="1067BF42">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textAlignment w:val="auto"/>
              <w:rPr>
                <w:b/>
                <w:color w:val="auto"/>
                <w:kern w:val="0"/>
                <w:sz w:val="24"/>
              </w:rPr>
            </w:pPr>
            <w:r>
              <w:rPr>
                <w:rFonts w:hint="eastAsia"/>
                <w:b/>
                <w:color w:val="auto"/>
                <w:sz w:val="24"/>
                <w:lang w:val="en-US" w:eastAsia="zh-CN"/>
              </w:rPr>
              <w:t>7</w:t>
            </w:r>
            <w:r>
              <w:rPr>
                <w:b/>
                <w:color w:val="auto"/>
                <w:kern w:val="0"/>
                <w:sz w:val="24"/>
              </w:rPr>
              <w:t>环境管理</w:t>
            </w:r>
          </w:p>
          <w:p w14:paraId="73CA8E2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为保护本工程沿线环境质量，</w:t>
            </w:r>
            <w:r>
              <w:rPr>
                <w:rFonts w:hint="eastAsia"/>
                <w:bCs/>
                <w:color w:val="auto"/>
                <w:sz w:val="24"/>
                <w:szCs w:val="20"/>
                <w:lang w:eastAsia="zh-CN"/>
              </w:rPr>
              <w:t>确保</w:t>
            </w:r>
            <w:r>
              <w:rPr>
                <w:bCs/>
                <w:color w:val="auto"/>
                <w:sz w:val="24"/>
                <w:szCs w:val="20"/>
              </w:rPr>
              <w:t>工程的各种不良环境影响得到有效控制和缓解，必须对本工程实施的全过程进行严格、科学的环境管理与监控。</w:t>
            </w:r>
          </w:p>
          <w:p w14:paraId="4F06F8C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通过制定系统的、科学的环境管理计划，使工程在建设过程中产生的环境问题，按照工程设计及本环评文件规定的防治或减缓措施，在项目的设计、施工、营运中逐步得到落实，促使工程建设与环境保护协调发展。</w:t>
            </w:r>
          </w:p>
          <w:p w14:paraId="70A1D15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具体环境管理机构人员设置及职责见表5-1。</w:t>
            </w:r>
          </w:p>
          <w:p w14:paraId="678AD962">
            <w:pPr>
              <w:shd w:val="clear" w:color="auto" w:fill="auto"/>
              <w:adjustRightInd w:val="0"/>
              <w:snapToGrid w:val="0"/>
              <w:spacing w:line="240" w:lineRule="auto"/>
              <w:ind w:firstLine="422" w:firstLineChars="200"/>
              <w:jc w:val="center"/>
              <w:rPr>
                <w:b/>
                <w:bCs/>
                <w:color w:val="auto"/>
                <w:sz w:val="21"/>
                <w:szCs w:val="21"/>
              </w:rPr>
            </w:pPr>
            <w:r>
              <w:rPr>
                <w:b/>
                <w:bCs/>
                <w:color w:val="auto"/>
                <w:sz w:val="21"/>
                <w:szCs w:val="21"/>
              </w:rPr>
              <w:t>表5-1    建设项目环境管理机构人员设置及职责</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5"/>
              <w:gridCol w:w="759"/>
              <w:gridCol w:w="6259"/>
            </w:tblGrid>
            <w:tr w14:paraId="15E4C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01" w:type="pct"/>
                  <w:gridSpan w:val="2"/>
                  <w:tcBorders>
                    <w:tl2br w:val="nil"/>
                    <w:tr2bl w:val="nil"/>
                  </w:tcBorders>
                  <w:noWrap w:val="0"/>
                  <w:vAlign w:val="center"/>
                </w:tcPr>
                <w:p w14:paraId="0ED101CB">
                  <w:pPr>
                    <w:shd w:val="clear" w:color="auto" w:fill="auto"/>
                    <w:spacing w:line="240" w:lineRule="auto"/>
                    <w:jc w:val="center"/>
                    <w:rPr>
                      <w:color w:val="auto"/>
                      <w:szCs w:val="21"/>
                    </w:rPr>
                  </w:pPr>
                  <w:r>
                    <w:rPr>
                      <w:color w:val="auto"/>
                    </w:rPr>
                    <w:t>组成单位</w:t>
                  </w:r>
                </w:p>
              </w:tc>
              <w:tc>
                <w:tcPr>
                  <w:tcW w:w="4198" w:type="pct"/>
                  <w:tcBorders>
                    <w:tl2br w:val="nil"/>
                    <w:tr2bl w:val="nil"/>
                  </w:tcBorders>
                  <w:noWrap w:val="0"/>
                  <w:vAlign w:val="center"/>
                </w:tcPr>
                <w:p w14:paraId="2287D5A0">
                  <w:pPr>
                    <w:shd w:val="clear" w:color="auto" w:fill="auto"/>
                    <w:spacing w:line="240" w:lineRule="auto"/>
                    <w:jc w:val="center"/>
                    <w:rPr>
                      <w:color w:val="auto"/>
                      <w:szCs w:val="21"/>
                    </w:rPr>
                  </w:pPr>
                  <w:r>
                    <w:rPr>
                      <w:color w:val="auto"/>
                    </w:rPr>
                    <w:t>主要职责</w:t>
                  </w:r>
                </w:p>
              </w:tc>
            </w:tr>
            <w:tr w14:paraId="01D17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01" w:type="pct"/>
                  <w:gridSpan w:val="2"/>
                  <w:tcBorders>
                    <w:tl2br w:val="nil"/>
                    <w:tr2bl w:val="nil"/>
                  </w:tcBorders>
                  <w:noWrap w:val="0"/>
                  <w:vAlign w:val="center"/>
                </w:tcPr>
                <w:p w14:paraId="594EC310">
                  <w:pPr>
                    <w:shd w:val="clear" w:color="auto" w:fill="auto"/>
                    <w:spacing w:line="240" w:lineRule="auto"/>
                    <w:jc w:val="center"/>
                    <w:rPr>
                      <w:rFonts w:hint="default"/>
                      <w:color w:val="auto"/>
                      <w:szCs w:val="21"/>
                      <w:lang w:val="en-US"/>
                    </w:rPr>
                  </w:pPr>
                  <w:r>
                    <w:rPr>
                      <w:rFonts w:hint="eastAsia"/>
                      <w:color w:val="auto"/>
                      <w:szCs w:val="21"/>
                      <w:lang w:val="en-US" w:eastAsia="zh-CN"/>
                    </w:rPr>
                    <w:t>库尔勒公路事业发展中心</w:t>
                  </w:r>
                </w:p>
              </w:tc>
              <w:tc>
                <w:tcPr>
                  <w:tcW w:w="4198" w:type="pct"/>
                  <w:tcBorders>
                    <w:tl2br w:val="nil"/>
                    <w:tr2bl w:val="nil"/>
                  </w:tcBorders>
                  <w:noWrap w:val="0"/>
                  <w:vAlign w:val="center"/>
                </w:tcPr>
                <w:p w14:paraId="12406C5A">
                  <w:pPr>
                    <w:shd w:val="clear" w:color="auto" w:fill="auto"/>
                    <w:spacing w:line="240" w:lineRule="auto"/>
                    <w:rPr>
                      <w:color w:val="auto"/>
                      <w:szCs w:val="21"/>
                    </w:rPr>
                  </w:pPr>
                  <w:r>
                    <w:rPr>
                      <w:color w:val="auto"/>
                    </w:rPr>
                    <w:t>①负责统一协调、管理交通的环境保护工作。</w:t>
                  </w:r>
                </w:p>
                <w:p w14:paraId="02C5DBD7">
                  <w:pPr>
                    <w:shd w:val="clear" w:color="auto" w:fill="auto"/>
                    <w:spacing w:line="240" w:lineRule="auto"/>
                    <w:rPr>
                      <w:color w:val="auto"/>
                    </w:rPr>
                  </w:pPr>
                  <w:r>
                    <w:rPr>
                      <w:color w:val="auto"/>
                    </w:rPr>
                    <w:t>②贯彻执行环保方针、政策和法规，负责管理全区的交通环保工作。</w:t>
                  </w:r>
                </w:p>
                <w:p w14:paraId="6D48546A">
                  <w:pPr>
                    <w:shd w:val="clear" w:color="auto" w:fill="auto"/>
                    <w:spacing w:line="240" w:lineRule="auto"/>
                    <w:rPr>
                      <w:color w:val="auto"/>
                    </w:rPr>
                  </w:pPr>
                  <w:r>
                    <w:rPr>
                      <w:color w:val="auto"/>
                    </w:rPr>
                    <w:t>③负责环保措施施工设计方案的审查工作。</w:t>
                  </w:r>
                </w:p>
                <w:p w14:paraId="1826A0B0">
                  <w:pPr>
                    <w:shd w:val="clear" w:color="auto" w:fill="auto"/>
                    <w:spacing w:line="240" w:lineRule="auto"/>
                    <w:rPr>
                      <w:color w:val="auto"/>
                      <w:szCs w:val="21"/>
                    </w:rPr>
                  </w:pPr>
                  <w:r>
                    <w:rPr>
                      <w:color w:val="auto"/>
                    </w:rPr>
                    <w:t>④检查环保设施的施工和维护。</w:t>
                  </w:r>
                </w:p>
              </w:tc>
            </w:tr>
            <w:tr w14:paraId="421B2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2" w:type="pct"/>
                  <w:tcBorders>
                    <w:tl2br w:val="nil"/>
                    <w:tr2bl w:val="nil"/>
                  </w:tcBorders>
                  <w:noWrap w:val="0"/>
                  <w:vAlign w:val="center"/>
                </w:tcPr>
                <w:p w14:paraId="0A6A82DB">
                  <w:pPr>
                    <w:shd w:val="clear" w:color="auto" w:fill="auto"/>
                    <w:spacing w:line="240" w:lineRule="auto"/>
                    <w:jc w:val="center"/>
                    <w:rPr>
                      <w:color w:val="auto"/>
                      <w:szCs w:val="21"/>
                    </w:rPr>
                  </w:pPr>
                  <w:r>
                    <w:rPr>
                      <w:color w:val="auto"/>
                    </w:rPr>
                    <w:t>施工期</w:t>
                  </w:r>
                </w:p>
              </w:tc>
              <w:tc>
                <w:tcPr>
                  <w:tcW w:w="509" w:type="pct"/>
                  <w:tcBorders>
                    <w:tl2br w:val="nil"/>
                    <w:tr2bl w:val="nil"/>
                  </w:tcBorders>
                  <w:noWrap w:val="0"/>
                  <w:vAlign w:val="center"/>
                </w:tcPr>
                <w:p w14:paraId="65563D84">
                  <w:pPr>
                    <w:shd w:val="clear" w:color="auto" w:fill="auto"/>
                    <w:spacing w:line="240" w:lineRule="auto"/>
                    <w:jc w:val="center"/>
                    <w:rPr>
                      <w:color w:val="auto"/>
                      <w:szCs w:val="21"/>
                    </w:rPr>
                  </w:pPr>
                  <w:r>
                    <w:rPr>
                      <w:color w:val="auto"/>
                    </w:rPr>
                    <w:t>建设指挥部</w:t>
                  </w:r>
                </w:p>
              </w:tc>
              <w:tc>
                <w:tcPr>
                  <w:tcW w:w="4198" w:type="pct"/>
                  <w:tcBorders>
                    <w:tl2br w:val="nil"/>
                    <w:tr2bl w:val="nil"/>
                  </w:tcBorders>
                  <w:noWrap w:val="0"/>
                  <w:vAlign w:val="center"/>
                </w:tcPr>
                <w:p w14:paraId="55DC06C1">
                  <w:pPr>
                    <w:shd w:val="clear" w:color="auto" w:fill="auto"/>
                    <w:spacing w:line="240" w:lineRule="auto"/>
                    <w:rPr>
                      <w:color w:val="auto"/>
                      <w:szCs w:val="21"/>
                    </w:rPr>
                  </w:pPr>
                  <w:r>
                    <w:rPr>
                      <w:color w:val="auto"/>
                    </w:rPr>
                    <w:t>①</w:t>
                  </w:r>
                  <w:r>
                    <w:rPr>
                      <w:rFonts w:hint="eastAsia"/>
                      <w:color w:val="auto"/>
                      <w:lang w:eastAsia="zh-CN"/>
                    </w:rPr>
                    <w:t>按照</w:t>
                  </w:r>
                  <w:r>
                    <w:rPr>
                      <w:color w:val="auto"/>
                    </w:rPr>
                    <w:t>环评报告提出的环保措施和建议制定施工期环保实施计划和管理办法，并将其编入招标文件和承包合同。</w:t>
                  </w:r>
                </w:p>
                <w:p w14:paraId="157B0856">
                  <w:pPr>
                    <w:shd w:val="clear" w:color="auto" w:fill="auto"/>
                    <w:spacing w:line="240" w:lineRule="auto"/>
                    <w:rPr>
                      <w:color w:val="auto"/>
                    </w:rPr>
                  </w:pPr>
                  <w:r>
                    <w:rPr>
                      <w:color w:val="auto"/>
                    </w:rPr>
                    <w:t>②设置环境监理工程师，负责施工期的环境管理和监督，监理在招标文件中规定的环保措施的执行情况，检查对环境</w:t>
                  </w:r>
                  <w:r>
                    <w:rPr>
                      <w:rFonts w:hint="eastAsia"/>
                      <w:color w:val="auto"/>
                      <w:lang w:eastAsia="zh-CN"/>
                    </w:rPr>
                    <w:t>不良</w:t>
                  </w:r>
                  <w:r>
                    <w:rPr>
                      <w:color w:val="auto"/>
                    </w:rPr>
                    <w:t>行为。</w:t>
                  </w:r>
                </w:p>
                <w:p w14:paraId="04FFC985">
                  <w:pPr>
                    <w:shd w:val="clear" w:color="auto" w:fill="auto"/>
                    <w:spacing w:line="240" w:lineRule="auto"/>
                    <w:rPr>
                      <w:color w:val="auto"/>
                    </w:rPr>
                  </w:pPr>
                  <w:r>
                    <w:rPr>
                      <w:color w:val="auto"/>
                    </w:rPr>
                    <w:t>③开展环境保护宣传、教育和培训工作，</w:t>
                  </w:r>
                  <w:r>
                    <w:rPr>
                      <w:rFonts w:hint="eastAsia"/>
                      <w:color w:val="auto"/>
                    </w:rPr>
                    <w:t>增强</w:t>
                  </w:r>
                  <w:r>
                    <w:rPr>
                      <w:color w:val="auto"/>
                    </w:rPr>
                    <w:t>施工人员环保意识和文明施工素质。</w:t>
                  </w:r>
                </w:p>
                <w:p w14:paraId="1C6494A2">
                  <w:pPr>
                    <w:shd w:val="clear" w:color="auto" w:fill="auto"/>
                    <w:spacing w:line="240" w:lineRule="auto"/>
                    <w:rPr>
                      <w:color w:val="auto"/>
                      <w:spacing w:val="-8"/>
                    </w:rPr>
                  </w:pPr>
                  <w:r>
                    <w:rPr>
                      <w:color w:val="auto"/>
                      <w:spacing w:val="-8"/>
                    </w:rPr>
                    <w:t>④负责施工中突发性污染事故的处理，及时上报主管部门和其他有关单位。</w:t>
                  </w:r>
                </w:p>
                <w:p w14:paraId="11128681">
                  <w:pPr>
                    <w:shd w:val="clear" w:color="auto" w:fill="auto"/>
                    <w:spacing w:line="240" w:lineRule="auto"/>
                    <w:rPr>
                      <w:color w:val="auto"/>
                    </w:rPr>
                  </w:pPr>
                  <w:r>
                    <w:rPr>
                      <w:color w:val="auto"/>
                    </w:rPr>
                    <w:t>⑤组织实施施工期环境监测计划。</w:t>
                  </w:r>
                </w:p>
                <w:p w14:paraId="5DABEEC1">
                  <w:pPr>
                    <w:shd w:val="clear" w:color="auto" w:fill="auto"/>
                    <w:spacing w:line="240" w:lineRule="auto"/>
                    <w:rPr>
                      <w:color w:val="auto"/>
                      <w:szCs w:val="21"/>
                    </w:rPr>
                  </w:pPr>
                  <w:r>
                    <w:rPr>
                      <w:color w:val="auto"/>
                    </w:rPr>
                    <w:t>⑥施工结束后，组织全面检查工程环保措施落实和施工现场的环境恢复情况。</w:t>
                  </w:r>
                </w:p>
              </w:tc>
            </w:tr>
            <w:tr w14:paraId="6FC85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2" w:type="pct"/>
                  <w:tcBorders>
                    <w:tl2br w:val="nil"/>
                    <w:tr2bl w:val="nil"/>
                  </w:tcBorders>
                  <w:noWrap w:val="0"/>
                  <w:vAlign w:val="center"/>
                </w:tcPr>
                <w:p w14:paraId="02A64FD3">
                  <w:pPr>
                    <w:shd w:val="clear" w:color="auto" w:fill="auto"/>
                    <w:spacing w:line="240" w:lineRule="auto"/>
                    <w:jc w:val="center"/>
                    <w:rPr>
                      <w:color w:val="auto"/>
                      <w:szCs w:val="21"/>
                    </w:rPr>
                  </w:pPr>
                  <w:r>
                    <w:rPr>
                      <w:color w:val="auto"/>
                    </w:rPr>
                    <w:t>运营期</w:t>
                  </w:r>
                </w:p>
              </w:tc>
              <w:tc>
                <w:tcPr>
                  <w:tcW w:w="509" w:type="pct"/>
                  <w:tcBorders>
                    <w:tl2br w:val="nil"/>
                    <w:tr2bl w:val="nil"/>
                  </w:tcBorders>
                  <w:noWrap w:val="0"/>
                  <w:vAlign w:val="center"/>
                </w:tcPr>
                <w:p w14:paraId="6AF0A811">
                  <w:pPr>
                    <w:shd w:val="clear" w:color="auto" w:fill="auto"/>
                    <w:spacing w:line="240" w:lineRule="auto"/>
                    <w:jc w:val="center"/>
                    <w:rPr>
                      <w:color w:val="auto"/>
                      <w:szCs w:val="21"/>
                    </w:rPr>
                  </w:pPr>
                  <w:r>
                    <w:rPr>
                      <w:color w:val="auto"/>
                    </w:rPr>
                    <w:t>运营管理单位</w:t>
                  </w:r>
                </w:p>
              </w:tc>
              <w:tc>
                <w:tcPr>
                  <w:tcW w:w="4198" w:type="pct"/>
                  <w:tcBorders>
                    <w:tl2br w:val="nil"/>
                    <w:tr2bl w:val="nil"/>
                  </w:tcBorders>
                  <w:noWrap w:val="0"/>
                  <w:vAlign w:val="center"/>
                </w:tcPr>
                <w:p w14:paraId="7F3E1E9F">
                  <w:pPr>
                    <w:shd w:val="clear" w:color="auto" w:fill="auto"/>
                    <w:spacing w:line="240" w:lineRule="auto"/>
                    <w:rPr>
                      <w:color w:val="auto"/>
                      <w:spacing w:val="-10"/>
                      <w:szCs w:val="21"/>
                    </w:rPr>
                  </w:pPr>
                  <w:r>
                    <w:rPr>
                      <w:color w:val="auto"/>
                      <w:spacing w:val="-10"/>
                    </w:rPr>
                    <w:t>①负责运营期的环境保护工作，配置1名环保专职人员负责环保管理工作。</w:t>
                  </w:r>
                </w:p>
                <w:p w14:paraId="742882F3">
                  <w:pPr>
                    <w:shd w:val="clear" w:color="auto" w:fill="auto"/>
                    <w:spacing w:line="240" w:lineRule="auto"/>
                    <w:rPr>
                      <w:color w:val="auto"/>
                    </w:rPr>
                  </w:pPr>
                  <w:r>
                    <w:rPr>
                      <w:color w:val="auto"/>
                    </w:rPr>
                    <w:t>②组织实施运营期环境监测计划。</w:t>
                  </w:r>
                </w:p>
                <w:p w14:paraId="001932DD">
                  <w:pPr>
                    <w:shd w:val="clear" w:color="auto" w:fill="auto"/>
                    <w:spacing w:line="240" w:lineRule="auto"/>
                    <w:rPr>
                      <w:b/>
                      <w:bCs/>
                      <w:color w:val="auto"/>
                      <w:szCs w:val="21"/>
                    </w:rPr>
                  </w:pPr>
                  <w:r>
                    <w:rPr>
                      <w:color w:val="auto"/>
                    </w:rPr>
                    <w:t>③制定和实施污染事故应急计划，及时处理污染事故和污染纠纷。</w:t>
                  </w:r>
                </w:p>
              </w:tc>
            </w:tr>
          </w:tbl>
          <w:p w14:paraId="6C002582">
            <w:pPr>
              <w:keepNext w:val="0"/>
              <w:keepLines w:val="0"/>
              <w:pageBreakBefore w:val="0"/>
              <w:widowControl w:val="0"/>
              <w:shd w:val="clear" w:color="auto" w:fill="auto"/>
              <w:kinsoku/>
              <w:wordWrap/>
              <w:overflowPunct/>
              <w:topLinePunct w:val="0"/>
              <w:autoSpaceDE/>
              <w:autoSpaceDN/>
              <w:bidi w:val="0"/>
              <w:adjustRightInd w:val="0"/>
              <w:snapToGrid w:val="0"/>
              <w:spacing w:before="157" w:beforeLines="50" w:line="360" w:lineRule="auto"/>
              <w:ind w:firstLine="480" w:firstLineChars="200"/>
              <w:textAlignment w:val="auto"/>
              <w:rPr>
                <w:bCs/>
                <w:color w:val="auto"/>
                <w:sz w:val="24"/>
                <w:szCs w:val="20"/>
              </w:rPr>
            </w:pPr>
            <w:r>
              <w:rPr>
                <w:bCs/>
                <w:color w:val="auto"/>
                <w:sz w:val="24"/>
                <w:szCs w:val="20"/>
              </w:rPr>
              <w:t>本项目环境管理计划见下表。</w:t>
            </w:r>
          </w:p>
          <w:p w14:paraId="66DE5B2E">
            <w:pPr>
              <w:keepNext w:val="0"/>
              <w:keepLines w:val="0"/>
              <w:pageBreakBefore w:val="0"/>
              <w:widowControl w:val="0"/>
              <w:shd w:val="clear" w:color="auto" w:fill="auto"/>
              <w:kinsoku/>
              <w:wordWrap/>
              <w:overflowPunct/>
              <w:topLinePunct w:val="0"/>
              <w:autoSpaceDE/>
              <w:autoSpaceDN/>
              <w:bidi w:val="0"/>
              <w:adjustRightInd w:val="0"/>
              <w:snapToGrid w:val="0"/>
              <w:spacing w:before="157" w:beforeLines="50" w:line="240" w:lineRule="auto"/>
              <w:ind w:firstLine="422" w:firstLineChars="20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表5-2    项目环境管理计划表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3"/>
              <w:gridCol w:w="5475"/>
              <w:gridCol w:w="693"/>
              <w:gridCol w:w="692"/>
            </w:tblGrid>
            <w:tr w14:paraId="638E7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jc w:val="center"/>
              </w:trPr>
              <w:tc>
                <w:tcPr>
                  <w:tcW w:w="398" w:type="pct"/>
                  <w:tcBorders>
                    <w:tl2br w:val="nil"/>
                    <w:tr2bl w:val="nil"/>
                  </w:tcBorders>
                  <w:noWrap w:val="0"/>
                  <w:vAlign w:val="center"/>
                </w:tcPr>
                <w:p w14:paraId="32BFBC9C">
                  <w:pPr>
                    <w:shd w:val="clear" w:color="auto" w:fill="auto"/>
                    <w:adjustRightInd w:val="0"/>
                    <w:snapToGrid w:val="0"/>
                    <w:spacing w:line="240" w:lineRule="auto"/>
                    <w:jc w:val="center"/>
                    <w:rPr>
                      <w:color w:val="auto"/>
                      <w:szCs w:val="21"/>
                    </w:rPr>
                  </w:pPr>
                  <w:r>
                    <w:rPr>
                      <w:color w:val="auto"/>
                      <w:szCs w:val="21"/>
                    </w:rPr>
                    <w:t>环境</w:t>
                  </w:r>
                </w:p>
                <w:p w14:paraId="0089A435">
                  <w:pPr>
                    <w:shd w:val="clear" w:color="auto" w:fill="auto"/>
                    <w:adjustRightInd w:val="0"/>
                    <w:snapToGrid w:val="0"/>
                    <w:spacing w:line="240" w:lineRule="auto"/>
                    <w:jc w:val="center"/>
                    <w:rPr>
                      <w:color w:val="auto"/>
                      <w:szCs w:val="21"/>
                    </w:rPr>
                  </w:pPr>
                  <w:r>
                    <w:rPr>
                      <w:color w:val="auto"/>
                      <w:szCs w:val="21"/>
                    </w:rPr>
                    <w:t>问题</w:t>
                  </w:r>
                </w:p>
              </w:tc>
              <w:tc>
                <w:tcPr>
                  <w:tcW w:w="3673" w:type="pct"/>
                  <w:tcBorders>
                    <w:tl2br w:val="nil"/>
                    <w:tr2bl w:val="nil"/>
                  </w:tcBorders>
                  <w:noWrap w:val="0"/>
                  <w:vAlign w:val="center"/>
                </w:tcPr>
                <w:p w14:paraId="0293BEDB">
                  <w:pPr>
                    <w:shd w:val="clear" w:color="auto" w:fill="auto"/>
                    <w:adjustRightInd w:val="0"/>
                    <w:snapToGrid w:val="0"/>
                    <w:spacing w:line="240" w:lineRule="auto"/>
                    <w:jc w:val="center"/>
                    <w:rPr>
                      <w:color w:val="auto"/>
                      <w:szCs w:val="21"/>
                    </w:rPr>
                  </w:pPr>
                  <w:r>
                    <w:rPr>
                      <w:color w:val="auto"/>
                      <w:szCs w:val="21"/>
                    </w:rPr>
                    <w:t>拟采取的环境影响减缓措施</w:t>
                  </w:r>
                </w:p>
              </w:tc>
              <w:tc>
                <w:tcPr>
                  <w:tcW w:w="465" w:type="pct"/>
                  <w:tcBorders>
                    <w:tl2br w:val="nil"/>
                    <w:tr2bl w:val="nil"/>
                  </w:tcBorders>
                  <w:noWrap w:val="0"/>
                  <w:vAlign w:val="center"/>
                </w:tcPr>
                <w:p w14:paraId="3789638E">
                  <w:pPr>
                    <w:shd w:val="clear" w:color="auto" w:fill="auto"/>
                    <w:adjustRightInd w:val="0"/>
                    <w:snapToGrid w:val="0"/>
                    <w:spacing w:line="240" w:lineRule="auto"/>
                    <w:jc w:val="center"/>
                    <w:rPr>
                      <w:color w:val="auto"/>
                      <w:szCs w:val="21"/>
                    </w:rPr>
                  </w:pPr>
                  <w:r>
                    <w:rPr>
                      <w:color w:val="auto"/>
                      <w:szCs w:val="21"/>
                    </w:rPr>
                    <w:t>责任</w:t>
                  </w:r>
                </w:p>
                <w:p w14:paraId="0A79CDF4">
                  <w:pPr>
                    <w:shd w:val="clear" w:color="auto" w:fill="auto"/>
                    <w:adjustRightInd w:val="0"/>
                    <w:snapToGrid w:val="0"/>
                    <w:spacing w:line="240" w:lineRule="auto"/>
                    <w:jc w:val="center"/>
                    <w:rPr>
                      <w:color w:val="auto"/>
                      <w:szCs w:val="21"/>
                    </w:rPr>
                  </w:pPr>
                  <w:r>
                    <w:rPr>
                      <w:color w:val="auto"/>
                      <w:szCs w:val="21"/>
                    </w:rPr>
                    <w:t>机构</w:t>
                  </w:r>
                </w:p>
              </w:tc>
              <w:tc>
                <w:tcPr>
                  <w:tcW w:w="462" w:type="pct"/>
                  <w:tcBorders>
                    <w:tl2br w:val="nil"/>
                    <w:tr2bl w:val="nil"/>
                  </w:tcBorders>
                  <w:noWrap w:val="0"/>
                  <w:vAlign w:val="center"/>
                </w:tcPr>
                <w:p w14:paraId="315ACAEF">
                  <w:pPr>
                    <w:shd w:val="clear" w:color="auto" w:fill="auto"/>
                    <w:adjustRightInd w:val="0"/>
                    <w:snapToGrid w:val="0"/>
                    <w:spacing w:line="240" w:lineRule="auto"/>
                    <w:jc w:val="center"/>
                    <w:rPr>
                      <w:color w:val="auto"/>
                      <w:szCs w:val="21"/>
                    </w:rPr>
                  </w:pPr>
                  <w:r>
                    <w:rPr>
                      <w:color w:val="auto"/>
                      <w:szCs w:val="21"/>
                    </w:rPr>
                    <w:t>实施</w:t>
                  </w:r>
                </w:p>
                <w:p w14:paraId="17AE6CB7">
                  <w:pPr>
                    <w:shd w:val="clear" w:color="auto" w:fill="auto"/>
                    <w:adjustRightInd w:val="0"/>
                    <w:snapToGrid w:val="0"/>
                    <w:spacing w:line="240" w:lineRule="auto"/>
                    <w:jc w:val="center"/>
                    <w:rPr>
                      <w:color w:val="auto"/>
                      <w:szCs w:val="21"/>
                    </w:rPr>
                  </w:pPr>
                  <w:r>
                    <w:rPr>
                      <w:color w:val="auto"/>
                      <w:szCs w:val="21"/>
                    </w:rPr>
                    <w:t>机构</w:t>
                  </w:r>
                </w:p>
              </w:tc>
            </w:tr>
            <w:tr w14:paraId="7A05F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jc w:val="center"/>
              </w:trPr>
              <w:tc>
                <w:tcPr>
                  <w:tcW w:w="5000" w:type="pct"/>
                  <w:gridSpan w:val="4"/>
                  <w:tcBorders>
                    <w:tl2br w:val="nil"/>
                    <w:tr2bl w:val="nil"/>
                  </w:tcBorders>
                  <w:noWrap w:val="0"/>
                  <w:vAlign w:val="center"/>
                </w:tcPr>
                <w:p w14:paraId="55870F92">
                  <w:pPr>
                    <w:shd w:val="clear" w:color="auto" w:fill="auto"/>
                    <w:adjustRightInd w:val="0"/>
                    <w:snapToGrid w:val="0"/>
                    <w:spacing w:line="240" w:lineRule="auto"/>
                    <w:rPr>
                      <w:color w:val="auto"/>
                      <w:szCs w:val="21"/>
                    </w:rPr>
                  </w:pPr>
                  <w:r>
                    <w:rPr>
                      <w:b/>
                      <w:bCs/>
                      <w:color w:val="auto"/>
                      <w:szCs w:val="21"/>
                    </w:rPr>
                    <w:t>A．施工期</w:t>
                  </w:r>
                </w:p>
              </w:tc>
            </w:tr>
            <w:tr w14:paraId="2C99F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0AE40106">
                  <w:pPr>
                    <w:shd w:val="clear" w:color="auto" w:fill="auto"/>
                    <w:adjustRightInd w:val="0"/>
                    <w:snapToGrid w:val="0"/>
                    <w:spacing w:line="240" w:lineRule="auto"/>
                    <w:jc w:val="center"/>
                    <w:rPr>
                      <w:color w:val="auto"/>
                      <w:szCs w:val="21"/>
                    </w:rPr>
                  </w:pPr>
                  <w:r>
                    <w:rPr>
                      <w:color w:val="auto"/>
                      <w:szCs w:val="21"/>
                    </w:rPr>
                    <w:t>施工</w:t>
                  </w:r>
                </w:p>
                <w:p w14:paraId="6464C3C8">
                  <w:pPr>
                    <w:shd w:val="clear" w:color="auto" w:fill="auto"/>
                    <w:adjustRightInd w:val="0"/>
                    <w:snapToGrid w:val="0"/>
                    <w:spacing w:line="240" w:lineRule="auto"/>
                    <w:jc w:val="center"/>
                    <w:rPr>
                      <w:color w:val="auto"/>
                      <w:szCs w:val="21"/>
                    </w:rPr>
                  </w:pPr>
                  <w:r>
                    <w:rPr>
                      <w:color w:val="auto"/>
                      <w:szCs w:val="21"/>
                    </w:rPr>
                    <w:t>噪声</w:t>
                  </w:r>
                </w:p>
              </w:tc>
              <w:tc>
                <w:tcPr>
                  <w:tcW w:w="3673" w:type="pct"/>
                  <w:tcBorders>
                    <w:tl2br w:val="nil"/>
                    <w:tr2bl w:val="nil"/>
                  </w:tcBorders>
                  <w:noWrap w:val="0"/>
                  <w:vAlign w:val="center"/>
                </w:tcPr>
                <w:p w14:paraId="56A5EADC">
                  <w:pPr>
                    <w:shd w:val="clear" w:color="auto" w:fill="auto"/>
                    <w:adjustRightInd w:val="0"/>
                    <w:snapToGrid w:val="0"/>
                    <w:spacing w:line="240" w:lineRule="auto"/>
                    <w:rPr>
                      <w:color w:val="auto"/>
                      <w:szCs w:val="21"/>
                    </w:rPr>
                  </w:pPr>
                  <w:r>
                    <w:rPr>
                      <w:color w:val="auto"/>
                      <w:szCs w:val="21"/>
                    </w:rPr>
                    <w:t>①施工道路两侧采用不低于2.5m高施工围挡；</w:t>
                  </w:r>
                </w:p>
                <w:p w14:paraId="382E0388">
                  <w:pPr>
                    <w:shd w:val="clear" w:color="auto" w:fill="auto"/>
                    <w:adjustRightInd w:val="0"/>
                    <w:snapToGrid w:val="0"/>
                    <w:spacing w:line="240" w:lineRule="auto"/>
                    <w:rPr>
                      <w:color w:val="auto"/>
                      <w:szCs w:val="21"/>
                    </w:rPr>
                  </w:pPr>
                  <w:r>
                    <w:rPr>
                      <w:color w:val="auto"/>
                      <w:szCs w:val="21"/>
                    </w:rPr>
                    <w:t>②选用低噪声施工机械和工艺；</w:t>
                  </w:r>
                </w:p>
                <w:p w14:paraId="6DC63A02">
                  <w:pPr>
                    <w:shd w:val="clear" w:color="auto" w:fill="auto"/>
                    <w:adjustRightInd w:val="0"/>
                    <w:snapToGrid w:val="0"/>
                    <w:spacing w:line="240" w:lineRule="auto"/>
                    <w:rPr>
                      <w:color w:val="auto"/>
                      <w:szCs w:val="21"/>
                    </w:rPr>
                  </w:pPr>
                  <w:r>
                    <w:rPr>
                      <w:color w:val="auto"/>
                      <w:szCs w:val="21"/>
                    </w:rPr>
                    <w:t>③夜间不得不在敏感点附近进行施工作业的，要求张贴公告并采取措施降低噪声对敏感点的影响；</w:t>
                  </w:r>
                </w:p>
                <w:p w14:paraId="25E7454A">
                  <w:pPr>
                    <w:shd w:val="clear" w:color="auto" w:fill="auto"/>
                    <w:adjustRightInd w:val="0"/>
                    <w:snapToGrid w:val="0"/>
                    <w:spacing w:line="240" w:lineRule="auto"/>
                    <w:rPr>
                      <w:color w:val="auto"/>
                      <w:szCs w:val="21"/>
                    </w:rPr>
                  </w:pPr>
                  <w:r>
                    <w:rPr>
                      <w:color w:val="auto"/>
                      <w:szCs w:val="21"/>
                    </w:rPr>
                    <w:t>④施工运输避开休息时间，敏感路段减速禁鸣；</w:t>
                  </w:r>
                </w:p>
                <w:p w14:paraId="39ADA390">
                  <w:pPr>
                    <w:shd w:val="clear" w:color="auto" w:fill="auto"/>
                    <w:adjustRightInd w:val="0"/>
                    <w:snapToGrid w:val="0"/>
                    <w:spacing w:line="240" w:lineRule="auto"/>
                    <w:rPr>
                      <w:color w:val="auto"/>
                      <w:szCs w:val="21"/>
                    </w:rPr>
                  </w:pPr>
                  <w:r>
                    <w:rPr>
                      <w:rFonts w:hint="eastAsia"/>
                      <w:color w:val="auto"/>
                      <w:szCs w:val="21"/>
                      <w:lang w:eastAsia="zh-CN"/>
                    </w:rPr>
                    <w:t>⑤</w:t>
                  </w:r>
                  <w:r>
                    <w:rPr>
                      <w:color w:val="auto"/>
                      <w:szCs w:val="21"/>
                    </w:rPr>
                    <w:t>合理安排施工时间和施工现场；</w:t>
                  </w:r>
                </w:p>
                <w:p w14:paraId="181B5304">
                  <w:pPr>
                    <w:shd w:val="clear" w:color="auto" w:fill="auto"/>
                    <w:adjustRightInd w:val="0"/>
                    <w:snapToGrid w:val="0"/>
                    <w:spacing w:line="240" w:lineRule="auto"/>
                    <w:rPr>
                      <w:color w:val="auto"/>
                      <w:szCs w:val="21"/>
                    </w:rPr>
                  </w:pPr>
                  <w:r>
                    <w:rPr>
                      <w:color w:val="auto"/>
                      <w:szCs w:val="21"/>
                    </w:rPr>
                    <w:t>⑥做好宣传教育工作，文明施工。</w:t>
                  </w:r>
                </w:p>
              </w:tc>
              <w:tc>
                <w:tcPr>
                  <w:tcW w:w="465" w:type="pct"/>
                  <w:tcBorders>
                    <w:tl2br w:val="nil"/>
                    <w:tr2bl w:val="nil"/>
                  </w:tcBorders>
                  <w:noWrap w:val="0"/>
                  <w:vAlign w:val="center"/>
                </w:tcPr>
                <w:p w14:paraId="37B93F82">
                  <w:pPr>
                    <w:shd w:val="clear" w:color="auto" w:fill="auto"/>
                    <w:adjustRightInd w:val="0"/>
                    <w:snapToGrid w:val="0"/>
                    <w:spacing w:line="240" w:lineRule="auto"/>
                    <w:jc w:val="center"/>
                    <w:rPr>
                      <w:color w:val="auto"/>
                      <w:szCs w:val="21"/>
                    </w:rPr>
                  </w:pPr>
                  <w:r>
                    <w:rPr>
                      <w:color w:val="auto"/>
                      <w:szCs w:val="21"/>
                    </w:rPr>
                    <w:t>建设方</w:t>
                  </w:r>
                </w:p>
              </w:tc>
              <w:tc>
                <w:tcPr>
                  <w:tcW w:w="462" w:type="pct"/>
                  <w:tcBorders>
                    <w:tl2br w:val="nil"/>
                    <w:tr2bl w:val="nil"/>
                  </w:tcBorders>
                  <w:noWrap w:val="0"/>
                  <w:vAlign w:val="center"/>
                </w:tcPr>
                <w:p w14:paraId="1B8EB413">
                  <w:pPr>
                    <w:shd w:val="clear" w:color="auto" w:fill="auto"/>
                    <w:adjustRightInd w:val="0"/>
                    <w:snapToGrid w:val="0"/>
                    <w:spacing w:line="240" w:lineRule="auto"/>
                    <w:jc w:val="center"/>
                    <w:rPr>
                      <w:color w:val="auto"/>
                      <w:szCs w:val="21"/>
                    </w:rPr>
                  </w:pPr>
                  <w:r>
                    <w:rPr>
                      <w:color w:val="auto"/>
                      <w:szCs w:val="21"/>
                    </w:rPr>
                    <w:t>承包商</w:t>
                  </w:r>
                </w:p>
              </w:tc>
            </w:tr>
            <w:tr w14:paraId="17D60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4F751C15">
                  <w:pPr>
                    <w:shd w:val="clear" w:color="auto" w:fill="auto"/>
                    <w:adjustRightInd w:val="0"/>
                    <w:snapToGrid w:val="0"/>
                    <w:spacing w:line="240" w:lineRule="auto"/>
                    <w:jc w:val="center"/>
                    <w:rPr>
                      <w:color w:val="auto"/>
                      <w:szCs w:val="21"/>
                    </w:rPr>
                  </w:pPr>
                  <w:r>
                    <w:rPr>
                      <w:color w:val="auto"/>
                      <w:szCs w:val="21"/>
                    </w:rPr>
                    <w:t>水环境污染</w:t>
                  </w:r>
                </w:p>
              </w:tc>
              <w:tc>
                <w:tcPr>
                  <w:tcW w:w="3673" w:type="pct"/>
                  <w:tcBorders>
                    <w:tl2br w:val="nil"/>
                    <w:tr2bl w:val="nil"/>
                  </w:tcBorders>
                  <w:noWrap w:val="0"/>
                  <w:vAlign w:val="center"/>
                </w:tcPr>
                <w:p w14:paraId="12593DE5">
                  <w:pPr>
                    <w:shd w:val="clear" w:color="auto" w:fill="auto"/>
                    <w:adjustRightInd w:val="0"/>
                    <w:snapToGrid w:val="0"/>
                    <w:spacing w:line="240" w:lineRule="auto"/>
                    <w:rPr>
                      <w:color w:val="auto"/>
                      <w:szCs w:val="21"/>
                    </w:rPr>
                  </w:pPr>
                  <w:r>
                    <w:rPr>
                      <w:color w:val="auto"/>
                      <w:szCs w:val="21"/>
                    </w:rPr>
                    <w:t>①固体废物不得随意倾倒或堆放，施工建材应设篷盖，各种固体废物应及时清运至当地允许堆置的地点或依有关规定处理；</w:t>
                  </w:r>
                </w:p>
                <w:p w14:paraId="250F346C">
                  <w:pPr>
                    <w:shd w:val="clear" w:color="auto" w:fill="auto"/>
                    <w:adjustRightInd w:val="0"/>
                    <w:snapToGrid w:val="0"/>
                    <w:spacing w:line="240" w:lineRule="auto"/>
                    <w:rPr>
                      <w:color w:val="auto"/>
                      <w:szCs w:val="21"/>
                    </w:rPr>
                  </w:pPr>
                  <w:r>
                    <w:rPr>
                      <w:color w:val="auto"/>
                      <w:szCs w:val="21"/>
                    </w:rPr>
                    <w:t>②</w:t>
                  </w:r>
                  <w:r>
                    <w:rPr>
                      <w:color w:val="auto"/>
                      <w:spacing w:val="-2"/>
                      <w:szCs w:val="21"/>
                    </w:rPr>
                    <w:t>施工废水沉淀处理后回用不外排；</w:t>
                  </w:r>
                </w:p>
                <w:p w14:paraId="389536F3">
                  <w:pPr>
                    <w:shd w:val="clear" w:color="auto" w:fill="auto"/>
                    <w:adjustRightInd w:val="0"/>
                    <w:snapToGrid w:val="0"/>
                    <w:spacing w:line="240" w:lineRule="auto"/>
                    <w:rPr>
                      <w:rFonts w:hint="default"/>
                      <w:color w:val="auto"/>
                      <w:szCs w:val="21"/>
                      <w:lang w:val="en-US" w:eastAsia="zh-CN"/>
                    </w:rPr>
                  </w:pPr>
                  <w:r>
                    <w:rPr>
                      <w:color w:val="auto"/>
                      <w:szCs w:val="21"/>
                    </w:rPr>
                    <w:t>③加强施工人员环境保护工作宣传教育工作不得向</w:t>
                  </w:r>
                  <w:r>
                    <w:rPr>
                      <w:rFonts w:hint="eastAsia"/>
                      <w:color w:val="auto"/>
                      <w:szCs w:val="21"/>
                      <w:lang w:val="en-US" w:eastAsia="zh-CN"/>
                    </w:rPr>
                    <w:t>道路</w:t>
                  </w:r>
                  <w:r>
                    <w:rPr>
                      <w:color w:val="auto"/>
                      <w:szCs w:val="21"/>
                    </w:rPr>
                    <w:t>沿线倾倒、排放各种废水和固体废物；</w:t>
                  </w:r>
                </w:p>
              </w:tc>
              <w:tc>
                <w:tcPr>
                  <w:tcW w:w="465" w:type="pct"/>
                  <w:tcBorders>
                    <w:tl2br w:val="nil"/>
                    <w:tr2bl w:val="nil"/>
                  </w:tcBorders>
                  <w:noWrap w:val="0"/>
                  <w:vAlign w:val="center"/>
                </w:tcPr>
                <w:p w14:paraId="32ACA788">
                  <w:pPr>
                    <w:shd w:val="clear" w:color="auto" w:fill="auto"/>
                    <w:adjustRightInd w:val="0"/>
                    <w:snapToGrid w:val="0"/>
                    <w:spacing w:line="240" w:lineRule="auto"/>
                    <w:jc w:val="center"/>
                    <w:rPr>
                      <w:color w:val="auto"/>
                      <w:szCs w:val="21"/>
                    </w:rPr>
                  </w:pPr>
                  <w:r>
                    <w:rPr>
                      <w:color w:val="auto"/>
                      <w:szCs w:val="21"/>
                    </w:rPr>
                    <w:t>建设方</w:t>
                  </w:r>
                </w:p>
              </w:tc>
              <w:tc>
                <w:tcPr>
                  <w:tcW w:w="462" w:type="pct"/>
                  <w:tcBorders>
                    <w:tl2br w:val="nil"/>
                    <w:tr2bl w:val="nil"/>
                  </w:tcBorders>
                  <w:noWrap w:val="0"/>
                  <w:vAlign w:val="center"/>
                </w:tcPr>
                <w:p w14:paraId="4D7E660B">
                  <w:pPr>
                    <w:shd w:val="clear" w:color="auto" w:fill="auto"/>
                    <w:adjustRightInd w:val="0"/>
                    <w:snapToGrid w:val="0"/>
                    <w:spacing w:line="240" w:lineRule="auto"/>
                    <w:jc w:val="center"/>
                    <w:rPr>
                      <w:color w:val="auto"/>
                      <w:szCs w:val="21"/>
                    </w:rPr>
                  </w:pPr>
                  <w:r>
                    <w:rPr>
                      <w:color w:val="auto"/>
                      <w:szCs w:val="21"/>
                    </w:rPr>
                    <w:t>承包商</w:t>
                  </w:r>
                </w:p>
              </w:tc>
            </w:tr>
            <w:tr w14:paraId="7420E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1E5AA988">
                  <w:pPr>
                    <w:shd w:val="clear" w:color="auto" w:fill="auto"/>
                    <w:adjustRightInd w:val="0"/>
                    <w:snapToGrid w:val="0"/>
                    <w:spacing w:line="240" w:lineRule="auto"/>
                    <w:jc w:val="center"/>
                    <w:rPr>
                      <w:color w:val="auto"/>
                      <w:szCs w:val="21"/>
                    </w:rPr>
                  </w:pPr>
                  <w:r>
                    <w:rPr>
                      <w:color w:val="auto"/>
                      <w:szCs w:val="21"/>
                    </w:rPr>
                    <w:t>大气</w:t>
                  </w:r>
                </w:p>
                <w:p w14:paraId="039F012D">
                  <w:pPr>
                    <w:shd w:val="clear" w:color="auto" w:fill="auto"/>
                    <w:adjustRightInd w:val="0"/>
                    <w:snapToGrid w:val="0"/>
                    <w:spacing w:line="240" w:lineRule="auto"/>
                    <w:jc w:val="center"/>
                    <w:rPr>
                      <w:color w:val="auto"/>
                      <w:szCs w:val="21"/>
                    </w:rPr>
                  </w:pPr>
                  <w:r>
                    <w:rPr>
                      <w:color w:val="auto"/>
                      <w:szCs w:val="21"/>
                    </w:rPr>
                    <w:t>污染</w:t>
                  </w:r>
                </w:p>
              </w:tc>
              <w:tc>
                <w:tcPr>
                  <w:tcW w:w="3673" w:type="pct"/>
                  <w:tcBorders>
                    <w:tl2br w:val="nil"/>
                    <w:tr2bl w:val="nil"/>
                  </w:tcBorders>
                  <w:noWrap w:val="0"/>
                  <w:vAlign w:val="center"/>
                </w:tcPr>
                <w:p w14:paraId="3A2F8D47">
                  <w:pPr>
                    <w:shd w:val="clear" w:color="auto" w:fill="auto"/>
                    <w:adjustRightInd w:val="0"/>
                    <w:snapToGrid w:val="0"/>
                    <w:spacing w:line="240" w:lineRule="auto"/>
                    <w:rPr>
                      <w:color w:val="auto"/>
                      <w:szCs w:val="21"/>
                    </w:rPr>
                  </w:pPr>
                  <w:r>
                    <w:rPr>
                      <w:color w:val="auto"/>
                      <w:szCs w:val="21"/>
                    </w:rPr>
                    <w:t>①施工现场围挡封闭，敏感路段围挡高度不低于2.5m；</w:t>
                  </w:r>
                </w:p>
                <w:p w14:paraId="7D8E22D5">
                  <w:pPr>
                    <w:shd w:val="clear" w:color="auto" w:fill="auto"/>
                    <w:adjustRightInd w:val="0"/>
                    <w:snapToGrid w:val="0"/>
                    <w:spacing w:line="240" w:lineRule="auto"/>
                    <w:rPr>
                      <w:color w:val="auto"/>
                      <w:szCs w:val="21"/>
                    </w:rPr>
                  </w:pPr>
                  <w:r>
                    <w:rPr>
                      <w:color w:val="auto"/>
                      <w:szCs w:val="21"/>
                    </w:rPr>
                    <w:t>②施工现场设置洒水降尘措施；</w:t>
                  </w:r>
                </w:p>
                <w:p w14:paraId="20B09F18">
                  <w:pPr>
                    <w:shd w:val="clear" w:color="auto" w:fill="auto"/>
                    <w:adjustRightInd w:val="0"/>
                    <w:snapToGrid w:val="0"/>
                    <w:spacing w:line="240" w:lineRule="auto"/>
                    <w:rPr>
                      <w:color w:val="auto"/>
                      <w:szCs w:val="21"/>
                    </w:rPr>
                  </w:pPr>
                  <w:r>
                    <w:rPr>
                      <w:color w:val="auto"/>
                      <w:szCs w:val="21"/>
                    </w:rPr>
                    <w:t>③土方及砂石等散体物料集中堆放，严密覆盖；</w:t>
                  </w:r>
                </w:p>
                <w:p w14:paraId="33A99F04">
                  <w:pPr>
                    <w:shd w:val="clear" w:color="auto" w:fill="auto"/>
                    <w:adjustRightInd w:val="0"/>
                    <w:snapToGrid w:val="0"/>
                    <w:spacing w:line="240" w:lineRule="auto"/>
                    <w:rPr>
                      <w:color w:val="auto"/>
                      <w:szCs w:val="21"/>
                    </w:rPr>
                  </w:pPr>
                  <w:r>
                    <w:rPr>
                      <w:color w:val="auto"/>
                      <w:szCs w:val="21"/>
                    </w:rPr>
                    <w:t>④施工现场禁止焚烧有毒有害物质；禁止搅拌混凝土及砂浆；</w:t>
                  </w:r>
                </w:p>
                <w:p w14:paraId="4A5FF0E1">
                  <w:pPr>
                    <w:shd w:val="clear" w:color="auto" w:fill="auto"/>
                    <w:adjustRightInd w:val="0"/>
                    <w:snapToGrid w:val="0"/>
                    <w:spacing w:line="240" w:lineRule="auto"/>
                    <w:rPr>
                      <w:color w:val="auto"/>
                      <w:szCs w:val="21"/>
                    </w:rPr>
                  </w:pPr>
                  <w:r>
                    <w:rPr>
                      <w:color w:val="auto"/>
                      <w:szCs w:val="21"/>
                    </w:rPr>
                    <w:t>⑤4级以上大风或重度污染天气，严禁土方开挖、土方回填、房屋拆除；</w:t>
                  </w:r>
                </w:p>
                <w:p w14:paraId="4F00A6C8">
                  <w:pPr>
                    <w:shd w:val="clear" w:color="auto" w:fill="auto"/>
                    <w:adjustRightInd w:val="0"/>
                    <w:snapToGrid w:val="0"/>
                    <w:spacing w:line="240" w:lineRule="auto"/>
                    <w:rPr>
                      <w:color w:val="auto"/>
                      <w:szCs w:val="21"/>
                    </w:rPr>
                  </w:pPr>
                  <w:r>
                    <w:rPr>
                      <w:color w:val="auto"/>
                      <w:szCs w:val="21"/>
                    </w:rPr>
                    <w:t>⑥拆除建、构筑物不低于2.5m封闭围挡，采取边拆边洒水或喷淋等防尘措施；</w:t>
                  </w:r>
                </w:p>
                <w:p w14:paraId="790132AF">
                  <w:pPr>
                    <w:shd w:val="clear" w:color="auto" w:fill="auto"/>
                    <w:adjustRightInd w:val="0"/>
                    <w:snapToGrid w:val="0"/>
                    <w:spacing w:line="240" w:lineRule="auto"/>
                    <w:rPr>
                      <w:color w:val="auto"/>
                      <w:szCs w:val="21"/>
                    </w:rPr>
                  </w:pPr>
                  <w:r>
                    <w:rPr>
                      <w:color w:val="auto"/>
                      <w:szCs w:val="21"/>
                    </w:rPr>
                    <w:t>⑦路面沥青摊铺时应加强管理，避开重污染天气施工。</w:t>
                  </w:r>
                </w:p>
                <w:p w14:paraId="73B90B1B">
                  <w:pPr>
                    <w:pStyle w:val="22"/>
                    <w:ind w:left="0" w:leftChars="0" w:firstLine="0" w:firstLineChars="0"/>
                    <w:rPr>
                      <w:rFonts w:hint="default" w:eastAsia="宋体"/>
                      <w:lang w:val="en-US" w:eastAsia="zh-CN"/>
                    </w:rPr>
                  </w:pPr>
                  <w:r>
                    <w:rPr>
                      <w:rFonts w:hint="eastAsia"/>
                    </w:rPr>
                    <w:t>⑧</w:t>
                  </w:r>
                  <w:r>
                    <w:rPr>
                      <w:rFonts w:hint="eastAsia"/>
                      <w:lang w:val="en-US" w:eastAsia="zh-CN"/>
                    </w:rPr>
                    <w:t>临时混凝土拌和站粉尘采取封闭拌和设施和安装除尘器等措施收集治理</w:t>
                  </w:r>
                </w:p>
              </w:tc>
              <w:tc>
                <w:tcPr>
                  <w:tcW w:w="465" w:type="pct"/>
                  <w:tcBorders>
                    <w:tl2br w:val="nil"/>
                    <w:tr2bl w:val="nil"/>
                  </w:tcBorders>
                  <w:noWrap w:val="0"/>
                  <w:vAlign w:val="center"/>
                </w:tcPr>
                <w:p w14:paraId="1E0F93F6">
                  <w:pPr>
                    <w:shd w:val="clear" w:color="auto" w:fill="auto"/>
                    <w:adjustRightInd w:val="0"/>
                    <w:snapToGrid w:val="0"/>
                    <w:spacing w:line="240" w:lineRule="auto"/>
                    <w:jc w:val="center"/>
                    <w:rPr>
                      <w:color w:val="auto"/>
                      <w:szCs w:val="21"/>
                    </w:rPr>
                  </w:pPr>
                  <w:r>
                    <w:rPr>
                      <w:color w:val="auto"/>
                      <w:szCs w:val="21"/>
                    </w:rPr>
                    <w:t>建设方</w:t>
                  </w:r>
                </w:p>
              </w:tc>
              <w:tc>
                <w:tcPr>
                  <w:tcW w:w="462" w:type="pct"/>
                  <w:tcBorders>
                    <w:tl2br w:val="nil"/>
                    <w:tr2bl w:val="nil"/>
                  </w:tcBorders>
                  <w:noWrap w:val="0"/>
                  <w:vAlign w:val="center"/>
                </w:tcPr>
                <w:p w14:paraId="7DBC07C0">
                  <w:pPr>
                    <w:shd w:val="clear" w:color="auto" w:fill="auto"/>
                    <w:adjustRightInd w:val="0"/>
                    <w:snapToGrid w:val="0"/>
                    <w:spacing w:line="240" w:lineRule="auto"/>
                    <w:jc w:val="center"/>
                    <w:rPr>
                      <w:color w:val="auto"/>
                      <w:szCs w:val="21"/>
                    </w:rPr>
                  </w:pPr>
                  <w:r>
                    <w:rPr>
                      <w:color w:val="auto"/>
                      <w:szCs w:val="21"/>
                    </w:rPr>
                    <w:t>承包商</w:t>
                  </w:r>
                </w:p>
              </w:tc>
            </w:tr>
            <w:tr w14:paraId="357A8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45B86A21">
                  <w:pPr>
                    <w:shd w:val="clear" w:color="auto" w:fill="auto"/>
                    <w:adjustRightInd w:val="0"/>
                    <w:snapToGrid w:val="0"/>
                    <w:spacing w:line="240" w:lineRule="auto"/>
                    <w:jc w:val="center"/>
                    <w:rPr>
                      <w:color w:val="auto"/>
                      <w:szCs w:val="21"/>
                    </w:rPr>
                  </w:pPr>
                  <w:r>
                    <w:rPr>
                      <w:color w:val="auto"/>
                      <w:szCs w:val="21"/>
                    </w:rPr>
                    <w:t>固体废物</w:t>
                  </w:r>
                </w:p>
              </w:tc>
              <w:tc>
                <w:tcPr>
                  <w:tcW w:w="3673" w:type="pct"/>
                  <w:tcBorders>
                    <w:tl2br w:val="nil"/>
                    <w:tr2bl w:val="nil"/>
                  </w:tcBorders>
                  <w:noWrap w:val="0"/>
                  <w:vAlign w:val="center"/>
                </w:tcPr>
                <w:p w14:paraId="3291B1CB">
                  <w:pPr>
                    <w:shd w:val="clear" w:color="auto" w:fill="auto"/>
                    <w:adjustRightInd w:val="0"/>
                    <w:snapToGrid w:val="0"/>
                    <w:spacing w:line="240" w:lineRule="auto"/>
                    <w:rPr>
                      <w:color w:val="auto"/>
                      <w:szCs w:val="21"/>
                    </w:rPr>
                  </w:pPr>
                  <w:r>
                    <w:rPr>
                      <w:color w:val="auto"/>
                      <w:szCs w:val="21"/>
                    </w:rPr>
                    <w:t>①施工现场设置垃圾存放点，集中堆放，及时清运；</w:t>
                  </w:r>
                </w:p>
                <w:p w14:paraId="43EEE3F6">
                  <w:pPr>
                    <w:shd w:val="clear" w:color="auto" w:fill="auto"/>
                    <w:adjustRightInd w:val="0"/>
                    <w:snapToGrid w:val="0"/>
                    <w:spacing w:line="240" w:lineRule="auto"/>
                    <w:rPr>
                      <w:color w:val="auto"/>
                      <w:szCs w:val="21"/>
                    </w:rPr>
                  </w:pPr>
                  <w:r>
                    <w:rPr>
                      <w:color w:val="auto"/>
                      <w:szCs w:val="21"/>
                    </w:rPr>
                    <w:t>②生活垃圾集中收集后由环卫部门统一处理，日产日清；</w:t>
                  </w:r>
                </w:p>
                <w:p w14:paraId="2719630C">
                  <w:pPr>
                    <w:shd w:val="clear" w:color="auto" w:fill="auto"/>
                    <w:adjustRightInd w:val="0"/>
                    <w:snapToGrid w:val="0"/>
                    <w:spacing w:line="240" w:lineRule="auto"/>
                    <w:rPr>
                      <w:color w:val="auto"/>
                      <w:szCs w:val="21"/>
                    </w:rPr>
                  </w:pPr>
                  <w:r>
                    <w:rPr>
                      <w:color w:val="auto"/>
                      <w:szCs w:val="21"/>
                    </w:rPr>
                    <w:t>③土方、渣土运输车辆采用GPS定位限时段密闭运输；</w:t>
                  </w:r>
                </w:p>
                <w:p w14:paraId="382EEC1A">
                  <w:pPr>
                    <w:shd w:val="clear" w:color="auto" w:fill="auto"/>
                    <w:adjustRightInd w:val="0"/>
                    <w:snapToGrid w:val="0"/>
                    <w:spacing w:line="240" w:lineRule="auto"/>
                    <w:rPr>
                      <w:color w:val="auto"/>
                      <w:szCs w:val="21"/>
                    </w:rPr>
                  </w:pPr>
                  <w:r>
                    <w:rPr>
                      <w:color w:val="auto"/>
                      <w:szCs w:val="21"/>
                    </w:rPr>
                    <w:t>④按照市容环境卫生行政主管部门核定的时间、路线、地点运输和倾倒建筑垃圾，禁止偷倒、乱倒。</w:t>
                  </w:r>
                </w:p>
              </w:tc>
              <w:tc>
                <w:tcPr>
                  <w:tcW w:w="465" w:type="pct"/>
                  <w:tcBorders>
                    <w:tl2br w:val="nil"/>
                    <w:tr2bl w:val="nil"/>
                  </w:tcBorders>
                  <w:noWrap w:val="0"/>
                  <w:vAlign w:val="center"/>
                </w:tcPr>
                <w:p w14:paraId="31AFDAEE">
                  <w:pPr>
                    <w:shd w:val="clear" w:color="auto" w:fill="auto"/>
                    <w:adjustRightInd w:val="0"/>
                    <w:snapToGrid w:val="0"/>
                    <w:spacing w:line="240" w:lineRule="auto"/>
                    <w:jc w:val="center"/>
                    <w:rPr>
                      <w:snapToGrid w:val="0"/>
                      <w:color w:val="auto"/>
                      <w:szCs w:val="21"/>
                    </w:rPr>
                  </w:pPr>
                  <w:r>
                    <w:rPr>
                      <w:snapToGrid w:val="0"/>
                      <w:color w:val="auto"/>
                      <w:szCs w:val="21"/>
                    </w:rPr>
                    <w:t>建设方</w:t>
                  </w:r>
                </w:p>
              </w:tc>
              <w:tc>
                <w:tcPr>
                  <w:tcW w:w="462" w:type="pct"/>
                  <w:tcBorders>
                    <w:tl2br w:val="nil"/>
                    <w:tr2bl w:val="nil"/>
                  </w:tcBorders>
                  <w:noWrap w:val="0"/>
                  <w:vAlign w:val="center"/>
                </w:tcPr>
                <w:p w14:paraId="22D79C4B">
                  <w:pPr>
                    <w:shd w:val="clear" w:color="auto" w:fill="auto"/>
                    <w:adjustRightInd w:val="0"/>
                    <w:snapToGrid w:val="0"/>
                    <w:spacing w:line="240" w:lineRule="auto"/>
                    <w:jc w:val="center"/>
                    <w:rPr>
                      <w:color w:val="auto"/>
                      <w:szCs w:val="21"/>
                    </w:rPr>
                  </w:pPr>
                  <w:r>
                    <w:rPr>
                      <w:color w:val="auto"/>
                      <w:szCs w:val="21"/>
                    </w:rPr>
                    <w:t>承包商</w:t>
                  </w:r>
                </w:p>
              </w:tc>
            </w:tr>
            <w:tr w14:paraId="4A3F3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4"/>
                  <w:tcBorders>
                    <w:tl2br w:val="nil"/>
                    <w:tr2bl w:val="nil"/>
                  </w:tcBorders>
                  <w:noWrap w:val="0"/>
                  <w:vAlign w:val="center"/>
                </w:tcPr>
                <w:p w14:paraId="39F719D5">
                  <w:pPr>
                    <w:shd w:val="clear" w:color="auto" w:fill="auto"/>
                    <w:adjustRightInd w:val="0"/>
                    <w:snapToGrid w:val="0"/>
                    <w:spacing w:line="240" w:lineRule="auto"/>
                    <w:rPr>
                      <w:color w:val="auto"/>
                      <w:szCs w:val="21"/>
                    </w:rPr>
                  </w:pPr>
                  <w:r>
                    <w:rPr>
                      <w:b/>
                      <w:bCs/>
                      <w:color w:val="auto"/>
                      <w:szCs w:val="21"/>
                    </w:rPr>
                    <w:t>B．运营期</w:t>
                  </w:r>
                </w:p>
              </w:tc>
            </w:tr>
            <w:tr w14:paraId="7642F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3A281741">
                  <w:pPr>
                    <w:shd w:val="clear" w:color="auto" w:fill="auto"/>
                    <w:adjustRightInd w:val="0"/>
                    <w:snapToGrid w:val="0"/>
                    <w:spacing w:line="240" w:lineRule="auto"/>
                    <w:jc w:val="center"/>
                    <w:rPr>
                      <w:color w:val="auto"/>
                      <w:szCs w:val="21"/>
                    </w:rPr>
                  </w:pPr>
                  <w:r>
                    <w:rPr>
                      <w:color w:val="auto"/>
                      <w:szCs w:val="21"/>
                    </w:rPr>
                    <w:t>噪声及空气</w:t>
                  </w:r>
                </w:p>
              </w:tc>
              <w:tc>
                <w:tcPr>
                  <w:tcW w:w="3673" w:type="pct"/>
                  <w:tcBorders>
                    <w:tl2br w:val="nil"/>
                    <w:tr2bl w:val="nil"/>
                  </w:tcBorders>
                  <w:noWrap w:val="0"/>
                  <w:vAlign w:val="center"/>
                </w:tcPr>
                <w:p w14:paraId="25ACEE5C">
                  <w:pPr>
                    <w:shd w:val="clear" w:color="auto" w:fill="auto"/>
                    <w:adjustRightInd w:val="0"/>
                    <w:snapToGrid w:val="0"/>
                    <w:spacing w:line="240" w:lineRule="auto"/>
                    <w:rPr>
                      <w:color w:val="auto"/>
                      <w:szCs w:val="21"/>
                    </w:rPr>
                  </w:pPr>
                  <w:r>
                    <w:rPr>
                      <w:color w:val="auto"/>
                      <w:szCs w:val="21"/>
                    </w:rPr>
                    <w:t>①通过加强道路交通管理，限制性能差的车辆进入道路，经常维持道路路面的平整度；</w:t>
                  </w:r>
                </w:p>
                <w:p w14:paraId="4F796251">
                  <w:pPr>
                    <w:shd w:val="clear" w:color="auto" w:fill="auto"/>
                    <w:adjustRightInd w:val="0"/>
                    <w:snapToGrid w:val="0"/>
                    <w:spacing w:line="240" w:lineRule="auto"/>
                    <w:rPr>
                      <w:color w:val="auto"/>
                      <w:szCs w:val="21"/>
                    </w:rPr>
                  </w:pPr>
                  <w:r>
                    <w:rPr>
                      <w:color w:val="auto"/>
                      <w:szCs w:val="21"/>
                    </w:rPr>
                    <w:t>②实施报告表要求的噪声和大气污染防治措施；</w:t>
                  </w:r>
                </w:p>
                <w:p w14:paraId="4DD8F9FD">
                  <w:pPr>
                    <w:shd w:val="clear" w:color="auto" w:fill="auto"/>
                    <w:adjustRightInd w:val="0"/>
                    <w:snapToGrid w:val="0"/>
                    <w:spacing w:line="240" w:lineRule="auto"/>
                    <w:rPr>
                      <w:color w:val="auto"/>
                      <w:szCs w:val="21"/>
                    </w:rPr>
                  </w:pPr>
                  <w:r>
                    <w:rPr>
                      <w:color w:val="auto"/>
                      <w:szCs w:val="21"/>
                    </w:rPr>
                    <w:t>③检查噪声防治措施的运行情况；</w:t>
                  </w:r>
                </w:p>
                <w:p w14:paraId="4AC1C47F">
                  <w:pPr>
                    <w:shd w:val="clear" w:color="auto" w:fill="auto"/>
                    <w:adjustRightInd w:val="0"/>
                    <w:snapToGrid w:val="0"/>
                    <w:spacing w:line="240" w:lineRule="auto"/>
                    <w:rPr>
                      <w:color w:val="auto"/>
                      <w:szCs w:val="21"/>
                    </w:rPr>
                  </w:pPr>
                  <w:r>
                    <w:rPr>
                      <w:color w:val="auto"/>
                      <w:szCs w:val="21"/>
                    </w:rPr>
                    <w:t xml:space="preserve">④执行汽车排放车检制度，禁止尾气超标车辆上路行驶； </w:t>
                  </w:r>
                </w:p>
                <w:p w14:paraId="336B65F0">
                  <w:pPr>
                    <w:shd w:val="clear" w:color="auto" w:fill="auto"/>
                    <w:adjustRightInd w:val="0"/>
                    <w:snapToGrid w:val="0"/>
                    <w:spacing w:line="240" w:lineRule="auto"/>
                    <w:rPr>
                      <w:b/>
                      <w:color w:val="auto"/>
                      <w:szCs w:val="21"/>
                    </w:rPr>
                  </w:pPr>
                  <w:r>
                    <w:rPr>
                      <w:color w:val="auto"/>
                      <w:szCs w:val="21"/>
                    </w:rPr>
                    <w:t>⑤加强道路绿化和绿化养护。</w:t>
                  </w:r>
                </w:p>
              </w:tc>
              <w:tc>
                <w:tcPr>
                  <w:tcW w:w="465" w:type="pct"/>
                  <w:vMerge w:val="restart"/>
                  <w:tcBorders>
                    <w:tl2br w:val="nil"/>
                    <w:tr2bl w:val="nil"/>
                  </w:tcBorders>
                  <w:noWrap w:val="0"/>
                  <w:vAlign w:val="center"/>
                </w:tcPr>
                <w:p w14:paraId="769214F3">
                  <w:pPr>
                    <w:shd w:val="clear" w:color="auto" w:fill="auto"/>
                    <w:adjustRightInd w:val="0"/>
                    <w:snapToGrid w:val="0"/>
                    <w:spacing w:line="240" w:lineRule="auto"/>
                    <w:jc w:val="center"/>
                    <w:rPr>
                      <w:color w:val="auto"/>
                      <w:szCs w:val="21"/>
                    </w:rPr>
                  </w:pPr>
                  <w:r>
                    <w:rPr>
                      <w:color w:val="auto"/>
                      <w:szCs w:val="21"/>
                    </w:rPr>
                    <w:t>运营管理单位</w:t>
                  </w:r>
                </w:p>
              </w:tc>
              <w:tc>
                <w:tcPr>
                  <w:tcW w:w="462" w:type="pct"/>
                  <w:vMerge w:val="restart"/>
                  <w:tcBorders>
                    <w:tl2br w:val="nil"/>
                    <w:tr2bl w:val="nil"/>
                  </w:tcBorders>
                  <w:noWrap w:val="0"/>
                  <w:vAlign w:val="center"/>
                </w:tcPr>
                <w:p w14:paraId="4A5D8614">
                  <w:pPr>
                    <w:shd w:val="clear" w:color="auto" w:fill="auto"/>
                    <w:adjustRightInd w:val="0"/>
                    <w:snapToGrid w:val="0"/>
                    <w:spacing w:line="240" w:lineRule="auto"/>
                    <w:jc w:val="center"/>
                    <w:rPr>
                      <w:color w:val="auto"/>
                      <w:szCs w:val="21"/>
                    </w:rPr>
                  </w:pPr>
                  <w:r>
                    <w:rPr>
                      <w:color w:val="auto"/>
                      <w:szCs w:val="21"/>
                    </w:rPr>
                    <w:t>运营管理单位</w:t>
                  </w:r>
                </w:p>
              </w:tc>
            </w:tr>
            <w:tr w14:paraId="19BD4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1E7B6C6F">
                  <w:pPr>
                    <w:shd w:val="clear" w:color="auto" w:fill="auto"/>
                    <w:adjustRightInd w:val="0"/>
                    <w:snapToGrid w:val="0"/>
                    <w:spacing w:line="240" w:lineRule="auto"/>
                    <w:jc w:val="center"/>
                    <w:rPr>
                      <w:color w:val="auto"/>
                      <w:szCs w:val="21"/>
                    </w:rPr>
                  </w:pPr>
                  <w:r>
                    <w:rPr>
                      <w:color w:val="auto"/>
                      <w:szCs w:val="21"/>
                    </w:rPr>
                    <w:t>水环境</w:t>
                  </w:r>
                </w:p>
              </w:tc>
              <w:tc>
                <w:tcPr>
                  <w:tcW w:w="3673" w:type="pct"/>
                  <w:tcBorders>
                    <w:tl2br w:val="nil"/>
                    <w:tr2bl w:val="nil"/>
                  </w:tcBorders>
                  <w:noWrap w:val="0"/>
                  <w:vAlign w:val="center"/>
                </w:tcPr>
                <w:p w14:paraId="7830BCF6">
                  <w:pPr>
                    <w:shd w:val="clear" w:color="auto" w:fill="auto"/>
                    <w:adjustRightInd w:val="0"/>
                    <w:snapToGrid w:val="0"/>
                    <w:spacing w:line="240" w:lineRule="auto"/>
                    <w:rPr>
                      <w:color w:val="auto"/>
                      <w:szCs w:val="21"/>
                    </w:rPr>
                  </w:pPr>
                  <w:r>
                    <w:rPr>
                      <w:color w:val="auto"/>
                      <w:szCs w:val="21"/>
                    </w:rPr>
                    <w:t>①定期检查道路两侧的排水系统，确保排水系统畅通；</w:t>
                  </w:r>
                </w:p>
                <w:p w14:paraId="786FB25F">
                  <w:pPr>
                    <w:shd w:val="clear" w:color="auto" w:fill="auto"/>
                    <w:adjustRightInd w:val="0"/>
                    <w:snapToGrid w:val="0"/>
                    <w:spacing w:line="240" w:lineRule="auto"/>
                    <w:rPr>
                      <w:rFonts w:hint="default" w:eastAsia="宋体"/>
                      <w:color w:val="auto"/>
                      <w:szCs w:val="21"/>
                      <w:lang w:val="en-US" w:eastAsia="zh-CN"/>
                    </w:rPr>
                  </w:pPr>
                  <w:r>
                    <w:rPr>
                      <w:color w:val="auto"/>
                      <w:szCs w:val="21"/>
                    </w:rPr>
                    <w:t>②应禁止漏油、不安装保护帆布的货车和超载车上路，以防止道路上车辆漏油和货物洒落在道路上，造成水体污染</w:t>
                  </w:r>
                  <w:r>
                    <w:rPr>
                      <w:rFonts w:hint="eastAsia"/>
                      <w:color w:val="auto"/>
                      <w:szCs w:val="21"/>
                      <w:lang w:eastAsia="zh-CN"/>
                    </w:rPr>
                    <w:t>；</w:t>
                  </w:r>
                </w:p>
              </w:tc>
              <w:tc>
                <w:tcPr>
                  <w:tcW w:w="465" w:type="pct"/>
                  <w:vMerge w:val="continue"/>
                  <w:tcBorders>
                    <w:tl2br w:val="nil"/>
                    <w:tr2bl w:val="nil"/>
                  </w:tcBorders>
                  <w:noWrap w:val="0"/>
                  <w:vAlign w:val="center"/>
                </w:tcPr>
                <w:p w14:paraId="730170A1">
                  <w:pPr>
                    <w:shd w:val="clear" w:color="auto" w:fill="auto"/>
                    <w:adjustRightInd w:val="0"/>
                    <w:snapToGrid w:val="0"/>
                    <w:spacing w:line="240" w:lineRule="auto"/>
                    <w:jc w:val="center"/>
                    <w:rPr>
                      <w:color w:val="auto"/>
                      <w:szCs w:val="21"/>
                    </w:rPr>
                  </w:pPr>
                </w:p>
              </w:tc>
              <w:tc>
                <w:tcPr>
                  <w:tcW w:w="462" w:type="pct"/>
                  <w:vMerge w:val="continue"/>
                  <w:tcBorders>
                    <w:tl2br w:val="nil"/>
                    <w:tr2bl w:val="nil"/>
                  </w:tcBorders>
                  <w:noWrap w:val="0"/>
                  <w:vAlign w:val="center"/>
                </w:tcPr>
                <w:p w14:paraId="5DB7E103">
                  <w:pPr>
                    <w:shd w:val="clear" w:color="auto" w:fill="auto"/>
                    <w:adjustRightInd w:val="0"/>
                    <w:snapToGrid w:val="0"/>
                    <w:spacing w:line="240" w:lineRule="auto"/>
                    <w:jc w:val="center"/>
                    <w:rPr>
                      <w:color w:val="auto"/>
                      <w:szCs w:val="21"/>
                    </w:rPr>
                  </w:pPr>
                </w:p>
              </w:tc>
            </w:tr>
            <w:tr w14:paraId="3F72D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5AFE66B0">
                  <w:pPr>
                    <w:shd w:val="clear" w:color="auto" w:fill="auto"/>
                    <w:adjustRightInd w:val="0"/>
                    <w:snapToGrid w:val="0"/>
                    <w:spacing w:line="240" w:lineRule="auto"/>
                    <w:jc w:val="center"/>
                    <w:rPr>
                      <w:color w:val="auto"/>
                      <w:szCs w:val="21"/>
                    </w:rPr>
                  </w:pPr>
                  <w:r>
                    <w:rPr>
                      <w:color w:val="auto"/>
                      <w:szCs w:val="21"/>
                    </w:rPr>
                    <w:t>生态环境</w:t>
                  </w:r>
                </w:p>
              </w:tc>
              <w:tc>
                <w:tcPr>
                  <w:tcW w:w="3673" w:type="pct"/>
                  <w:tcBorders>
                    <w:tl2br w:val="nil"/>
                    <w:tr2bl w:val="nil"/>
                  </w:tcBorders>
                  <w:noWrap w:val="0"/>
                  <w:vAlign w:val="center"/>
                </w:tcPr>
                <w:p w14:paraId="3B404468">
                  <w:pPr>
                    <w:shd w:val="clear" w:color="auto" w:fill="auto"/>
                    <w:adjustRightInd w:val="0"/>
                    <w:snapToGrid w:val="0"/>
                    <w:spacing w:line="240" w:lineRule="auto"/>
                    <w:rPr>
                      <w:color w:val="auto"/>
                      <w:szCs w:val="21"/>
                    </w:rPr>
                  </w:pPr>
                  <w:r>
                    <w:rPr>
                      <w:color w:val="auto"/>
                      <w:szCs w:val="21"/>
                    </w:rPr>
                    <w:t>检查道路绿化工程，尽早恢复沿线景观；检查临时占地区域生态恢复情况，尽早恢复原有土地利用</w:t>
                  </w:r>
                  <w:r>
                    <w:rPr>
                      <w:rFonts w:hint="eastAsia"/>
                      <w:color w:val="auto"/>
                      <w:szCs w:val="21"/>
                    </w:rPr>
                    <w:t>功能</w:t>
                  </w:r>
                  <w:r>
                    <w:rPr>
                      <w:color w:val="auto"/>
                      <w:szCs w:val="21"/>
                    </w:rPr>
                    <w:t>。</w:t>
                  </w:r>
                </w:p>
              </w:tc>
              <w:tc>
                <w:tcPr>
                  <w:tcW w:w="465" w:type="pct"/>
                  <w:vMerge w:val="continue"/>
                  <w:tcBorders>
                    <w:tl2br w:val="nil"/>
                    <w:tr2bl w:val="nil"/>
                  </w:tcBorders>
                  <w:noWrap w:val="0"/>
                  <w:vAlign w:val="center"/>
                </w:tcPr>
                <w:p w14:paraId="32F62FF3">
                  <w:pPr>
                    <w:shd w:val="clear" w:color="auto" w:fill="auto"/>
                    <w:adjustRightInd w:val="0"/>
                    <w:snapToGrid w:val="0"/>
                    <w:spacing w:line="240" w:lineRule="auto"/>
                    <w:jc w:val="center"/>
                    <w:rPr>
                      <w:color w:val="auto"/>
                      <w:szCs w:val="21"/>
                    </w:rPr>
                  </w:pPr>
                </w:p>
              </w:tc>
              <w:tc>
                <w:tcPr>
                  <w:tcW w:w="462" w:type="pct"/>
                  <w:vMerge w:val="continue"/>
                  <w:tcBorders>
                    <w:tl2br w:val="nil"/>
                    <w:tr2bl w:val="nil"/>
                  </w:tcBorders>
                  <w:noWrap w:val="0"/>
                  <w:vAlign w:val="center"/>
                </w:tcPr>
                <w:p w14:paraId="483099DF">
                  <w:pPr>
                    <w:shd w:val="clear" w:color="auto" w:fill="auto"/>
                    <w:adjustRightInd w:val="0"/>
                    <w:snapToGrid w:val="0"/>
                    <w:spacing w:line="240" w:lineRule="auto"/>
                    <w:jc w:val="center"/>
                    <w:rPr>
                      <w:color w:val="auto"/>
                      <w:szCs w:val="21"/>
                    </w:rPr>
                  </w:pPr>
                </w:p>
              </w:tc>
            </w:tr>
            <w:tr w14:paraId="3DB1A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109528B6">
                  <w:pPr>
                    <w:shd w:val="clear" w:color="auto" w:fill="auto"/>
                    <w:adjustRightInd w:val="0"/>
                    <w:snapToGrid w:val="0"/>
                    <w:spacing w:line="240" w:lineRule="auto"/>
                    <w:jc w:val="center"/>
                    <w:rPr>
                      <w:color w:val="auto"/>
                      <w:szCs w:val="21"/>
                    </w:rPr>
                  </w:pPr>
                  <w:r>
                    <w:rPr>
                      <w:color w:val="auto"/>
                      <w:szCs w:val="21"/>
                    </w:rPr>
                    <w:t>环境监测</w:t>
                  </w:r>
                </w:p>
              </w:tc>
              <w:tc>
                <w:tcPr>
                  <w:tcW w:w="3673" w:type="pct"/>
                  <w:tcBorders>
                    <w:tl2br w:val="nil"/>
                    <w:tr2bl w:val="nil"/>
                  </w:tcBorders>
                  <w:noWrap w:val="0"/>
                  <w:vAlign w:val="center"/>
                </w:tcPr>
                <w:p w14:paraId="4A9577E9">
                  <w:pPr>
                    <w:widowControl/>
                    <w:shd w:val="clear" w:color="auto" w:fill="auto"/>
                    <w:adjustRightInd w:val="0"/>
                    <w:snapToGrid w:val="0"/>
                    <w:spacing w:line="240" w:lineRule="auto"/>
                    <w:jc w:val="left"/>
                    <w:rPr>
                      <w:color w:val="auto"/>
                      <w:szCs w:val="21"/>
                    </w:rPr>
                  </w:pPr>
                  <w:r>
                    <w:rPr>
                      <w:color w:val="auto"/>
                      <w:kern w:val="0"/>
                      <w:szCs w:val="21"/>
                      <w:lang w:bidi="ar"/>
                    </w:rPr>
                    <w:t>按照国家和</w:t>
                  </w:r>
                  <w:r>
                    <w:rPr>
                      <w:rFonts w:hint="eastAsia"/>
                      <w:color w:val="auto"/>
                      <w:kern w:val="0"/>
                      <w:szCs w:val="21"/>
                      <w:lang w:eastAsia="zh-CN" w:bidi="ar"/>
                    </w:rPr>
                    <w:t>生态环境部</w:t>
                  </w:r>
                  <w:r>
                    <w:rPr>
                      <w:color w:val="auto"/>
                      <w:kern w:val="0"/>
                      <w:szCs w:val="21"/>
                      <w:lang w:bidi="ar"/>
                    </w:rPr>
                    <w:t>颁布的监测标准、方法执行，定期进行环境监测。</w:t>
                  </w:r>
                </w:p>
              </w:tc>
              <w:tc>
                <w:tcPr>
                  <w:tcW w:w="465" w:type="pct"/>
                  <w:vMerge w:val="continue"/>
                  <w:tcBorders>
                    <w:tl2br w:val="nil"/>
                    <w:tr2bl w:val="nil"/>
                  </w:tcBorders>
                  <w:noWrap w:val="0"/>
                  <w:vAlign w:val="center"/>
                </w:tcPr>
                <w:p w14:paraId="038B3F92">
                  <w:pPr>
                    <w:shd w:val="clear" w:color="auto" w:fill="auto"/>
                    <w:adjustRightInd w:val="0"/>
                    <w:snapToGrid w:val="0"/>
                    <w:spacing w:line="240" w:lineRule="auto"/>
                    <w:jc w:val="center"/>
                    <w:rPr>
                      <w:color w:val="auto"/>
                      <w:szCs w:val="21"/>
                    </w:rPr>
                  </w:pPr>
                </w:p>
              </w:tc>
              <w:tc>
                <w:tcPr>
                  <w:tcW w:w="462" w:type="pct"/>
                  <w:tcBorders>
                    <w:tl2br w:val="nil"/>
                    <w:tr2bl w:val="nil"/>
                  </w:tcBorders>
                  <w:noWrap w:val="0"/>
                  <w:vAlign w:val="center"/>
                </w:tcPr>
                <w:p w14:paraId="30D91A55">
                  <w:pPr>
                    <w:shd w:val="clear" w:color="auto" w:fill="auto"/>
                    <w:adjustRightInd w:val="0"/>
                    <w:snapToGrid w:val="0"/>
                    <w:spacing w:line="240" w:lineRule="auto"/>
                    <w:jc w:val="center"/>
                    <w:rPr>
                      <w:color w:val="auto"/>
                      <w:szCs w:val="21"/>
                    </w:rPr>
                  </w:pPr>
                  <w:r>
                    <w:rPr>
                      <w:color w:val="auto"/>
                      <w:szCs w:val="21"/>
                    </w:rPr>
                    <w:t>环境监测单位</w:t>
                  </w:r>
                </w:p>
              </w:tc>
            </w:tr>
          </w:tbl>
          <w:p w14:paraId="75838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pPr>
          </w:p>
        </w:tc>
      </w:tr>
      <w:tr w14:paraId="23ECB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noWrap w:val="0"/>
            <w:vAlign w:val="center"/>
          </w:tcPr>
          <w:p w14:paraId="3BDF2B47">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bCs/>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其他</w:t>
            </w:r>
          </w:p>
        </w:tc>
        <w:tc>
          <w:tcPr>
            <w:tcW w:w="9098" w:type="dxa"/>
            <w:tcBorders>
              <w:tl2br w:val="nil"/>
              <w:tr2bl w:val="nil"/>
            </w:tcBorders>
            <w:noWrap w:val="0"/>
            <w:vAlign w:val="center"/>
          </w:tcPr>
          <w:p w14:paraId="1C7B8B2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eastAsia" w:ascii="Times New Roman" w:hAnsi="Times New Roman" w:eastAsia="宋体" w:cs="Times New Roman"/>
                <w:bCs/>
                <w:caps w:val="0"/>
                <w:smallCaps w:val="0"/>
                <w:color w:val="auto"/>
                <w:spacing w:val="0"/>
                <w:w w:val="100"/>
                <w:kern w:val="2"/>
                <w:position w:val="0"/>
                <w:sz w:val="24"/>
                <w:szCs w:val="24"/>
                <w:highlight w:val="none"/>
                <w:lang w:val="en-US" w:eastAsia="zh-CN"/>
              </w:rPr>
            </w:pPr>
            <w:r>
              <w:rPr>
                <w:rFonts w:hint="eastAsia" w:ascii="Times New Roman" w:hAnsi="Times New Roman" w:cs="Times New Roman"/>
                <w:bCs/>
                <w:caps w:val="0"/>
                <w:smallCaps w:val="0"/>
                <w:color w:val="auto"/>
                <w:spacing w:val="0"/>
                <w:w w:val="100"/>
                <w:kern w:val="2"/>
                <w:position w:val="0"/>
                <w:sz w:val="24"/>
                <w:szCs w:val="24"/>
                <w:highlight w:val="none"/>
                <w:lang w:val="en-US" w:eastAsia="zh-CN"/>
              </w:rPr>
              <w:t>无</w:t>
            </w:r>
          </w:p>
        </w:tc>
      </w:tr>
      <w:tr w14:paraId="476A5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noWrap w:val="0"/>
            <w:vAlign w:val="center"/>
          </w:tcPr>
          <w:p w14:paraId="13360E54">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bCs/>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环保投资</w:t>
            </w:r>
          </w:p>
        </w:tc>
        <w:tc>
          <w:tcPr>
            <w:tcW w:w="9098" w:type="dxa"/>
            <w:tcBorders>
              <w:tl2br w:val="nil"/>
              <w:tr2bl w:val="nil"/>
            </w:tcBorders>
            <w:noWrap w:val="0"/>
            <w:vAlign w:val="top"/>
          </w:tcPr>
          <w:p w14:paraId="3E223125">
            <w:pPr>
              <w:keepNext w:val="0"/>
              <w:keepLines w:val="0"/>
              <w:pageBreakBefore w:val="0"/>
              <w:widowControl w:val="0"/>
              <w:kinsoku/>
              <w:wordWrap w:val="0"/>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b/>
                <w:bCs/>
                <w:caps w:val="0"/>
                <w:smallCaps w:val="0"/>
                <w:color w:val="auto"/>
                <w:spacing w:val="0"/>
                <w:w w:val="100"/>
                <w:kern w:val="2"/>
                <w:position w:val="0"/>
                <w:sz w:val="24"/>
                <w:highlight w:val="none"/>
              </w:rPr>
            </w:pPr>
            <w:r>
              <w:rPr>
                <w:rFonts w:hint="default" w:ascii="Times New Roman" w:hAnsi="Times New Roman" w:cs="Times New Roman"/>
                <w:color w:val="auto"/>
                <w:sz w:val="24"/>
                <w:szCs w:val="32"/>
                <w:highlight w:val="none"/>
                <w:lang w:val="en-US" w:eastAsia="zh-CN"/>
              </w:rPr>
              <w:t>项目总投资为</w:t>
            </w:r>
            <w:r>
              <w:rPr>
                <w:rFonts w:hint="eastAsia" w:ascii="Times New Roman" w:hAnsi="Times New Roman" w:cs="Times New Roman"/>
                <w:color w:val="auto"/>
                <w:sz w:val="24"/>
                <w:szCs w:val="32"/>
                <w:highlight w:val="none"/>
                <w:lang w:val="en-US" w:eastAsia="zh-CN"/>
              </w:rPr>
              <w:t>364.1487</w:t>
            </w:r>
            <w:r>
              <w:rPr>
                <w:rFonts w:hint="default" w:ascii="Times New Roman" w:hAnsi="Times New Roman" w:cs="Times New Roman"/>
                <w:color w:val="auto"/>
                <w:sz w:val="24"/>
                <w:szCs w:val="32"/>
                <w:highlight w:val="none"/>
                <w:lang w:val="en-US" w:eastAsia="zh-CN"/>
              </w:rPr>
              <w:t>万元，其中环保</w:t>
            </w:r>
            <w:r>
              <w:rPr>
                <w:rFonts w:hint="default" w:ascii="Times New Roman" w:hAnsi="Times New Roman" w:eastAsia="宋体" w:cs="Times New Roman"/>
                <w:color w:val="auto"/>
                <w:sz w:val="24"/>
                <w:szCs w:val="32"/>
                <w:highlight w:val="none"/>
                <w:lang w:val="en-US" w:eastAsia="zh-CN"/>
              </w:rPr>
              <w:t>投资</w:t>
            </w:r>
            <w:r>
              <w:rPr>
                <w:rFonts w:hint="eastAsia" w:ascii="Times New Roman" w:hAnsi="Times New Roman" w:eastAsia="宋体" w:cs="Times New Roman"/>
                <w:color w:val="auto"/>
                <w:sz w:val="24"/>
                <w:szCs w:val="32"/>
                <w:highlight w:val="none"/>
                <w:lang w:val="en-US" w:eastAsia="zh-CN"/>
              </w:rPr>
              <w:t>31</w:t>
            </w:r>
            <w:r>
              <w:rPr>
                <w:rFonts w:hint="default" w:ascii="Times New Roman" w:hAnsi="Times New Roman" w:eastAsia="宋体" w:cs="Times New Roman"/>
                <w:color w:val="auto"/>
                <w:sz w:val="24"/>
                <w:szCs w:val="32"/>
                <w:highlight w:val="none"/>
                <w:lang w:val="en-US" w:eastAsia="zh-CN"/>
              </w:rPr>
              <w:t>万</w:t>
            </w:r>
            <w:r>
              <w:rPr>
                <w:rFonts w:hint="default" w:ascii="Times New Roman" w:hAnsi="Times New Roman" w:cs="Times New Roman"/>
                <w:color w:val="auto"/>
                <w:sz w:val="24"/>
                <w:szCs w:val="32"/>
                <w:highlight w:val="none"/>
                <w:lang w:val="en-US" w:eastAsia="zh-CN"/>
              </w:rPr>
              <w:t>元，占总投资的</w:t>
            </w:r>
            <w:r>
              <w:rPr>
                <w:rFonts w:hint="eastAsia" w:ascii="Times New Roman" w:hAnsi="Times New Roman" w:cs="Times New Roman"/>
                <w:color w:val="auto"/>
                <w:sz w:val="24"/>
                <w:szCs w:val="32"/>
                <w:highlight w:val="none"/>
                <w:lang w:val="en-US" w:eastAsia="zh-CN"/>
              </w:rPr>
              <w:t>8.51</w:t>
            </w:r>
            <w:r>
              <w:rPr>
                <w:rFonts w:hint="default" w:ascii="Times New Roman" w:hAnsi="Times New Roman" w:cs="Times New Roman"/>
                <w:color w:val="auto"/>
                <w:sz w:val="24"/>
                <w:szCs w:val="32"/>
                <w:highlight w:val="none"/>
                <w:lang w:val="en-US" w:eastAsia="zh-CN"/>
              </w:rPr>
              <w:t>%，项目环保投资见表5-</w:t>
            </w:r>
            <w:r>
              <w:rPr>
                <w:rFonts w:hint="eastAsia" w:cs="Times New Roman"/>
                <w:color w:val="auto"/>
                <w:sz w:val="24"/>
                <w:szCs w:val="32"/>
                <w:highlight w:val="none"/>
                <w:lang w:val="en-US" w:eastAsia="zh-CN"/>
              </w:rPr>
              <w:t>6</w:t>
            </w:r>
            <w:r>
              <w:rPr>
                <w:rFonts w:hint="default" w:ascii="Times New Roman" w:hAnsi="Times New Roman" w:cs="Times New Roman"/>
                <w:color w:val="auto"/>
                <w:sz w:val="24"/>
                <w:szCs w:val="32"/>
                <w:highlight w:val="none"/>
                <w:lang w:val="en-US" w:eastAsia="zh-CN"/>
              </w:rPr>
              <w:t>。</w:t>
            </w:r>
          </w:p>
          <w:p w14:paraId="0B93A1C3">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项目环保投资一览表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258"/>
              <w:gridCol w:w="4260"/>
              <w:gridCol w:w="1282"/>
            </w:tblGrid>
            <w:tr w14:paraId="36AA6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tcBorders>
                    <w:bottom w:val="single" w:color="auto" w:sz="12" w:space="0"/>
                  </w:tcBorders>
                  <w:noWrap w:val="0"/>
                  <w:vAlign w:val="center"/>
                </w:tcPr>
                <w:p w14:paraId="04E32EFD">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
                      <w:bCs w:val="0"/>
                      <w:caps w:val="0"/>
                      <w:smallCaps w:val="0"/>
                      <w:color w:val="auto"/>
                      <w:spacing w:val="0"/>
                      <w:w w:val="100"/>
                      <w:kern w:val="2"/>
                      <w:position w:val="0"/>
                      <w:sz w:val="21"/>
                      <w:szCs w:val="21"/>
                      <w:highlight w:val="none"/>
                    </w:rPr>
                  </w:pPr>
                  <w:r>
                    <w:rPr>
                      <w:rFonts w:hint="default" w:ascii="Times New Roman" w:hAnsi="Times New Roman" w:eastAsia="宋体" w:cs="Times New Roman"/>
                      <w:b/>
                      <w:bCs w:val="0"/>
                      <w:caps w:val="0"/>
                      <w:smallCaps w:val="0"/>
                      <w:color w:val="auto"/>
                      <w:spacing w:val="0"/>
                      <w:w w:val="100"/>
                      <w:kern w:val="2"/>
                      <w:position w:val="0"/>
                      <w:sz w:val="21"/>
                      <w:szCs w:val="21"/>
                      <w:highlight w:val="none"/>
                    </w:rPr>
                    <w:t>阶段</w:t>
                  </w:r>
                </w:p>
              </w:tc>
              <w:tc>
                <w:tcPr>
                  <w:tcW w:w="3703" w:type="pct"/>
                  <w:gridSpan w:val="2"/>
                  <w:tcBorders>
                    <w:bottom w:val="single" w:color="auto" w:sz="12" w:space="0"/>
                  </w:tcBorders>
                  <w:noWrap w:val="0"/>
                  <w:vAlign w:val="center"/>
                </w:tcPr>
                <w:p w14:paraId="71F90458">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
                      <w:bCs w:val="0"/>
                      <w:caps w:val="0"/>
                      <w:smallCaps w:val="0"/>
                      <w:color w:val="auto"/>
                      <w:spacing w:val="0"/>
                      <w:w w:val="100"/>
                      <w:kern w:val="2"/>
                      <w:position w:val="0"/>
                      <w:sz w:val="21"/>
                      <w:szCs w:val="21"/>
                      <w:highlight w:val="none"/>
                    </w:rPr>
                  </w:pPr>
                  <w:r>
                    <w:rPr>
                      <w:rFonts w:hint="default" w:ascii="Times New Roman" w:hAnsi="Times New Roman" w:eastAsia="宋体" w:cs="Times New Roman"/>
                      <w:b/>
                      <w:bCs w:val="0"/>
                      <w:caps w:val="0"/>
                      <w:smallCaps w:val="0"/>
                      <w:color w:val="auto"/>
                      <w:spacing w:val="0"/>
                      <w:w w:val="100"/>
                      <w:kern w:val="2"/>
                      <w:position w:val="0"/>
                      <w:sz w:val="21"/>
                      <w:szCs w:val="21"/>
                      <w:highlight w:val="none"/>
                    </w:rPr>
                    <w:t>内容</w:t>
                  </w:r>
                </w:p>
              </w:tc>
              <w:tc>
                <w:tcPr>
                  <w:tcW w:w="860" w:type="pct"/>
                  <w:tcBorders>
                    <w:bottom w:val="single" w:color="auto" w:sz="12" w:space="0"/>
                  </w:tcBorders>
                  <w:noWrap w:val="0"/>
                  <w:vAlign w:val="center"/>
                </w:tcPr>
                <w:p w14:paraId="0F34A461">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
                      <w:bCs w:val="0"/>
                      <w:caps w:val="0"/>
                      <w:smallCaps w:val="0"/>
                      <w:color w:val="auto"/>
                      <w:spacing w:val="0"/>
                      <w:w w:val="100"/>
                      <w:kern w:val="2"/>
                      <w:position w:val="0"/>
                      <w:sz w:val="21"/>
                      <w:szCs w:val="21"/>
                      <w:highlight w:val="none"/>
                    </w:rPr>
                  </w:pPr>
                  <w:r>
                    <w:rPr>
                      <w:rFonts w:hint="default" w:ascii="Times New Roman" w:hAnsi="Times New Roman" w:eastAsia="宋体" w:cs="Times New Roman"/>
                      <w:b/>
                      <w:bCs w:val="0"/>
                      <w:caps w:val="0"/>
                      <w:smallCaps w:val="0"/>
                      <w:color w:val="auto"/>
                      <w:spacing w:val="0"/>
                      <w:w w:val="100"/>
                      <w:kern w:val="2"/>
                      <w:position w:val="0"/>
                      <w:sz w:val="21"/>
                      <w:szCs w:val="21"/>
                      <w:highlight w:val="none"/>
                    </w:rPr>
                    <w:t>投资（万元）</w:t>
                  </w:r>
                </w:p>
              </w:tc>
            </w:tr>
            <w:tr w14:paraId="3059A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restart"/>
                  <w:tcBorders>
                    <w:top w:val="single" w:color="auto" w:sz="12" w:space="0"/>
                    <w:tl2br w:val="nil"/>
                    <w:tr2bl w:val="nil"/>
                  </w:tcBorders>
                  <w:noWrap w:val="0"/>
                  <w:vAlign w:val="center"/>
                </w:tcPr>
                <w:p w14:paraId="1B3D2B4D">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施工期</w:t>
                  </w:r>
                </w:p>
              </w:tc>
              <w:tc>
                <w:tcPr>
                  <w:tcW w:w="844" w:type="pct"/>
                  <w:tcBorders>
                    <w:top w:val="single" w:color="auto" w:sz="12" w:space="0"/>
                    <w:tl2br w:val="nil"/>
                    <w:tr2bl w:val="nil"/>
                  </w:tcBorders>
                  <w:noWrap w:val="0"/>
                  <w:vAlign w:val="center"/>
                </w:tcPr>
                <w:p w14:paraId="5687B5AD">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废水</w:t>
                  </w:r>
                </w:p>
              </w:tc>
              <w:tc>
                <w:tcPr>
                  <w:tcW w:w="2859" w:type="pct"/>
                  <w:tcBorders>
                    <w:top w:val="single" w:color="auto" w:sz="12" w:space="0"/>
                    <w:tl2br w:val="nil"/>
                    <w:tr2bl w:val="nil"/>
                  </w:tcBorders>
                  <w:noWrap w:val="0"/>
                  <w:vAlign w:val="center"/>
                </w:tcPr>
                <w:p w14:paraId="03C656FD">
                  <w:pPr>
                    <w:pStyle w:val="73"/>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设施沉淀池、隔油池</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w:t>
                  </w:r>
                  <w:r>
                    <w:rPr>
                      <w:rFonts w:hint="default" w:ascii="Times New Roman" w:hAnsi="Times New Roman" w:eastAsia="宋体" w:cs="Times New Roman"/>
                      <w:caps w:val="0"/>
                      <w:smallCaps w:val="0"/>
                      <w:color w:val="auto"/>
                      <w:spacing w:val="0"/>
                      <w:w w:val="100"/>
                      <w:kern w:val="2"/>
                      <w:position w:val="0"/>
                      <w:sz w:val="21"/>
                      <w:szCs w:val="21"/>
                      <w:highlight w:val="none"/>
                    </w:rPr>
                    <w:t>施工期截流措施等，</w:t>
                  </w:r>
                  <w:r>
                    <w:rPr>
                      <w:rFonts w:hint="default" w:ascii="Times New Roman" w:hAnsi="Times New Roman" w:eastAsia="宋体" w:cs="Times New Roman"/>
                      <w:caps w:val="0"/>
                      <w:smallCaps w:val="0"/>
                      <w:color w:val="auto"/>
                      <w:spacing w:val="0"/>
                      <w:w w:val="100"/>
                      <w:kern w:val="2"/>
                      <w:position w:val="0"/>
                      <w:sz w:val="21"/>
                      <w:szCs w:val="24"/>
                      <w:highlight w:val="none"/>
                    </w:rPr>
                    <w:t>防雨、抑尘篷布等遮盖物品</w:t>
                  </w:r>
                </w:p>
              </w:tc>
              <w:tc>
                <w:tcPr>
                  <w:tcW w:w="860" w:type="pct"/>
                  <w:tcBorders>
                    <w:top w:val="single" w:color="auto" w:sz="12" w:space="0"/>
                    <w:tl2br w:val="nil"/>
                    <w:tr2bl w:val="nil"/>
                  </w:tcBorders>
                  <w:noWrap w:val="0"/>
                  <w:vAlign w:val="center"/>
                </w:tcPr>
                <w:p w14:paraId="112F0A77">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w:t>
                  </w:r>
                </w:p>
              </w:tc>
            </w:tr>
            <w:tr w14:paraId="537DB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436" w:type="pct"/>
                  <w:vMerge w:val="continue"/>
                  <w:tcBorders>
                    <w:tl2br w:val="nil"/>
                    <w:tr2bl w:val="nil"/>
                  </w:tcBorders>
                  <w:noWrap w:val="0"/>
                  <w:vAlign w:val="center"/>
                </w:tcPr>
                <w:p w14:paraId="0EB5A8C9">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p>
              </w:tc>
              <w:tc>
                <w:tcPr>
                  <w:tcW w:w="844" w:type="pct"/>
                  <w:tcBorders>
                    <w:tl2br w:val="nil"/>
                    <w:tr2bl w:val="nil"/>
                  </w:tcBorders>
                  <w:noWrap w:val="0"/>
                  <w:vAlign w:val="center"/>
                </w:tcPr>
                <w:p w14:paraId="095729F3">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大气</w:t>
                  </w:r>
                </w:p>
              </w:tc>
              <w:tc>
                <w:tcPr>
                  <w:tcW w:w="2859" w:type="pct"/>
                  <w:tcBorders>
                    <w:tl2br w:val="nil"/>
                    <w:tr2bl w:val="nil"/>
                  </w:tcBorders>
                  <w:noWrap w:val="0"/>
                  <w:vAlign w:val="center"/>
                </w:tcPr>
                <w:p w14:paraId="4C1B702F">
                  <w:pPr>
                    <w:pStyle w:val="73"/>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eastAsia="zh-CN"/>
                    </w:rPr>
                  </w:pPr>
                  <w:r>
                    <w:rPr>
                      <w:rFonts w:hint="default" w:ascii="Times New Roman" w:hAnsi="Times New Roman" w:eastAsia="宋体" w:cs="Times New Roman"/>
                      <w:caps w:val="0"/>
                      <w:smallCaps w:val="0"/>
                      <w:color w:val="auto"/>
                      <w:spacing w:val="0"/>
                      <w:w w:val="100"/>
                      <w:kern w:val="2"/>
                      <w:position w:val="0"/>
                      <w:sz w:val="21"/>
                      <w:szCs w:val="21"/>
                      <w:highlight w:val="none"/>
                    </w:rPr>
                    <w:t>施工现场</w:t>
                  </w:r>
                  <w:r>
                    <w:rPr>
                      <w:rFonts w:hint="eastAsia" w:ascii="Times New Roman" w:hAnsi="Times New Roman" w:eastAsia="宋体" w:cs="Times New Roman"/>
                      <w:caps w:val="0"/>
                      <w:smallCaps w:val="0"/>
                      <w:color w:val="auto"/>
                      <w:spacing w:val="0"/>
                      <w:w w:val="100"/>
                      <w:kern w:val="2"/>
                      <w:position w:val="0"/>
                      <w:sz w:val="21"/>
                      <w:szCs w:val="21"/>
                      <w:highlight w:val="none"/>
                      <w:lang w:eastAsia="zh-CN"/>
                    </w:rPr>
                    <w:t>围挡</w:t>
                  </w:r>
                  <w:r>
                    <w:rPr>
                      <w:rFonts w:hint="default" w:ascii="Times New Roman" w:hAnsi="Times New Roman" w:eastAsia="宋体" w:cs="Times New Roman"/>
                      <w:caps w:val="0"/>
                      <w:smallCaps w:val="0"/>
                      <w:color w:val="auto"/>
                      <w:spacing w:val="0"/>
                      <w:w w:val="100"/>
                      <w:kern w:val="2"/>
                      <w:position w:val="0"/>
                      <w:sz w:val="21"/>
                      <w:szCs w:val="21"/>
                      <w:highlight w:val="none"/>
                    </w:rPr>
                    <w:t>、物料堆放时加盖</w:t>
                  </w:r>
                  <w:r>
                    <w:rPr>
                      <w:rFonts w:hint="eastAsia" w:ascii="Times New Roman" w:hAnsi="Times New Roman" w:eastAsia="宋体" w:cs="Times New Roman"/>
                      <w:caps w:val="0"/>
                      <w:smallCaps w:val="0"/>
                      <w:color w:val="auto"/>
                      <w:spacing w:val="0"/>
                      <w:w w:val="100"/>
                      <w:kern w:val="2"/>
                      <w:position w:val="0"/>
                      <w:sz w:val="21"/>
                      <w:szCs w:val="21"/>
                      <w:highlight w:val="none"/>
                      <w:lang w:eastAsia="zh-CN"/>
                    </w:rPr>
                    <w:t>篷布</w:t>
                  </w:r>
                  <w:r>
                    <w:rPr>
                      <w:rFonts w:hint="default" w:ascii="Times New Roman" w:hAnsi="Times New Roman" w:eastAsia="宋体" w:cs="Times New Roman"/>
                      <w:caps w:val="0"/>
                      <w:smallCaps w:val="0"/>
                      <w:color w:val="auto"/>
                      <w:spacing w:val="0"/>
                      <w:w w:val="100"/>
                      <w:kern w:val="2"/>
                      <w:position w:val="0"/>
                      <w:sz w:val="21"/>
                      <w:szCs w:val="21"/>
                      <w:highlight w:val="none"/>
                    </w:rPr>
                    <w:t>、现场地面硬化处理、洒水车等</w:t>
                  </w:r>
                </w:p>
              </w:tc>
              <w:tc>
                <w:tcPr>
                  <w:tcW w:w="860" w:type="pct"/>
                  <w:tcBorders>
                    <w:tl2br w:val="nil"/>
                    <w:tr2bl w:val="nil"/>
                  </w:tcBorders>
                  <w:noWrap w:val="0"/>
                  <w:vAlign w:val="center"/>
                </w:tcPr>
                <w:p w14:paraId="18C7B885">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5</w:t>
                  </w:r>
                </w:p>
              </w:tc>
            </w:tr>
            <w:tr w14:paraId="5185F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6EEA0F32">
                  <w:pPr>
                    <w:pStyle w:val="73"/>
                    <w:pageBreakBefore w:val="0"/>
                    <w:widowControl w:val="0"/>
                    <w:wordWrap/>
                    <w:topLinePunct w:val="0"/>
                    <w:bidi w:val="0"/>
                    <w:spacing w:before="0" w:beforeAutospacing="0" w:afterAutospacing="0" w:line="240" w:lineRule="exact"/>
                    <w:ind w:left="0" w:leftChars="0" w:right="0" w:firstLine="420"/>
                    <w:jc w:val="center"/>
                    <w:rPr>
                      <w:rFonts w:hint="default" w:ascii="Times New Roman" w:hAnsi="Times New Roman" w:eastAsia="宋体" w:cs="Times New Roman"/>
                      <w:caps w:val="0"/>
                      <w:smallCaps w:val="0"/>
                      <w:color w:val="auto"/>
                      <w:spacing w:val="0"/>
                      <w:w w:val="100"/>
                      <w:kern w:val="2"/>
                      <w:position w:val="0"/>
                      <w:sz w:val="21"/>
                      <w:szCs w:val="21"/>
                      <w:highlight w:val="none"/>
                    </w:rPr>
                  </w:pPr>
                </w:p>
              </w:tc>
              <w:tc>
                <w:tcPr>
                  <w:tcW w:w="844" w:type="pct"/>
                  <w:tcBorders>
                    <w:tl2br w:val="nil"/>
                    <w:tr2bl w:val="nil"/>
                  </w:tcBorders>
                  <w:noWrap w:val="0"/>
                  <w:vAlign w:val="center"/>
                </w:tcPr>
                <w:p w14:paraId="36F1342B">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噪声</w:t>
                  </w:r>
                </w:p>
              </w:tc>
              <w:tc>
                <w:tcPr>
                  <w:tcW w:w="2859" w:type="pct"/>
                  <w:tcBorders>
                    <w:tl2br w:val="nil"/>
                    <w:tr2bl w:val="nil"/>
                  </w:tcBorders>
                  <w:noWrap w:val="0"/>
                  <w:vAlign w:val="center"/>
                </w:tcPr>
                <w:p w14:paraId="16E742B5">
                  <w:pPr>
                    <w:pStyle w:val="73"/>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合理安排施工作业时间；选用低噪声、低</w:t>
                  </w:r>
                  <w:r>
                    <w:rPr>
                      <w:rFonts w:hint="eastAsia" w:ascii="Times New Roman" w:hAnsi="Times New Roman" w:eastAsia="宋体" w:cs="Times New Roman"/>
                      <w:caps w:val="0"/>
                      <w:smallCaps w:val="0"/>
                      <w:color w:val="auto"/>
                      <w:spacing w:val="0"/>
                      <w:w w:val="100"/>
                      <w:kern w:val="2"/>
                      <w:position w:val="0"/>
                      <w:sz w:val="21"/>
                      <w:szCs w:val="21"/>
                      <w:highlight w:val="none"/>
                      <w:lang w:eastAsia="zh-CN"/>
                    </w:rPr>
                    <w:t>振动</w:t>
                  </w:r>
                  <w:r>
                    <w:rPr>
                      <w:rFonts w:hint="default" w:ascii="Times New Roman" w:hAnsi="Times New Roman" w:eastAsia="宋体" w:cs="Times New Roman"/>
                      <w:caps w:val="0"/>
                      <w:smallCaps w:val="0"/>
                      <w:color w:val="auto"/>
                      <w:spacing w:val="0"/>
                      <w:w w:val="100"/>
                      <w:kern w:val="2"/>
                      <w:position w:val="0"/>
                      <w:sz w:val="21"/>
                      <w:szCs w:val="21"/>
                      <w:highlight w:val="none"/>
                    </w:rPr>
                    <w:t>的机械设备，注意施工机械的保养；施工机械操作人员现场监理人员防护</w:t>
                  </w:r>
                </w:p>
              </w:tc>
              <w:tc>
                <w:tcPr>
                  <w:tcW w:w="860" w:type="pct"/>
                  <w:tcBorders>
                    <w:tl2br w:val="nil"/>
                    <w:tr2bl w:val="nil"/>
                  </w:tcBorders>
                  <w:noWrap w:val="0"/>
                  <w:vAlign w:val="center"/>
                </w:tcPr>
                <w:p w14:paraId="01586BE0">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w:t>
                  </w:r>
                </w:p>
              </w:tc>
            </w:tr>
            <w:tr w14:paraId="27DEA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0982163D">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p>
              </w:tc>
              <w:tc>
                <w:tcPr>
                  <w:tcW w:w="844" w:type="pct"/>
                  <w:tcBorders>
                    <w:tl2br w:val="nil"/>
                    <w:tr2bl w:val="nil"/>
                  </w:tcBorders>
                  <w:noWrap w:val="0"/>
                  <w:vAlign w:val="center"/>
                </w:tcPr>
                <w:p w14:paraId="2048B4AD">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固体废弃物</w:t>
                  </w:r>
                </w:p>
              </w:tc>
              <w:tc>
                <w:tcPr>
                  <w:tcW w:w="2859" w:type="pct"/>
                  <w:tcBorders>
                    <w:tl2br w:val="nil"/>
                    <w:tr2bl w:val="nil"/>
                  </w:tcBorders>
                  <w:noWrap w:val="0"/>
                  <w:vAlign w:val="center"/>
                </w:tcPr>
                <w:p w14:paraId="6E08FC65">
                  <w:pPr>
                    <w:pStyle w:val="73"/>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施工期</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弃土</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就近回用，多余弃土和废弃沥青混凝土块一起运至主管部门指定弃土场处置</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；建筑垃圾运至附近建筑垃圾填埋场；项目施工期及运营期生活垃圾集中收集后交</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bidi="ar"/>
                    </w:rPr>
                    <w:t>轮台县</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城生活垃圾填埋场填埋处置</w:t>
                  </w:r>
                </w:p>
              </w:tc>
              <w:tc>
                <w:tcPr>
                  <w:tcW w:w="860" w:type="pct"/>
                  <w:tcBorders>
                    <w:tl2br w:val="nil"/>
                    <w:tr2bl w:val="nil"/>
                  </w:tcBorders>
                  <w:noWrap w:val="0"/>
                  <w:vAlign w:val="center"/>
                </w:tcPr>
                <w:p w14:paraId="49403991">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10</w:t>
                  </w:r>
                </w:p>
              </w:tc>
            </w:tr>
            <w:tr w14:paraId="5D14F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436" w:type="pct"/>
                  <w:vMerge w:val="continue"/>
                  <w:tcBorders>
                    <w:tl2br w:val="nil"/>
                    <w:tr2bl w:val="nil"/>
                  </w:tcBorders>
                  <w:noWrap w:val="0"/>
                  <w:vAlign w:val="center"/>
                </w:tcPr>
                <w:p w14:paraId="4D3CE903">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p>
              </w:tc>
              <w:tc>
                <w:tcPr>
                  <w:tcW w:w="844" w:type="pct"/>
                  <w:tcBorders>
                    <w:tl2br w:val="nil"/>
                    <w:tr2bl w:val="nil"/>
                  </w:tcBorders>
                  <w:noWrap w:val="0"/>
                  <w:vAlign w:val="center"/>
                </w:tcPr>
                <w:p w14:paraId="255643A9">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生态环境</w:t>
                  </w:r>
                </w:p>
              </w:tc>
              <w:tc>
                <w:tcPr>
                  <w:tcW w:w="2859" w:type="pct"/>
                  <w:tcBorders>
                    <w:tl2br w:val="nil"/>
                    <w:tr2bl w:val="nil"/>
                  </w:tcBorders>
                  <w:noWrap w:val="0"/>
                  <w:vAlign w:val="center"/>
                </w:tcPr>
                <w:p w14:paraId="15126410">
                  <w:pPr>
                    <w:pStyle w:val="73"/>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临时用地生态恢复费用、水土保持费用</w:t>
                  </w:r>
                </w:p>
              </w:tc>
              <w:tc>
                <w:tcPr>
                  <w:tcW w:w="860" w:type="pct"/>
                  <w:tcBorders>
                    <w:tl2br w:val="nil"/>
                    <w:tr2bl w:val="nil"/>
                  </w:tcBorders>
                  <w:noWrap w:val="0"/>
                  <w:vAlign w:val="center"/>
                </w:tcPr>
                <w:p w14:paraId="2F9AF028">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w:t>
                  </w:r>
                </w:p>
              </w:tc>
            </w:tr>
            <w:tr w14:paraId="2277B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436" w:type="pct"/>
                  <w:vMerge w:val="continue"/>
                  <w:tcBorders>
                    <w:tl2br w:val="nil"/>
                    <w:tr2bl w:val="nil"/>
                  </w:tcBorders>
                  <w:noWrap w:val="0"/>
                  <w:vAlign w:val="center"/>
                </w:tcPr>
                <w:p w14:paraId="57A2EDE0">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p>
              </w:tc>
              <w:tc>
                <w:tcPr>
                  <w:tcW w:w="844" w:type="pct"/>
                  <w:tcBorders>
                    <w:tl2br w:val="nil"/>
                    <w:tr2bl w:val="nil"/>
                  </w:tcBorders>
                  <w:noWrap w:val="0"/>
                  <w:vAlign w:val="center"/>
                </w:tcPr>
                <w:p w14:paraId="0E383245">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环境风险</w:t>
                  </w:r>
                </w:p>
              </w:tc>
              <w:tc>
                <w:tcPr>
                  <w:tcW w:w="2859" w:type="pct"/>
                  <w:tcBorders>
                    <w:tl2br w:val="nil"/>
                    <w:tr2bl w:val="nil"/>
                  </w:tcBorders>
                  <w:noWrap w:val="0"/>
                  <w:vAlign w:val="center"/>
                </w:tcPr>
                <w:p w14:paraId="2322A55A">
                  <w:pPr>
                    <w:pStyle w:val="73"/>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桥面径流导排系统及应急事故池、防撞护栏</w:t>
                  </w:r>
                </w:p>
              </w:tc>
              <w:tc>
                <w:tcPr>
                  <w:tcW w:w="860" w:type="pct"/>
                  <w:tcBorders>
                    <w:tl2br w:val="nil"/>
                    <w:tr2bl w:val="nil"/>
                  </w:tcBorders>
                  <w:noWrap w:val="0"/>
                  <w:vAlign w:val="center"/>
                </w:tcPr>
                <w:p w14:paraId="66BDE568">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3</w:t>
                  </w:r>
                </w:p>
              </w:tc>
            </w:tr>
            <w:tr w14:paraId="3B271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53217845">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p>
              </w:tc>
              <w:tc>
                <w:tcPr>
                  <w:tcW w:w="844" w:type="pct"/>
                  <w:tcBorders>
                    <w:tl2br w:val="nil"/>
                    <w:tr2bl w:val="nil"/>
                  </w:tcBorders>
                  <w:noWrap w:val="0"/>
                  <w:vAlign w:val="center"/>
                </w:tcPr>
                <w:p w14:paraId="0F03CB90">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环境监测</w:t>
                  </w:r>
                </w:p>
              </w:tc>
              <w:tc>
                <w:tcPr>
                  <w:tcW w:w="2859" w:type="pct"/>
                  <w:tcBorders>
                    <w:tl2br w:val="nil"/>
                    <w:tr2bl w:val="nil"/>
                  </w:tcBorders>
                  <w:noWrap w:val="0"/>
                  <w:vAlign w:val="center"/>
                </w:tcPr>
                <w:p w14:paraId="6A38C939">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施工期环境监测</w:t>
                  </w:r>
                </w:p>
              </w:tc>
              <w:tc>
                <w:tcPr>
                  <w:tcW w:w="860" w:type="pct"/>
                  <w:tcBorders>
                    <w:tl2br w:val="nil"/>
                    <w:tr2bl w:val="nil"/>
                  </w:tcBorders>
                  <w:noWrap w:val="0"/>
                  <w:vAlign w:val="center"/>
                </w:tcPr>
                <w:p w14:paraId="751B49CB">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w:t>
                  </w:r>
                </w:p>
              </w:tc>
            </w:tr>
            <w:tr w14:paraId="10765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restart"/>
                  <w:tcBorders>
                    <w:tl2br w:val="nil"/>
                    <w:tr2bl w:val="nil"/>
                  </w:tcBorders>
                  <w:noWrap w:val="0"/>
                  <w:vAlign w:val="center"/>
                </w:tcPr>
                <w:p w14:paraId="0B4D5F36">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运营期</w:t>
                  </w:r>
                </w:p>
              </w:tc>
              <w:tc>
                <w:tcPr>
                  <w:tcW w:w="844" w:type="pct"/>
                  <w:tcBorders>
                    <w:tl2br w:val="nil"/>
                    <w:tr2bl w:val="nil"/>
                  </w:tcBorders>
                  <w:noWrap w:val="0"/>
                  <w:vAlign w:val="center"/>
                </w:tcPr>
                <w:p w14:paraId="297E4FDD">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大气</w:t>
                  </w:r>
                </w:p>
              </w:tc>
              <w:tc>
                <w:tcPr>
                  <w:tcW w:w="2859" w:type="pct"/>
                  <w:tcBorders>
                    <w:tl2br w:val="nil"/>
                    <w:tr2bl w:val="nil"/>
                  </w:tcBorders>
                  <w:noWrap w:val="0"/>
                  <w:vAlign w:val="center"/>
                </w:tcPr>
                <w:p w14:paraId="195E12CB">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绿化、道路维护、保养等</w:t>
                  </w:r>
                </w:p>
              </w:tc>
              <w:tc>
                <w:tcPr>
                  <w:tcW w:w="860" w:type="pct"/>
                  <w:tcBorders>
                    <w:tl2br w:val="nil"/>
                    <w:tr2bl w:val="nil"/>
                  </w:tcBorders>
                  <w:noWrap w:val="0"/>
                  <w:vAlign w:val="center"/>
                </w:tcPr>
                <w:p w14:paraId="285B2861">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eastAsia" w:ascii="Times New Roman" w:hAnsi="Times New Roman" w:eastAsia="宋体" w:cs="Times New Roman"/>
                      <w:caps w:val="0"/>
                      <w:smallCaps w:val="0"/>
                      <w:color w:val="auto"/>
                      <w:spacing w:val="0"/>
                      <w:w w:val="100"/>
                      <w:kern w:val="2"/>
                      <w:position w:val="0"/>
                      <w:sz w:val="21"/>
                      <w:szCs w:val="21"/>
                      <w:highlight w:val="none"/>
                      <w:lang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w:t>
                  </w:r>
                </w:p>
              </w:tc>
            </w:tr>
            <w:tr w14:paraId="4331A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293D8A4B">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p>
              </w:tc>
              <w:tc>
                <w:tcPr>
                  <w:tcW w:w="844" w:type="pct"/>
                  <w:tcBorders>
                    <w:tl2br w:val="nil"/>
                    <w:tr2bl w:val="nil"/>
                  </w:tcBorders>
                  <w:noWrap w:val="0"/>
                  <w:vAlign w:val="center"/>
                </w:tcPr>
                <w:p w14:paraId="3FE1E855">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噪声</w:t>
                  </w:r>
                </w:p>
              </w:tc>
              <w:tc>
                <w:tcPr>
                  <w:tcW w:w="2859" w:type="pct"/>
                  <w:tcBorders>
                    <w:tl2br w:val="nil"/>
                    <w:tr2bl w:val="nil"/>
                  </w:tcBorders>
                  <w:noWrap w:val="0"/>
                  <w:vAlign w:val="center"/>
                </w:tcPr>
                <w:p w14:paraId="508A8BC9">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加强路面维护保养，提高车辆通行能力和行车的平稳性、设置交通标志</w:t>
                  </w:r>
                </w:p>
              </w:tc>
              <w:tc>
                <w:tcPr>
                  <w:tcW w:w="860" w:type="pct"/>
                  <w:tcBorders>
                    <w:tl2br w:val="nil"/>
                    <w:tr2bl w:val="nil"/>
                  </w:tcBorders>
                  <w:noWrap w:val="0"/>
                  <w:vAlign w:val="center"/>
                </w:tcPr>
                <w:p w14:paraId="70AC02C4">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eastAsia" w:ascii="Times New Roman" w:hAnsi="Times New Roman" w:eastAsia="宋体" w:cs="Times New Roman"/>
                      <w:caps w:val="0"/>
                      <w:smallCaps w:val="0"/>
                      <w:color w:val="auto"/>
                      <w:spacing w:val="0"/>
                      <w:w w:val="100"/>
                      <w:kern w:val="2"/>
                      <w:position w:val="0"/>
                      <w:sz w:val="21"/>
                      <w:szCs w:val="21"/>
                      <w:highlight w:val="none"/>
                      <w:lang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1</w:t>
                  </w:r>
                </w:p>
              </w:tc>
            </w:tr>
            <w:tr w14:paraId="1B401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1B0D18F0">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p>
              </w:tc>
              <w:tc>
                <w:tcPr>
                  <w:tcW w:w="844" w:type="pct"/>
                  <w:tcBorders>
                    <w:tl2br w:val="nil"/>
                    <w:tr2bl w:val="nil"/>
                  </w:tcBorders>
                  <w:noWrap w:val="0"/>
                  <w:vAlign w:val="center"/>
                </w:tcPr>
                <w:p w14:paraId="0248F792">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环境监测</w:t>
                  </w:r>
                </w:p>
              </w:tc>
              <w:tc>
                <w:tcPr>
                  <w:tcW w:w="2859" w:type="pct"/>
                  <w:tcBorders>
                    <w:tl2br w:val="nil"/>
                    <w:tr2bl w:val="nil"/>
                  </w:tcBorders>
                  <w:noWrap w:val="0"/>
                  <w:vAlign w:val="center"/>
                </w:tcPr>
                <w:p w14:paraId="6C8BE14D">
                  <w:pPr>
                    <w:pStyle w:val="73"/>
                    <w:pageBreakBefore w:val="0"/>
                    <w:wordWrap/>
                    <w:topLinePunct w:val="0"/>
                    <w:bidi w:val="0"/>
                    <w:spacing w:before="0" w:beforeAutospacing="0" w:afterAutospacing="0" w:line="240" w:lineRule="exact"/>
                    <w:ind w:left="0" w:leftChars="0" w:right="0" w:firstLine="42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运营期生态监测</w:t>
                  </w:r>
                </w:p>
              </w:tc>
              <w:tc>
                <w:tcPr>
                  <w:tcW w:w="860" w:type="pct"/>
                  <w:tcBorders>
                    <w:tl2br w:val="nil"/>
                    <w:tr2bl w:val="nil"/>
                  </w:tcBorders>
                  <w:noWrap w:val="0"/>
                  <w:vAlign w:val="center"/>
                </w:tcPr>
                <w:p w14:paraId="65F124E1">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w:t>
                  </w:r>
                </w:p>
              </w:tc>
            </w:tr>
            <w:tr w14:paraId="1F920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139" w:type="pct"/>
                  <w:gridSpan w:val="3"/>
                  <w:tcBorders>
                    <w:tl2br w:val="nil"/>
                    <w:tr2bl w:val="nil"/>
                  </w:tcBorders>
                  <w:noWrap w:val="0"/>
                  <w:vAlign w:val="center"/>
                </w:tcPr>
                <w:p w14:paraId="0EAEEA2A">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总计</w:t>
                  </w:r>
                </w:p>
              </w:tc>
              <w:tc>
                <w:tcPr>
                  <w:tcW w:w="860" w:type="pct"/>
                  <w:tcBorders>
                    <w:tl2br w:val="nil"/>
                    <w:tr2bl w:val="nil"/>
                  </w:tcBorders>
                  <w:noWrap w:val="0"/>
                  <w:vAlign w:val="center"/>
                </w:tcPr>
                <w:p w14:paraId="0273F74F">
                  <w:pPr>
                    <w:pStyle w:val="73"/>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31</w:t>
                  </w:r>
                </w:p>
              </w:tc>
            </w:tr>
          </w:tbl>
          <w:p w14:paraId="1F5ECFF2">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38691D7">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AAC4CAB">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155D814">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56633F0">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98D38FB">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F1953B0">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2FD485F">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EAF9993">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03923CF5">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AC9E9B8">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4FEEC62">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7242DFA">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88F5E01">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6EA39C7">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D27A8AE">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6F8C06B">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6D593D2">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0C5F3E0">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0D73894E">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0D8D9A1D">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37CA4F4">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BD6BD1E">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0BC3D79">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FB30893">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248A511">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437518A6">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0F01A85A">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4C941B6">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400B819">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DC2D537">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7694F49">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988838A">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F4B5F7C">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6224D10">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5323D46">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8CB4F8A">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7DEF98A">
            <w:pPr>
              <w:pageBreakBefore w:val="0"/>
              <w:wordWrap/>
              <w:topLinePunct w:val="0"/>
              <w:bidi w:val="0"/>
              <w:adjustRightInd w:val="0"/>
              <w:snapToGrid w:val="0"/>
              <w:spacing w:beforeAutospacing="0" w:afterAutospacing="0"/>
              <w:ind w:left="0" w:leftChars="0" w:right="0"/>
              <w:rPr>
                <w:rFonts w:hint="default" w:ascii="Times New Roman" w:hAnsi="Times New Roman" w:cs="Times New Roman"/>
                <w:bCs/>
                <w:caps w:val="0"/>
                <w:smallCaps w:val="0"/>
                <w:color w:val="auto"/>
                <w:spacing w:val="0"/>
                <w:w w:val="100"/>
                <w:kern w:val="2"/>
                <w:position w:val="0"/>
                <w:sz w:val="24"/>
                <w:szCs w:val="24"/>
                <w:highlight w:val="none"/>
              </w:rPr>
            </w:pPr>
          </w:p>
        </w:tc>
      </w:tr>
    </w:tbl>
    <w:p w14:paraId="3D6C964E">
      <w:pPr>
        <w:pageBreakBefore w:val="0"/>
        <w:wordWrap/>
        <w:topLinePunct w:val="0"/>
        <w:bidi w:val="0"/>
        <w:spacing w:beforeAutospacing="0" w:afterAutospacing="0"/>
        <w:ind w:left="0" w:leftChars="0" w:right="0"/>
        <w:rPr>
          <w:rFonts w:hint="default" w:ascii="Times New Roman" w:hAnsi="Times New Roman" w:cs="Times New Roman"/>
          <w:caps w:val="0"/>
          <w:smallCaps w:val="0"/>
          <w:color w:val="auto"/>
          <w:spacing w:val="0"/>
          <w:w w:val="100"/>
          <w:kern w:val="2"/>
          <w:position w:val="0"/>
          <w:highlight w:val="none"/>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14:paraId="7229CAA6">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bookmarkStart w:id="22" w:name="_Toc8544"/>
      <w:r>
        <w:rPr>
          <w:rFonts w:hint="default" w:ascii="Times New Roman" w:hAnsi="Times New Roman" w:eastAsia="黑体" w:cs="Times New Roman"/>
          <w:caps w:val="0"/>
          <w:smallCaps w:val="0"/>
          <w:snapToGrid w:val="0"/>
          <w:color w:val="auto"/>
          <w:spacing w:val="0"/>
          <w:w w:val="100"/>
          <w:kern w:val="2"/>
          <w:position w:val="0"/>
          <w:sz w:val="30"/>
          <w:szCs w:val="30"/>
          <w:highlight w:val="none"/>
        </w:rPr>
        <w:t>六、生态环境保护措施监督检查清单</w:t>
      </w:r>
      <w:bookmarkEnd w:id="22"/>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889"/>
        <w:gridCol w:w="2426"/>
        <w:gridCol w:w="1701"/>
        <w:gridCol w:w="1836"/>
      </w:tblGrid>
      <w:tr w14:paraId="48A18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0" w:hRule="atLeast"/>
          <w:jc w:val="center"/>
        </w:trPr>
        <w:tc>
          <w:tcPr>
            <w:tcW w:w="393" w:type="pct"/>
            <w:vMerge w:val="restart"/>
            <w:tcBorders>
              <w:tl2br w:val="nil"/>
              <w:tr2bl w:val="nil"/>
            </w:tcBorders>
            <w:noWrap w:val="0"/>
            <w:vAlign w:val="center"/>
          </w:tcPr>
          <w:p w14:paraId="7806F0DA">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内容</w:t>
            </w:r>
          </w:p>
          <w:p w14:paraId="2BFEF646">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要素</w:t>
            </w:r>
          </w:p>
        </w:tc>
        <w:tc>
          <w:tcPr>
            <w:tcW w:w="2531" w:type="pct"/>
            <w:gridSpan w:val="2"/>
            <w:tcBorders>
              <w:tl2br w:val="nil"/>
              <w:tr2bl w:val="nil"/>
            </w:tcBorders>
            <w:noWrap w:val="0"/>
            <w:vAlign w:val="center"/>
          </w:tcPr>
          <w:p w14:paraId="0901286B">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施工期</w:t>
            </w:r>
          </w:p>
        </w:tc>
        <w:tc>
          <w:tcPr>
            <w:tcW w:w="2075" w:type="pct"/>
            <w:gridSpan w:val="2"/>
            <w:tcBorders>
              <w:tl2br w:val="nil"/>
              <w:tr2bl w:val="nil"/>
            </w:tcBorders>
            <w:noWrap w:val="0"/>
            <w:vAlign w:val="center"/>
          </w:tcPr>
          <w:p w14:paraId="2D9BD614">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运营期</w:t>
            </w:r>
          </w:p>
        </w:tc>
      </w:tr>
      <w:tr w14:paraId="47117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93" w:type="pct"/>
            <w:vMerge w:val="continue"/>
            <w:tcBorders>
              <w:tl2br w:val="nil"/>
              <w:tr2bl w:val="nil"/>
            </w:tcBorders>
            <w:noWrap w:val="0"/>
            <w:vAlign w:val="center"/>
          </w:tcPr>
          <w:p w14:paraId="31F2CC0E">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84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p>
        </w:tc>
        <w:tc>
          <w:tcPr>
            <w:tcW w:w="1108" w:type="pct"/>
            <w:tcBorders>
              <w:tl2br w:val="nil"/>
              <w:tr2bl w:val="nil"/>
            </w:tcBorders>
            <w:noWrap w:val="0"/>
            <w:vAlign w:val="center"/>
          </w:tcPr>
          <w:p w14:paraId="7238BDD8">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环境保护措施</w:t>
            </w:r>
          </w:p>
        </w:tc>
        <w:tc>
          <w:tcPr>
            <w:tcW w:w="1423" w:type="pct"/>
            <w:tcBorders>
              <w:tl2br w:val="nil"/>
              <w:tr2bl w:val="nil"/>
            </w:tcBorders>
            <w:noWrap w:val="0"/>
            <w:vAlign w:val="center"/>
          </w:tcPr>
          <w:p w14:paraId="5F6CF038">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验收要求</w:t>
            </w:r>
          </w:p>
        </w:tc>
        <w:tc>
          <w:tcPr>
            <w:tcW w:w="998" w:type="pct"/>
            <w:tcBorders>
              <w:tl2br w:val="nil"/>
              <w:tr2bl w:val="nil"/>
            </w:tcBorders>
            <w:noWrap w:val="0"/>
            <w:vAlign w:val="center"/>
          </w:tcPr>
          <w:p w14:paraId="3174EA49">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环境保护措施</w:t>
            </w:r>
          </w:p>
        </w:tc>
        <w:tc>
          <w:tcPr>
            <w:tcW w:w="1077" w:type="pct"/>
            <w:tcBorders>
              <w:tl2br w:val="nil"/>
              <w:tr2bl w:val="nil"/>
            </w:tcBorders>
            <w:noWrap w:val="0"/>
            <w:vAlign w:val="center"/>
          </w:tcPr>
          <w:p w14:paraId="2C4D8245">
            <w:pPr>
              <w:pStyle w:val="24"/>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验收要求</w:t>
            </w:r>
          </w:p>
        </w:tc>
      </w:tr>
      <w:tr w14:paraId="645C8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l2br w:val="nil"/>
              <w:tr2bl w:val="nil"/>
            </w:tcBorders>
            <w:noWrap w:val="0"/>
            <w:vAlign w:val="center"/>
          </w:tcPr>
          <w:p w14:paraId="06EC5E35">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陆生生态</w:t>
            </w:r>
          </w:p>
        </w:tc>
        <w:tc>
          <w:tcPr>
            <w:tcW w:w="1108" w:type="pct"/>
            <w:tcBorders>
              <w:tl2br w:val="nil"/>
              <w:tr2bl w:val="nil"/>
            </w:tcBorders>
            <w:noWrap w:val="0"/>
            <w:vAlign w:val="center"/>
          </w:tcPr>
          <w:p w14:paraId="023F0ACD">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路基、施工场地</w:t>
            </w:r>
            <w:r>
              <w:rPr>
                <w:rFonts w:hint="default" w:ascii="Times New Roman" w:hAnsi="Times New Roman" w:eastAsia="宋体" w:cs="Times New Roman"/>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施工</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便道</w:t>
            </w:r>
            <w:r>
              <w:rPr>
                <w:rFonts w:hint="default" w:ascii="Times New Roman" w:hAnsi="Times New Roman" w:eastAsia="宋体" w:cs="Times New Roman"/>
                <w:caps w:val="0"/>
                <w:smallCaps w:val="0"/>
                <w:color w:val="auto"/>
                <w:spacing w:val="0"/>
                <w:w w:val="100"/>
                <w:kern w:val="2"/>
                <w:position w:val="0"/>
                <w:sz w:val="21"/>
                <w:szCs w:val="21"/>
                <w:highlight w:val="none"/>
              </w:rPr>
              <w:t>、水土流失防治等生态恢复措施</w:t>
            </w:r>
          </w:p>
        </w:tc>
        <w:tc>
          <w:tcPr>
            <w:tcW w:w="1423" w:type="pct"/>
            <w:tcBorders>
              <w:tl2br w:val="nil"/>
              <w:tr2bl w:val="nil"/>
            </w:tcBorders>
            <w:noWrap w:val="0"/>
            <w:vAlign w:val="center"/>
          </w:tcPr>
          <w:p w14:paraId="64AD4805">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减少水土流失、植被破坏现象</w:t>
            </w:r>
          </w:p>
        </w:tc>
        <w:tc>
          <w:tcPr>
            <w:tcW w:w="998" w:type="pct"/>
            <w:tcBorders>
              <w:tl2br w:val="nil"/>
              <w:tr2bl w:val="nil"/>
            </w:tcBorders>
            <w:noWrap w:val="0"/>
            <w:vAlign w:val="center"/>
          </w:tcPr>
          <w:p w14:paraId="070CE983">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加强</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生态</w:t>
            </w:r>
            <w:r>
              <w:rPr>
                <w:rFonts w:hint="default" w:ascii="Times New Roman" w:hAnsi="Times New Roman" w:eastAsia="宋体" w:cs="Times New Roman"/>
                <w:caps w:val="0"/>
                <w:smallCaps w:val="0"/>
                <w:color w:val="auto"/>
                <w:spacing w:val="0"/>
                <w:w w:val="100"/>
                <w:kern w:val="2"/>
                <w:position w:val="0"/>
                <w:sz w:val="21"/>
                <w:szCs w:val="21"/>
                <w:highlight w:val="none"/>
              </w:rPr>
              <w:t>保护工作</w:t>
            </w:r>
          </w:p>
        </w:tc>
        <w:tc>
          <w:tcPr>
            <w:tcW w:w="1077" w:type="pct"/>
            <w:tcBorders>
              <w:tl2br w:val="nil"/>
              <w:tr2bl w:val="nil"/>
            </w:tcBorders>
            <w:noWrap w:val="0"/>
            <w:vAlign w:val="center"/>
          </w:tcPr>
          <w:p w14:paraId="27334E5B">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植被恢复情况良好</w:t>
            </w:r>
          </w:p>
        </w:tc>
      </w:tr>
      <w:tr w14:paraId="4E3DE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l2br w:val="nil"/>
              <w:tr2bl w:val="nil"/>
            </w:tcBorders>
            <w:noWrap w:val="0"/>
            <w:vAlign w:val="center"/>
          </w:tcPr>
          <w:p w14:paraId="3F5861A1">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水生生态</w:t>
            </w:r>
          </w:p>
        </w:tc>
        <w:tc>
          <w:tcPr>
            <w:tcW w:w="1108" w:type="pct"/>
            <w:tcBorders>
              <w:tl2br w:val="nil"/>
              <w:tr2bl w:val="nil"/>
            </w:tcBorders>
            <w:noWrap w:val="0"/>
            <w:vAlign w:val="center"/>
          </w:tcPr>
          <w:p w14:paraId="40AEE94D">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67A5412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7232A340">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3EFBEBCB">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7C4E9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3E75242B">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地表水环境</w:t>
            </w:r>
          </w:p>
        </w:tc>
        <w:tc>
          <w:tcPr>
            <w:tcW w:w="1108" w:type="pct"/>
            <w:tcBorders>
              <w:tl2br w:val="nil"/>
              <w:tr2bl w:val="nil"/>
            </w:tcBorders>
            <w:noWrap w:val="0"/>
            <w:vAlign w:val="center"/>
          </w:tcPr>
          <w:p w14:paraId="33BFDF7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施工场地产生的生产废水沉淀后回用施工生产；</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项目区内不设置施工生产生活区</w:t>
            </w:r>
          </w:p>
        </w:tc>
        <w:tc>
          <w:tcPr>
            <w:tcW w:w="1423" w:type="pct"/>
            <w:tcBorders>
              <w:tl2br w:val="nil"/>
              <w:tr2bl w:val="nil"/>
            </w:tcBorders>
            <w:noWrap w:val="0"/>
            <w:vAlign w:val="center"/>
          </w:tcPr>
          <w:p w14:paraId="507C88A6">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废水妥善处置，禁止废水进入地表水体</w:t>
            </w:r>
          </w:p>
        </w:tc>
        <w:tc>
          <w:tcPr>
            <w:tcW w:w="998" w:type="pct"/>
            <w:tcBorders>
              <w:tl2br w:val="nil"/>
              <w:tr2bl w:val="nil"/>
            </w:tcBorders>
            <w:noWrap w:val="0"/>
            <w:vAlign w:val="center"/>
          </w:tcPr>
          <w:p w14:paraId="3C2AC580">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路基两侧设置排水设施</w:t>
            </w:r>
          </w:p>
        </w:tc>
        <w:tc>
          <w:tcPr>
            <w:tcW w:w="1077" w:type="pct"/>
            <w:tcBorders>
              <w:tl2br w:val="nil"/>
              <w:tr2bl w:val="nil"/>
            </w:tcBorders>
            <w:noWrap w:val="0"/>
            <w:vAlign w:val="center"/>
          </w:tcPr>
          <w:p w14:paraId="7861EC4D">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对周边水环境影响不大</w:t>
            </w:r>
          </w:p>
        </w:tc>
      </w:tr>
      <w:tr w14:paraId="6E3F6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2E391457">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地下水及土壤环境</w:t>
            </w:r>
          </w:p>
        </w:tc>
        <w:tc>
          <w:tcPr>
            <w:tcW w:w="1108" w:type="pct"/>
            <w:tcBorders>
              <w:tl2br w:val="nil"/>
              <w:tr2bl w:val="nil"/>
            </w:tcBorders>
            <w:noWrap w:val="0"/>
            <w:vAlign w:val="center"/>
          </w:tcPr>
          <w:p w14:paraId="16C13AFA">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52B345FC">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6A6DE519">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5A0AEA05">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0B5FA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5A27D17C">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声环境</w:t>
            </w:r>
          </w:p>
        </w:tc>
        <w:tc>
          <w:tcPr>
            <w:tcW w:w="1108" w:type="pct"/>
            <w:tcBorders>
              <w:tl2br w:val="nil"/>
              <w:tr2bl w:val="nil"/>
            </w:tcBorders>
            <w:noWrap w:val="0"/>
            <w:vAlign w:val="center"/>
          </w:tcPr>
          <w:p w14:paraId="64F2EE3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合理安排施工作业时间；选用低噪声、低</w:t>
            </w:r>
            <w:r>
              <w:rPr>
                <w:rFonts w:hint="eastAsia" w:ascii="Times New Roman" w:hAnsi="Times New Roman" w:eastAsia="宋体" w:cs="Times New Roman"/>
                <w:caps w:val="0"/>
                <w:smallCaps w:val="0"/>
                <w:color w:val="auto"/>
                <w:spacing w:val="0"/>
                <w:w w:val="100"/>
                <w:kern w:val="2"/>
                <w:position w:val="0"/>
                <w:sz w:val="21"/>
                <w:szCs w:val="21"/>
                <w:highlight w:val="none"/>
                <w:lang w:eastAsia="zh-CN"/>
              </w:rPr>
              <w:t>振动</w:t>
            </w:r>
            <w:r>
              <w:rPr>
                <w:rFonts w:hint="default" w:ascii="Times New Roman" w:hAnsi="Times New Roman" w:eastAsia="宋体" w:cs="Times New Roman"/>
                <w:caps w:val="0"/>
                <w:smallCaps w:val="0"/>
                <w:color w:val="auto"/>
                <w:spacing w:val="0"/>
                <w:w w:val="100"/>
                <w:kern w:val="2"/>
                <w:position w:val="0"/>
                <w:sz w:val="21"/>
                <w:szCs w:val="21"/>
                <w:highlight w:val="none"/>
              </w:rPr>
              <w:t>的机械设备，注意施工机械的保养；施工机械操作人员现场监理人员防护</w:t>
            </w:r>
          </w:p>
        </w:tc>
        <w:tc>
          <w:tcPr>
            <w:tcW w:w="1423" w:type="pct"/>
            <w:tcBorders>
              <w:tl2br w:val="nil"/>
              <w:tr2bl w:val="nil"/>
            </w:tcBorders>
            <w:noWrap w:val="0"/>
            <w:vAlign w:val="center"/>
          </w:tcPr>
          <w:p w14:paraId="5D0793A7">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满足</w:t>
            </w:r>
            <w:r>
              <w:rPr>
                <w:rFonts w:hint="eastAsia" w:cs="Times New Roman"/>
                <w:caps w:val="0"/>
                <w:smallCaps w:val="0"/>
                <w:color w:val="auto"/>
                <w:spacing w:val="0"/>
                <w:w w:val="100"/>
                <w:kern w:val="2"/>
                <w:position w:val="0"/>
                <w:sz w:val="21"/>
                <w:szCs w:val="21"/>
                <w:highlight w:val="none"/>
                <w:lang w:eastAsia="zh-CN"/>
              </w:rPr>
              <w:t>《建筑施工噪声排放标准》（GB12523-2025）</w:t>
            </w:r>
          </w:p>
        </w:tc>
        <w:tc>
          <w:tcPr>
            <w:tcW w:w="998" w:type="pct"/>
            <w:tcBorders>
              <w:tl2br w:val="nil"/>
              <w:tr2bl w:val="nil"/>
            </w:tcBorders>
            <w:noWrap w:val="0"/>
            <w:vAlign w:val="center"/>
          </w:tcPr>
          <w:p w14:paraId="36E50763">
            <w:pPr>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选用低噪声路面（沥青路面）；噪声敏感路段设置禁鸣、限速等标志牌；道路两侧敏感点环境噪声达标情况</w:t>
            </w:r>
          </w:p>
        </w:tc>
        <w:tc>
          <w:tcPr>
            <w:tcW w:w="1077" w:type="pct"/>
            <w:tcBorders>
              <w:tl2br w:val="nil"/>
              <w:tr2bl w:val="nil"/>
            </w:tcBorders>
            <w:noWrap w:val="0"/>
            <w:vAlign w:val="center"/>
          </w:tcPr>
          <w:p w14:paraId="43AD825B">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声环境保护目标处满足《声环境质量标准》（GB3096-2008）</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2类、4a</w:t>
            </w:r>
            <w:r>
              <w:rPr>
                <w:rFonts w:hint="default" w:ascii="Times New Roman" w:hAnsi="Times New Roman" w:eastAsia="宋体" w:cs="Times New Roman"/>
                <w:caps w:val="0"/>
                <w:smallCaps w:val="0"/>
                <w:color w:val="auto"/>
                <w:spacing w:val="0"/>
                <w:w w:val="100"/>
                <w:kern w:val="2"/>
                <w:position w:val="0"/>
                <w:sz w:val="21"/>
                <w:szCs w:val="21"/>
                <w:highlight w:val="none"/>
              </w:rPr>
              <w:t>类标准要求。</w:t>
            </w:r>
          </w:p>
        </w:tc>
      </w:tr>
      <w:tr w14:paraId="210E2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1E29588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振动</w:t>
            </w:r>
          </w:p>
        </w:tc>
        <w:tc>
          <w:tcPr>
            <w:tcW w:w="1108" w:type="pct"/>
            <w:tcBorders>
              <w:tl2br w:val="nil"/>
              <w:tr2bl w:val="nil"/>
            </w:tcBorders>
            <w:noWrap w:val="0"/>
            <w:vAlign w:val="center"/>
          </w:tcPr>
          <w:p w14:paraId="556FFCAF">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5458C950">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07AF2E39">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5A383116">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58AF4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93" w:type="pct"/>
            <w:tcBorders>
              <w:tl2br w:val="nil"/>
              <w:tr2bl w:val="nil"/>
            </w:tcBorders>
            <w:noWrap w:val="0"/>
            <w:vAlign w:val="center"/>
          </w:tcPr>
          <w:p w14:paraId="31EF1111">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大气环境</w:t>
            </w:r>
          </w:p>
        </w:tc>
        <w:tc>
          <w:tcPr>
            <w:tcW w:w="1108" w:type="pct"/>
            <w:tcBorders>
              <w:tl2br w:val="nil"/>
              <w:tr2bl w:val="nil"/>
            </w:tcBorders>
            <w:noWrap w:val="0"/>
            <w:vAlign w:val="center"/>
          </w:tcPr>
          <w:p w14:paraId="54A5DFF5">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施工场地洒水降尘，密闭运输，料堆和土堆的覆盖和遮挡；大风天气暂停施工，使用商品混凝土；项目采取分段施工，敏感目标附近，拆迁场地、施工区域外侧需设置施工围挡等；洒水降尘，保持施工场地和未完工路面湿润；沥青摊铺</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时</w:t>
            </w: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采取密闭加热摊铺装置，减少沥青烟排放</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w:t>
            </w:r>
          </w:p>
        </w:tc>
        <w:tc>
          <w:tcPr>
            <w:tcW w:w="1423" w:type="pct"/>
            <w:tcBorders>
              <w:tl2br w:val="nil"/>
              <w:tr2bl w:val="nil"/>
            </w:tcBorders>
            <w:noWrap w:val="0"/>
            <w:vAlign w:val="center"/>
          </w:tcPr>
          <w:p w14:paraId="5116D8E4">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施工现场废气满足</w:t>
            </w:r>
            <w:r>
              <w:rPr>
                <w:rFonts w:hint="default" w:ascii="Times New Roman" w:hAnsi="Times New Roman" w:eastAsia="宋体" w:cs="Times New Roman"/>
                <w:caps w:val="0"/>
                <w:smallCaps w:val="0"/>
                <w:color w:val="auto"/>
                <w:spacing w:val="0"/>
                <w:w w:val="100"/>
                <w:kern w:val="2"/>
                <w:position w:val="0"/>
                <w:sz w:val="21"/>
                <w:szCs w:val="21"/>
                <w:highlight w:val="none"/>
              </w:rPr>
              <w:t>《大气污染物综合排放标准》（GB16297-1996）表2中二级标准级无组织排放监控浓度限值</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w:t>
            </w:r>
          </w:p>
        </w:tc>
        <w:tc>
          <w:tcPr>
            <w:tcW w:w="998" w:type="pct"/>
            <w:tcBorders>
              <w:tl2br w:val="nil"/>
              <w:tr2bl w:val="nil"/>
            </w:tcBorders>
            <w:noWrap w:val="0"/>
            <w:vAlign w:val="center"/>
          </w:tcPr>
          <w:p w14:paraId="6F0538ED">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道路维护、保养</w:t>
            </w:r>
          </w:p>
        </w:tc>
        <w:tc>
          <w:tcPr>
            <w:tcW w:w="1077" w:type="pct"/>
            <w:tcBorders>
              <w:tl2br w:val="nil"/>
              <w:tr2bl w:val="nil"/>
            </w:tcBorders>
            <w:noWrap w:val="0"/>
            <w:vAlign w:val="center"/>
          </w:tcPr>
          <w:p w14:paraId="23DB734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《环境空气质量标准》（GB3095-20</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26</w:t>
            </w: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5A771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47A14AF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固体废物</w:t>
            </w:r>
          </w:p>
        </w:tc>
        <w:tc>
          <w:tcPr>
            <w:tcW w:w="1108" w:type="pct"/>
            <w:tcBorders>
              <w:tl2br w:val="nil"/>
              <w:tr2bl w:val="nil"/>
            </w:tcBorders>
            <w:noWrap w:val="0"/>
            <w:vAlign w:val="center"/>
          </w:tcPr>
          <w:p w14:paraId="16CEEDD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建筑垃圾运至附近建筑垃圾填埋场；项目施工期</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bidi="ar"/>
              </w:rPr>
              <w:t>施工人员生活垃圾依托租住村镇既有的</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生活垃圾集中收集</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bidi="ar"/>
              </w:rPr>
              <w:t>站收集，由环卫部门统一清运处置。</w:t>
            </w:r>
          </w:p>
        </w:tc>
        <w:tc>
          <w:tcPr>
            <w:tcW w:w="1423" w:type="pct"/>
            <w:tcBorders>
              <w:tl2br w:val="nil"/>
              <w:tr2bl w:val="nil"/>
            </w:tcBorders>
            <w:noWrap w:val="0"/>
            <w:vAlign w:val="center"/>
          </w:tcPr>
          <w:p w14:paraId="0D10D32F">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合理处置</w:t>
            </w:r>
          </w:p>
        </w:tc>
        <w:tc>
          <w:tcPr>
            <w:tcW w:w="998" w:type="pct"/>
            <w:tcBorders>
              <w:tl2br w:val="nil"/>
              <w:tr2bl w:val="nil"/>
            </w:tcBorders>
            <w:noWrap w:val="0"/>
            <w:vAlign w:val="center"/>
          </w:tcPr>
          <w:p w14:paraId="538F458F">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过往行人产生的垃圾由环卫部门统一收集后清运</w:t>
            </w:r>
          </w:p>
        </w:tc>
        <w:tc>
          <w:tcPr>
            <w:tcW w:w="1077" w:type="pct"/>
            <w:tcBorders>
              <w:tl2br w:val="nil"/>
              <w:tr2bl w:val="nil"/>
            </w:tcBorders>
            <w:noWrap w:val="0"/>
            <w:vAlign w:val="center"/>
          </w:tcPr>
          <w:p w14:paraId="0F6D2E5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路面干净整洁</w:t>
            </w:r>
          </w:p>
        </w:tc>
      </w:tr>
      <w:tr w14:paraId="282E0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2C7554E6">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电磁环境</w:t>
            </w:r>
          </w:p>
        </w:tc>
        <w:tc>
          <w:tcPr>
            <w:tcW w:w="1108" w:type="pct"/>
            <w:tcBorders>
              <w:tl2br w:val="nil"/>
              <w:tr2bl w:val="nil"/>
            </w:tcBorders>
            <w:noWrap w:val="0"/>
            <w:vAlign w:val="center"/>
          </w:tcPr>
          <w:p w14:paraId="6D44ED8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3689CC0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4EBDB959">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148D5B5A">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67270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7B563FE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环境风险</w:t>
            </w:r>
          </w:p>
        </w:tc>
        <w:tc>
          <w:tcPr>
            <w:tcW w:w="1108" w:type="pct"/>
            <w:tcBorders>
              <w:tl2br w:val="nil"/>
              <w:tr2bl w:val="nil"/>
            </w:tcBorders>
            <w:noWrap w:val="0"/>
            <w:vAlign w:val="center"/>
          </w:tcPr>
          <w:p w14:paraId="3FD9D537">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729C7F8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6846BC77">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4B55D7C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1A322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2B78CC3B">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环境监测</w:t>
            </w:r>
          </w:p>
        </w:tc>
        <w:tc>
          <w:tcPr>
            <w:tcW w:w="1108" w:type="pct"/>
            <w:tcBorders>
              <w:tl2br w:val="nil"/>
              <w:tr2bl w:val="nil"/>
            </w:tcBorders>
            <w:noWrap w:val="0"/>
            <w:vAlign w:val="center"/>
          </w:tcPr>
          <w:p w14:paraId="4301D22C">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施工期噪声、大气环境</w:t>
            </w:r>
          </w:p>
        </w:tc>
        <w:tc>
          <w:tcPr>
            <w:tcW w:w="1423" w:type="pct"/>
            <w:tcBorders>
              <w:tl2br w:val="nil"/>
              <w:tr2bl w:val="nil"/>
            </w:tcBorders>
            <w:noWrap w:val="0"/>
            <w:vAlign w:val="center"/>
          </w:tcPr>
          <w:p w14:paraId="3378EEF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281599D3">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运营期</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生态</w:t>
            </w:r>
            <w:r>
              <w:rPr>
                <w:rFonts w:hint="default" w:ascii="Times New Roman" w:hAnsi="Times New Roman" w:eastAsia="宋体" w:cs="Times New Roman"/>
                <w:caps w:val="0"/>
                <w:smallCaps w:val="0"/>
                <w:color w:val="auto"/>
                <w:spacing w:val="0"/>
                <w:w w:val="100"/>
                <w:kern w:val="2"/>
                <w:position w:val="0"/>
                <w:sz w:val="21"/>
                <w:szCs w:val="21"/>
                <w:highlight w:val="none"/>
              </w:rPr>
              <w:t>环境</w:t>
            </w:r>
          </w:p>
        </w:tc>
        <w:tc>
          <w:tcPr>
            <w:tcW w:w="1077" w:type="pct"/>
            <w:tcBorders>
              <w:tl2br w:val="nil"/>
              <w:tr2bl w:val="nil"/>
            </w:tcBorders>
            <w:noWrap w:val="0"/>
            <w:vAlign w:val="center"/>
          </w:tcPr>
          <w:p w14:paraId="58373A49">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124F6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7C9B23B3">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其他</w:t>
            </w:r>
          </w:p>
        </w:tc>
        <w:tc>
          <w:tcPr>
            <w:tcW w:w="1108" w:type="pct"/>
            <w:tcBorders>
              <w:tl2br w:val="nil"/>
              <w:tr2bl w:val="nil"/>
            </w:tcBorders>
            <w:noWrap w:val="0"/>
            <w:vAlign w:val="center"/>
          </w:tcPr>
          <w:p w14:paraId="0785024D">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372754E6">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3380A6CC">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037B78D0">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bl>
    <w:p w14:paraId="5BF6E497">
      <w:pPr>
        <w:pStyle w:val="24"/>
        <w:pageBreakBefore w:val="0"/>
        <w:wordWrap/>
        <w:topLinePunct w:val="0"/>
        <w:bidi w:val="0"/>
        <w:spacing w:before="0" w:beforeAutospacing="0" w:after="0" w:afterAutospacing="0"/>
        <w:ind w:left="0" w:leftChars="0" w:right="0"/>
        <w:jc w:val="center"/>
        <w:outlineLvl w:val="9"/>
        <w:rPr>
          <w:rFonts w:hint="default" w:ascii="Times New Roman" w:hAnsi="Times New Roman" w:eastAsia="黑体" w:cs="Times New Roman"/>
          <w:caps w:val="0"/>
          <w:smallCaps w:val="0"/>
          <w:snapToGrid w:val="0"/>
          <w:color w:val="auto"/>
          <w:spacing w:val="0"/>
          <w:w w:val="100"/>
          <w:kern w:val="2"/>
          <w:position w:val="0"/>
          <w:sz w:val="30"/>
          <w:szCs w:val="30"/>
          <w:highlight w:val="none"/>
        </w:rPr>
      </w:pPr>
    </w:p>
    <w:p w14:paraId="52A0B1EA">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cs="Times New Roman"/>
          <w:caps w:val="0"/>
          <w:smallCaps w:val="0"/>
          <w:color w:val="auto"/>
          <w:spacing w:val="0"/>
          <w:w w:val="100"/>
          <w:kern w:val="2"/>
          <w:position w:val="0"/>
          <w:highlight w:val="none"/>
        </w:rPr>
      </w:pPr>
      <w:r>
        <w:rPr>
          <w:rFonts w:hint="default" w:ascii="Times New Roman" w:hAnsi="Times New Roman" w:eastAsia="黑体" w:cs="Times New Roman"/>
          <w:caps w:val="0"/>
          <w:smallCaps w:val="0"/>
          <w:snapToGrid w:val="0"/>
          <w:color w:val="auto"/>
          <w:spacing w:val="0"/>
          <w:w w:val="100"/>
          <w:kern w:val="2"/>
          <w:position w:val="0"/>
          <w:sz w:val="30"/>
          <w:szCs w:val="30"/>
          <w:highlight w:val="none"/>
        </w:rPr>
        <w:br w:type="page"/>
      </w:r>
      <w:bookmarkStart w:id="23" w:name="_Toc6235"/>
      <w:r>
        <w:rPr>
          <w:rFonts w:hint="default" w:ascii="Times New Roman" w:hAnsi="Times New Roman" w:eastAsia="黑体" w:cs="Times New Roman"/>
          <w:caps w:val="0"/>
          <w:smallCaps w:val="0"/>
          <w:snapToGrid w:val="0"/>
          <w:color w:val="auto"/>
          <w:spacing w:val="0"/>
          <w:w w:val="100"/>
          <w:kern w:val="2"/>
          <w:position w:val="0"/>
          <w:sz w:val="30"/>
          <w:szCs w:val="30"/>
          <w:highlight w:val="none"/>
        </w:rPr>
        <w:t>七、结论</w:t>
      </w:r>
      <w:bookmarkEnd w:id="23"/>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2"/>
      </w:tblGrid>
      <w:tr w14:paraId="655D23C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551" w:hRule="atLeast"/>
        </w:trPr>
        <w:tc>
          <w:tcPr>
            <w:tcW w:w="8522" w:type="dxa"/>
            <w:tcBorders>
              <w:tl2br w:val="nil"/>
              <w:tr2bl w:val="nil"/>
            </w:tcBorders>
            <w:noWrap w:val="0"/>
            <w:vAlign w:val="top"/>
          </w:tcPr>
          <w:p w14:paraId="19A0511D">
            <w:pPr>
              <w:pageBreakBefore w:val="0"/>
              <w:wordWrap/>
              <w:topLinePunct w:val="0"/>
              <w:autoSpaceDE w:val="0"/>
              <w:autoSpaceDN w:val="0"/>
              <w:bidi w:val="0"/>
              <w:adjustRightInd w:val="0"/>
              <w:spacing w:beforeAutospacing="0" w:afterAutospacing="0" w:line="520" w:lineRule="exact"/>
              <w:ind w:left="0" w:leftChars="0" w:right="0" w:firstLine="480" w:firstLineChars="200"/>
              <w:jc w:val="both"/>
              <w:rPr>
                <w:rFonts w:hint="default" w:ascii="Times New Roman" w:hAnsi="Times New Roman" w:cs="Times New Roman"/>
                <w:caps w:val="0"/>
                <w:smallCaps w:val="0"/>
                <w:color w:val="auto"/>
                <w:spacing w:val="0"/>
                <w:w w:val="100"/>
                <w:kern w:val="2"/>
                <w:position w:val="0"/>
                <w:highlight w:val="none"/>
                <w:vertAlign w:val="baseline"/>
              </w:rPr>
            </w:pPr>
            <w:r>
              <w:rPr>
                <w:rFonts w:hint="default" w:ascii="Times New Roman" w:hAnsi="Times New Roman" w:eastAsia="宋体" w:cs="Times New Roman"/>
                <w:caps w:val="0"/>
                <w:smallCaps w:val="0"/>
                <w:color w:val="auto"/>
                <w:spacing w:val="0"/>
                <w:w w:val="100"/>
                <w:kern w:val="2"/>
                <w:position w:val="0"/>
                <w:sz w:val="24"/>
                <w:highlight w:val="none"/>
              </w:rPr>
              <w:t>综合上述，建设单位应严格实施环境影响报告提出的各项环保措施和建议，做到污染物达标排放，做好</w:t>
            </w:r>
            <w:r>
              <w:rPr>
                <w:rFonts w:hint="eastAsia" w:ascii="Times New Roman" w:hAnsi="Times New Roman" w:eastAsia="宋体" w:cs="Times New Roman"/>
                <w:caps w:val="0"/>
                <w:smallCaps w:val="0"/>
                <w:color w:val="auto"/>
                <w:spacing w:val="0"/>
                <w:w w:val="100"/>
                <w:kern w:val="2"/>
                <w:position w:val="0"/>
                <w:sz w:val="24"/>
                <w:highlight w:val="none"/>
                <w:lang w:eastAsia="zh-CN"/>
              </w:rPr>
              <w:t>生态环境保护</w:t>
            </w:r>
            <w:r>
              <w:rPr>
                <w:rFonts w:hint="default" w:ascii="Times New Roman" w:hAnsi="Times New Roman" w:eastAsia="宋体" w:cs="Times New Roman"/>
                <w:caps w:val="0"/>
                <w:smallCaps w:val="0"/>
                <w:color w:val="auto"/>
                <w:spacing w:val="0"/>
                <w:w w:val="100"/>
                <w:kern w:val="2"/>
                <w:position w:val="0"/>
                <w:sz w:val="24"/>
                <w:highlight w:val="none"/>
              </w:rPr>
              <w:t>与生态恢复。在严格落实环评提出的各项污染物治理措施和生态恢复措施的前提下，该项目的建设不会对区域环境质量及生态环境产生大的影响，从环境保护角度分析，本项目的建设是可行的。</w:t>
            </w:r>
          </w:p>
        </w:tc>
      </w:tr>
    </w:tbl>
    <w:p w14:paraId="3D44E63F">
      <w:pPr>
        <w:pageBreakBefore w:val="0"/>
        <w:wordWrap/>
        <w:topLinePunct w:val="0"/>
        <w:bidi w:val="0"/>
        <w:spacing w:beforeAutospacing="0" w:afterAutospacing="0"/>
        <w:ind w:left="0" w:leftChars="0" w:right="0"/>
        <w:outlineLvl w:val="9"/>
        <w:rPr>
          <w:rFonts w:hint="default" w:ascii="Times New Roman" w:hAnsi="Times New Roman" w:eastAsia="宋体" w:cs="Times New Roman"/>
          <w:caps w:val="0"/>
          <w:smallCaps w:val="0"/>
          <w:color w:val="auto"/>
          <w:spacing w:val="0"/>
          <w:w w:val="100"/>
          <w:kern w:val="2"/>
          <w:position w:val="0"/>
          <w:highlight w:val="none"/>
          <w:lang w:val="en-US" w:eastAsia="zh-CN"/>
        </w:rPr>
      </w:pPr>
    </w:p>
    <w:sectPr>
      <w:headerReference r:id="rId9" w:type="default"/>
      <w:footerReference r:id="rId10" w:type="default"/>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CECC6BF-D3F9-40A1-84E0-B300C7394E27}"/>
  </w:font>
  <w:font w:name="黑体">
    <w:panose1 w:val="02010609060101010101"/>
    <w:charset w:val="86"/>
    <w:family w:val="auto"/>
    <w:pitch w:val="default"/>
    <w:sig w:usb0="800002BF" w:usb1="38CF7CFA" w:usb2="00000016" w:usb3="00000000" w:csb0="00040001" w:csb1="00000000"/>
    <w:embedRegular r:id="rId2" w:fontKey="{1F10411E-CB27-4A61-8CBA-843054EA85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C48BCB8-9767-4228-87F6-669C1A3D0911}"/>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4" w:fontKey="{281D7365-EBA2-4856-A624-A7E0AA5035B0}"/>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307E357C-4D99-46B8-95BB-BA1C34A2792A}"/>
  </w:font>
  <w:font w:name="方正小标宋_GBK">
    <w:panose1 w:val="03000509000000000000"/>
    <w:charset w:val="86"/>
    <w:family w:val="script"/>
    <w:pitch w:val="default"/>
    <w:sig w:usb0="00000001" w:usb1="080E0000" w:usb2="00000000" w:usb3="00000000" w:csb0="00040000" w:csb1="00000000"/>
    <w:embedRegular r:id="rId6" w:fontKey="{EA70ABCF-1591-4843-99D9-3A5DF5F29507}"/>
  </w:font>
  <w:font w:name="楷体_GB2312">
    <w:panose1 w:val="02010609030101010101"/>
    <w:charset w:val="86"/>
    <w:family w:val="modern"/>
    <w:pitch w:val="default"/>
    <w:sig w:usb0="00000001" w:usb1="080E0000" w:usb2="00000000" w:usb3="00000000" w:csb0="00040000" w:csb1="00000000"/>
    <w:embedRegular r:id="rId7" w:fontKey="{0DCBAECA-2232-441C-87A7-C931E7965D0A}"/>
  </w:font>
  <w:font w:name="华文仿宋">
    <w:panose1 w:val="02010600040101010101"/>
    <w:charset w:val="86"/>
    <w:family w:val="auto"/>
    <w:pitch w:val="default"/>
    <w:sig w:usb0="00000287" w:usb1="080F0000" w:usb2="00000000" w:usb3="00000000" w:csb0="0004009F" w:csb1="DFD70000"/>
    <w:embedRegular r:id="rId8" w:fontKey="{BB2D7C83-9CF4-4604-988C-631C4407FC18}"/>
  </w:font>
  <w:font w:name="Wingdings 2">
    <w:panose1 w:val="05020102010507070707"/>
    <w:charset w:val="02"/>
    <w:family w:val="auto"/>
    <w:pitch w:val="default"/>
    <w:sig w:usb0="00000000" w:usb1="00000000" w:usb2="00000000" w:usb3="00000000" w:csb0="80000000" w:csb1="00000000"/>
    <w:embedRegular r:id="rId9" w:fontKey="{3B2E17DD-E5BE-4CB3-B1D8-2D33DE89736B}"/>
  </w:font>
  <w:font w:name="WPSEMBED2">
    <w:panose1 w:val="02010609030101010101"/>
    <w:charset w:val="86"/>
    <w:family w:val="auto"/>
    <w:pitch w:val="default"/>
    <w:sig w:usb0="00000001" w:usb1="080E0000" w:usb2="00000000" w:usb3="00000000" w:csb0="00040000" w:csb1="00000000"/>
  </w:font>
  <w:font w:name="WPSEMBED3">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4">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09186">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A6C25">
    <w:pPr>
      <w:pStyle w:val="17"/>
      <w:framePr w:wrap="around" w:vAnchor="text" w:hAnchor="margin" w:xAlign="outside" w:y="1"/>
      <w:rPr>
        <w:rStyle w:val="32"/>
      </w:rPr>
    </w:pPr>
    <w:r>
      <w:rPr>
        <w:rStyle w:val="32"/>
      </w:rPr>
      <w:fldChar w:fldCharType="begin"/>
    </w:r>
    <w:r>
      <w:rPr>
        <w:rStyle w:val="32"/>
      </w:rPr>
      <w:instrText xml:space="preserve">PAGE  </w:instrText>
    </w:r>
    <w:r>
      <w:rPr>
        <w:rStyle w:val="32"/>
      </w:rPr>
      <w:fldChar w:fldCharType="end"/>
    </w:r>
  </w:p>
  <w:p w14:paraId="219E68B6">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3C889">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A780C">
    <w:pPr>
      <w:pStyle w:val="17"/>
      <w:ind w:right="360" w:firstLine="36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FE934">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A1F9B">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59A1F9B">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7112A">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849D7">
                          <w:pPr>
                            <w:pStyle w:val="1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21849D7">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4F145">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887C1">
    <w:pPr>
      <w:pBdr>
        <w:bottom w:val="none" w:color="auto" w:sz="0" w:space="1"/>
      </w:pBdr>
      <w:snapToGrid w:val="0"/>
      <w:spacing w:line="240" w:lineRule="auto"/>
      <w:ind w:firstLine="360"/>
      <w:jc w:val="center"/>
      <w:rPr>
        <w:rFonts w:ascii="Times New Roman" w:hAnsi="Times New Roman" w:eastAsia="宋体"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0B3A24"/>
    <w:multiLevelType w:val="singleLevel"/>
    <w:tmpl w:val="FC0B3A24"/>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yZjUyZjZmYmQ0NmZjMzlkZTJmMTc0MDQ0OTg0OGE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5CF8"/>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6429B"/>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1AA5"/>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1E3D92"/>
    <w:rsid w:val="022E6257"/>
    <w:rsid w:val="02333C4E"/>
    <w:rsid w:val="024D7AB1"/>
    <w:rsid w:val="02B74C95"/>
    <w:rsid w:val="02BB421F"/>
    <w:rsid w:val="02D0750C"/>
    <w:rsid w:val="03C92EF7"/>
    <w:rsid w:val="03EA21EE"/>
    <w:rsid w:val="03FC757B"/>
    <w:rsid w:val="043A7DC5"/>
    <w:rsid w:val="04820319"/>
    <w:rsid w:val="048E77AA"/>
    <w:rsid w:val="04EA6DE0"/>
    <w:rsid w:val="04FA2D68"/>
    <w:rsid w:val="054D49A5"/>
    <w:rsid w:val="05742AC8"/>
    <w:rsid w:val="05E12FE7"/>
    <w:rsid w:val="05FA0056"/>
    <w:rsid w:val="06352F05"/>
    <w:rsid w:val="063E7D85"/>
    <w:rsid w:val="065E7D36"/>
    <w:rsid w:val="070875E0"/>
    <w:rsid w:val="07293586"/>
    <w:rsid w:val="07295285"/>
    <w:rsid w:val="07770C56"/>
    <w:rsid w:val="0781700E"/>
    <w:rsid w:val="08A84413"/>
    <w:rsid w:val="092217DD"/>
    <w:rsid w:val="093A7294"/>
    <w:rsid w:val="09714AFF"/>
    <w:rsid w:val="09EC0CD1"/>
    <w:rsid w:val="09F937FE"/>
    <w:rsid w:val="0A1D15C2"/>
    <w:rsid w:val="0A3B29B2"/>
    <w:rsid w:val="0BB82B82"/>
    <w:rsid w:val="0BD27BF6"/>
    <w:rsid w:val="0C653A77"/>
    <w:rsid w:val="0D326111"/>
    <w:rsid w:val="0D554902"/>
    <w:rsid w:val="0D6839CF"/>
    <w:rsid w:val="0D777607"/>
    <w:rsid w:val="0DDB0DB7"/>
    <w:rsid w:val="0DEC0132"/>
    <w:rsid w:val="0E005BDF"/>
    <w:rsid w:val="0E110D06"/>
    <w:rsid w:val="0ED26E81"/>
    <w:rsid w:val="0F13775A"/>
    <w:rsid w:val="0F9A112B"/>
    <w:rsid w:val="0FA61CDC"/>
    <w:rsid w:val="0FB85348"/>
    <w:rsid w:val="102169BE"/>
    <w:rsid w:val="10673038"/>
    <w:rsid w:val="106D2F64"/>
    <w:rsid w:val="108C2770"/>
    <w:rsid w:val="10B63710"/>
    <w:rsid w:val="111C2F7A"/>
    <w:rsid w:val="113013DE"/>
    <w:rsid w:val="11A836B4"/>
    <w:rsid w:val="11E409B8"/>
    <w:rsid w:val="11E85E2C"/>
    <w:rsid w:val="122B06C2"/>
    <w:rsid w:val="12DB3617"/>
    <w:rsid w:val="13951726"/>
    <w:rsid w:val="142152F6"/>
    <w:rsid w:val="14396509"/>
    <w:rsid w:val="143F2381"/>
    <w:rsid w:val="1447165C"/>
    <w:rsid w:val="14A76980"/>
    <w:rsid w:val="14F611C1"/>
    <w:rsid w:val="1517701E"/>
    <w:rsid w:val="154E2FCB"/>
    <w:rsid w:val="16637138"/>
    <w:rsid w:val="16A67E93"/>
    <w:rsid w:val="16E16FA3"/>
    <w:rsid w:val="17735226"/>
    <w:rsid w:val="17AF1C77"/>
    <w:rsid w:val="17B1320D"/>
    <w:rsid w:val="197C51BE"/>
    <w:rsid w:val="19B27315"/>
    <w:rsid w:val="19C0726E"/>
    <w:rsid w:val="1A1C66C0"/>
    <w:rsid w:val="1A42393B"/>
    <w:rsid w:val="1B046F80"/>
    <w:rsid w:val="1B3267B5"/>
    <w:rsid w:val="1BAB44EB"/>
    <w:rsid w:val="1BC25DC8"/>
    <w:rsid w:val="1C360F7E"/>
    <w:rsid w:val="1C5E7925"/>
    <w:rsid w:val="1C887FC8"/>
    <w:rsid w:val="1C96419E"/>
    <w:rsid w:val="1D5F6196"/>
    <w:rsid w:val="1D6132A5"/>
    <w:rsid w:val="1D8E56D5"/>
    <w:rsid w:val="1E7A43DA"/>
    <w:rsid w:val="1EB277FE"/>
    <w:rsid w:val="1F9235D1"/>
    <w:rsid w:val="1FE20D3B"/>
    <w:rsid w:val="1FE7539E"/>
    <w:rsid w:val="20857D35"/>
    <w:rsid w:val="20963CB8"/>
    <w:rsid w:val="20B07FB6"/>
    <w:rsid w:val="20B4184E"/>
    <w:rsid w:val="213B74B1"/>
    <w:rsid w:val="215A2310"/>
    <w:rsid w:val="219246B0"/>
    <w:rsid w:val="21B97A24"/>
    <w:rsid w:val="21DE318A"/>
    <w:rsid w:val="21EF5B80"/>
    <w:rsid w:val="22576990"/>
    <w:rsid w:val="229C4EAB"/>
    <w:rsid w:val="22F11F11"/>
    <w:rsid w:val="23117424"/>
    <w:rsid w:val="23327E90"/>
    <w:rsid w:val="235118D9"/>
    <w:rsid w:val="23D24853"/>
    <w:rsid w:val="240B4CBC"/>
    <w:rsid w:val="24684F13"/>
    <w:rsid w:val="249A262A"/>
    <w:rsid w:val="249B0F29"/>
    <w:rsid w:val="24CD1023"/>
    <w:rsid w:val="252D53FE"/>
    <w:rsid w:val="254A4669"/>
    <w:rsid w:val="25EC2D81"/>
    <w:rsid w:val="264528BD"/>
    <w:rsid w:val="27256942"/>
    <w:rsid w:val="27D15DD1"/>
    <w:rsid w:val="280B3B52"/>
    <w:rsid w:val="28377363"/>
    <w:rsid w:val="285315B1"/>
    <w:rsid w:val="28A76295"/>
    <w:rsid w:val="28E640E1"/>
    <w:rsid w:val="29206EB8"/>
    <w:rsid w:val="29861C65"/>
    <w:rsid w:val="29E325E0"/>
    <w:rsid w:val="2A1C21EB"/>
    <w:rsid w:val="2A452503"/>
    <w:rsid w:val="2B023616"/>
    <w:rsid w:val="2B0E09AA"/>
    <w:rsid w:val="2B421465"/>
    <w:rsid w:val="2B861604"/>
    <w:rsid w:val="2BA936A8"/>
    <w:rsid w:val="2C237519"/>
    <w:rsid w:val="2C315A5A"/>
    <w:rsid w:val="2C5B4458"/>
    <w:rsid w:val="2C7470B4"/>
    <w:rsid w:val="2CA157AA"/>
    <w:rsid w:val="2CDC69C6"/>
    <w:rsid w:val="2D9E56F5"/>
    <w:rsid w:val="2E667F96"/>
    <w:rsid w:val="2E691C79"/>
    <w:rsid w:val="2E8226AB"/>
    <w:rsid w:val="2EC70948"/>
    <w:rsid w:val="2F832C79"/>
    <w:rsid w:val="2FD654C1"/>
    <w:rsid w:val="2FEF2D58"/>
    <w:rsid w:val="30537A47"/>
    <w:rsid w:val="30580BC9"/>
    <w:rsid w:val="30A80E42"/>
    <w:rsid w:val="30C776F3"/>
    <w:rsid w:val="311E2ED7"/>
    <w:rsid w:val="312C66D5"/>
    <w:rsid w:val="315C449C"/>
    <w:rsid w:val="31B82709"/>
    <w:rsid w:val="31CD66FE"/>
    <w:rsid w:val="32400B34"/>
    <w:rsid w:val="32703EA1"/>
    <w:rsid w:val="329E6876"/>
    <w:rsid w:val="33D934D4"/>
    <w:rsid w:val="33FE2F6A"/>
    <w:rsid w:val="349A1467"/>
    <w:rsid w:val="350A4AEB"/>
    <w:rsid w:val="35275B97"/>
    <w:rsid w:val="353F3DB0"/>
    <w:rsid w:val="356351EE"/>
    <w:rsid w:val="35DD42D9"/>
    <w:rsid w:val="35E6311C"/>
    <w:rsid w:val="36074A7F"/>
    <w:rsid w:val="36747C8E"/>
    <w:rsid w:val="36923549"/>
    <w:rsid w:val="36B75FBF"/>
    <w:rsid w:val="36C05954"/>
    <w:rsid w:val="36FB4891"/>
    <w:rsid w:val="375B510B"/>
    <w:rsid w:val="38F12CD3"/>
    <w:rsid w:val="38F94775"/>
    <w:rsid w:val="392971ED"/>
    <w:rsid w:val="399D2B4C"/>
    <w:rsid w:val="39B97BAA"/>
    <w:rsid w:val="3AAC03B0"/>
    <w:rsid w:val="3B1F416E"/>
    <w:rsid w:val="3B2B6F16"/>
    <w:rsid w:val="3B3763D1"/>
    <w:rsid w:val="3B865FD9"/>
    <w:rsid w:val="3BF245AD"/>
    <w:rsid w:val="3C070E32"/>
    <w:rsid w:val="3C2F0D84"/>
    <w:rsid w:val="3CDA245A"/>
    <w:rsid w:val="3CEE0A37"/>
    <w:rsid w:val="3D1B17CC"/>
    <w:rsid w:val="3D2F04BC"/>
    <w:rsid w:val="3DAC6ECF"/>
    <w:rsid w:val="3DE33800"/>
    <w:rsid w:val="3DEA2C57"/>
    <w:rsid w:val="3E480196"/>
    <w:rsid w:val="3EDB22B7"/>
    <w:rsid w:val="3F0A735E"/>
    <w:rsid w:val="3F11495A"/>
    <w:rsid w:val="3F660E74"/>
    <w:rsid w:val="407A6407"/>
    <w:rsid w:val="41D26249"/>
    <w:rsid w:val="42233809"/>
    <w:rsid w:val="423A3BCC"/>
    <w:rsid w:val="431860BE"/>
    <w:rsid w:val="433A6FE6"/>
    <w:rsid w:val="4350713C"/>
    <w:rsid w:val="436653E0"/>
    <w:rsid w:val="44C40B15"/>
    <w:rsid w:val="44CD14E0"/>
    <w:rsid w:val="44EB4A5E"/>
    <w:rsid w:val="44EF2301"/>
    <w:rsid w:val="45255ED6"/>
    <w:rsid w:val="455A4D94"/>
    <w:rsid w:val="4577045E"/>
    <w:rsid w:val="458946E9"/>
    <w:rsid w:val="45BD2651"/>
    <w:rsid w:val="46D955A7"/>
    <w:rsid w:val="46FC7DA4"/>
    <w:rsid w:val="47133957"/>
    <w:rsid w:val="475805D2"/>
    <w:rsid w:val="4779329E"/>
    <w:rsid w:val="47A07E0C"/>
    <w:rsid w:val="482E0E67"/>
    <w:rsid w:val="4870272E"/>
    <w:rsid w:val="48BA5AC8"/>
    <w:rsid w:val="496442C4"/>
    <w:rsid w:val="497D07EE"/>
    <w:rsid w:val="49B55002"/>
    <w:rsid w:val="49C5259B"/>
    <w:rsid w:val="49DC7715"/>
    <w:rsid w:val="49E81EAB"/>
    <w:rsid w:val="4A023139"/>
    <w:rsid w:val="4A502BC1"/>
    <w:rsid w:val="4A517BB2"/>
    <w:rsid w:val="4A7272BC"/>
    <w:rsid w:val="4A7B576F"/>
    <w:rsid w:val="4AC5380C"/>
    <w:rsid w:val="4B2C4394"/>
    <w:rsid w:val="4C062AB5"/>
    <w:rsid w:val="4C4A0649"/>
    <w:rsid w:val="4CE470D3"/>
    <w:rsid w:val="4DD241DA"/>
    <w:rsid w:val="4DEC4FB0"/>
    <w:rsid w:val="4E075D8A"/>
    <w:rsid w:val="4E5B79A0"/>
    <w:rsid w:val="4EB00945"/>
    <w:rsid w:val="4EFA30B2"/>
    <w:rsid w:val="4FA04FEA"/>
    <w:rsid w:val="4FC56AE1"/>
    <w:rsid w:val="4FC62A8C"/>
    <w:rsid w:val="4FE20F0D"/>
    <w:rsid w:val="4FF320AE"/>
    <w:rsid w:val="502E6FA6"/>
    <w:rsid w:val="50504C4B"/>
    <w:rsid w:val="509C6E7C"/>
    <w:rsid w:val="50B04F6A"/>
    <w:rsid w:val="50B85183"/>
    <w:rsid w:val="51502F69"/>
    <w:rsid w:val="5162104E"/>
    <w:rsid w:val="51BE141D"/>
    <w:rsid w:val="529555A9"/>
    <w:rsid w:val="52FA487D"/>
    <w:rsid w:val="533A40A4"/>
    <w:rsid w:val="53456529"/>
    <w:rsid w:val="53503485"/>
    <w:rsid w:val="53585D88"/>
    <w:rsid w:val="53A039CC"/>
    <w:rsid w:val="53A1505A"/>
    <w:rsid w:val="54063E08"/>
    <w:rsid w:val="543437E8"/>
    <w:rsid w:val="5436405E"/>
    <w:rsid w:val="54531091"/>
    <w:rsid w:val="55662B48"/>
    <w:rsid w:val="55684996"/>
    <w:rsid w:val="559B174B"/>
    <w:rsid w:val="55B82E8D"/>
    <w:rsid w:val="55C27722"/>
    <w:rsid w:val="55CE0CF4"/>
    <w:rsid w:val="56746522"/>
    <w:rsid w:val="56B07BF7"/>
    <w:rsid w:val="56B22A9C"/>
    <w:rsid w:val="573F0A3D"/>
    <w:rsid w:val="576F3F4D"/>
    <w:rsid w:val="57B72A76"/>
    <w:rsid w:val="582A699C"/>
    <w:rsid w:val="58C03AD0"/>
    <w:rsid w:val="58D263C5"/>
    <w:rsid w:val="597E26AE"/>
    <w:rsid w:val="59FF4F75"/>
    <w:rsid w:val="5A1F3A41"/>
    <w:rsid w:val="5A3C747D"/>
    <w:rsid w:val="5A443310"/>
    <w:rsid w:val="5A8A45B8"/>
    <w:rsid w:val="5ABE2233"/>
    <w:rsid w:val="5AD03C8C"/>
    <w:rsid w:val="5AD140A2"/>
    <w:rsid w:val="5B276D18"/>
    <w:rsid w:val="5B3E46F5"/>
    <w:rsid w:val="5B4E25B8"/>
    <w:rsid w:val="5B597725"/>
    <w:rsid w:val="5BBE6674"/>
    <w:rsid w:val="5BDF5D95"/>
    <w:rsid w:val="5C4B3703"/>
    <w:rsid w:val="5C562C08"/>
    <w:rsid w:val="5CF31DA9"/>
    <w:rsid w:val="5D08375B"/>
    <w:rsid w:val="5D2742D9"/>
    <w:rsid w:val="5D910CA8"/>
    <w:rsid w:val="5DAE62A1"/>
    <w:rsid w:val="5DF87A0F"/>
    <w:rsid w:val="5E227B93"/>
    <w:rsid w:val="5E2E0723"/>
    <w:rsid w:val="5F1A2B43"/>
    <w:rsid w:val="5F6258A9"/>
    <w:rsid w:val="5FB837BB"/>
    <w:rsid w:val="60533B27"/>
    <w:rsid w:val="60543290"/>
    <w:rsid w:val="60D13BB5"/>
    <w:rsid w:val="61146955"/>
    <w:rsid w:val="61477143"/>
    <w:rsid w:val="615D3AB6"/>
    <w:rsid w:val="61B76844"/>
    <w:rsid w:val="61D62F42"/>
    <w:rsid w:val="62364782"/>
    <w:rsid w:val="626F4D3F"/>
    <w:rsid w:val="637406A9"/>
    <w:rsid w:val="63A70070"/>
    <w:rsid w:val="63BD0CB2"/>
    <w:rsid w:val="63CB3161"/>
    <w:rsid w:val="63D40BE9"/>
    <w:rsid w:val="63E0211F"/>
    <w:rsid w:val="63E2527D"/>
    <w:rsid w:val="64466D55"/>
    <w:rsid w:val="64705115"/>
    <w:rsid w:val="65171074"/>
    <w:rsid w:val="65373578"/>
    <w:rsid w:val="653F1A99"/>
    <w:rsid w:val="655D31D0"/>
    <w:rsid w:val="666A7189"/>
    <w:rsid w:val="673F2C7A"/>
    <w:rsid w:val="679B254A"/>
    <w:rsid w:val="681F6961"/>
    <w:rsid w:val="68610A2F"/>
    <w:rsid w:val="68805514"/>
    <w:rsid w:val="68DE6DAC"/>
    <w:rsid w:val="68E75DB4"/>
    <w:rsid w:val="690A2E55"/>
    <w:rsid w:val="694E2071"/>
    <w:rsid w:val="697A3B33"/>
    <w:rsid w:val="699E2456"/>
    <w:rsid w:val="6B144D07"/>
    <w:rsid w:val="6B264581"/>
    <w:rsid w:val="6B322639"/>
    <w:rsid w:val="6BC73306"/>
    <w:rsid w:val="6C426D2F"/>
    <w:rsid w:val="6C636C38"/>
    <w:rsid w:val="6D8F52CD"/>
    <w:rsid w:val="6D902CAC"/>
    <w:rsid w:val="6DB34098"/>
    <w:rsid w:val="6DB545B6"/>
    <w:rsid w:val="6DE62BCC"/>
    <w:rsid w:val="6E16339D"/>
    <w:rsid w:val="6E1C32B9"/>
    <w:rsid w:val="6E4375A0"/>
    <w:rsid w:val="6E514CED"/>
    <w:rsid w:val="6E79491A"/>
    <w:rsid w:val="6E8A2486"/>
    <w:rsid w:val="6EB563D5"/>
    <w:rsid w:val="6EE5103B"/>
    <w:rsid w:val="6F225983"/>
    <w:rsid w:val="6F2C37C8"/>
    <w:rsid w:val="6F5F578F"/>
    <w:rsid w:val="6FC14FD2"/>
    <w:rsid w:val="6FE027E9"/>
    <w:rsid w:val="6FFC5590"/>
    <w:rsid w:val="702D28A2"/>
    <w:rsid w:val="70301DA3"/>
    <w:rsid w:val="70334A73"/>
    <w:rsid w:val="706D1DD0"/>
    <w:rsid w:val="70856B87"/>
    <w:rsid w:val="70BD5A35"/>
    <w:rsid w:val="70D527EE"/>
    <w:rsid w:val="710518A7"/>
    <w:rsid w:val="7148306B"/>
    <w:rsid w:val="715B5300"/>
    <w:rsid w:val="715F4BD7"/>
    <w:rsid w:val="71C468CD"/>
    <w:rsid w:val="71D27F8A"/>
    <w:rsid w:val="71F744C6"/>
    <w:rsid w:val="71F960CF"/>
    <w:rsid w:val="7206716E"/>
    <w:rsid w:val="72B611C7"/>
    <w:rsid w:val="72D53A0F"/>
    <w:rsid w:val="731F5D5E"/>
    <w:rsid w:val="732D4BB8"/>
    <w:rsid w:val="73731CDD"/>
    <w:rsid w:val="741E793C"/>
    <w:rsid w:val="74492FD5"/>
    <w:rsid w:val="74B05989"/>
    <w:rsid w:val="74D96178"/>
    <w:rsid w:val="750568AF"/>
    <w:rsid w:val="753C50AD"/>
    <w:rsid w:val="753F1D38"/>
    <w:rsid w:val="758D75E2"/>
    <w:rsid w:val="763A11EB"/>
    <w:rsid w:val="765A3227"/>
    <w:rsid w:val="773109EF"/>
    <w:rsid w:val="77762421"/>
    <w:rsid w:val="77A457E4"/>
    <w:rsid w:val="77B2115B"/>
    <w:rsid w:val="77BA6A14"/>
    <w:rsid w:val="780F09F4"/>
    <w:rsid w:val="789A07EC"/>
    <w:rsid w:val="789C4F47"/>
    <w:rsid w:val="78A90480"/>
    <w:rsid w:val="78C466ED"/>
    <w:rsid w:val="78E32BCE"/>
    <w:rsid w:val="78EC5A75"/>
    <w:rsid w:val="79151F28"/>
    <w:rsid w:val="794E5771"/>
    <w:rsid w:val="79811327"/>
    <w:rsid w:val="7A364017"/>
    <w:rsid w:val="7A5550FB"/>
    <w:rsid w:val="7A771FC3"/>
    <w:rsid w:val="7A8265E1"/>
    <w:rsid w:val="7A8A28F0"/>
    <w:rsid w:val="7AA243E6"/>
    <w:rsid w:val="7AB109EC"/>
    <w:rsid w:val="7B686D42"/>
    <w:rsid w:val="7B841746"/>
    <w:rsid w:val="7C0D714B"/>
    <w:rsid w:val="7C3E029F"/>
    <w:rsid w:val="7C62755B"/>
    <w:rsid w:val="7CC13513"/>
    <w:rsid w:val="7CC60DD9"/>
    <w:rsid w:val="7D0239FF"/>
    <w:rsid w:val="7D45197A"/>
    <w:rsid w:val="7D5E40CD"/>
    <w:rsid w:val="7D693BED"/>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ocked="1"/>
    <w:lsdException w:qFormat="1" w:unhideWhenUsed="0" w:uiPriority="0" w:semiHidden="0" w:name="heading 3" w:locked="1"/>
    <w:lsdException w:qFormat="1" w:unhideWhenUsed="0" w:uiPriority="99"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unhideWhenUsed="0" w:uiPriority="0" w:semiHidden="0" w:name="Document Map"/>
    <w:lsdException w:qFormat="1" w:unhideWhenUsed="0" w:uiPriority="99" w:semiHidden="0" w:name="Plain Text"/>
    <w:lsdException w:qFormat="1"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99"/>
    <w:pPr>
      <w:keepNext/>
      <w:keepLines/>
      <w:spacing w:before="20" w:after="20" w:line="560" w:lineRule="exact"/>
      <w:jc w:val="left"/>
      <w:outlineLvl w:val="1"/>
    </w:pPr>
    <w:rPr>
      <w:b/>
      <w:bCs/>
      <w:kern w:val="0"/>
      <w:sz w:val="28"/>
      <w:szCs w:val="28"/>
    </w:rPr>
  </w:style>
  <w:style w:type="paragraph" w:styleId="6">
    <w:name w:val="heading 3"/>
    <w:basedOn w:val="1"/>
    <w:next w:val="1"/>
    <w:qFormat/>
    <w:locked/>
    <w:uiPriority w:val="0"/>
    <w:pPr>
      <w:keepNext/>
      <w:keepLines/>
      <w:spacing w:before="260" w:beforeLines="0" w:after="260" w:afterLines="0" w:line="415" w:lineRule="auto"/>
      <w:outlineLvl w:val="2"/>
    </w:pPr>
    <w:rPr>
      <w:b/>
      <w:bCs/>
      <w:sz w:val="32"/>
      <w:szCs w:val="32"/>
    </w:rPr>
  </w:style>
  <w:style w:type="paragraph" w:styleId="7">
    <w:name w:val="heading 4"/>
    <w:basedOn w:val="1"/>
    <w:next w:val="1"/>
    <w:qFormat/>
    <w:locked/>
    <w:uiPriority w:val="99"/>
    <w:pPr>
      <w:keepNext/>
      <w:keepLines/>
      <w:tabs>
        <w:tab w:val="left" w:pos="993"/>
        <w:tab w:val="left" w:pos="8497"/>
      </w:tabs>
      <w:spacing w:line="376" w:lineRule="auto"/>
      <w:outlineLvl w:val="3"/>
    </w:pPr>
    <w:rPr>
      <w:rFonts w:ascii="Cambria" w:hAnsi="Cambria"/>
      <w:b/>
      <w:sz w:val="28"/>
      <w:szCs w:val="20"/>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2"/>
    <w:link w:val="37"/>
    <w:semiHidden/>
    <w:qFormat/>
    <w:uiPriority w:val="0"/>
    <w:pPr>
      <w:spacing w:after="120"/>
      <w:ind w:left="420" w:leftChars="200"/>
    </w:pPr>
  </w:style>
  <w:style w:type="paragraph" w:styleId="8">
    <w:name w:val="E-mail Signature"/>
    <w:basedOn w:val="1"/>
    <w:next w:val="1"/>
    <w:unhideWhenUsed/>
    <w:qFormat/>
    <w:uiPriority w:val="0"/>
    <w:pPr>
      <w:widowControl/>
      <w:spacing w:line="240" w:lineRule="auto"/>
      <w:ind w:firstLine="0" w:firstLineChars="0"/>
      <w:jc w:val="center"/>
    </w:pPr>
    <w:rPr>
      <w:kern w:val="0"/>
      <w:sz w:val="18"/>
    </w:rPr>
  </w:style>
  <w:style w:type="paragraph" w:styleId="9">
    <w:name w:val="Normal Indent"/>
    <w:basedOn w:val="1"/>
    <w:qFormat/>
    <w:uiPriority w:val="99"/>
    <w:pPr>
      <w:ind w:firstLine="420"/>
    </w:pPr>
    <w:rPr>
      <w:szCs w:val="20"/>
    </w:rPr>
  </w:style>
  <w:style w:type="paragraph" w:styleId="10">
    <w:name w:val="annotation text"/>
    <w:basedOn w:val="1"/>
    <w:link w:val="35"/>
    <w:semiHidden/>
    <w:qFormat/>
    <w:uiPriority w:val="0"/>
    <w:pPr>
      <w:jc w:val="left"/>
    </w:pPr>
    <w:rPr>
      <w:kern w:val="0"/>
      <w:sz w:val="20"/>
    </w:rPr>
  </w:style>
  <w:style w:type="paragraph" w:styleId="11">
    <w:name w:val="Body Text"/>
    <w:basedOn w:val="1"/>
    <w:link w:val="36"/>
    <w:qFormat/>
    <w:uiPriority w:val="0"/>
    <w:pPr>
      <w:widowControl/>
      <w:snapToGrid w:val="0"/>
      <w:spacing w:before="60" w:after="160" w:line="259" w:lineRule="auto"/>
      <w:ind w:right="113"/>
    </w:pPr>
    <w:rPr>
      <w:kern w:val="0"/>
      <w:sz w:val="18"/>
      <w:szCs w:val="18"/>
    </w:rPr>
  </w:style>
  <w:style w:type="paragraph" w:styleId="12">
    <w:name w:val="List 2"/>
    <w:basedOn w:val="1"/>
    <w:unhideWhenUsed/>
    <w:qFormat/>
    <w:uiPriority w:val="0"/>
    <w:pPr>
      <w:spacing w:line="360" w:lineRule="auto"/>
      <w:ind w:left="100" w:leftChars="200" w:hanging="200" w:hangingChars="200"/>
      <w:contextualSpacing/>
    </w:pPr>
    <w:rPr>
      <w:rFonts w:ascii="Calibri" w:hAnsi="Calibri" w:eastAsia="仿宋" w:cs="Times New Roman"/>
      <w:sz w:val="28"/>
    </w:rPr>
  </w:style>
  <w:style w:type="paragraph" w:styleId="13">
    <w:name w:val="Plain Text"/>
    <w:basedOn w:val="1"/>
    <w:qFormat/>
    <w:uiPriority w:val="99"/>
    <w:rPr>
      <w:rFonts w:hint="eastAsia" w:ascii="宋体" w:hAnsi="Courier New"/>
      <w:szCs w:val="20"/>
    </w:rPr>
  </w:style>
  <w:style w:type="paragraph" w:styleId="14">
    <w:name w:val="List Bullet 5"/>
    <w:basedOn w:val="1"/>
    <w:qFormat/>
    <w:uiPriority w:val="0"/>
    <w:pPr>
      <w:numPr>
        <w:ilvl w:val="0"/>
        <w:numId w:val="1"/>
      </w:numPr>
    </w:pPr>
  </w:style>
  <w:style w:type="paragraph" w:styleId="15">
    <w:name w:val="Date"/>
    <w:basedOn w:val="1"/>
    <w:next w:val="1"/>
    <w:link w:val="38"/>
    <w:qFormat/>
    <w:uiPriority w:val="0"/>
    <w:pPr>
      <w:ind w:left="100" w:leftChars="2500"/>
    </w:pPr>
    <w:rPr>
      <w:kern w:val="0"/>
      <w:sz w:val="20"/>
    </w:rPr>
  </w:style>
  <w:style w:type="paragraph" w:styleId="16">
    <w:name w:val="Balloon Text"/>
    <w:basedOn w:val="1"/>
    <w:link w:val="39"/>
    <w:semiHidden/>
    <w:qFormat/>
    <w:uiPriority w:val="0"/>
    <w:rPr>
      <w:sz w:val="18"/>
      <w:szCs w:val="18"/>
    </w:rPr>
  </w:style>
  <w:style w:type="paragraph" w:styleId="17">
    <w:name w:val="footer"/>
    <w:basedOn w:val="1"/>
    <w:link w:val="40"/>
    <w:qFormat/>
    <w:uiPriority w:val="0"/>
    <w:pPr>
      <w:tabs>
        <w:tab w:val="center" w:pos="4153"/>
        <w:tab w:val="right" w:pos="8306"/>
      </w:tabs>
      <w:snapToGrid w:val="0"/>
      <w:jc w:val="left"/>
    </w:pPr>
    <w:rPr>
      <w:sz w:val="18"/>
      <w:szCs w:val="18"/>
    </w:rPr>
  </w:style>
  <w:style w:type="paragraph" w:styleId="18">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0"/>
  </w:style>
  <w:style w:type="paragraph" w:styleId="20">
    <w:name w:val="index heading"/>
    <w:basedOn w:val="1"/>
    <w:next w:val="21"/>
    <w:qFormat/>
    <w:uiPriority w:val="99"/>
    <w:rPr>
      <w:szCs w:val="20"/>
    </w:rPr>
  </w:style>
  <w:style w:type="paragraph" w:styleId="21">
    <w:name w:val="index 1"/>
    <w:basedOn w:val="1"/>
    <w:next w:val="1"/>
    <w:qFormat/>
    <w:uiPriority w:val="0"/>
    <w:rPr>
      <w:szCs w:val="20"/>
    </w:rPr>
  </w:style>
  <w:style w:type="paragraph" w:styleId="22">
    <w:name w:val="List"/>
    <w:basedOn w:val="1"/>
    <w:next w:val="1"/>
    <w:qFormat/>
    <w:uiPriority w:val="0"/>
    <w:pPr>
      <w:ind w:left="200" w:hanging="200" w:hangingChars="200"/>
    </w:pPr>
    <w:rPr>
      <w:rFonts w:ascii="Times New Roman" w:hAnsi="Times New Roman"/>
      <w:szCs w:val="24"/>
    </w:rPr>
  </w:style>
  <w:style w:type="paragraph" w:styleId="23">
    <w:name w:val="table of figures"/>
    <w:basedOn w:val="1"/>
    <w:next w:val="1"/>
    <w:qFormat/>
    <w:uiPriority w:val="0"/>
    <w:pPr>
      <w:spacing w:line="360" w:lineRule="auto"/>
      <w:ind w:left="400" w:leftChars="200" w:hanging="200" w:hangingChars="200"/>
    </w:pPr>
    <w:rPr>
      <w:sz w:val="24"/>
    </w:rPr>
  </w:style>
  <w:style w:type="paragraph" w:styleId="24">
    <w:name w:val="Normal (Web)"/>
    <w:basedOn w:val="1"/>
    <w:link w:val="42"/>
    <w:qFormat/>
    <w:uiPriority w:val="0"/>
    <w:pPr>
      <w:widowControl/>
      <w:spacing w:before="100" w:beforeAutospacing="1" w:after="100" w:afterAutospacing="1"/>
      <w:jc w:val="left"/>
    </w:pPr>
    <w:rPr>
      <w:rFonts w:ascii="宋体" w:hAnsi="宋体"/>
      <w:kern w:val="0"/>
      <w:sz w:val="24"/>
    </w:rPr>
  </w:style>
  <w:style w:type="paragraph" w:styleId="25">
    <w:name w:val="Title"/>
    <w:basedOn w:val="1"/>
    <w:next w:val="1"/>
    <w:qFormat/>
    <w:locked/>
    <w:uiPriority w:val="0"/>
    <w:pPr>
      <w:spacing w:before="240" w:after="60"/>
      <w:jc w:val="center"/>
      <w:outlineLvl w:val="0"/>
    </w:pPr>
    <w:rPr>
      <w:rFonts w:ascii="Cambria" w:hAnsi="Cambria"/>
      <w:b/>
      <w:bCs/>
      <w:sz w:val="32"/>
      <w:szCs w:val="32"/>
    </w:rPr>
  </w:style>
  <w:style w:type="paragraph" w:styleId="26">
    <w:name w:val="annotation subject"/>
    <w:basedOn w:val="10"/>
    <w:next w:val="10"/>
    <w:link w:val="43"/>
    <w:semiHidden/>
    <w:qFormat/>
    <w:uiPriority w:val="0"/>
    <w:rPr>
      <w:b/>
      <w:bCs/>
    </w:rPr>
  </w:style>
  <w:style w:type="paragraph" w:styleId="27">
    <w:name w:val="Body Text First Indent"/>
    <w:basedOn w:val="11"/>
    <w:next w:val="1"/>
    <w:qFormat/>
    <w:uiPriority w:val="0"/>
    <w:pPr>
      <w:spacing w:after="120" w:line="520" w:lineRule="exact"/>
      <w:ind w:firstLine="420" w:firstLineChars="100"/>
    </w:pPr>
    <w:rPr>
      <w:sz w:val="24"/>
      <w:szCs w:val="24"/>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rPr>
  </w:style>
  <w:style w:type="character" w:styleId="32">
    <w:name w:val="page number"/>
    <w:basedOn w:val="30"/>
    <w:qFormat/>
    <w:uiPriority w:val="0"/>
  </w:style>
  <w:style w:type="character" w:styleId="33">
    <w:name w:val="Hyperlink"/>
    <w:basedOn w:val="30"/>
    <w:qFormat/>
    <w:uiPriority w:val="0"/>
    <w:rPr>
      <w:color w:val="0000FF"/>
      <w:u w:val="single"/>
    </w:rPr>
  </w:style>
  <w:style w:type="character" w:styleId="34">
    <w:name w:val="annotation reference"/>
    <w:basedOn w:val="30"/>
    <w:semiHidden/>
    <w:qFormat/>
    <w:uiPriority w:val="0"/>
    <w:rPr>
      <w:sz w:val="21"/>
    </w:rPr>
  </w:style>
  <w:style w:type="character" w:customStyle="1" w:styleId="35">
    <w:name w:val="Comment Text Char"/>
    <w:link w:val="10"/>
    <w:qFormat/>
    <w:locked/>
    <w:uiPriority w:val="0"/>
    <w:rPr>
      <w:rFonts w:ascii="Times New Roman" w:hAnsi="Times New Roman" w:eastAsia="宋体"/>
      <w:sz w:val="24"/>
    </w:rPr>
  </w:style>
  <w:style w:type="character" w:customStyle="1" w:styleId="36">
    <w:name w:val="Body Text Char"/>
    <w:link w:val="11"/>
    <w:qFormat/>
    <w:locked/>
    <w:uiPriority w:val="0"/>
    <w:rPr>
      <w:sz w:val="18"/>
    </w:rPr>
  </w:style>
  <w:style w:type="character" w:customStyle="1" w:styleId="37">
    <w:name w:val="Body Text Indent Char"/>
    <w:basedOn w:val="30"/>
    <w:link w:val="3"/>
    <w:semiHidden/>
    <w:qFormat/>
    <w:locked/>
    <w:uiPriority w:val="0"/>
    <w:rPr>
      <w:rFonts w:ascii="Times New Roman" w:hAnsi="Times New Roman" w:eastAsia="宋体" w:cs="Times New Roman"/>
      <w:sz w:val="24"/>
      <w:szCs w:val="24"/>
    </w:rPr>
  </w:style>
  <w:style w:type="character" w:customStyle="1" w:styleId="38">
    <w:name w:val="Date Char"/>
    <w:link w:val="15"/>
    <w:qFormat/>
    <w:locked/>
    <w:uiPriority w:val="0"/>
    <w:rPr>
      <w:rFonts w:ascii="Times New Roman" w:hAnsi="Times New Roman" w:eastAsia="宋体"/>
      <w:sz w:val="24"/>
    </w:rPr>
  </w:style>
  <w:style w:type="character" w:customStyle="1" w:styleId="39">
    <w:name w:val="Balloon Text Char"/>
    <w:basedOn w:val="30"/>
    <w:link w:val="16"/>
    <w:semiHidden/>
    <w:qFormat/>
    <w:locked/>
    <w:uiPriority w:val="0"/>
    <w:rPr>
      <w:rFonts w:ascii="Times New Roman" w:hAnsi="Times New Roman" w:eastAsia="宋体" w:cs="Times New Roman"/>
      <w:sz w:val="18"/>
      <w:szCs w:val="18"/>
    </w:rPr>
  </w:style>
  <w:style w:type="character" w:customStyle="1" w:styleId="40">
    <w:name w:val="Footer Char"/>
    <w:basedOn w:val="30"/>
    <w:link w:val="17"/>
    <w:qFormat/>
    <w:locked/>
    <w:uiPriority w:val="0"/>
    <w:rPr>
      <w:rFonts w:cs="Times New Roman"/>
      <w:sz w:val="18"/>
      <w:szCs w:val="18"/>
    </w:rPr>
  </w:style>
  <w:style w:type="character" w:customStyle="1" w:styleId="41">
    <w:name w:val="Header Char"/>
    <w:basedOn w:val="30"/>
    <w:link w:val="18"/>
    <w:qFormat/>
    <w:locked/>
    <w:uiPriority w:val="0"/>
    <w:rPr>
      <w:rFonts w:cs="Times New Roman"/>
      <w:sz w:val="18"/>
      <w:szCs w:val="18"/>
    </w:rPr>
  </w:style>
  <w:style w:type="character" w:customStyle="1" w:styleId="42">
    <w:name w:val="Normal (Web) Char"/>
    <w:link w:val="24"/>
    <w:qFormat/>
    <w:locked/>
    <w:uiPriority w:val="0"/>
    <w:rPr>
      <w:rFonts w:ascii="宋体" w:hAnsi="宋体" w:eastAsia="宋体"/>
      <w:sz w:val="24"/>
    </w:rPr>
  </w:style>
  <w:style w:type="character" w:customStyle="1" w:styleId="43">
    <w:name w:val="Comment Subject Char"/>
    <w:basedOn w:val="35"/>
    <w:link w:val="26"/>
    <w:semiHidden/>
    <w:qFormat/>
    <w:locked/>
    <w:uiPriority w:val="0"/>
    <w:rPr>
      <w:rFonts w:cs="Times New Roman"/>
      <w:b/>
      <w:bCs/>
      <w:kern w:val="2"/>
      <w:szCs w:val="24"/>
    </w:rPr>
  </w:style>
  <w:style w:type="paragraph" w:customStyle="1" w:styleId="44">
    <w:name w:val="样式 正文文本 + 首行缩进:  2 字符"/>
    <w:basedOn w:val="11"/>
    <w:next w:val="1"/>
    <w:qFormat/>
    <w:uiPriority w:val="0"/>
    <w:pPr>
      <w:spacing w:after="0" w:line="500" w:lineRule="atLeast"/>
      <w:ind w:firstLine="200" w:firstLineChars="200"/>
    </w:pPr>
    <w:rPr>
      <w:sz w:val="28"/>
      <w:szCs w:val="20"/>
    </w:rPr>
  </w:style>
  <w:style w:type="paragraph" w:customStyle="1" w:styleId="45">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46">
    <w:name w:val="Default"/>
    <w:basedOn w:val="47"/>
    <w:next w:val="1"/>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47">
    <w:name w:val="1 表头"/>
    <w:basedOn w:val="1"/>
    <w:qFormat/>
    <w:uiPriority w:val="0"/>
    <w:pPr>
      <w:adjustRightInd w:val="0"/>
      <w:snapToGrid w:val="0"/>
      <w:jc w:val="center"/>
    </w:pPr>
    <w:rPr>
      <w:b/>
      <w:color w:val="000000"/>
      <w:szCs w:val="21"/>
    </w:rPr>
  </w:style>
  <w:style w:type="paragraph" w:customStyle="1" w:styleId="48">
    <w:name w:val="纯文本1"/>
    <w:basedOn w:val="1"/>
    <w:qFormat/>
    <w:uiPriority w:val="0"/>
    <w:pPr>
      <w:adjustRightInd w:val="0"/>
    </w:pPr>
    <w:rPr>
      <w:rFonts w:ascii="宋体" w:hAnsi="Courier New"/>
      <w:szCs w:val="20"/>
    </w:rPr>
  </w:style>
  <w:style w:type="paragraph" w:customStyle="1" w:styleId="49">
    <w:name w:val="表格内"/>
    <w:basedOn w:val="1"/>
    <w:qFormat/>
    <w:uiPriority w:val="0"/>
    <w:pPr>
      <w:adjustRightInd w:val="0"/>
      <w:snapToGrid w:val="0"/>
      <w:spacing w:line="360" w:lineRule="exact"/>
      <w:jc w:val="center"/>
    </w:pPr>
    <w:rPr>
      <w:rFonts w:ascii="宋体"/>
      <w:snapToGrid w:val="0"/>
      <w:kern w:val="0"/>
      <w:sz w:val="20"/>
      <w:szCs w:val="21"/>
    </w:rPr>
  </w:style>
  <w:style w:type="paragraph" w:customStyle="1" w:styleId="50">
    <w:name w:val="样式 标题 3 + 无下划线"/>
    <w:basedOn w:val="6"/>
    <w:qFormat/>
    <w:uiPriority w:val="0"/>
    <w:pPr>
      <w:keepNext w:val="0"/>
      <w:keepLines w:val="0"/>
      <w:tabs>
        <w:tab w:val="left" w:pos="993"/>
        <w:tab w:val="left" w:pos="8497"/>
      </w:tabs>
      <w:kinsoku w:val="0"/>
      <w:ind w:left="993"/>
    </w:pPr>
    <w:rPr>
      <w:snapToGrid w:val="0"/>
      <w:color w:val="000000"/>
      <w:kern w:val="0"/>
      <w:sz w:val="28"/>
      <w:szCs w:val="28"/>
    </w:rPr>
  </w:style>
  <w:style w:type="paragraph" w:customStyle="1" w:styleId="51">
    <w:name w:val="样式 标题 4 + 左侧:  0 厘米 首行缩进:  0 厘米"/>
    <w:basedOn w:val="7"/>
    <w:qFormat/>
    <w:uiPriority w:val="0"/>
    <w:pPr>
      <w:tabs>
        <w:tab w:val="left" w:pos="723"/>
      </w:tabs>
    </w:pPr>
    <w:rPr>
      <w:rFonts w:cs="宋体"/>
      <w:szCs w:val="20"/>
    </w:rPr>
  </w:style>
  <w:style w:type="character" w:customStyle="1" w:styleId="52">
    <w:name w:val="日期 字符"/>
    <w:basedOn w:val="30"/>
    <w:semiHidden/>
    <w:qFormat/>
    <w:uiPriority w:val="0"/>
    <w:rPr>
      <w:rFonts w:ascii="Times New Roman" w:hAnsi="Times New Roman" w:eastAsia="宋体" w:cs="Times New Roman"/>
      <w:sz w:val="24"/>
      <w:szCs w:val="24"/>
    </w:rPr>
  </w:style>
  <w:style w:type="character" w:customStyle="1" w:styleId="53">
    <w:name w:val="正文文本 字符1"/>
    <w:basedOn w:val="30"/>
    <w:semiHidden/>
    <w:qFormat/>
    <w:uiPriority w:val="0"/>
    <w:rPr>
      <w:rFonts w:ascii="Times New Roman" w:hAnsi="Times New Roman" w:eastAsia="宋体" w:cs="Times New Roman"/>
      <w:sz w:val="24"/>
      <w:szCs w:val="24"/>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5">
    <w:name w:val="表格 Char"/>
    <w:link w:val="56"/>
    <w:qFormat/>
    <w:locked/>
    <w:uiPriority w:val="0"/>
    <w:rPr>
      <w:rFonts w:ascii="宋体"/>
      <w:sz w:val="21"/>
    </w:rPr>
  </w:style>
  <w:style w:type="paragraph" w:customStyle="1" w:styleId="56">
    <w:name w:val="表格"/>
    <w:basedOn w:val="1"/>
    <w:next w:val="1"/>
    <w:link w:val="55"/>
    <w:qFormat/>
    <w:uiPriority w:val="0"/>
    <w:pPr>
      <w:adjustRightInd w:val="0"/>
      <w:snapToGrid w:val="0"/>
      <w:spacing w:beforeLines="10" w:afterLines="10" w:line="259" w:lineRule="auto"/>
      <w:jc w:val="center"/>
    </w:pPr>
    <w:rPr>
      <w:rFonts w:ascii="宋体"/>
      <w:kern w:val="0"/>
      <w:sz w:val="20"/>
      <w:szCs w:val="21"/>
    </w:rPr>
  </w:style>
  <w:style w:type="character" w:customStyle="1" w:styleId="57">
    <w:name w:val="批注文字 字符1"/>
    <w:basedOn w:val="30"/>
    <w:semiHidden/>
    <w:qFormat/>
    <w:uiPriority w:val="0"/>
    <w:rPr>
      <w:rFonts w:ascii="Times New Roman" w:hAnsi="Times New Roman" w:eastAsia="宋体" w:cs="Times New Roman"/>
      <w:sz w:val="24"/>
      <w:szCs w:val="24"/>
    </w:rPr>
  </w:style>
  <w:style w:type="character" w:customStyle="1" w:styleId="58">
    <w:name w:val="普通(网站) Char"/>
    <w:qFormat/>
    <w:locked/>
    <w:uiPriority w:val="0"/>
    <w:rPr>
      <w:rFonts w:ascii="宋体" w:hAnsi="宋体" w:eastAsia="宋体"/>
      <w:sz w:val="24"/>
    </w:rPr>
  </w:style>
  <w:style w:type="paragraph" w:customStyle="1" w:styleId="59">
    <w:name w:val="默认段落"/>
    <w:basedOn w:val="1"/>
    <w:qFormat/>
    <w:uiPriority w:val="0"/>
    <w:rPr>
      <w:rFonts w:ascii="Calibri" w:hAnsi="Calibri" w:eastAsia="宋体" w:cs="Times New Roman"/>
      <w:sz w:val="24"/>
      <w:szCs w:val="24"/>
    </w:rPr>
  </w:style>
  <w:style w:type="paragraph" w:customStyle="1" w:styleId="60">
    <w:name w:val="表格文字"/>
    <w:basedOn w:val="1"/>
    <w:qFormat/>
    <w:uiPriority w:val="0"/>
    <w:pPr>
      <w:adjustRightInd w:val="0"/>
      <w:spacing w:line="400" w:lineRule="atLeast"/>
      <w:jc w:val="center"/>
    </w:pPr>
    <w:rPr>
      <w:kern w:val="24"/>
      <w:sz w:val="24"/>
      <w:szCs w:val="20"/>
    </w:rPr>
  </w:style>
  <w:style w:type="paragraph" w:customStyle="1" w:styleId="61">
    <w:name w:val="p15"/>
    <w:basedOn w:val="1"/>
    <w:qFormat/>
    <w:uiPriority w:val="0"/>
    <w:pPr>
      <w:widowControl/>
      <w:jc w:val="center"/>
    </w:pPr>
    <w:rPr>
      <w:kern w:val="0"/>
      <w:sz w:val="28"/>
      <w:szCs w:val="28"/>
    </w:rPr>
  </w:style>
  <w:style w:type="paragraph" w:customStyle="1" w:styleId="62">
    <w:name w:val="表头、图号"/>
    <w:basedOn w:val="1"/>
    <w:qFormat/>
    <w:uiPriority w:val="0"/>
    <w:pPr>
      <w:spacing w:before="20" w:after="20"/>
      <w:ind w:firstLine="0" w:firstLineChars="0"/>
      <w:jc w:val="center"/>
    </w:pPr>
    <w:rPr>
      <w:rFonts w:ascii="宋体" w:hAnsi="宋体" w:eastAsia="宋体"/>
      <w:b/>
      <w:szCs w:val="24"/>
    </w:rPr>
  </w:style>
  <w:style w:type="paragraph" w:customStyle="1" w:styleId="63">
    <w:name w:val="表内文字"/>
    <w:basedOn w:val="1"/>
    <w:qFormat/>
    <w:uiPriority w:val="0"/>
    <w:pPr>
      <w:spacing w:line="240" w:lineRule="auto"/>
      <w:ind w:firstLine="0" w:firstLineChars="0"/>
      <w:jc w:val="center"/>
    </w:pPr>
    <w:rPr>
      <w:sz w:val="21"/>
      <w:szCs w:val="21"/>
    </w:rPr>
  </w:style>
  <w:style w:type="paragraph" w:customStyle="1" w:styleId="64">
    <w:name w:val="标题33"/>
    <w:next w:val="1"/>
    <w:qFormat/>
    <w:uiPriority w:val="0"/>
    <w:pPr>
      <w:spacing w:after="50" w:afterLines="50" w:line="500" w:lineRule="exact"/>
      <w:outlineLvl w:val="2"/>
    </w:pPr>
    <w:rPr>
      <w:rFonts w:ascii="Calibri" w:hAnsi="Calibri" w:eastAsia="宋体" w:cs="Times New Roman"/>
      <w:b/>
      <w:bCs/>
      <w:sz w:val="30"/>
      <w:szCs w:val="32"/>
      <w:lang w:val="en-US" w:eastAsia="zh-CN" w:bidi="ar-SA"/>
    </w:rPr>
  </w:style>
  <w:style w:type="paragraph" w:customStyle="1" w:styleId="65">
    <w:name w:val="环评正文"/>
    <w:basedOn w:val="1"/>
    <w:qFormat/>
    <w:uiPriority w:val="99"/>
    <w:pPr>
      <w:spacing w:beforeLines="30"/>
      <w:ind w:firstLine="480" w:firstLineChars="200"/>
    </w:pPr>
    <w:rPr>
      <w:rFonts w:ascii="Tahoma" w:hAnsi="Tahoma" w:cs="Tahoma"/>
      <w:kern w:val="0"/>
      <w:sz w:val="24"/>
      <w:szCs w:val="20"/>
    </w:rPr>
  </w:style>
  <w:style w:type="paragraph" w:customStyle="1" w:styleId="66">
    <w:name w:val="Table Paragraph"/>
    <w:basedOn w:val="1"/>
    <w:qFormat/>
    <w:uiPriority w:val="1"/>
    <w:rPr>
      <w:rFonts w:ascii="宋体" w:hAnsi="宋体" w:eastAsia="宋体" w:cs="宋体"/>
      <w:lang w:val="zh-CN" w:eastAsia="zh-CN" w:bidi="zh-CN"/>
    </w:rPr>
  </w:style>
  <w:style w:type="character" w:customStyle="1" w:styleId="67">
    <w:name w:val="font11"/>
    <w:basedOn w:val="30"/>
    <w:qFormat/>
    <w:uiPriority w:val="0"/>
    <w:rPr>
      <w:rFonts w:ascii="宋体" w:hAnsi="宋体" w:eastAsia="宋体" w:cs="宋体"/>
      <w:color w:val="000000"/>
      <w:sz w:val="22"/>
      <w:szCs w:val="22"/>
      <w:u w:val="none"/>
    </w:rPr>
  </w:style>
  <w:style w:type="character" w:customStyle="1" w:styleId="68">
    <w:name w:val="font21"/>
    <w:basedOn w:val="30"/>
    <w:qFormat/>
    <w:uiPriority w:val="0"/>
    <w:rPr>
      <w:rFonts w:ascii="宋体" w:hAnsi="宋体" w:eastAsia="宋体" w:cs="宋体"/>
      <w:color w:val="000000"/>
      <w:sz w:val="22"/>
      <w:szCs w:val="22"/>
      <w:u w:val="none"/>
    </w:rPr>
  </w:style>
  <w:style w:type="character" w:customStyle="1" w:styleId="69">
    <w:name w:val="font41"/>
    <w:basedOn w:val="30"/>
    <w:qFormat/>
    <w:uiPriority w:val="0"/>
    <w:rPr>
      <w:rFonts w:ascii="宋体" w:hAnsi="宋体" w:eastAsia="宋体" w:cs="宋体"/>
      <w:color w:val="000000"/>
      <w:sz w:val="22"/>
      <w:szCs w:val="22"/>
      <w:u w:val="none"/>
      <w:vertAlign w:val="superscript"/>
    </w:rPr>
  </w:style>
  <w:style w:type="paragraph" w:customStyle="1" w:styleId="70">
    <w:name w:val="Body Text 21"/>
    <w:basedOn w:val="1"/>
    <w:next w:val="1"/>
    <w:qFormat/>
    <w:uiPriority w:val="0"/>
    <w:pPr>
      <w:autoSpaceDE w:val="0"/>
      <w:autoSpaceDN w:val="0"/>
      <w:adjustRightInd w:val="0"/>
      <w:spacing w:line="480" w:lineRule="exact"/>
      <w:ind w:firstLine="540"/>
      <w:textAlignment w:val="baseline"/>
    </w:pPr>
    <w:rPr>
      <w:rFonts w:ascii="宋体" w:hAnsi="Tms Rmn"/>
      <w:kern w:val="0"/>
      <w:sz w:val="24"/>
    </w:rPr>
  </w:style>
  <w:style w:type="table" w:customStyle="1" w:styleId="71">
    <w:name w:val="Table Normal"/>
    <w:unhideWhenUsed/>
    <w:qFormat/>
    <w:uiPriority w:val="0"/>
    <w:tblPr>
      <w:tblCellMar>
        <w:top w:w="0" w:type="dxa"/>
        <w:left w:w="0" w:type="dxa"/>
        <w:bottom w:w="0" w:type="dxa"/>
        <w:right w:w="0" w:type="dxa"/>
      </w:tblCellMar>
    </w:tblPr>
  </w:style>
  <w:style w:type="character" w:customStyle="1" w:styleId="72">
    <w:name w:val="font31"/>
    <w:basedOn w:val="30"/>
    <w:qFormat/>
    <w:uiPriority w:val="0"/>
    <w:rPr>
      <w:rFonts w:hint="default" w:ascii="Times New Roman" w:hAnsi="Times New Roman" w:cs="Times New Roman"/>
      <w:color w:val="000000"/>
      <w:sz w:val="22"/>
      <w:szCs w:val="22"/>
      <w:u w:val="none"/>
    </w:rPr>
  </w:style>
  <w:style w:type="paragraph" w:customStyle="1" w:styleId="73">
    <w:name w:val="正文01"/>
    <w:basedOn w:val="1"/>
    <w:qFormat/>
    <w:uiPriority w:val="0"/>
    <w:pPr>
      <w:widowControl/>
      <w:spacing w:before="60" w:line="460" w:lineRule="exact"/>
      <w:ind w:firstLine="200" w:firstLineChars="200"/>
      <w:jc w:val="left"/>
    </w:pPr>
    <w:rPr>
      <w:bCs/>
      <w:kern w:val="0"/>
      <w:sz w:val="24"/>
      <w:szCs w:val="20"/>
    </w:rPr>
  </w:style>
  <w:style w:type="paragraph" w:customStyle="1" w:styleId="74">
    <w:name w:val="正文小五"/>
    <w:qFormat/>
    <w:uiPriority w:val="0"/>
    <w:pPr>
      <w:spacing w:line="360" w:lineRule="auto"/>
      <w:ind w:firstLine="420" w:firstLineChars="200"/>
      <w:jc w:val="both"/>
    </w:pPr>
    <w:rPr>
      <w:rFonts w:ascii="Times New Roman" w:hAnsi="Times New Roman" w:eastAsia="宋体" w:cs="Times New Roman"/>
      <w:color w:val="FF0000"/>
      <w:kern w:val="2"/>
      <w:sz w:val="21"/>
      <w:lang w:val="en-US" w:eastAsia="zh-CN" w:bidi="ar-SA"/>
    </w:rPr>
  </w:style>
  <w:style w:type="paragraph" w:customStyle="1" w:styleId="75">
    <w:name w:val="Table Text"/>
    <w:basedOn w:val="1"/>
    <w:semiHidden/>
    <w:qFormat/>
    <w:uiPriority w:val="0"/>
    <w:rPr>
      <w:rFonts w:ascii="宋体" w:hAnsi="宋体" w:eastAsia="宋体" w:cs="宋体"/>
      <w:sz w:val="20"/>
      <w:szCs w:val="20"/>
      <w:lang w:eastAsia="en-US"/>
    </w:rPr>
  </w:style>
  <w:style w:type="paragraph" w:customStyle="1" w:styleId="76">
    <w:name w:val="表头"/>
    <w:basedOn w:val="9"/>
    <w:next w:val="1"/>
    <w:qFormat/>
    <w:uiPriority w:val="0"/>
    <w:pPr>
      <w:widowControl w:val="0"/>
      <w:adjustRightInd w:val="0"/>
      <w:snapToGrid/>
      <w:spacing w:before="0" w:after="0" w:line="360" w:lineRule="auto"/>
      <w:ind w:right="0"/>
      <w:jc w:val="center"/>
      <w:textAlignment w:val="baseline"/>
    </w:pPr>
    <w:rPr>
      <w:rFonts w:ascii="宋体" w:eastAsia="宋体"/>
      <w:snapToGrid w:val="0"/>
      <w:spacing w:val="4"/>
      <w:kern w:val="18"/>
      <w:sz w:val="24"/>
    </w:rPr>
  </w:style>
  <w:style w:type="paragraph" w:customStyle="1" w:styleId="77">
    <w:name w:val="正文新"/>
    <w:basedOn w:val="1"/>
    <w:qFormat/>
    <w:uiPriority w:val="0"/>
    <w:pPr>
      <w:spacing w:line="460" w:lineRule="exact"/>
      <w:ind w:firstLine="480" w:firstLineChars="200"/>
    </w:pPr>
    <w:rPr>
      <w:sz w:val="24"/>
    </w:rPr>
  </w:style>
  <w:style w:type="paragraph" w:customStyle="1" w:styleId="78">
    <w:name w:val="正文(首行缩进)"/>
    <w:basedOn w:val="1"/>
    <w:next w:val="1"/>
    <w:semiHidden/>
    <w:qFormat/>
    <w:uiPriority w:val="0"/>
    <w:pPr>
      <w:spacing w:line="360" w:lineRule="auto"/>
      <w:ind w:firstLine="540" w:firstLineChars="225"/>
    </w:pPr>
    <w:rPr>
      <w:snapToGrid w:val="0"/>
      <w:color w:val="000000"/>
      <w:kern w:val="0"/>
      <w:sz w:val="24"/>
    </w:rPr>
  </w:style>
  <w:style w:type="paragraph" w:customStyle="1" w:styleId="79">
    <w:name w:val="正文1"/>
    <w:basedOn w:val="9"/>
    <w:next w:val="9"/>
    <w:qFormat/>
    <w:uiPriority w:val="0"/>
    <w:pPr>
      <w:tabs>
        <w:tab w:val="left" w:pos="2760"/>
      </w:tabs>
      <w:spacing w:before="78" w:beforeLines="25" w:after="78" w:afterLines="25"/>
      <w:ind w:firstLine="480"/>
    </w:pPr>
  </w:style>
  <w:style w:type="table" w:customStyle="1" w:styleId="80">
    <w:name w:val="TableGrid"/>
    <w:basedOn w:val="28"/>
    <w:qFormat/>
    <w:uiPriority w:val="0"/>
    <w:rPr>
      <w:rFonts w:hint="eastAsia"/>
      <w:kern w:val="2"/>
      <w:sz w:val="21"/>
      <w:szCs w:val="22"/>
    </w:rPr>
    <w:tblPr>
      <w:tblCellMar>
        <w:left w:w="0" w:type="dxa"/>
        <w:right w:w="0" w:type="dxa"/>
      </w:tblCellMar>
    </w:tblPr>
  </w:style>
  <w:style w:type="paragraph" w:customStyle="1" w:styleId="81">
    <w:name w:val="报告-正文"/>
    <w:basedOn w:val="1"/>
    <w:next w:val="1"/>
    <w:qFormat/>
    <w:uiPriority w:val="0"/>
    <w:pPr>
      <w:spacing w:line="440" w:lineRule="exact"/>
      <w:ind w:firstLine="200" w:firstLineChars="200"/>
    </w:pPr>
    <w:rPr>
      <w:rFonts w:ascii="Times New Roman" w:hAnsi="Times New Roman" w:eastAsia="宋体"/>
      <w:sz w:val="24"/>
    </w:rPr>
  </w:style>
  <w:style w:type="paragraph" w:customStyle="1" w:styleId="82">
    <w:name w:val="图表"/>
    <w:basedOn w:val="1"/>
    <w:qFormat/>
    <w:uiPriority w:val="0"/>
    <w:pPr>
      <w:tabs>
        <w:tab w:val="left" w:pos="1322"/>
        <w:tab w:val="center" w:pos="4635"/>
      </w:tabs>
      <w:adjustRightInd w:val="0"/>
      <w:snapToGrid w:val="0"/>
      <w:jc w:val="center"/>
      <w:outlineLvl w:val="1"/>
    </w:pPr>
    <w:rPr>
      <w:rFonts w:eastAsia="黑体"/>
      <w:b/>
      <w:snapToGrid w:val="0"/>
      <w:kern w:val="0"/>
      <w:sz w:val="22"/>
      <w:szCs w:val="22"/>
    </w:rPr>
  </w:style>
  <w:style w:type="paragraph" w:customStyle="1" w:styleId="83">
    <w:name w:val="_Style 2"/>
    <w:basedOn w:val="1"/>
    <w:next w:val="1"/>
    <w:qFormat/>
    <w:uiPriority w:val="1"/>
    <w:pPr>
      <w:spacing w:line="440" w:lineRule="exact"/>
      <w:ind w:firstLine="420" w:firstLineChars="200"/>
    </w:pPr>
    <w:rPr>
      <w:sz w:val="24"/>
      <w:szCs w:val="20"/>
    </w:rPr>
  </w:style>
  <w:style w:type="paragraph" w:customStyle="1" w:styleId="84">
    <w:name w:val="样式 首行缩进:  2 字符1"/>
    <w:basedOn w:val="1"/>
    <w:qFormat/>
    <w:uiPriority w:val="0"/>
    <w:pPr>
      <w:spacing w:line="480" w:lineRule="exact"/>
      <w:ind w:firstLine="420" w:firstLineChars="200"/>
    </w:pPr>
    <w:rPr>
      <w:rFonts w:ascii="ˎ̥"/>
      <w:kern w:val="0"/>
      <w:sz w:val="24"/>
      <w:szCs w:val="20"/>
    </w:rPr>
  </w:style>
  <w:style w:type="paragraph" w:customStyle="1" w:styleId="85">
    <w:name w:val="表后空格"/>
    <w:basedOn w:val="1"/>
    <w:qFormat/>
    <w:uiPriority w:val="0"/>
    <w:pPr>
      <w:spacing w:line="240" w:lineRule="exact"/>
    </w:pPr>
    <w:rPr>
      <w:sz w:val="18"/>
      <w:szCs w:val="21"/>
    </w:rPr>
  </w:style>
  <w:style w:type="paragraph" w:customStyle="1" w:styleId="86">
    <w:name w:val="正文A"/>
    <w:basedOn w:val="1"/>
    <w:qFormat/>
    <w:uiPriority w:val="0"/>
    <w:pPr>
      <w:autoSpaceDE w:val="0"/>
      <w:autoSpaceDN w:val="0"/>
      <w:adjustRightInd w:val="0"/>
      <w:snapToGrid w:val="0"/>
      <w:textAlignment w:val="baseline"/>
    </w:pPr>
    <w:rPr>
      <w:rFonts w:cs="Times New Roman"/>
      <w:kern w:val="0"/>
      <w:szCs w:val="20"/>
    </w:rPr>
  </w:style>
  <w:style w:type="paragraph" w:styleId="87">
    <w:name w:val="List Paragraph"/>
    <w:basedOn w:val="1"/>
    <w:unhideWhenUsed/>
    <w:qFormat/>
    <w:uiPriority w:val="99"/>
    <w:pPr>
      <w:ind w:firstLine="420"/>
    </w:pPr>
  </w:style>
  <w:style w:type="paragraph" w:customStyle="1" w:styleId="88">
    <w:name w:val="正文格式"/>
    <w:basedOn w:val="27"/>
    <w:next w:val="89"/>
    <w:qFormat/>
    <w:uiPriority w:val="0"/>
    <w:pPr>
      <w:adjustRightInd w:val="0"/>
      <w:snapToGrid w:val="0"/>
      <w:spacing w:line="360" w:lineRule="auto"/>
      <w:ind w:firstLine="560"/>
    </w:pPr>
    <w:rPr>
      <w:rFonts w:ascii="Times New Roman" w:hAnsi="Times New Roman" w:cs="Times New Roman"/>
      <w:color w:val="000000"/>
      <w:lang w:val="zh-CN" w:eastAsia="zh-CN"/>
    </w:rPr>
  </w:style>
  <w:style w:type="paragraph" w:customStyle="1" w:styleId="89">
    <w:name w:val="_Style 5"/>
    <w:basedOn w:val="1"/>
    <w:qFormat/>
    <w:uiPriority w:val="0"/>
    <w:pPr>
      <w:ind w:firstLine="42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e7bcf24d-8622-4607-827c-410b9b3ab418</errorID>
      <errorWord>2024年巴音郭楞蒙古自治州轮台县环境空气质量监测站中公布的轮台县2024年</errorWord>
      <group>L1_Other</group>
      <groupName>其他问题</groupName>
      <ability>L2_Consistency</ability>
      <abilityName>一致性检查</abilityName>
      <candidateList>
        <item>2024年巴音郭楞蒙古自治州轮台县环境空气质量监测站中公布的轮台县</item>
      </candidateList>
      <explain>数字一致性问题，“2024年”重复表述，应统一去掉多余的“2024年”</explain>
      <paraID>4B825DB9</paraID>
      <start>12</start>
      <end>45</end>
      <status>modified</status>
      <modifiedWord>2024年巴音郭楞蒙古自治州轮台县环境空气质量监测站中公布的轮台县</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5d59a4-3771-4ed8-b123-241a5f7c0b19}">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74</Pages>
  <Words>250</Words>
  <Characters>287</Characters>
  <Lines>9</Lines>
  <Paragraphs>2</Paragraphs>
  <TotalTime>11</TotalTime>
  <ScaleCrop>false</ScaleCrop>
  <LinksUpToDate>false</LinksUpToDate>
  <CharactersWithSpaces>342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WPS_1562320662</cp:lastModifiedBy>
  <cp:lastPrinted>2025-09-12T11:44:00Z</cp:lastPrinted>
  <dcterms:modified xsi:type="dcterms:W3CDTF">2026-04-17T10:36:38Z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1C330DBC70BB435D9E48205C889FD4EC_13</vt:lpwstr>
  </property>
  <property fmtid="{D5CDD505-2E9C-101B-9397-08002B2CF9AE}" pid="4" name="KSOTemplateDocerSaveRecord">
    <vt:lpwstr>eyJoZGlkIjoiNGRhODgyNjQ5YTE5ZjFmYjE2NDEwOTU4OTE2MjU0N2MiLCJ1c2VySWQiOiI2MDE2NTE5NzkifQ==</vt:lpwstr>
  </property>
</Properties>
</file>