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CB081">
      <w:pPr>
        <w:rPr>
          <w:rFonts w:ascii="仿宋_GB2312" w:hAnsi="仿宋_GB2312" w:eastAsia="仿宋_GB2312" w:cs="仿宋_GB2312"/>
          <w:color w:val="auto"/>
          <w:sz w:val="36"/>
          <w:szCs w:val="36"/>
        </w:rPr>
      </w:pPr>
      <w:bookmarkStart w:id="0" w:name="_Hlk57883707"/>
    </w:p>
    <w:p w14:paraId="3C08A025">
      <w:pPr>
        <w:rPr>
          <w:rFonts w:ascii="仿宋_GB2312" w:hAnsi="仿宋_GB2312" w:eastAsia="仿宋_GB2312" w:cs="仿宋_GB2312"/>
          <w:color w:val="auto"/>
          <w:sz w:val="36"/>
          <w:szCs w:val="36"/>
        </w:rPr>
      </w:pPr>
    </w:p>
    <w:p w14:paraId="68D20630">
      <w:pPr>
        <w:rPr>
          <w:rFonts w:ascii="仿宋_GB2312" w:hAnsi="仿宋_GB2312" w:eastAsia="仿宋_GB2312" w:cs="仿宋_GB2312"/>
          <w:color w:val="auto"/>
          <w:sz w:val="36"/>
          <w:szCs w:val="36"/>
        </w:rPr>
      </w:pPr>
    </w:p>
    <w:p w14:paraId="3AC73FF4">
      <w:pPr>
        <w:rPr>
          <w:rFonts w:ascii="仿宋_GB2312" w:hAnsi="仿宋_GB2312" w:eastAsia="仿宋_GB2312" w:cs="仿宋_GB2312"/>
          <w:color w:val="auto"/>
          <w:sz w:val="36"/>
          <w:szCs w:val="36"/>
        </w:rPr>
      </w:pPr>
    </w:p>
    <w:bookmarkEnd w:id="0"/>
    <w:p w14:paraId="274E68D7">
      <w:pPr>
        <w:adjustRightInd w:val="0"/>
        <w:snapToGrid w:val="0"/>
        <w:jc w:val="center"/>
        <w:outlineLvl w:val="0"/>
        <w:rPr>
          <w:rFonts w:hint="eastAsia" w:ascii="方正小标宋_GBK" w:eastAsia="方正小标宋_GBK"/>
          <w:bCs/>
          <w:color w:val="auto"/>
          <w:sz w:val="72"/>
          <w:szCs w:val="72"/>
        </w:rPr>
      </w:pPr>
      <w:r>
        <w:rPr>
          <w:rFonts w:hint="eastAsia" w:ascii="方正小标宋_GBK" w:eastAsia="方正小标宋_GBK"/>
          <w:bCs/>
          <w:color w:val="auto"/>
          <w:sz w:val="72"/>
          <w:szCs w:val="72"/>
        </w:rPr>
        <w:t>建设项目环境影响报告表</w:t>
      </w:r>
    </w:p>
    <w:p w14:paraId="3FD828DB">
      <w:pPr>
        <w:adjustRightInd w:val="0"/>
        <w:snapToGrid w:val="0"/>
        <w:spacing w:before="192" w:beforeLines="80"/>
        <w:jc w:val="center"/>
        <w:rPr>
          <w:rFonts w:hint="eastAsia" w:ascii="楷体_GB2312" w:eastAsia="楷体_GB2312"/>
          <w:bCs/>
          <w:color w:val="auto"/>
          <w:sz w:val="48"/>
          <w:szCs w:val="48"/>
        </w:rPr>
      </w:pPr>
      <w:r>
        <w:rPr>
          <w:rFonts w:hint="eastAsia" w:ascii="楷体_GB2312" w:eastAsia="楷体_GB2312"/>
          <w:bCs/>
          <w:color w:val="auto"/>
          <w:sz w:val="48"/>
          <w:szCs w:val="48"/>
        </w:rPr>
        <w:t>（生态影响类）</w:t>
      </w:r>
    </w:p>
    <w:p w14:paraId="133829D3">
      <w:pPr>
        <w:adjustRightInd w:val="0"/>
        <w:snapToGrid w:val="0"/>
        <w:spacing w:line="288" w:lineRule="auto"/>
        <w:jc w:val="center"/>
        <w:outlineLvl w:val="0"/>
        <w:rPr>
          <w:rFonts w:ascii="华文仿宋" w:hAnsi="华文仿宋" w:eastAsia="华文仿宋" w:cs="华文仿宋"/>
          <w:color w:val="auto"/>
          <w:kern w:val="44"/>
          <w:sz w:val="44"/>
          <w:szCs w:val="44"/>
        </w:rPr>
      </w:pPr>
      <w:bookmarkStart w:id="1" w:name="_Hlk57883728"/>
    </w:p>
    <w:p w14:paraId="0C79FDD1">
      <w:pPr>
        <w:jc w:val="center"/>
        <w:rPr>
          <w:rFonts w:eastAsia="仿宋"/>
          <w:color w:val="auto"/>
          <w:sz w:val="52"/>
          <w:szCs w:val="52"/>
        </w:rPr>
      </w:pPr>
    </w:p>
    <w:p w14:paraId="54156185">
      <w:pPr>
        <w:ind w:firstLine="1040"/>
        <w:rPr>
          <w:rFonts w:eastAsia="仿宋"/>
          <w:color w:val="auto"/>
          <w:sz w:val="44"/>
          <w:szCs w:val="44"/>
        </w:rPr>
      </w:pPr>
    </w:p>
    <w:p w14:paraId="645A1ACB">
      <w:pPr>
        <w:ind w:firstLine="1040"/>
        <w:rPr>
          <w:rFonts w:eastAsia="仿宋"/>
          <w:color w:val="auto"/>
          <w:sz w:val="44"/>
          <w:szCs w:val="44"/>
        </w:rPr>
      </w:pPr>
    </w:p>
    <w:p w14:paraId="6789823B">
      <w:pPr>
        <w:ind w:firstLine="1040"/>
        <w:rPr>
          <w:rFonts w:eastAsia="仿宋"/>
          <w:color w:val="auto"/>
          <w:sz w:val="44"/>
          <w:szCs w:val="44"/>
        </w:rPr>
      </w:pPr>
    </w:p>
    <w:p w14:paraId="253B182E">
      <w:pPr>
        <w:ind w:firstLine="1040"/>
        <w:rPr>
          <w:rFonts w:eastAsia="仿宋"/>
          <w:color w:val="auto"/>
          <w:sz w:val="44"/>
          <w:szCs w:val="44"/>
        </w:rPr>
      </w:pPr>
    </w:p>
    <w:bookmarkEnd w:id="1"/>
    <w:p w14:paraId="2F5807BB">
      <w:pPr>
        <w:keepNext w:val="0"/>
        <w:keepLines w:val="0"/>
        <w:pageBreakBefore w:val="0"/>
        <w:widowControl w:val="0"/>
        <w:kinsoku/>
        <w:wordWrap/>
        <w:overflowPunct/>
        <w:topLinePunct w:val="0"/>
        <w:autoSpaceDE/>
        <w:autoSpaceDN/>
        <w:bidi w:val="0"/>
        <w:adjustRightInd w:val="0"/>
        <w:snapToGrid w:val="0"/>
        <w:spacing w:line="288" w:lineRule="auto"/>
        <w:ind w:firstLine="567"/>
        <w:textAlignment w:val="auto"/>
        <w:rPr>
          <w:rFonts w:hint="eastAsia" w:ascii="仿宋_GB2312" w:eastAsia="仿宋_GB2312"/>
          <w:color w:val="auto"/>
          <w:sz w:val="36"/>
          <w:szCs w:val="36"/>
          <w:u w:val="single"/>
          <w:lang w:eastAsia="zh-CN"/>
        </w:rPr>
      </w:pPr>
      <w:r>
        <w:rPr>
          <w:rFonts w:hint="eastAsia" w:ascii="仿宋_GB2312" w:eastAsia="仿宋_GB2312"/>
          <w:color w:val="auto"/>
          <w:sz w:val="36"/>
          <w:szCs w:val="36"/>
        </w:rPr>
        <w:t>项目名称：</w:t>
      </w:r>
      <w:r>
        <w:rPr>
          <w:rFonts w:hint="eastAsia" w:ascii="仿宋_GB2312" w:eastAsia="仿宋_GB2312"/>
          <w:color w:val="auto"/>
          <w:sz w:val="36"/>
          <w:szCs w:val="36"/>
          <w:u w:val="single"/>
          <w:lang w:eastAsia="zh-CN"/>
        </w:rPr>
        <w:t>新疆且末县修特库依干大理岩矿普查</w:t>
      </w:r>
    </w:p>
    <w:p w14:paraId="23736905">
      <w:pPr>
        <w:keepNext w:val="0"/>
        <w:keepLines w:val="0"/>
        <w:pageBreakBefore w:val="0"/>
        <w:widowControl w:val="0"/>
        <w:kinsoku/>
        <w:wordWrap/>
        <w:overflowPunct/>
        <w:topLinePunct w:val="0"/>
        <w:autoSpaceDE/>
        <w:autoSpaceDN/>
        <w:bidi w:val="0"/>
        <w:adjustRightInd w:val="0"/>
        <w:snapToGrid w:val="0"/>
        <w:spacing w:line="288" w:lineRule="auto"/>
        <w:ind w:firstLine="2408" w:firstLineChars="669"/>
        <w:textAlignment w:val="auto"/>
        <w:rPr>
          <w:rFonts w:hint="default" w:ascii="Times New Roman" w:hAnsi="Times New Roman" w:eastAsia="仿宋_GB2312" w:cs="Times New Roman"/>
          <w:color w:val="auto"/>
          <w:sz w:val="36"/>
          <w:szCs w:val="36"/>
          <w:u w:val="single"/>
          <w:lang w:val="en-US"/>
        </w:rPr>
      </w:pPr>
      <w:r>
        <w:rPr>
          <w:rFonts w:hint="eastAsia" w:ascii="仿宋_GB2312" w:eastAsia="仿宋_GB2312"/>
          <w:color w:val="auto"/>
          <w:sz w:val="36"/>
          <w:szCs w:val="36"/>
          <w:u w:val="single"/>
          <w:lang w:val="en-US" w:eastAsia="zh-CN"/>
        </w:rPr>
        <w:t>项目</w:t>
      </w:r>
      <w:r>
        <w:rPr>
          <w:rFonts w:hint="default" w:ascii="Times New Roman" w:hAnsi="Times New Roman" w:eastAsia="仿宋_GB2312" w:cs="Times New Roman"/>
          <w:color w:val="auto"/>
          <w:sz w:val="36"/>
          <w:szCs w:val="36"/>
          <w:u w:val="single"/>
          <w:lang w:val="en-US" w:eastAsia="zh-CN"/>
        </w:rPr>
        <w:t xml:space="preserve">                  </w:t>
      </w:r>
      <w:r>
        <w:rPr>
          <w:rFonts w:hint="eastAsia" w:eastAsia="仿宋_GB2312" w:cs="Times New Roman"/>
          <w:color w:val="auto"/>
          <w:sz w:val="36"/>
          <w:szCs w:val="36"/>
          <w:u w:val="single"/>
          <w:lang w:val="en-US" w:eastAsia="zh-CN"/>
        </w:rPr>
        <w:t xml:space="preserve">         </w:t>
      </w:r>
    </w:p>
    <w:p w14:paraId="65BAC02E">
      <w:pPr>
        <w:keepNext w:val="0"/>
        <w:keepLines w:val="0"/>
        <w:pageBreakBefore w:val="0"/>
        <w:widowControl w:val="0"/>
        <w:kinsoku/>
        <w:wordWrap/>
        <w:overflowPunct/>
        <w:topLinePunct w:val="0"/>
        <w:autoSpaceDE/>
        <w:autoSpaceDN/>
        <w:bidi w:val="0"/>
        <w:adjustRightInd w:val="0"/>
        <w:snapToGrid w:val="0"/>
        <w:spacing w:line="288" w:lineRule="auto"/>
        <w:ind w:firstLine="567"/>
        <w:textAlignment w:val="auto"/>
        <w:rPr>
          <w:rFonts w:hint="eastAsia" w:eastAsia="仿宋_GB2312" w:cs="Times New Roman"/>
          <w:color w:val="auto"/>
          <w:sz w:val="36"/>
          <w:szCs w:val="36"/>
          <w:u w:val="single"/>
          <w:lang w:val="en-US" w:eastAsia="zh-CN"/>
        </w:rPr>
      </w:pPr>
      <w:r>
        <w:rPr>
          <w:rFonts w:hint="default" w:ascii="Times New Roman" w:hAnsi="Times New Roman" w:eastAsia="仿宋_GB2312" w:cs="Times New Roman"/>
          <w:color w:val="auto"/>
          <w:sz w:val="36"/>
          <w:szCs w:val="36"/>
        </w:rPr>
        <w:t>建设单位（盖章）：</w:t>
      </w:r>
      <w:r>
        <w:rPr>
          <w:rFonts w:hint="eastAsia" w:eastAsia="仿宋_GB2312" w:cs="Times New Roman"/>
          <w:color w:val="auto"/>
          <w:sz w:val="36"/>
          <w:szCs w:val="36"/>
          <w:u w:val="single"/>
          <w:lang w:val="en-US" w:eastAsia="zh-CN"/>
        </w:rPr>
        <w:t>塔什库尔干县叶尔羌玉石有</w:t>
      </w:r>
    </w:p>
    <w:p w14:paraId="26623E54">
      <w:pPr>
        <w:keepNext w:val="0"/>
        <w:keepLines w:val="0"/>
        <w:pageBreakBefore w:val="0"/>
        <w:widowControl w:val="0"/>
        <w:kinsoku/>
        <w:wordWrap/>
        <w:overflowPunct/>
        <w:topLinePunct w:val="0"/>
        <w:autoSpaceDE/>
        <w:autoSpaceDN/>
        <w:bidi w:val="0"/>
        <w:adjustRightInd w:val="0"/>
        <w:snapToGrid w:val="0"/>
        <w:spacing w:line="288" w:lineRule="auto"/>
        <w:ind w:firstLine="2408" w:firstLineChars="669"/>
        <w:textAlignment w:val="auto"/>
        <w:rPr>
          <w:rFonts w:hint="default" w:ascii="Times New Roman" w:hAnsi="Times New Roman" w:eastAsia="仿宋_GB2312" w:cs="Times New Roman"/>
          <w:color w:val="auto"/>
          <w:sz w:val="36"/>
          <w:szCs w:val="36"/>
          <w:u w:val="single"/>
          <w:lang w:val="en-US" w:eastAsia="zh-CN"/>
        </w:rPr>
      </w:pPr>
      <w:r>
        <w:rPr>
          <w:rFonts w:hint="eastAsia" w:eastAsia="仿宋_GB2312" w:cs="Times New Roman"/>
          <w:color w:val="auto"/>
          <w:sz w:val="36"/>
          <w:szCs w:val="36"/>
          <w:u w:val="single"/>
          <w:lang w:val="en-US" w:eastAsia="zh-CN"/>
        </w:rPr>
        <w:t xml:space="preserve">限责任公司                     </w:t>
      </w:r>
    </w:p>
    <w:p w14:paraId="686A3387">
      <w:pPr>
        <w:keepNext w:val="0"/>
        <w:keepLines w:val="0"/>
        <w:pageBreakBefore w:val="0"/>
        <w:widowControl w:val="0"/>
        <w:kinsoku/>
        <w:wordWrap/>
        <w:overflowPunct/>
        <w:topLinePunct w:val="0"/>
        <w:autoSpaceDE/>
        <w:autoSpaceDN/>
        <w:bidi w:val="0"/>
        <w:adjustRightInd w:val="0"/>
        <w:snapToGrid w:val="0"/>
        <w:spacing w:line="288" w:lineRule="auto"/>
        <w:ind w:firstLine="567"/>
        <w:textAlignment w:val="auto"/>
        <w:rPr>
          <w:rFonts w:hint="default" w:ascii="Times New Roman" w:hAnsi="Times New Roman" w:eastAsia="仿宋_GB2312" w:cs="Times New Roman"/>
          <w:color w:val="auto"/>
          <w:sz w:val="36"/>
          <w:szCs w:val="36"/>
          <w:u w:val="single"/>
        </w:rPr>
      </w:pPr>
      <w:r>
        <w:rPr>
          <w:rFonts w:hint="default" w:ascii="Times New Roman" w:hAnsi="Times New Roman" w:eastAsia="仿宋_GB2312" w:cs="Times New Roman"/>
          <w:color w:val="auto"/>
          <w:sz w:val="36"/>
          <w:szCs w:val="36"/>
        </w:rPr>
        <w:t>编制日期：</w:t>
      </w:r>
      <w:r>
        <w:rPr>
          <w:rFonts w:hint="default" w:ascii="Times New Roman" w:hAnsi="Times New Roman" w:eastAsia="仿宋_GB2312" w:cs="Times New Roman"/>
          <w:color w:val="auto"/>
          <w:sz w:val="36"/>
          <w:szCs w:val="36"/>
          <w:u w:val="single"/>
        </w:rPr>
        <w:t xml:space="preserve">    </w:t>
      </w:r>
      <w:r>
        <w:rPr>
          <w:rFonts w:hint="default" w:ascii="Times New Roman" w:hAnsi="Times New Roman" w:eastAsia="仿宋_GB2312" w:cs="Times New Roman"/>
          <w:color w:val="auto"/>
          <w:sz w:val="36"/>
          <w:szCs w:val="36"/>
          <w:u w:val="single"/>
          <w:lang w:val="en-US" w:eastAsia="zh-CN"/>
        </w:rPr>
        <w:t xml:space="preserve">    </w:t>
      </w:r>
      <w:r>
        <w:rPr>
          <w:rFonts w:hint="default" w:ascii="Times New Roman" w:hAnsi="Times New Roman" w:eastAsia="仿宋_GB2312" w:cs="Times New Roman"/>
          <w:color w:val="auto"/>
          <w:sz w:val="36"/>
          <w:szCs w:val="36"/>
          <w:u w:val="single"/>
        </w:rPr>
        <w:t xml:space="preserve"> </w:t>
      </w:r>
      <w:r>
        <w:rPr>
          <w:rFonts w:hint="default" w:ascii="Times New Roman" w:hAnsi="Times New Roman" w:eastAsia="仿宋_GB2312" w:cs="Times New Roman"/>
          <w:color w:val="auto"/>
          <w:sz w:val="36"/>
          <w:szCs w:val="36"/>
          <w:u w:val="single"/>
          <w:lang w:val="en-US" w:eastAsia="zh-CN"/>
        </w:rPr>
        <w:t>202</w:t>
      </w:r>
      <w:r>
        <w:rPr>
          <w:rFonts w:hint="eastAsia" w:eastAsia="仿宋_GB2312" w:cs="Times New Roman"/>
          <w:color w:val="auto"/>
          <w:sz w:val="36"/>
          <w:szCs w:val="36"/>
          <w:u w:val="single"/>
          <w:lang w:val="en-US" w:eastAsia="zh-CN"/>
        </w:rPr>
        <w:t>6</w:t>
      </w:r>
      <w:r>
        <w:rPr>
          <w:rFonts w:hint="default" w:ascii="Times New Roman" w:hAnsi="Times New Roman" w:eastAsia="仿宋_GB2312" w:cs="Times New Roman"/>
          <w:color w:val="auto"/>
          <w:sz w:val="36"/>
          <w:szCs w:val="36"/>
          <w:u w:val="single"/>
          <w:lang w:val="en-US" w:eastAsia="zh-CN"/>
        </w:rPr>
        <w:t>年</w:t>
      </w:r>
      <w:r>
        <w:rPr>
          <w:rFonts w:hint="eastAsia" w:eastAsia="仿宋_GB2312" w:cs="Times New Roman"/>
          <w:color w:val="auto"/>
          <w:sz w:val="36"/>
          <w:szCs w:val="36"/>
          <w:u w:val="single"/>
          <w:lang w:val="en-US" w:eastAsia="zh-CN"/>
        </w:rPr>
        <w:t>4</w:t>
      </w:r>
      <w:r>
        <w:rPr>
          <w:rFonts w:hint="default" w:ascii="Times New Roman" w:hAnsi="Times New Roman" w:eastAsia="仿宋_GB2312" w:cs="Times New Roman"/>
          <w:color w:val="auto"/>
          <w:sz w:val="36"/>
          <w:szCs w:val="36"/>
          <w:u w:val="single"/>
          <w:lang w:val="en-US" w:eastAsia="zh-CN"/>
        </w:rPr>
        <w:t>月</w:t>
      </w:r>
      <w:r>
        <w:rPr>
          <w:rFonts w:hint="default" w:ascii="Times New Roman" w:hAnsi="Times New Roman" w:eastAsia="仿宋_GB2312" w:cs="Times New Roman"/>
          <w:color w:val="auto"/>
          <w:sz w:val="36"/>
          <w:szCs w:val="36"/>
          <w:u w:val="single"/>
        </w:rPr>
        <w:t xml:space="preserve">            </w:t>
      </w:r>
    </w:p>
    <w:p w14:paraId="0DE0FB43">
      <w:pPr>
        <w:adjustRightInd w:val="0"/>
        <w:snapToGrid w:val="0"/>
        <w:spacing w:line="288" w:lineRule="auto"/>
        <w:ind w:firstLine="1040"/>
        <w:rPr>
          <w:rFonts w:hint="default" w:ascii="Times New Roman" w:hAnsi="Times New Roman" w:eastAsia="仿宋_GB2312" w:cs="Times New Roman"/>
          <w:color w:val="auto"/>
          <w:sz w:val="36"/>
          <w:szCs w:val="36"/>
        </w:rPr>
      </w:pPr>
    </w:p>
    <w:p w14:paraId="4A2C35D3">
      <w:pPr>
        <w:adjustRightInd w:val="0"/>
        <w:snapToGrid w:val="0"/>
        <w:spacing w:line="288" w:lineRule="auto"/>
        <w:ind w:firstLine="1040"/>
        <w:rPr>
          <w:rFonts w:ascii="仿宋_GB2312" w:eastAsia="仿宋_GB2312"/>
          <w:color w:val="auto"/>
          <w:sz w:val="36"/>
          <w:szCs w:val="36"/>
        </w:rPr>
      </w:pPr>
    </w:p>
    <w:p w14:paraId="623370B9">
      <w:pPr>
        <w:adjustRightInd w:val="0"/>
        <w:snapToGrid w:val="0"/>
        <w:spacing w:line="288" w:lineRule="auto"/>
        <w:ind w:firstLine="1040"/>
        <w:rPr>
          <w:rFonts w:hint="eastAsia" w:ascii="仿宋_GB2312" w:eastAsia="仿宋_GB2312"/>
          <w:color w:val="auto"/>
          <w:sz w:val="36"/>
          <w:szCs w:val="36"/>
        </w:rPr>
      </w:pPr>
    </w:p>
    <w:p w14:paraId="254A60E2">
      <w:pPr>
        <w:adjustRightInd w:val="0"/>
        <w:snapToGrid w:val="0"/>
        <w:spacing w:line="288" w:lineRule="auto"/>
        <w:ind w:firstLine="1040"/>
        <w:rPr>
          <w:rFonts w:hint="eastAsia" w:ascii="仿宋_GB2312" w:eastAsia="仿宋_GB2312"/>
          <w:color w:val="auto"/>
          <w:sz w:val="36"/>
          <w:szCs w:val="36"/>
        </w:rPr>
      </w:pPr>
    </w:p>
    <w:p w14:paraId="0D229D73">
      <w:pPr>
        <w:adjustRightInd w:val="0"/>
        <w:snapToGrid w:val="0"/>
        <w:spacing w:line="288" w:lineRule="auto"/>
        <w:ind w:firstLine="1040"/>
        <w:rPr>
          <w:rFonts w:hint="eastAsia" w:ascii="仿宋_GB2312" w:eastAsia="仿宋_GB2312"/>
          <w:color w:val="auto"/>
          <w:sz w:val="36"/>
          <w:szCs w:val="36"/>
        </w:rPr>
      </w:pPr>
    </w:p>
    <w:p w14:paraId="4272DF77">
      <w:pPr>
        <w:adjustRightInd w:val="0"/>
        <w:snapToGrid w:val="0"/>
        <w:spacing w:line="288" w:lineRule="auto"/>
        <w:jc w:val="center"/>
        <w:rPr>
          <w:rFonts w:ascii="楷体_GB2312" w:eastAsia="楷体_GB2312"/>
          <w:color w:val="auto"/>
          <w:sz w:val="36"/>
          <w:szCs w:val="36"/>
        </w:rPr>
      </w:pPr>
      <w:r>
        <w:rPr>
          <w:rFonts w:hint="eastAsia" w:ascii="楷体_GB2312" w:eastAsia="楷体_GB2312"/>
          <w:color w:val="auto"/>
          <w:sz w:val="36"/>
          <w:szCs w:val="36"/>
        </w:rPr>
        <w:t>中华人民共和国生态环境部制</w:t>
      </w:r>
    </w:p>
    <w:p w14:paraId="7737F344">
      <w:pPr>
        <w:adjustRightInd w:val="0"/>
        <w:snapToGrid w:val="0"/>
        <w:spacing w:line="288" w:lineRule="auto"/>
        <w:ind w:firstLine="1040"/>
        <w:rPr>
          <w:rFonts w:ascii="仿宋_GB2312" w:eastAsia="仿宋_GB2312"/>
          <w:color w:val="auto"/>
          <w:sz w:val="36"/>
          <w:szCs w:val="36"/>
        </w:rPr>
        <w:sectPr>
          <w:footerReference r:id="rId3" w:type="default"/>
          <w:footerReference r:id="rId4" w:type="even"/>
          <w:pgSz w:w="11906" w:h="16838"/>
          <w:pgMar w:top="1701" w:right="1531" w:bottom="1701" w:left="1531" w:header="851" w:footer="1077" w:gutter="0"/>
          <w:pgNumType w:start="21"/>
          <w:cols w:space="720" w:num="1"/>
          <w:docGrid w:linePitch="312" w:charSpace="0"/>
        </w:sectPr>
      </w:pPr>
    </w:p>
    <w:p w14:paraId="1D61F843">
      <w:pPr>
        <w:pStyle w:val="17"/>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一、建设项目基本情况</w:t>
      </w:r>
    </w:p>
    <w:tbl>
      <w:tblPr>
        <w:tblStyle w:val="20"/>
        <w:tblW w:w="9039" w:type="dxa"/>
        <w:tblInd w:w="1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161"/>
        <w:gridCol w:w="717"/>
        <w:gridCol w:w="2391"/>
        <w:gridCol w:w="2218"/>
        <w:gridCol w:w="10"/>
        <w:gridCol w:w="2542"/>
      </w:tblGrid>
      <w:tr w14:paraId="6E01DC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1878" w:type="dxa"/>
            <w:gridSpan w:val="2"/>
            <w:noWrap w:val="0"/>
            <w:tcMar>
              <w:top w:w="16" w:type="dxa"/>
              <w:left w:w="16" w:type="dxa"/>
              <w:right w:w="16" w:type="dxa"/>
            </w:tcMar>
            <w:vAlign w:val="center"/>
          </w:tcPr>
          <w:p w14:paraId="70111857">
            <w:pPr>
              <w:adjustRightInd w:val="0"/>
              <w:snapToGrid w:val="0"/>
              <w:jc w:val="center"/>
              <w:rPr>
                <w:rFonts w:ascii="宋体" w:hAnsi="宋体" w:cs="宋体"/>
                <w:color w:val="auto"/>
                <w:szCs w:val="21"/>
              </w:rPr>
            </w:pPr>
            <w:r>
              <w:rPr>
                <w:rFonts w:hint="eastAsia" w:ascii="宋体" w:hAnsi="宋体" w:cs="宋体"/>
                <w:color w:val="auto"/>
                <w:szCs w:val="21"/>
              </w:rPr>
              <w:t>建设项目名称</w:t>
            </w:r>
          </w:p>
        </w:tc>
        <w:tc>
          <w:tcPr>
            <w:tcW w:w="7161" w:type="dxa"/>
            <w:gridSpan w:val="4"/>
            <w:noWrap w:val="0"/>
            <w:vAlign w:val="center"/>
          </w:tcPr>
          <w:p w14:paraId="37CB8E33">
            <w:pPr>
              <w:adjustRightInd w:val="0"/>
              <w:snapToGrid w:val="0"/>
              <w:jc w:val="center"/>
              <w:rPr>
                <w:rFonts w:ascii="宋体" w:hAnsi="宋体" w:cs="宋体"/>
                <w:color w:val="auto"/>
                <w:szCs w:val="21"/>
              </w:rPr>
            </w:pPr>
            <w:r>
              <w:rPr>
                <w:rFonts w:hint="eastAsia" w:ascii="宋体" w:hAnsi="宋体" w:cs="宋体"/>
                <w:color w:val="auto"/>
                <w:szCs w:val="21"/>
                <w:lang w:eastAsia="zh-CN"/>
              </w:rPr>
              <w:t>新疆且末县修特库依干大理岩矿普查</w:t>
            </w:r>
            <w:r>
              <w:rPr>
                <w:rFonts w:hint="eastAsia" w:ascii="宋体" w:hAnsi="宋体" w:cs="宋体"/>
                <w:color w:val="auto"/>
                <w:szCs w:val="21"/>
                <w:lang w:val="en-US" w:eastAsia="zh-CN"/>
              </w:rPr>
              <w:t>项目</w:t>
            </w:r>
          </w:p>
        </w:tc>
      </w:tr>
      <w:tr w14:paraId="7F1BE8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878" w:type="dxa"/>
            <w:gridSpan w:val="2"/>
            <w:noWrap w:val="0"/>
            <w:tcMar>
              <w:top w:w="16" w:type="dxa"/>
              <w:left w:w="16" w:type="dxa"/>
              <w:right w:w="16" w:type="dxa"/>
            </w:tcMar>
            <w:vAlign w:val="center"/>
          </w:tcPr>
          <w:p w14:paraId="0EB94ACB">
            <w:pPr>
              <w:adjustRightInd w:val="0"/>
              <w:snapToGrid w:val="0"/>
              <w:jc w:val="center"/>
              <w:rPr>
                <w:rFonts w:ascii="宋体" w:hAnsi="宋体" w:cs="宋体"/>
                <w:color w:val="auto"/>
                <w:szCs w:val="21"/>
              </w:rPr>
            </w:pPr>
            <w:r>
              <w:rPr>
                <w:rFonts w:hint="eastAsia" w:ascii="宋体" w:hAnsi="宋体" w:cs="宋体"/>
                <w:color w:val="auto"/>
                <w:szCs w:val="21"/>
              </w:rPr>
              <w:t>项目代码</w:t>
            </w:r>
          </w:p>
        </w:tc>
        <w:tc>
          <w:tcPr>
            <w:tcW w:w="7161" w:type="dxa"/>
            <w:gridSpan w:val="4"/>
            <w:noWrap w:val="0"/>
            <w:vAlign w:val="center"/>
          </w:tcPr>
          <w:p w14:paraId="2FC60039">
            <w:pPr>
              <w:adjustRightInd w:val="0"/>
              <w:snapToGrid w:val="0"/>
              <w:jc w:val="center"/>
              <w:rPr>
                <w:rFonts w:hint="eastAsia" w:ascii="宋体" w:hAnsi="宋体" w:eastAsia="宋体" w:cs="宋体"/>
                <w:color w:val="auto"/>
                <w:szCs w:val="21"/>
                <w:lang w:val="en-US" w:eastAsia="zh-CN"/>
              </w:rPr>
            </w:pPr>
          </w:p>
        </w:tc>
      </w:tr>
      <w:tr w14:paraId="64D221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1878" w:type="dxa"/>
            <w:gridSpan w:val="2"/>
            <w:noWrap w:val="0"/>
            <w:tcMar>
              <w:top w:w="16" w:type="dxa"/>
              <w:left w:w="16" w:type="dxa"/>
              <w:right w:w="16" w:type="dxa"/>
            </w:tcMar>
            <w:vAlign w:val="center"/>
          </w:tcPr>
          <w:p w14:paraId="27B05822">
            <w:pPr>
              <w:adjustRightInd w:val="0"/>
              <w:snapToGrid w:val="0"/>
              <w:jc w:val="center"/>
              <w:rPr>
                <w:rFonts w:ascii="宋体" w:hAnsi="宋体" w:cs="宋体"/>
                <w:color w:val="auto"/>
                <w:szCs w:val="21"/>
              </w:rPr>
            </w:pPr>
            <w:r>
              <w:rPr>
                <w:rFonts w:hint="eastAsia" w:ascii="宋体" w:hAnsi="宋体" w:cs="宋体"/>
                <w:color w:val="auto"/>
                <w:szCs w:val="21"/>
              </w:rPr>
              <w:t>建设单位联系人</w:t>
            </w:r>
          </w:p>
        </w:tc>
        <w:tc>
          <w:tcPr>
            <w:tcW w:w="2391" w:type="dxa"/>
            <w:noWrap w:val="0"/>
            <w:vAlign w:val="center"/>
          </w:tcPr>
          <w:p w14:paraId="4538AB61">
            <w:pPr>
              <w:adjustRightInd w:val="0"/>
              <w:snapToGrid w:val="0"/>
              <w:jc w:val="center"/>
              <w:rPr>
                <w:rFonts w:hint="default" w:ascii="宋体" w:hAnsi="宋体" w:eastAsia="宋体" w:cs="宋体"/>
                <w:color w:val="auto"/>
                <w:szCs w:val="21"/>
                <w:lang w:val="en-US" w:eastAsia="zh-CN"/>
              </w:rPr>
            </w:pPr>
          </w:p>
        </w:tc>
        <w:tc>
          <w:tcPr>
            <w:tcW w:w="2228" w:type="dxa"/>
            <w:gridSpan w:val="2"/>
            <w:noWrap w:val="0"/>
            <w:vAlign w:val="center"/>
          </w:tcPr>
          <w:p w14:paraId="50D81CB5">
            <w:pPr>
              <w:adjustRightInd w:val="0"/>
              <w:snapToGrid w:val="0"/>
              <w:jc w:val="center"/>
              <w:rPr>
                <w:rFonts w:ascii="宋体" w:hAnsi="宋体" w:cs="宋体"/>
                <w:color w:val="auto"/>
                <w:szCs w:val="21"/>
              </w:rPr>
            </w:pPr>
          </w:p>
        </w:tc>
        <w:tc>
          <w:tcPr>
            <w:tcW w:w="2542" w:type="dxa"/>
            <w:noWrap w:val="0"/>
            <w:vAlign w:val="center"/>
          </w:tcPr>
          <w:p w14:paraId="145B3973">
            <w:pPr>
              <w:adjustRightInd w:val="0"/>
              <w:snapToGrid w:val="0"/>
              <w:jc w:val="center"/>
              <w:rPr>
                <w:rFonts w:ascii="宋体" w:hAnsi="宋体" w:cs="宋体"/>
                <w:color w:val="auto"/>
                <w:szCs w:val="21"/>
              </w:rPr>
            </w:pPr>
          </w:p>
        </w:tc>
      </w:tr>
      <w:tr w14:paraId="6B7C64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1878" w:type="dxa"/>
            <w:gridSpan w:val="2"/>
            <w:noWrap w:val="0"/>
            <w:tcMar>
              <w:top w:w="16" w:type="dxa"/>
              <w:left w:w="16" w:type="dxa"/>
              <w:right w:w="16" w:type="dxa"/>
            </w:tcMar>
            <w:vAlign w:val="center"/>
          </w:tcPr>
          <w:p w14:paraId="1E57FC79">
            <w:pPr>
              <w:adjustRightInd w:val="0"/>
              <w:snapToGrid w:val="0"/>
              <w:jc w:val="center"/>
              <w:rPr>
                <w:rFonts w:ascii="宋体" w:hAnsi="宋体" w:cs="宋体"/>
                <w:color w:val="auto"/>
                <w:szCs w:val="21"/>
              </w:rPr>
            </w:pPr>
            <w:r>
              <w:rPr>
                <w:rFonts w:hint="eastAsia" w:ascii="宋体" w:hAnsi="宋体" w:cs="宋体"/>
                <w:color w:val="auto"/>
                <w:szCs w:val="21"/>
              </w:rPr>
              <w:t>建设地点</w:t>
            </w:r>
          </w:p>
        </w:tc>
        <w:tc>
          <w:tcPr>
            <w:tcW w:w="7161" w:type="dxa"/>
            <w:gridSpan w:val="4"/>
            <w:noWrap w:val="0"/>
            <w:vAlign w:val="center"/>
          </w:tcPr>
          <w:p w14:paraId="4F9C4FC8">
            <w:pPr>
              <w:adjustRightInd w:val="0"/>
              <w:snapToGrid w:val="0"/>
              <w:jc w:val="center"/>
              <w:rPr>
                <w:rFonts w:hint="default" w:ascii="宋体" w:hAnsi="宋体" w:eastAsia="宋体" w:cs="宋体"/>
                <w:color w:val="auto"/>
                <w:szCs w:val="21"/>
                <w:lang w:val="en-US" w:eastAsia="zh-CN"/>
              </w:rPr>
            </w:pPr>
          </w:p>
        </w:tc>
      </w:tr>
      <w:tr w14:paraId="09A5FF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1878" w:type="dxa"/>
            <w:gridSpan w:val="2"/>
            <w:noWrap w:val="0"/>
            <w:tcMar>
              <w:top w:w="16" w:type="dxa"/>
              <w:left w:w="16" w:type="dxa"/>
              <w:right w:w="16" w:type="dxa"/>
            </w:tcMar>
            <w:vAlign w:val="center"/>
          </w:tcPr>
          <w:p w14:paraId="5428AD05">
            <w:pPr>
              <w:adjustRightInd w:val="0"/>
              <w:snapToGrid w:val="0"/>
              <w:jc w:val="center"/>
              <w:rPr>
                <w:rFonts w:ascii="宋体" w:hAnsi="宋体" w:cs="宋体"/>
                <w:color w:val="auto"/>
                <w:szCs w:val="21"/>
              </w:rPr>
            </w:pPr>
            <w:r>
              <w:rPr>
                <w:rFonts w:hint="eastAsia" w:ascii="宋体" w:hAnsi="宋体" w:cs="宋体"/>
                <w:color w:val="auto"/>
                <w:szCs w:val="21"/>
              </w:rPr>
              <w:t>地理坐标</w:t>
            </w:r>
          </w:p>
        </w:tc>
        <w:tc>
          <w:tcPr>
            <w:tcW w:w="7161" w:type="dxa"/>
            <w:gridSpan w:val="4"/>
            <w:noWrap w:val="0"/>
            <w:vAlign w:val="center"/>
          </w:tcPr>
          <w:p w14:paraId="65FE0F01">
            <w:pPr>
              <w:adjustRightInd w:val="0"/>
              <w:snapToGrid w:val="0"/>
              <w:jc w:val="center"/>
              <w:rPr>
                <w:rFonts w:hint="default" w:ascii="Times New Roman" w:hAnsi="Times New Roman" w:cs="Times New Roman"/>
                <w:color w:val="auto"/>
                <w:szCs w:val="21"/>
              </w:rPr>
            </w:pPr>
          </w:p>
        </w:tc>
      </w:tr>
      <w:tr w14:paraId="5DE26C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15" w:hRule="atLeast"/>
        </w:trPr>
        <w:tc>
          <w:tcPr>
            <w:tcW w:w="1878" w:type="dxa"/>
            <w:gridSpan w:val="2"/>
            <w:noWrap w:val="0"/>
            <w:tcMar>
              <w:top w:w="16" w:type="dxa"/>
              <w:left w:w="16" w:type="dxa"/>
              <w:right w:w="16" w:type="dxa"/>
            </w:tcMar>
            <w:vAlign w:val="center"/>
          </w:tcPr>
          <w:p w14:paraId="16F03713">
            <w:pPr>
              <w:adjustRightInd w:val="0"/>
              <w:snapToGrid w:val="0"/>
              <w:jc w:val="center"/>
              <w:rPr>
                <w:rFonts w:ascii="宋体" w:hAnsi="宋体" w:cs="宋体"/>
                <w:color w:val="auto"/>
                <w:szCs w:val="21"/>
              </w:rPr>
            </w:pPr>
            <w:r>
              <w:rPr>
                <w:rFonts w:hint="eastAsia" w:ascii="宋体" w:hAnsi="宋体" w:cs="宋体"/>
                <w:color w:val="auto"/>
                <w:szCs w:val="21"/>
              </w:rPr>
              <w:t>建设项目</w:t>
            </w:r>
          </w:p>
          <w:p w14:paraId="40334784">
            <w:pPr>
              <w:adjustRightInd w:val="0"/>
              <w:snapToGrid w:val="0"/>
              <w:jc w:val="center"/>
              <w:rPr>
                <w:rFonts w:ascii="宋体" w:hAnsi="宋体" w:cs="宋体"/>
                <w:color w:val="auto"/>
                <w:szCs w:val="21"/>
              </w:rPr>
            </w:pPr>
            <w:r>
              <w:rPr>
                <w:rFonts w:hint="eastAsia" w:ascii="宋体" w:hAnsi="宋体" w:cs="宋体"/>
                <w:color w:val="auto"/>
                <w:szCs w:val="21"/>
              </w:rPr>
              <w:t>行业类别</w:t>
            </w:r>
          </w:p>
        </w:tc>
        <w:tc>
          <w:tcPr>
            <w:tcW w:w="2391" w:type="dxa"/>
            <w:noWrap w:val="0"/>
            <w:vAlign w:val="center"/>
          </w:tcPr>
          <w:p w14:paraId="0AEBC574">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四十六、专业技术服务业-99陆地矿产资源地质勘查（含油气资源勘探）；二氧化碳地质封存-全部</w:t>
            </w:r>
          </w:p>
        </w:tc>
        <w:tc>
          <w:tcPr>
            <w:tcW w:w="2218" w:type="dxa"/>
            <w:noWrap w:val="0"/>
            <w:vAlign w:val="center"/>
          </w:tcPr>
          <w:p w14:paraId="70AF3288">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用地（用海）面积（m</w:t>
            </w:r>
            <w:r>
              <w:rPr>
                <w:rFonts w:hint="default" w:ascii="Times New Roman" w:hAnsi="Times New Roman" w:cs="Times New Roman"/>
                <w:color w:val="auto"/>
                <w:szCs w:val="21"/>
                <w:highlight w:val="none"/>
                <w:vertAlign w:val="superscript"/>
              </w:rPr>
              <w:t>2</w:t>
            </w:r>
            <w:r>
              <w:rPr>
                <w:rFonts w:hint="default" w:ascii="Times New Roman" w:hAnsi="Times New Roman" w:cs="Times New Roman"/>
                <w:color w:val="auto"/>
                <w:szCs w:val="21"/>
                <w:highlight w:val="none"/>
              </w:rPr>
              <w:t>）/长度（km）</w:t>
            </w:r>
          </w:p>
        </w:tc>
        <w:tc>
          <w:tcPr>
            <w:tcW w:w="2552" w:type="dxa"/>
            <w:gridSpan w:val="2"/>
            <w:noWrap w:val="0"/>
            <w:vAlign w:val="center"/>
          </w:tcPr>
          <w:p w14:paraId="334CB1BD">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highlight w:val="none"/>
                <w:lang w:val="en-US" w:eastAsia="zh-CN"/>
              </w:rPr>
              <w:t>临时占地面积为</w:t>
            </w:r>
            <w:r>
              <w:rPr>
                <w:rFonts w:hint="eastAsia" w:cs="Times New Roman"/>
                <w:color w:val="auto"/>
                <w:highlight w:val="none"/>
                <w:lang w:val="en-US" w:eastAsia="zh-CN"/>
              </w:rPr>
              <w:t>18300</w:t>
            </w:r>
            <w:r>
              <w:rPr>
                <w:rFonts w:hint="default" w:ascii="Times New Roman" w:hAnsi="Times New Roman" w:cs="Times New Roman"/>
                <w:color w:val="auto"/>
                <w:highlight w:val="none"/>
                <w:lang w:val="en-US" w:eastAsia="zh-CN"/>
              </w:rPr>
              <w:t>m</w:t>
            </w:r>
            <w:r>
              <w:rPr>
                <w:rFonts w:hint="default" w:ascii="Times New Roman" w:hAnsi="Times New Roman" w:cs="Times New Roman"/>
                <w:color w:val="auto"/>
                <w:highlight w:val="none"/>
                <w:vertAlign w:val="superscript"/>
                <w:lang w:val="en-US" w:eastAsia="zh-CN"/>
              </w:rPr>
              <w:t>2</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无永久用地</w:t>
            </w:r>
          </w:p>
        </w:tc>
      </w:tr>
      <w:tr w14:paraId="588872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4" w:hRule="atLeast"/>
        </w:trPr>
        <w:tc>
          <w:tcPr>
            <w:tcW w:w="1878" w:type="dxa"/>
            <w:gridSpan w:val="2"/>
            <w:noWrap w:val="0"/>
            <w:tcMar>
              <w:top w:w="16" w:type="dxa"/>
              <w:left w:w="16" w:type="dxa"/>
              <w:right w:w="16" w:type="dxa"/>
            </w:tcMar>
            <w:vAlign w:val="center"/>
          </w:tcPr>
          <w:p w14:paraId="47937C23">
            <w:pPr>
              <w:adjustRightInd w:val="0"/>
              <w:snapToGrid w:val="0"/>
              <w:jc w:val="center"/>
              <w:rPr>
                <w:rFonts w:ascii="宋体" w:hAnsi="宋体" w:cs="宋体"/>
                <w:color w:val="auto"/>
                <w:szCs w:val="21"/>
              </w:rPr>
            </w:pPr>
            <w:r>
              <w:rPr>
                <w:rFonts w:hint="eastAsia" w:ascii="宋体" w:hAnsi="宋体" w:cs="宋体"/>
                <w:color w:val="auto"/>
                <w:szCs w:val="21"/>
              </w:rPr>
              <w:t>建设性质</w:t>
            </w:r>
          </w:p>
        </w:tc>
        <w:tc>
          <w:tcPr>
            <w:tcW w:w="2391" w:type="dxa"/>
            <w:noWrap w:val="0"/>
            <w:vAlign w:val="center"/>
          </w:tcPr>
          <w:p w14:paraId="6AD5C471">
            <w:pPr>
              <w:adjustRightInd w:val="0"/>
              <w:snapToGrid w:val="0"/>
              <w:jc w:val="left"/>
              <w:rPr>
                <w:rFonts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rPr>
              <w:t>新建（迁建）</w:t>
            </w:r>
          </w:p>
          <w:p w14:paraId="34B65CA7">
            <w:pPr>
              <w:adjustRightInd w:val="0"/>
              <w:snapToGrid w:val="0"/>
              <w:jc w:val="left"/>
              <w:rPr>
                <w:rFonts w:ascii="宋体" w:hAnsi="宋体" w:cs="宋体"/>
                <w:color w:val="auto"/>
                <w:szCs w:val="21"/>
              </w:rPr>
            </w:pPr>
            <w:r>
              <w:rPr>
                <w:rFonts w:hint="eastAsia" w:ascii="宋体" w:hAnsi="宋体" w:cs="宋体"/>
                <w:color w:val="auto"/>
                <w:szCs w:val="21"/>
              </w:rPr>
              <w:t>□改建</w:t>
            </w:r>
          </w:p>
          <w:p w14:paraId="3674A495">
            <w:pPr>
              <w:adjustRightInd w:val="0"/>
              <w:snapToGrid w:val="0"/>
              <w:jc w:val="left"/>
              <w:rPr>
                <w:rFonts w:ascii="宋体" w:hAnsi="宋体" w:cs="宋体"/>
                <w:color w:val="auto"/>
                <w:szCs w:val="21"/>
              </w:rPr>
            </w:pPr>
            <w:r>
              <w:rPr>
                <w:rFonts w:hint="eastAsia" w:ascii="宋体" w:hAnsi="宋体" w:cs="宋体"/>
                <w:color w:val="auto"/>
                <w:szCs w:val="21"/>
              </w:rPr>
              <w:t>□扩建</w:t>
            </w:r>
          </w:p>
          <w:p w14:paraId="2BEF7A39">
            <w:pPr>
              <w:adjustRightInd w:val="0"/>
              <w:snapToGrid w:val="0"/>
              <w:jc w:val="left"/>
              <w:rPr>
                <w:rFonts w:ascii="宋体" w:hAnsi="宋体" w:cs="宋体"/>
                <w:color w:val="auto"/>
                <w:szCs w:val="21"/>
              </w:rPr>
            </w:pPr>
            <w:r>
              <w:rPr>
                <w:rFonts w:hint="eastAsia" w:ascii="宋体" w:hAnsi="宋体" w:cs="宋体"/>
                <w:color w:val="auto"/>
                <w:szCs w:val="21"/>
              </w:rPr>
              <w:t>□技术改造</w:t>
            </w:r>
          </w:p>
        </w:tc>
        <w:tc>
          <w:tcPr>
            <w:tcW w:w="2218" w:type="dxa"/>
            <w:noWrap w:val="0"/>
            <w:vAlign w:val="center"/>
          </w:tcPr>
          <w:p w14:paraId="0BFC84F3">
            <w:pPr>
              <w:adjustRightInd w:val="0"/>
              <w:snapToGrid w:val="0"/>
              <w:jc w:val="center"/>
              <w:rPr>
                <w:rFonts w:ascii="宋体" w:hAnsi="宋体" w:cs="宋体"/>
                <w:color w:val="auto"/>
                <w:szCs w:val="21"/>
              </w:rPr>
            </w:pPr>
            <w:r>
              <w:rPr>
                <w:rFonts w:hint="eastAsia" w:ascii="宋体" w:hAnsi="宋体" w:cs="宋体"/>
                <w:color w:val="auto"/>
                <w:szCs w:val="21"/>
              </w:rPr>
              <w:t>建设项目</w:t>
            </w:r>
          </w:p>
          <w:p w14:paraId="6D6C714E">
            <w:pPr>
              <w:adjustRightInd w:val="0"/>
              <w:snapToGrid w:val="0"/>
              <w:jc w:val="center"/>
              <w:rPr>
                <w:rFonts w:ascii="宋体" w:hAnsi="宋体" w:cs="宋体"/>
                <w:color w:val="auto"/>
                <w:szCs w:val="21"/>
              </w:rPr>
            </w:pPr>
            <w:r>
              <w:rPr>
                <w:rFonts w:hint="eastAsia" w:ascii="宋体" w:hAnsi="宋体" w:cs="宋体"/>
                <w:color w:val="auto"/>
                <w:szCs w:val="21"/>
              </w:rPr>
              <w:t>申报情形</w:t>
            </w:r>
          </w:p>
        </w:tc>
        <w:tc>
          <w:tcPr>
            <w:tcW w:w="2552" w:type="dxa"/>
            <w:gridSpan w:val="2"/>
            <w:noWrap w:val="0"/>
            <w:vAlign w:val="center"/>
          </w:tcPr>
          <w:p w14:paraId="4C0D0E08">
            <w:pPr>
              <w:adjustRightInd w:val="0"/>
              <w:snapToGrid w:val="0"/>
              <w:jc w:val="left"/>
              <w:rPr>
                <w:rFonts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rPr>
              <w:t>首次申报项目</w:t>
            </w:r>
          </w:p>
          <w:p w14:paraId="05135120">
            <w:pPr>
              <w:adjustRightInd w:val="0"/>
              <w:snapToGrid w:val="0"/>
              <w:jc w:val="left"/>
              <w:rPr>
                <w:rFonts w:ascii="宋体" w:hAnsi="宋体" w:cs="宋体"/>
                <w:color w:val="auto"/>
                <w:szCs w:val="21"/>
              </w:rPr>
            </w:pPr>
            <w:r>
              <w:rPr>
                <w:rFonts w:hint="eastAsia" w:ascii="宋体" w:hAnsi="宋体" w:cs="宋体"/>
                <w:color w:val="auto"/>
                <w:szCs w:val="21"/>
              </w:rPr>
              <w:t>□不予批准后再次申报项目</w:t>
            </w:r>
          </w:p>
          <w:p w14:paraId="6C004EB4">
            <w:pPr>
              <w:adjustRightInd w:val="0"/>
              <w:snapToGrid w:val="0"/>
              <w:jc w:val="left"/>
              <w:rPr>
                <w:rFonts w:ascii="宋体" w:hAnsi="宋体" w:cs="宋体"/>
                <w:color w:val="auto"/>
                <w:szCs w:val="21"/>
              </w:rPr>
            </w:pPr>
            <w:r>
              <w:rPr>
                <w:rFonts w:hint="eastAsia" w:ascii="宋体" w:hAnsi="宋体" w:cs="宋体"/>
                <w:color w:val="auto"/>
                <w:szCs w:val="21"/>
              </w:rPr>
              <w:t>□超五年重新审核项目</w:t>
            </w:r>
          </w:p>
          <w:p w14:paraId="59B0BA6D">
            <w:pPr>
              <w:adjustRightInd w:val="0"/>
              <w:snapToGrid w:val="0"/>
              <w:rPr>
                <w:rFonts w:ascii="宋体" w:hAnsi="宋体" w:cs="宋体"/>
                <w:color w:val="auto"/>
                <w:szCs w:val="21"/>
              </w:rPr>
            </w:pPr>
            <w:r>
              <w:rPr>
                <w:rFonts w:hint="eastAsia" w:ascii="宋体" w:hAnsi="宋体" w:cs="宋体"/>
                <w:color w:val="auto"/>
                <w:szCs w:val="21"/>
              </w:rPr>
              <w:t>□重大变动重新报批项目</w:t>
            </w:r>
          </w:p>
        </w:tc>
      </w:tr>
      <w:tr w14:paraId="748662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18" w:hRule="atLeast"/>
        </w:trPr>
        <w:tc>
          <w:tcPr>
            <w:tcW w:w="1878" w:type="dxa"/>
            <w:gridSpan w:val="2"/>
            <w:noWrap w:val="0"/>
            <w:tcMar>
              <w:top w:w="16" w:type="dxa"/>
              <w:left w:w="16" w:type="dxa"/>
              <w:right w:w="16" w:type="dxa"/>
            </w:tcMar>
            <w:vAlign w:val="center"/>
          </w:tcPr>
          <w:p w14:paraId="421B1CE1">
            <w:pPr>
              <w:adjustRightInd w:val="0"/>
              <w:snapToGrid w:val="0"/>
              <w:jc w:val="center"/>
              <w:rPr>
                <w:rFonts w:ascii="宋体" w:hAnsi="宋体" w:cs="宋体"/>
                <w:color w:val="auto"/>
                <w:szCs w:val="21"/>
              </w:rPr>
            </w:pPr>
            <w:r>
              <w:rPr>
                <w:rFonts w:hint="eastAsia" w:ascii="宋体" w:hAnsi="宋体" w:cs="宋体"/>
                <w:color w:val="auto"/>
                <w:szCs w:val="21"/>
              </w:rPr>
              <w:t>项目审批（核准</w:t>
            </w:r>
            <w:r>
              <w:rPr>
                <w:rFonts w:ascii="宋体" w:hAnsi="宋体" w:cs="宋体"/>
                <w:color w:val="auto"/>
                <w:szCs w:val="21"/>
              </w:rPr>
              <w:t>/</w:t>
            </w:r>
          </w:p>
          <w:p w14:paraId="2364842B">
            <w:pPr>
              <w:adjustRightInd w:val="0"/>
              <w:snapToGrid w:val="0"/>
              <w:jc w:val="center"/>
              <w:rPr>
                <w:rFonts w:ascii="宋体" w:hAnsi="宋体" w:cs="宋体"/>
                <w:color w:val="auto"/>
                <w:szCs w:val="21"/>
              </w:rPr>
            </w:pPr>
            <w:r>
              <w:rPr>
                <w:rFonts w:hint="eastAsia" w:ascii="宋体" w:hAnsi="宋体" w:cs="宋体"/>
                <w:color w:val="auto"/>
                <w:szCs w:val="21"/>
              </w:rPr>
              <w:t>备案）部门（选填）</w:t>
            </w:r>
          </w:p>
        </w:tc>
        <w:tc>
          <w:tcPr>
            <w:tcW w:w="2391" w:type="dxa"/>
            <w:noWrap w:val="0"/>
            <w:vAlign w:val="center"/>
          </w:tcPr>
          <w:p w14:paraId="175715F1">
            <w:pPr>
              <w:adjustRightInd w:val="0"/>
              <w:snapToGrid w:val="0"/>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w:t>
            </w:r>
          </w:p>
        </w:tc>
        <w:tc>
          <w:tcPr>
            <w:tcW w:w="2218" w:type="dxa"/>
            <w:noWrap w:val="0"/>
            <w:vAlign w:val="center"/>
          </w:tcPr>
          <w:p w14:paraId="2BFB33CA">
            <w:pPr>
              <w:adjustRightInd w:val="0"/>
              <w:snapToGrid w:val="0"/>
              <w:jc w:val="center"/>
              <w:rPr>
                <w:rFonts w:ascii="宋体" w:hAnsi="宋体" w:cs="宋体"/>
                <w:color w:val="auto"/>
                <w:szCs w:val="21"/>
              </w:rPr>
            </w:pPr>
            <w:r>
              <w:rPr>
                <w:rFonts w:hint="eastAsia" w:ascii="宋体" w:hAnsi="宋体" w:cs="宋体"/>
                <w:color w:val="auto"/>
                <w:szCs w:val="21"/>
              </w:rPr>
              <w:t>项目审批（核准</w:t>
            </w:r>
            <w:r>
              <w:rPr>
                <w:rFonts w:ascii="宋体" w:hAnsi="宋体" w:cs="宋体"/>
                <w:color w:val="auto"/>
                <w:szCs w:val="21"/>
              </w:rPr>
              <w:t>/</w:t>
            </w:r>
          </w:p>
          <w:p w14:paraId="25665E77">
            <w:pPr>
              <w:adjustRightInd w:val="0"/>
              <w:snapToGrid w:val="0"/>
              <w:jc w:val="center"/>
              <w:rPr>
                <w:rFonts w:ascii="宋体" w:hAnsi="宋体" w:cs="宋体"/>
                <w:color w:val="auto"/>
                <w:szCs w:val="21"/>
              </w:rPr>
            </w:pPr>
            <w:r>
              <w:rPr>
                <w:rFonts w:hint="eastAsia" w:ascii="宋体" w:hAnsi="宋体" w:cs="宋体"/>
                <w:color w:val="auto"/>
                <w:szCs w:val="21"/>
              </w:rPr>
              <w:t>备案）文号（选填）</w:t>
            </w:r>
          </w:p>
        </w:tc>
        <w:tc>
          <w:tcPr>
            <w:tcW w:w="2552" w:type="dxa"/>
            <w:gridSpan w:val="2"/>
            <w:noWrap w:val="0"/>
            <w:vAlign w:val="center"/>
          </w:tcPr>
          <w:p w14:paraId="76A2CDBD">
            <w:pPr>
              <w:adjustRightInd w:val="0"/>
              <w:snapToGrid w:val="0"/>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w:t>
            </w:r>
          </w:p>
        </w:tc>
      </w:tr>
      <w:tr w14:paraId="731AE1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4" w:hRule="atLeast"/>
        </w:trPr>
        <w:tc>
          <w:tcPr>
            <w:tcW w:w="1878" w:type="dxa"/>
            <w:gridSpan w:val="2"/>
            <w:noWrap w:val="0"/>
            <w:tcMar>
              <w:top w:w="16" w:type="dxa"/>
              <w:left w:w="16" w:type="dxa"/>
              <w:right w:w="16" w:type="dxa"/>
            </w:tcMar>
            <w:vAlign w:val="center"/>
          </w:tcPr>
          <w:p w14:paraId="49933E4E">
            <w:pPr>
              <w:adjustRightInd w:val="0"/>
              <w:snapToGrid w:val="0"/>
              <w:jc w:val="center"/>
              <w:rPr>
                <w:rFonts w:ascii="宋体" w:hAnsi="宋体" w:cs="宋体"/>
                <w:color w:val="auto"/>
                <w:szCs w:val="21"/>
              </w:rPr>
            </w:pPr>
            <w:r>
              <w:rPr>
                <w:rFonts w:hint="eastAsia" w:ascii="宋体" w:hAnsi="宋体" w:cs="宋体"/>
                <w:color w:val="auto"/>
                <w:szCs w:val="21"/>
              </w:rPr>
              <w:t>总投资（万元）</w:t>
            </w:r>
          </w:p>
        </w:tc>
        <w:tc>
          <w:tcPr>
            <w:tcW w:w="2391" w:type="dxa"/>
            <w:noWrap w:val="0"/>
            <w:vAlign w:val="center"/>
          </w:tcPr>
          <w:p w14:paraId="6810BC5F">
            <w:pPr>
              <w:adjustRightInd w:val="0"/>
              <w:snapToGrid w:val="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274.26</w:t>
            </w:r>
          </w:p>
        </w:tc>
        <w:tc>
          <w:tcPr>
            <w:tcW w:w="2218" w:type="dxa"/>
            <w:noWrap w:val="0"/>
            <w:tcMar>
              <w:top w:w="16" w:type="dxa"/>
              <w:left w:w="16" w:type="dxa"/>
              <w:right w:w="16" w:type="dxa"/>
            </w:tcMar>
            <w:vAlign w:val="center"/>
          </w:tcPr>
          <w:p w14:paraId="7F1A755E">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环保投资（万元）</w:t>
            </w:r>
          </w:p>
        </w:tc>
        <w:tc>
          <w:tcPr>
            <w:tcW w:w="2552" w:type="dxa"/>
            <w:gridSpan w:val="2"/>
            <w:noWrap w:val="0"/>
            <w:vAlign w:val="center"/>
          </w:tcPr>
          <w:p w14:paraId="2B42C5A2">
            <w:pPr>
              <w:adjustRightInd w:val="0"/>
              <w:snapToGrid w:val="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24</w:t>
            </w:r>
          </w:p>
        </w:tc>
      </w:tr>
      <w:tr w14:paraId="02B0B6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7" w:hRule="atLeast"/>
        </w:trPr>
        <w:tc>
          <w:tcPr>
            <w:tcW w:w="1878" w:type="dxa"/>
            <w:gridSpan w:val="2"/>
            <w:noWrap w:val="0"/>
            <w:tcMar>
              <w:top w:w="16" w:type="dxa"/>
              <w:left w:w="16" w:type="dxa"/>
              <w:right w:w="16" w:type="dxa"/>
            </w:tcMar>
            <w:vAlign w:val="center"/>
          </w:tcPr>
          <w:p w14:paraId="121E77C2">
            <w:pPr>
              <w:adjustRightInd w:val="0"/>
              <w:snapToGrid w:val="0"/>
              <w:jc w:val="center"/>
              <w:rPr>
                <w:rFonts w:ascii="宋体" w:hAnsi="宋体" w:cs="宋体"/>
                <w:color w:val="auto"/>
                <w:szCs w:val="21"/>
              </w:rPr>
            </w:pPr>
            <w:r>
              <w:rPr>
                <w:rFonts w:hint="eastAsia" w:ascii="宋体" w:hAnsi="宋体" w:cs="宋体"/>
                <w:color w:val="auto"/>
                <w:szCs w:val="21"/>
              </w:rPr>
              <w:t>环保投资占比（</w:t>
            </w:r>
            <w:r>
              <w:rPr>
                <w:rFonts w:ascii="宋体" w:hAnsi="宋体" w:cs="宋体"/>
                <w:color w:val="auto"/>
                <w:szCs w:val="21"/>
              </w:rPr>
              <w:t>%</w:t>
            </w:r>
            <w:r>
              <w:rPr>
                <w:rFonts w:hint="eastAsia" w:ascii="宋体" w:hAnsi="宋体" w:cs="宋体"/>
                <w:color w:val="auto"/>
                <w:szCs w:val="21"/>
              </w:rPr>
              <w:t>）</w:t>
            </w:r>
          </w:p>
        </w:tc>
        <w:tc>
          <w:tcPr>
            <w:tcW w:w="2391" w:type="dxa"/>
            <w:noWrap w:val="0"/>
            <w:vAlign w:val="center"/>
          </w:tcPr>
          <w:p w14:paraId="184C841C">
            <w:pPr>
              <w:adjustRightInd w:val="0"/>
              <w:snapToGrid w:val="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8.75</w:t>
            </w:r>
          </w:p>
        </w:tc>
        <w:tc>
          <w:tcPr>
            <w:tcW w:w="2218" w:type="dxa"/>
            <w:noWrap w:val="0"/>
            <w:tcMar>
              <w:top w:w="16" w:type="dxa"/>
              <w:left w:w="16" w:type="dxa"/>
              <w:right w:w="16" w:type="dxa"/>
            </w:tcMar>
            <w:vAlign w:val="center"/>
          </w:tcPr>
          <w:p w14:paraId="324D8F32">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施工工期</w:t>
            </w:r>
          </w:p>
        </w:tc>
        <w:tc>
          <w:tcPr>
            <w:tcW w:w="2552" w:type="dxa"/>
            <w:gridSpan w:val="2"/>
            <w:noWrap w:val="0"/>
            <w:vAlign w:val="center"/>
          </w:tcPr>
          <w:p w14:paraId="42F64228">
            <w:pPr>
              <w:adjustRightInd w:val="0"/>
              <w:snapToGrid w:val="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30d</w:t>
            </w:r>
          </w:p>
        </w:tc>
      </w:tr>
      <w:tr w14:paraId="5358BF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17" w:hRule="atLeast"/>
        </w:trPr>
        <w:tc>
          <w:tcPr>
            <w:tcW w:w="1878" w:type="dxa"/>
            <w:gridSpan w:val="2"/>
            <w:noWrap w:val="0"/>
            <w:tcMar>
              <w:top w:w="16" w:type="dxa"/>
              <w:left w:w="16" w:type="dxa"/>
              <w:right w:w="16" w:type="dxa"/>
            </w:tcMar>
            <w:vAlign w:val="center"/>
          </w:tcPr>
          <w:p w14:paraId="24CEACD3">
            <w:pPr>
              <w:adjustRightInd w:val="0"/>
              <w:snapToGrid w:val="0"/>
              <w:jc w:val="center"/>
              <w:rPr>
                <w:rFonts w:ascii="宋体" w:hAnsi="宋体" w:cs="宋体"/>
                <w:color w:val="auto"/>
                <w:szCs w:val="21"/>
              </w:rPr>
            </w:pPr>
            <w:r>
              <w:rPr>
                <w:rFonts w:hint="eastAsia" w:ascii="宋体" w:hAnsi="宋体" w:cs="宋体"/>
                <w:color w:val="auto"/>
                <w:szCs w:val="21"/>
              </w:rPr>
              <w:t>是否开工建设</w:t>
            </w:r>
          </w:p>
        </w:tc>
        <w:tc>
          <w:tcPr>
            <w:tcW w:w="7161" w:type="dxa"/>
            <w:gridSpan w:val="4"/>
            <w:noWrap w:val="0"/>
            <w:vAlign w:val="center"/>
          </w:tcPr>
          <w:p w14:paraId="2BDDB59D">
            <w:pPr>
              <w:adjustRightInd w:val="0"/>
              <w:snapToGrid w:val="0"/>
              <w:ind w:firstLine="105"/>
              <w:jc w:val="left"/>
              <w:rPr>
                <w:rFonts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rPr>
              <w:t>否</w:t>
            </w:r>
          </w:p>
          <w:p w14:paraId="6A48D5C0">
            <w:pPr>
              <w:adjustRightInd w:val="0"/>
              <w:snapToGrid w:val="0"/>
              <w:ind w:firstLine="92"/>
              <w:jc w:val="left"/>
              <w:rPr>
                <w:rFonts w:ascii="宋体" w:hAnsi="宋体" w:cs="宋体"/>
                <w:color w:val="auto"/>
                <w:szCs w:val="21"/>
              </w:rPr>
            </w:pPr>
            <w:r>
              <w:rPr>
                <w:rFonts w:hint="eastAsia" w:ascii="宋体" w:hAnsi="宋体" w:cs="宋体"/>
                <w:color w:val="auto"/>
                <w:szCs w:val="21"/>
              </w:rPr>
              <w:t>□是：</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ascii="宋体" w:hAnsi="宋体" w:cs="宋体"/>
                <w:color w:val="auto"/>
                <w:szCs w:val="21"/>
                <w:u w:val="single"/>
              </w:rPr>
              <w:t xml:space="preserve">       </w:t>
            </w:r>
          </w:p>
        </w:tc>
      </w:tr>
      <w:tr w14:paraId="09C378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44" w:hRule="atLeast"/>
        </w:trPr>
        <w:tc>
          <w:tcPr>
            <w:tcW w:w="1878" w:type="dxa"/>
            <w:gridSpan w:val="2"/>
            <w:noWrap w:val="0"/>
            <w:tcMar>
              <w:top w:w="16" w:type="dxa"/>
              <w:left w:w="16" w:type="dxa"/>
              <w:right w:w="16" w:type="dxa"/>
            </w:tcMar>
            <w:vAlign w:val="center"/>
          </w:tcPr>
          <w:p w14:paraId="2792E972">
            <w:pPr>
              <w:autoSpaceDE w:val="0"/>
              <w:autoSpaceDN w:val="0"/>
              <w:adjustRightInd w:val="0"/>
              <w:snapToGrid w:val="0"/>
              <w:jc w:val="center"/>
              <w:rPr>
                <w:rFonts w:ascii="宋体" w:hAnsi="宋体" w:cs="宋体"/>
                <w:color w:val="auto"/>
                <w:kern w:val="0"/>
                <w:szCs w:val="21"/>
              </w:rPr>
            </w:pPr>
            <w:r>
              <w:rPr>
                <w:rFonts w:hint="eastAsia" w:ascii="宋体" w:hAnsi="宋体" w:cs="宋体"/>
                <w:color w:val="auto"/>
                <w:kern w:val="0"/>
                <w:szCs w:val="21"/>
              </w:rPr>
              <w:t>专项评价设置情况</w:t>
            </w:r>
          </w:p>
        </w:tc>
        <w:tc>
          <w:tcPr>
            <w:tcW w:w="7161" w:type="dxa"/>
            <w:gridSpan w:val="4"/>
            <w:noWrap w:val="0"/>
            <w:tcMar>
              <w:top w:w="16" w:type="dxa"/>
              <w:left w:w="16" w:type="dxa"/>
              <w:right w:w="16" w:type="dxa"/>
            </w:tcMar>
            <w:vAlign w:val="center"/>
          </w:tcPr>
          <w:p w14:paraId="1A952DFD">
            <w:pPr>
              <w:autoSpaceDE w:val="0"/>
              <w:autoSpaceDN w:val="0"/>
              <w:adjustRightInd w:val="0"/>
              <w:snapToGrid w:val="0"/>
              <w:jc w:val="center"/>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无</w:t>
            </w:r>
          </w:p>
        </w:tc>
      </w:tr>
      <w:tr w14:paraId="5C3FF3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75" w:hRule="atLeast"/>
        </w:trPr>
        <w:tc>
          <w:tcPr>
            <w:tcW w:w="1878" w:type="dxa"/>
            <w:gridSpan w:val="2"/>
            <w:noWrap w:val="0"/>
            <w:tcMar>
              <w:top w:w="16" w:type="dxa"/>
              <w:left w:w="16" w:type="dxa"/>
              <w:right w:w="16" w:type="dxa"/>
            </w:tcMar>
            <w:vAlign w:val="center"/>
          </w:tcPr>
          <w:p w14:paraId="4927DC10">
            <w:pPr>
              <w:autoSpaceDE w:val="0"/>
              <w:autoSpaceDN w:val="0"/>
              <w:adjustRightInd w:val="0"/>
              <w:snapToGrid w:val="0"/>
              <w:jc w:val="center"/>
              <w:rPr>
                <w:rFonts w:ascii="宋体" w:hAnsi="宋体" w:cs="宋体"/>
                <w:color w:val="auto"/>
                <w:kern w:val="0"/>
                <w:szCs w:val="21"/>
              </w:rPr>
            </w:pPr>
            <w:r>
              <w:rPr>
                <w:rFonts w:hint="eastAsia" w:ascii="宋体" w:hAnsi="宋体" w:cs="宋体"/>
                <w:color w:val="auto"/>
                <w:szCs w:val="21"/>
              </w:rPr>
              <w:t>规划情况</w:t>
            </w:r>
          </w:p>
        </w:tc>
        <w:tc>
          <w:tcPr>
            <w:tcW w:w="7161" w:type="dxa"/>
            <w:gridSpan w:val="4"/>
            <w:noWrap w:val="0"/>
            <w:tcMar>
              <w:top w:w="16" w:type="dxa"/>
              <w:left w:w="16" w:type="dxa"/>
              <w:right w:w="16" w:type="dxa"/>
            </w:tcMar>
            <w:vAlign w:val="center"/>
          </w:tcPr>
          <w:p w14:paraId="5A3811C7">
            <w:pPr>
              <w:pStyle w:val="42"/>
              <w:rPr>
                <w:rFonts w:hint="eastAsia" w:eastAsia="宋体"/>
                <w:color w:val="auto"/>
                <w:highlight w:val="none"/>
                <w:lang w:eastAsia="zh-CN"/>
              </w:rPr>
            </w:pPr>
            <w:r>
              <w:rPr>
                <w:rFonts w:hint="eastAsia"/>
                <w:color w:val="auto"/>
                <w:highlight w:val="none"/>
              </w:rPr>
              <w:t>规划名称：《新疆维吾尔自治区矿产资源总体规划（2021</w:t>
            </w:r>
            <w:r>
              <w:rPr>
                <w:rFonts w:hint="eastAsia"/>
                <w:color w:val="auto"/>
                <w:highlight w:val="none"/>
                <w:lang w:val="en-US" w:eastAsia="zh-CN"/>
              </w:rPr>
              <w:t>—</w:t>
            </w:r>
            <w:r>
              <w:rPr>
                <w:rFonts w:hint="eastAsia"/>
                <w:color w:val="auto"/>
                <w:highlight w:val="none"/>
              </w:rPr>
              <w:t>2025年）》</w:t>
            </w:r>
            <w:r>
              <w:rPr>
                <w:rFonts w:hint="eastAsia"/>
                <w:color w:val="auto"/>
                <w:highlight w:val="none"/>
                <w:lang w:eastAsia="zh-CN"/>
              </w:rPr>
              <w:t>；</w:t>
            </w:r>
          </w:p>
          <w:p w14:paraId="617F87C9">
            <w:pPr>
              <w:pStyle w:val="42"/>
              <w:rPr>
                <w:rFonts w:hint="eastAsia" w:eastAsia="宋体"/>
                <w:color w:val="auto"/>
                <w:highlight w:val="none"/>
                <w:lang w:eastAsia="zh-CN"/>
              </w:rPr>
            </w:pPr>
            <w:r>
              <w:rPr>
                <w:rFonts w:hint="eastAsia"/>
                <w:color w:val="auto"/>
                <w:highlight w:val="none"/>
              </w:rPr>
              <w:t>审批机关：自然资源部</w:t>
            </w:r>
            <w:r>
              <w:rPr>
                <w:rFonts w:hint="eastAsia"/>
                <w:color w:val="auto"/>
                <w:highlight w:val="none"/>
                <w:lang w:eastAsia="zh-CN"/>
              </w:rPr>
              <w:t>；</w:t>
            </w:r>
          </w:p>
          <w:p w14:paraId="78117722">
            <w:pPr>
              <w:pStyle w:val="42"/>
              <w:rPr>
                <w:rFonts w:hint="eastAsia"/>
                <w:color w:val="auto"/>
                <w:highlight w:val="none"/>
              </w:rPr>
            </w:pPr>
            <w:r>
              <w:rPr>
                <w:rFonts w:hint="eastAsia"/>
                <w:color w:val="auto"/>
                <w:highlight w:val="none"/>
              </w:rPr>
              <w:t>审批文件名称及文号：《关于〈新疆维吾尔自治区矿产资源总体规划（2021</w:t>
            </w:r>
            <w:r>
              <w:rPr>
                <w:rFonts w:hint="eastAsia"/>
                <w:color w:val="auto"/>
                <w:highlight w:val="none"/>
                <w:lang w:eastAsia="zh-CN"/>
              </w:rPr>
              <w:t>—</w:t>
            </w:r>
            <w:r>
              <w:rPr>
                <w:rFonts w:hint="eastAsia"/>
                <w:color w:val="auto"/>
                <w:highlight w:val="none"/>
              </w:rPr>
              <w:t>2025年）〉的审查意见》</w:t>
            </w:r>
            <w:r>
              <w:rPr>
                <w:rFonts w:hint="eastAsia"/>
                <w:color w:val="auto"/>
                <w:highlight w:val="none"/>
                <w:lang w:eastAsia="zh-CN"/>
              </w:rPr>
              <w:t>（</w:t>
            </w:r>
            <w:r>
              <w:rPr>
                <w:rFonts w:hint="eastAsia"/>
                <w:color w:val="auto"/>
                <w:highlight w:val="none"/>
              </w:rPr>
              <w:t>自然资函〔2022〕1092号</w:t>
            </w:r>
            <w:r>
              <w:rPr>
                <w:rFonts w:hint="eastAsia"/>
                <w:color w:val="auto"/>
                <w:highlight w:val="none"/>
                <w:lang w:eastAsia="zh-CN"/>
              </w:rPr>
              <w:t>）；</w:t>
            </w:r>
          </w:p>
          <w:p w14:paraId="5A44A047">
            <w:pPr>
              <w:pStyle w:val="42"/>
              <w:rPr>
                <w:rFonts w:hint="eastAsia"/>
                <w:color w:val="auto"/>
                <w:highlight w:val="none"/>
                <w:lang w:val="en-US" w:eastAsia="zh-CN"/>
              </w:rPr>
            </w:pPr>
            <w:r>
              <w:rPr>
                <w:rFonts w:hint="eastAsia"/>
                <w:color w:val="auto"/>
                <w:highlight w:val="none"/>
                <w:lang w:val="en-US" w:eastAsia="zh-CN"/>
              </w:rPr>
              <w:t>规划名称：</w:t>
            </w:r>
            <w:r>
              <w:rPr>
                <w:rFonts w:hint="eastAsia"/>
                <w:color w:val="auto"/>
                <w:highlight w:val="none"/>
              </w:rPr>
              <w:t>《巴音郭楞蒙古自治州矿产资源总体规划（2021-2025年）》</w:t>
            </w:r>
            <w:r>
              <w:rPr>
                <w:rFonts w:hint="eastAsia"/>
                <w:color w:val="auto"/>
                <w:highlight w:val="none"/>
                <w:lang w:val="en-US" w:eastAsia="zh-CN"/>
              </w:rPr>
              <w:t>；</w:t>
            </w:r>
          </w:p>
          <w:p w14:paraId="5077CD7B">
            <w:pPr>
              <w:pStyle w:val="42"/>
              <w:rPr>
                <w:rFonts w:hint="eastAsia"/>
                <w:color w:val="auto"/>
                <w:highlight w:val="none"/>
                <w:lang w:eastAsia="zh-CN"/>
              </w:rPr>
            </w:pPr>
            <w:r>
              <w:rPr>
                <w:rFonts w:hint="eastAsia"/>
                <w:color w:val="auto"/>
                <w:highlight w:val="none"/>
              </w:rPr>
              <w:t>审批机关：巴州人民政府</w:t>
            </w:r>
            <w:r>
              <w:rPr>
                <w:rFonts w:hint="eastAsia"/>
                <w:color w:val="auto"/>
                <w:highlight w:val="none"/>
                <w:lang w:eastAsia="zh-CN"/>
              </w:rPr>
              <w:t>；</w:t>
            </w:r>
          </w:p>
          <w:p w14:paraId="4BE955AA">
            <w:pPr>
              <w:pStyle w:val="42"/>
              <w:rPr>
                <w:rFonts w:ascii="宋体" w:hAnsi="宋体" w:cs="宋体"/>
                <w:color w:val="auto"/>
                <w:kern w:val="0"/>
                <w:szCs w:val="21"/>
                <w:highlight w:val="none"/>
              </w:rPr>
            </w:pPr>
            <w:r>
              <w:rPr>
                <w:rFonts w:hint="eastAsia"/>
                <w:color w:val="auto"/>
                <w:highlight w:val="none"/>
              </w:rPr>
              <w:t>审批文件名称及文号</w:t>
            </w:r>
            <w:r>
              <w:rPr>
                <w:rFonts w:hint="eastAsia"/>
                <w:color w:val="auto"/>
                <w:highlight w:val="none"/>
                <w:lang w:eastAsia="zh-CN"/>
              </w:rPr>
              <w:t>：</w:t>
            </w:r>
            <w:r>
              <w:rPr>
                <w:rFonts w:hint="eastAsia"/>
                <w:color w:val="auto"/>
                <w:highlight w:val="none"/>
                <w:lang w:val="en-US" w:eastAsia="zh-CN"/>
              </w:rPr>
              <w:t>/。</w:t>
            </w:r>
          </w:p>
        </w:tc>
      </w:tr>
      <w:tr w14:paraId="7C22C2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675" w:hRule="atLeast"/>
        </w:trPr>
        <w:tc>
          <w:tcPr>
            <w:tcW w:w="1878" w:type="dxa"/>
            <w:gridSpan w:val="2"/>
            <w:noWrap w:val="0"/>
            <w:tcMar>
              <w:top w:w="16" w:type="dxa"/>
              <w:left w:w="16" w:type="dxa"/>
              <w:right w:w="16" w:type="dxa"/>
            </w:tcMar>
            <w:vAlign w:val="center"/>
          </w:tcPr>
          <w:p w14:paraId="5B17E7E3">
            <w:pPr>
              <w:autoSpaceDE w:val="0"/>
              <w:autoSpaceDN w:val="0"/>
              <w:adjustRightInd w:val="0"/>
              <w:snapToGrid w:val="0"/>
              <w:jc w:val="center"/>
              <w:rPr>
                <w:rFonts w:ascii="宋体" w:hAnsi="宋体" w:cs="宋体"/>
                <w:color w:val="auto"/>
                <w:szCs w:val="21"/>
              </w:rPr>
            </w:pPr>
            <w:r>
              <w:rPr>
                <w:rFonts w:hint="eastAsia" w:ascii="宋体" w:hAnsi="宋体" w:cs="宋体"/>
                <w:color w:val="auto"/>
                <w:szCs w:val="21"/>
              </w:rPr>
              <w:t>规划环境影响</w:t>
            </w:r>
          </w:p>
          <w:p w14:paraId="422FFA63">
            <w:pPr>
              <w:autoSpaceDE w:val="0"/>
              <w:autoSpaceDN w:val="0"/>
              <w:adjustRightInd w:val="0"/>
              <w:snapToGrid w:val="0"/>
              <w:jc w:val="center"/>
              <w:rPr>
                <w:rFonts w:ascii="宋体" w:hAnsi="宋体" w:cs="宋体"/>
                <w:color w:val="auto"/>
                <w:kern w:val="0"/>
                <w:szCs w:val="21"/>
              </w:rPr>
            </w:pPr>
            <w:r>
              <w:rPr>
                <w:rFonts w:hint="eastAsia" w:ascii="宋体" w:hAnsi="宋体" w:cs="宋体"/>
                <w:color w:val="auto"/>
                <w:szCs w:val="21"/>
              </w:rPr>
              <w:t>评价情况</w:t>
            </w:r>
          </w:p>
        </w:tc>
        <w:tc>
          <w:tcPr>
            <w:tcW w:w="7161" w:type="dxa"/>
            <w:gridSpan w:val="4"/>
            <w:noWrap w:val="0"/>
            <w:tcMar>
              <w:top w:w="16" w:type="dxa"/>
              <w:left w:w="16" w:type="dxa"/>
              <w:right w:w="16" w:type="dxa"/>
            </w:tcMar>
            <w:vAlign w:val="center"/>
          </w:tcPr>
          <w:p w14:paraId="5B81AEF4">
            <w:pPr>
              <w:pStyle w:val="42"/>
              <w:jc w:val="left"/>
              <w:rPr>
                <w:rFonts w:hint="eastAsia" w:eastAsia="宋体"/>
                <w:color w:val="auto"/>
                <w:lang w:eastAsia="zh-CN"/>
              </w:rPr>
            </w:pPr>
            <w:r>
              <w:rPr>
                <w:rFonts w:hint="eastAsia"/>
                <w:color w:val="auto"/>
              </w:rPr>
              <w:t>规划环评文件名称：《新疆维吾尔自治区矿产资源总体规划（2021</w:t>
            </w:r>
            <w:r>
              <w:rPr>
                <w:rFonts w:hint="eastAsia"/>
                <w:color w:val="auto"/>
                <w:lang w:eastAsia="zh-CN"/>
              </w:rPr>
              <w:t>—</w:t>
            </w:r>
            <w:r>
              <w:rPr>
                <w:rFonts w:hint="eastAsia"/>
                <w:color w:val="auto"/>
              </w:rPr>
              <w:t>2025年）环境影响报告书》</w:t>
            </w:r>
            <w:r>
              <w:rPr>
                <w:rFonts w:hint="eastAsia"/>
                <w:color w:val="auto"/>
                <w:lang w:eastAsia="zh-CN"/>
              </w:rPr>
              <w:t>；</w:t>
            </w:r>
          </w:p>
          <w:p w14:paraId="586D34D8">
            <w:pPr>
              <w:pStyle w:val="42"/>
              <w:jc w:val="left"/>
              <w:rPr>
                <w:rFonts w:hint="eastAsia" w:eastAsia="宋体"/>
                <w:color w:val="auto"/>
                <w:lang w:eastAsia="zh-CN"/>
              </w:rPr>
            </w:pPr>
            <w:r>
              <w:rPr>
                <w:rFonts w:hint="eastAsia"/>
                <w:color w:val="auto"/>
              </w:rPr>
              <w:t>审查机关：生态环境部</w:t>
            </w:r>
            <w:r>
              <w:rPr>
                <w:rFonts w:hint="eastAsia"/>
                <w:color w:val="auto"/>
                <w:lang w:eastAsia="zh-CN"/>
              </w:rPr>
              <w:t>；</w:t>
            </w:r>
          </w:p>
          <w:p w14:paraId="62392024">
            <w:pPr>
              <w:adjustRightInd w:val="0"/>
              <w:snapToGrid w:val="0"/>
              <w:jc w:val="left"/>
              <w:rPr>
                <w:rFonts w:ascii="宋体" w:hAnsi="宋体" w:cs="宋体"/>
                <w:color w:val="auto"/>
                <w:kern w:val="0"/>
                <w:szCs w:val="21"/>
              </w:rPr>
            </w:pPr>
            <w:r>
              <w:rPr>
                <w:rFonts w:hint="eastAsia"/>
                <w:color w:val="auto"/>
              </w:rPr>
              <w:t>审查文件名称及文号：《关于〈新疆维吾尔自治区矿产资源总体规划（2021—2025年）环境影响报告书〉的审查意见》</w:t>
            </w:r>
            <w:r>
              <w:rPr>
                <w:rFonts w:hint="eastAsia"/>
                <w:color w:val="auto"/>
                <w:lang w:eastAsia="zh-CN"/>
              </w:rPr>
              <w:t>（</w:t>
            </w:r>
            <w:r>
              <w:rPr>
                <w:rFonts w:hint="eastAsia"/>
                <w:color w:val="auto"/>
              </w:rPr>
              <w:t>环审〔2022〕124号</w:t>
            </w:r>
            <w:r>
              <w:rPr>
                <w:rFonts w:hint="eastAsia"/>
                <w:color w:val="auto"/>
                <w:lang w:eastAsia="zh-CN"/>
              </w:rPr>
              <w:t>）。</w:t>
            </w:r>
          </w:p>
        </w:tc>
      </w:tr>
      <w:tr w14:paraId="0884B5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557" w:hRule="atLeast"/>
        </w:trPr>
        <w:tc>
          <w:tcPr>
            <w:tcW w:w="1161" w:type="dxa"/>
            <w:noWrap w:val="0"/>
            <w:tcMar>
              <w:top w:w="16" w:type="dxa"/>
              <w:left w:w="16" w:type="dxa"/>
              <w:right w:w="16" w:type="dxa"/>
            </w:tcMar>
            <w:vAlign w:val="center"/>
          </w:tcPr>
          <w:p w14:paraId="53A73DF9">
            <w:pPr>
              <w:autoSpaceDE w:val="0"/>
              <w:autoSpaceDN w:val="0"/>
              <w:adjustRightInd w:val="0"/>
              <w:snapToGrid w:val="0"/>
              <w:jc w:val="center"/>
              <w:rPr>
                <w:rFonts w:ascii="宋体" w:hAnsi="宋体" w:cs="宋体"/>
                <w:color w:val="auto"/>
                <w:kern w:val="0"/>
                <w:szCs w:val="21"/>
              </w:rPr>
            </w:pPr>
            <w:r>
              <w:rPr>
                <w:rFonts w:hint="eastAsia" w:ascii="宋体" w:hAnsi="宋体" w:cs="宋体"/>
                <w:color w:val="auto"/>
                <w:kern w:val="0"/>
                <w:szCs w:val="21"/>
              </w:rPr>
              <w:t>规划及</w:t>
            </w:r>
            <w:r>
              <w:rPr>
                <w:rFonts w:hint="eastAsia" w:ascii="宋体" w:hAnsi="宋体" w:cs="宋体"/>
                <w:color w:val="auto"/>
                <w:szCs w:val="21"/>
              </w:rPr>
              <w:t>规划环境影响评价</w:t>
            </w:r>
            <w:r>
              <w:rPr>
                <w:rFonts w:hint="eastAsia" w:ascii="宋体" w:hAnsi="宋体" w:cs="宋体"/>
                <w:color w:val="auto"/>
                <w:kern w:val="0"/>
                <w:szCs w:val="21"/>
              </w:rPr>
              <w:t>符合性分析</w:t>
            </w:r>
          </w:p>
        </w:tc>
        <w:tc>
          <w:tcPr>
            <w:tcW w:w="7878" w:type="dxa"/>
            <w:gridSpan w:val="5"/>
            <w:noWrap w:val="0"/>
            <w:tcMar>
              <w:top w:w="16" w:type="dxa"/>
              <w:left w:w="16" w:type="dxa"/>
              <w:right w:w="16" w:type="dxa"/>
            </w:tcMar>
            <w:vAlign w:val="center"/>
          </w:tcPr>
          <w:p w14:paraId="7917D0F2">
            <w:pPr>
              <w:spacing w:line="520" w:lineRule="exact"/>
              <w:ind w:firstLine="480" w:firstLineChars="200"/>
              <w:rPr>
                <w:rFonts w:ascii="Times New Roman" w:hAnsi="Times New Roman" w:eastAsia="宋体" w:cs="Times New Roman"/>
                <w:color w:val="auto"/>
                <w:sz w:val="24"/>
              </w:rPr>
            </w:pPr>
            <w:r>
              <w:rPr>
                <w:color w:val="auto"/>
                <w:sz w:val="24"/>
              </w:rPr>
              <w:t>与</w:t>
            </w:r>
            <w:r>
              <w:rPr>
                <w:rFonts w:hint="eastAsia"/>
                <w:color w:val="auto"/>
                <w:sz w:val="24"/>
              </w:rPr>
              <w:t>《</w:t>
            </w:r>
            <w:r>
              <w:rPr>
                <w:color w:val="auto"/>
                <w:sz w:val="24"/>
              </w:rPr>
              <w:t>新疆维吾尔自治区矿产资源总体规划</w:t>
            </w:r>
            <w:r>
              <w:rPr>
                <w:rFonts w:hint="eastAsia"/>
                <w:color w:val="auto"/>
                <w:sz w:val="24"/>
              </w:rPr>
              <w:t>（</w:t>
            </w:r>
            <w:r>
              <w:rPr>
                <w:color w:val="auto"/>
                <w:sz w:val="24"/>
              </w:rPr>
              <w:t>2021</w:t>
            </w:r>
            <w:r>
              <w:rPr>
                <w:rFonts w:hint="eastAsia"/>
                <w:color w:val="auto"/>
                <w:szCs w:val="21"/>
                <w:lang w:eastAsia="zh-CN"/>
              </w:rPr>
              <w:t>—</w:t>
            </w:r>
            <w:r>
              <w:rPr>
                <w:color w:val="auto"/>
                <w:sz w:val="24"/>
              </w:rPr>
              <w:t>2025年）</w:t>
            </w:r>
            <w:r>
              <w:rPr>
                <w:rFonts w:hint="eastAsia"/>
                <w:color w:val="auto"/>
                <w:sz w:val="24"/>
              </w:rPr>
              <w:t>》</w:t>
            </w:r>
            <w:r>
              <w:rPr>
                <w:rFonts w:ascii="Times New Roman" w:hAnsi="Times New Roman" w:eastAsia="宋体" w:cs="Times New Roman"/>
                <w:color w:val="auto"/>
                <w:sz w:val="24"/>
              </w:rPr>
              <w:t>符合性分析</w:t>
            </w:r>
            <w:r>
              <w:rPr>
                <w:rFonts w:hint="eastAsia" w:ascii="Times New Roman" w:hAnsi="Times New Roman" w:eastAsia="宋体" w:cs="Times New Roman"/>
                <w:color w:val="auto"/>
                <w:sz w:val="24"/>
              </w:rPr>
              <w:t>见下表。</w:t>
            </w:r>
          </w:p>
          <w:p w14:paraId="72C32B68">
            <w:pPr>
              <w:spacing w:line="520" w:lineRule="exact"/>
              <w:jc w:val="center"/>
              <w:rPr>
                <w:rFonts w:hint="default" w:ascii="Times New Roman" w:hAnsi="Times New Roman" w:eastAsia="宋体" w:cs="Times New Roman"/>
                <w:b/>
                <w:bCs/>
                <w:color w:val="auto"/>
                <w:sz w:val="24"/>
                <w:lang w:val="en-US" w:eastAsia="zh-CN"/>
              </w:rPr>
            </w:pPr>
            <w:r>
              <w:rPr>
                <w:rFonts w:hint="default" w:ascii="Times New Roman" w:hAnsi="Times New Roman" w:eastAsia="宋体" w:cs="Times New Roman"/>
                <w:b/>
                <w:bCs/>
                <w:color w:val="auto"/>
                <w:sz w:val="24"/>
                <w:lang w:val="en-US" w:eastAsia="zh-CN"/>
              </w:rPr>
              <w:t>表1-1</w:t>
            </w:r>
            <w:r>
              <w:rPr>
                <w:rFonts w:hint="eastAsia" w:ascii="Times New Roman" w:hAnsi="Times New Roman" w:eastAsia="宋体" w:cs="Times New Roman"/>
                <w:b/>
                <w:bCs/>
                <w:color w:val="auto"/>
                <w:sz w:val="24"/>
                <w:lang w:val="en-US" w:eastAsia="zh-CN"/>
              </w:rPr>
              <w:t xml:space="preserve">    本</w:t>
            </w:r>
            <w:r>
              <w:rPr>
                <w:rFonts w:hint="default" w:ascii="Times New Roman" w:hAnsi="Times New Roman" w:eastAsia="宋体" w:cs="Times New Roman"/>
                <w:b/>
                <w:bCs/>
                <w:color w:val="auto"/>
                <w:sz w:val="24"/>
                <w:lang w:val="en-US" w:eastAsia="zh-CN"/>
              </w:rPr>
              <w:t>项目与《新疆维吾尔自治区矿产资源总体规划（2021—2025年）》相符性分析</w:t>
            </w:r>
          </w:p>
          <w:tbl>
            <w:tblPr>
              <w:tblStyle w:val="21"/>
              <w:tblW w:w="49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3"/>
              <w:gridCol w:w="2166"/>
              <w:gridCol w:w="725"/>
            </w:tblGrid>
            <w:tr w14:paraId="48977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119" w:type="pct"/>
                  <w:noWrap w:val="0"/>
                  <w:vAlign w:val="center"/>
                </w:tcPr>
                <w:p w14:paraId="4321EA12">
                  <w:pPr>
                    <w:pStyle w:val="43"/>
                    <w:bidi w:val="0"/>
                    <w:rPr>
                      <w:rFonts w:hint="default"/>
                      <w:color w:val="auto"/>
                      <w:lang w:eastAsia="zh-CN"/>
                    </w:rPr>
                  </w:pPr>
                  <w:r>
                    <w:rPr>
                      <w:rFonts w:hint="default"/>
                      <w:color w:val="auto"/>
                      <w:lang w:eastAsia="zh-CN"/>
                    </w:rPr>
                    <w:t>规划内容</w:t>
                  </w:r>
                </w:p>
              </w:tc>
              <w:tc>
                <w:tcPr>
                  <w:tcW w:w="1409" w:type="pct"/>
                  <w:noWrap w:val="0"/>
                  <w:vAlign w:val="center"/>
                </w:tcPr>
                <w:p w14:paraId="1989AA3D">
                  <w:pPr>
                    <w:pStyle w:val="43"/>
                    <w:bidi w:val="0"/>
                    <w:rPr>
                      <w:rFonts w:hint="default"/>
                      <w:color w:val="auto"/>
                      <w:lang w:eastAsia="zh-CN"/>
                    </w:rPr>
                  </w:pPr>
                  <w:r>
                    <w:rPr>
                      <w:rFonts w:hint="default"/>
                      <w:color w:val="auto"/>
                      <w:lang w:eastAsia="zh-CN"/>
                    </w:rPr>
                    <w:t>本项目情况</w:t>
                  </w:r>
                </w:p>
              </w:tc>
              <w:tc>
                <w:tcPr>
                  <w:tcW w:w="471" w:type="pct"/>
                  <w:noWrap w:val="0"/>
                  <w:vAlign w:val="center"/>
                </w:tcPr>
                <w:p w14:paraId="3AED6427">
                  <w:pPr>
                    <w:pStyle w:val="43"/>
                    <w:bidi w:val="0"/>
                    <w:rPr>
                      <w:rFonts w:hint="default"/>
                      <w:color w:val="auto"/>
                      <w:lang w:eastAsia="zh-CN"/>
                    </w:rPr>
                  </w:pPr>
                  <w:r>
                    <w:rPr>
                      <w:rFonts w:hint="default"/>
                      <w:color w:val="auto"/>
                      <w:lang w:eastAsia="zh-CN"/>
                    </w:rPr>
                    <w:t>是否符合</w:t>
                  </w:r>
                </w:p>
              </w:tc>
            </w:tr>
            <w:tr w14:paraId="3B99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6" w:hRule="atLeast"/>
                <w:jc w:val="center"/>
              </w:trPr>
              <w:tc>
                <w:tcPr>
                  <w:tcW w:w="3119" w:type="pct"/>
                  <w:noWrap w:val="0"/>
                  <w:vAlign w:val="center"/>
                </w:tcPr>
                <w:p w14:paraId="2E09C8F2">
                  <w:pPr>
                    <w:pStyle w:val="43"/>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color w:val="auto"/>
                      <w:lang w:val="en-US" w:eastAsia="zh-CN"/>
                    </w:rPr>
                  </w:pPr>
                  <w:r>
                    <w:rPr>
                      <w:rFonts w:hint="default"/>
                      <w:color w:val="auto"/>
                      <w:lang w:val="en-US" w:eastAsia="zh-CN"/>
                    </w:rPr>
                    <w:t>重点勘查开采矿种：石油、天然气、页岩气、煤层气、煤、地热等能源矿产，铁、铬、锰、铜、镍、钴、铅锌、金、锂、铍、钒、钛等金属矿产，以及钾盐、萤石、硅质原料等非金属矿产。限制开采矿种：砖瓦用粘土等矿产，严格控制钨、稀土等特定保护性开采矿产。</w:t>
                  </w:r>
                  <w:r>
                    <w:rPr>
                      <w:rFonts w:hint="eastAsia"/>
                      <w:color w:val="auto"/>
                      <w:lang w:val="en-US" w:eastAsia="zh-CN"/>
                    </w:rPr>
                    <w:t>“</w:t>
                  </w:r>
                  <w:r>
                    <w:rPr>
                      <w:rFonts w:hint="default"/>
                      <w:color w:val="auto"/>
                      <w:lang w:val="en-US" w:eastAsia="zh-CN"/>
                    </w:rPr>
                    <w:t>限粘</w:t>
                  </w:r>
                  <w:r>
                    <w:rPr>
                      <w:rFonts w:hint="eastAsia"/>
                      <w:color w:val="auto"/>
                      <w:lang w:val="en-US" w:eastAsia="zh-CN"/>
                    </w:rPr>
                    <w:t>”</w:t>
                  </w:r>
                  <w:r>
                    <w:rPr>
                      <w:rFonts w:hint="default"/>
                      <w:color w:val="auto"/>
                      <w:lang w:val="en-US" w:eastAsia="zh-CN"/>
                    </w:rPr>
                    <w:t>县市禁止新设砖瓦用粘土采矿权。</w:t>
                  </w:r>
                </w:p>
                <w:p w14:paraId="22171332">
                  <w:pPr>
                    <w:pStyle w:val="43"/>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color w:val="auto"/>
                      <w:lang w:val="en-US" w:eastAsia="zh-CN"/>
                    </w:rPr>
                  </w:pPr>
                  <w:r>
                    <w:rPr>
                      <w:rFonts w:hint="default"/>
                      <w:color w:val="auto"/>
                      <w:lang w:val="en-US" w:eastAsia="zh-CN"/>
                    </w:rPr>
                    <w:t>限制开采矿种，除严格矿业权人准入条件外，应论证资源供需形势，对开采总量进行调控，同时严格资源环境承载力论证，保护环境。合理控制国家规定实行保护性开采的特定矿种开采强度。</w:t>
                  </w:r>
                </w:p>
                <w:p w14:paraId="5C07274E">
                  <w:pPr>
                    <w:pStyle w:val="43"/>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color w:val="auto"/>
                      <w:lang w:eastAsia="zh-CN"/>
                    </w:rPr>
                  </w:pPr>
                  <w:r>
                    <w:rPr>
                      <w:rFonts w:hint="default"/>
                      <w:color w:val="auto"/>
                      <w:lang w:val="en-US" w:eastAsia="zh-CN"/>
                    </w:rPr>
                    <w:t>禁止开采矿种：禁止开采砷和放射性等有毒有害物质超过规定标准的煤炭项目，砂铁、汞、可耕地砖瓦用粘土等矿产。除和田地区外其他地区禁止新设砂金开采项目，严格砂金开发项目环境影响评价。</w:t>
                  </w:r>
                </w:p>
              </w:tc>
              <w:tc>
                <w:tcPr>
                  <w:tcW w:w="1409" w:type="pct"/>
                  <w:noWrap w:val="0"/>
                  <w:vAlign w:val="center"/>
                </w:tcPr>
                <w:p w14:paraId="58A26933">
                  <w:pPr>
                    <w:pStyle w:val="43"/>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color w:val="auto"/>
                      <w:lang w:eastAsia="zh-CN"/>
                    </w:rPr>
                  </w:pPr>
                  <w:r>
                    <w:rPr>
                      <w:rFonts w:hint="default"/>
                      <w:color w:val="auto"/>
                    </w:rPr>
                    <w:t>本次地质</w:t>
                  </w:r>
                  <w:r>
                    <w:rPr>
                      <w:rFonts w:hint="eastAsia"/>
                      <w:color w:val="auto"/>
                      <w:lang w:val="en-US" w:eastAsia="zh-CN"/>
                    </w:rPr>
                    <w:t>勘探</w:t>
                  </w:r>
                  <w:r>
                    <w:rPr>
                      <w:rFonts w:hint="default"/>
                      <w:color w:val="auto"/>
                    </w:rPr>
                    <w:t>工作</w:t>
                  </w:r>
                  <w:r>
                    <w:rPr>
                      <w:rFonts w:hint="default"/>
                      <w:color w:val="auto"/>
                      <w:lang w:val="en-US" w:eastAsia="zh-CN"/>
                    </w:rPr>
                    <w:t>以</w:t>
                  </w:r>
                  <w:r>
                    <w:rPr>
                      <w:rFonts w:hint="eastAsia"/>
                      <w:color w:val="auto"/>
                      <w:lang w:val="en-US" w:eastAsia="zh-CN"/>
                    </w:rPr>
                    <w:t>大理石</w:t>
                  </w:r>
                  <w:r>
                    <w:rPr>
                      <w:rFonts w:hint="default"/>
                      <w:color w:val="auto"/>
                      <w:lang w:val="en-US" w:eastAsia="zh-CN"/>
                    </w:rPr>
                    <w:t>岩</w:t>
                  </w:r>
                  <w:r>
                    <w:rPr>
                      <w:rFonts w:hint="eastAsia"/>
                      <w:color w:val="auto"/>
                      <w:lang w:val="en-US" w:eastAsia="zh-CN"/>
                    </w:rPr>
                    <w:t>矿</w:t>
                  </w:r>
                  <w:r>
                    <w:rPr>
                      <w:rFonts w:hint="default"/>
                      <w:color w:val="auto"/>
                      <w:lang w:val="en-US" w:eastAsia="zh-CN"/>
                    </w:rPr>
                    <w:t>为目标矿种</w:t>
                  </w:r>
                  <w:r>
                    <w:rPr>
                      <w:rFonts w:hint="default"/>
                      <w:color w:val="auto"/>
                    </w:rPr>
                    <w:t>，</w:t>
                  </w:r>
                  <w:r>
                    <w:rPr>
                      <w:rFonts w:hint="eastAsia"/>
                      <w:color w:val="auto"/>
                      <w:lang w:val="en-US" w:eastAsia="zh-CN"/>
                    </w:rPr>
                    <w:t>不属于限制、禁止开采矿种</w:t>
                  </w:r>
                  <w:r>
                    <w:rPr>
                      <w:rFonts w:hint="default"/>
                      <w:color w:val="auto"/>
                    </w:rPr>
                    <w:t>。</w:t>
                  </w:r>
                </w:p>
              </w:tc>
              <w:tc>
                <w:tcPr>
                  <w:tcW w:w="471" w:type="pct"/>
                  <w:noWrap w:val="0"/>
                  <w:vAlign w:val="center"/>
                </w:tcPr>
                <w:p w14:paraId="310D56D1">
                  <w:pPr>
                    <w:pStyle w:val="43"/>
                    <w:bidi w:val="0"/>
                    <w:rPr>
                      <w:rFonts w:hint="default"/>
                      <w:color w:val="auto"/>
                      <w:lang w:eastAsia="zh-CN"/>
                    </w:rPr>
                  </w:pPr>
                  <w:r>
                    <w:rPr>
                      <w:rFonts w:hint="default"/>
                      <w:color w:val="auto"/>
                      <w:lang w:eastAsia="zh-CN"/>
                    </w:rPr>
                    <w:t>符合</w:t>
                  </w:r>
                </w:p>
              </w:tc>
            </w:tr>
            <w:tr w14:paraId="54605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1" w:hRule="atLeast"/>
                <w:jc w:val="center"/>
              </w:trPr>
              <w:tc>
                <w:tcPr>
                  <w:tcW w:w="3119" w:type="pct"/>
                  <w:noWrap w:val="0"/>
                  <w:vAlign w:val="center"/>
                </w:tcPr>
                <w:p w14:paraId="3BAA36E4">
                  <w:pPr>
                    <w:pStyle w:val="43"/>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color w:val="auto"/>
                    </w:rPr>
                  </w:pPr>
                  <w:r>
                    <w:rPr>
                      <w:rFonts w:hint="default" w:ascii="Times New Roman" w:hAnsi="Times New Roman" w:eastAsia="宋体" w:cs="Times New Roman"/>
                      <w:color w:val="auto"/>
                      <w:lang w:val="en-US" w:eastAsia="zh-CN"/>
                    </w:rPr>
                    <w:t>落实上级规划，推进新一轮新疆找矿突破战略行动计划，完成辖区内基础性地质调查工作；在东昆仑</w:t>
                  </w:r>
                  <w:r>
                    <w:rPr>
                      <w:rFonts w:hint="eastAsia" w:cs="Times New Roman"/>
                      <w:color w:val="auto"/>
                      <w:lang w:val="en-US" w:eastAsia="zh-CN"/>
                    </w:rPr>
                    <w:t>－</w:t>
                  </w:r>
                  <w:r>
                    <w:rPr>
                      <w:rFonts w:hint="default" w:ascii="Times New Roman" w:hAnsi="Times New Roman" w:eastAsia="宋体" w:cs="Times New Roman"/>
                      <w:color w:val="auto"/>
                      <w:lang w:val="en-US" w:eastAsia="zh-CN"/>
                    </w:rPr>
                    <w:t>阿尔金成矿带开展1︰2.5万～1︰5万区域地质调查及专项矿产地质调查，解决战略性矿产资源成矿地质条件及成矿规律关键问题。加强盆</w:t>
                  </w:r>
                  <w:r>
                    <w:rPr>
                      <w:rFonts w:hint="eastAsia" w:cs="Times New Roman"/>
                      <w:color w:val="auto"/>
                      <w:lang w:val="en-US" w:eastAsia="zh-CN"/>
                    </w:rPr>
                    <w:t>－</w:t>
                  </w:r>
                  <w:r>
                    <w:rPr>
                      <w:rFonts w:hint="default" w:ascii="Times New Roman" w:hAnsi="Times New Roman" w:eastAsia="宋体" w:cs="Times New Roman"/>
                      <w:color w:val="auto"/>
                      <w:lang w:val="en-US" w:eastAsia="zh-CN"/>
                    </w:rPr>
                    <w:t>山结合部地球物理调查，揭示深部地质结构。开展区域地球化学调查，形成一批战略性稀缺矿产找矿远景区和靶区。</w:t>
                  </w:r>
                </w:p>
              </w:tc>
              <w:tc>
                <w:tcPr>
                  <w:tcW w:w="1409" w:type="pct"/>
                  <w:noWrap w:val="0"/>
                  <w:vAlign w:val="center"/>
                </w:tcPr>
                <w:p w14:paraId="7BDEE00A">
                  <w:pPr>
                    <w:pStyle w:val="43"/>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color w:val="auto"/>
                    </w:rPr>
                  </w:pPr>
                  <w:r>
                    <w:rPr>
                      <w:rFonts w:hint="eastAsia" w:cs="Times New Roman"/>
                      <w:color w:val="auto"/>
                      <w:sz w:val="21"/>
                      <w:szCs w:val="21"/>
                      <w:highlight w:val="none"/>
                      <w:lang w:val="en-US" w:eastAsia="zh-CN"/>
                    </w:rPr>
                    <w:t>本项目勘察的主要目的是探明勘探区的资源储量，为后期的开发规划提供依据。</w:t>
                  </w:r>
                </w:p>
              </w:tc>
              <w:tc>
                <w:tcPr>
                  <w:tcW w:w="471" w:type="pct"/>
                  <w:noWrap w:val="0"/>
                  <w:vAlign w:val="center"/>
                </w:tcPr>
                <w:p w14:paraId="7ADA5CF0">
                  <w:pPr>
                    <w:pStyle w:val="43"/>
                    <w:bidi w:val="0"/>
                    <w:rPr>
                      <w:rFonts w:hint="default"/>
                      <w:color w:val="auto"/>
                    </w:rPr>
                  </w:pPr>
                  <w:r>
                    <w:rPr>
                      <w:rFonts w:hint="default"/>
                      <w:color w:val="auto"/>
                      <w:lang w:eastAsia="zh-CN"/>
                    </w:rPr>
                    <w:t>符合</w:t>
                  </w:r>
                </w:p>
              </w:tc>
            </w:tr>
          </w:tbl>
          <w:p w14:paraId="30723C82">
            <w:pPr>
              <w:spacing w:line="520" w:lineRule="exact"/>
              <w:jc w:val="center"/>
              <w:rPr>
                <w:rFonts w:hint="default" w:ascii="Times New Roman" w:hAnsi="Times New Roman" w:eastAsia="宋体" w:cs="Times New Roman"/>
                <w:b/>
                <w:bCs/>
                <w:color w:val="auto"/>
                <w:sz w:val="24"/>
                <w:lang w:val="en-US" w:eastAsia="zh-CN"/>
              </w:rPr>
            </w:pPr>
            <w:r>
              <w:rPr>
                <w:rFonts w:hint="default" w:ascii="Times New Roman" w:hAnsi="Times New Roman" w:eastAsia="宋体" w:cs="Times New Roman"/>
                <w:b/>
                <w:bCs/>
                <w:color w:val="auto"/>
                <w:sz w:val="24"/>
                <w:lang w:val="en-US" w:eastAsia="zh-CN"/>
              </w:rPr>
              <w:t>表1-</w:t>
            </w:r>
            <w:r>
              <w:rPr>
                <w:rFonts w:hint="eastAsia" w:ascii="Times New Roman" w:hAnsi="Times New Roman" w:eastAsia="宋体" w:cs="Times New Roman"/>
                <w:b/>
                <w:bCs/>
                <w:color w:val="auto"/>
                <w:sz w:val="24"/>
                <w:lang w:val="en-US" w:eastAsia="zh-CN"/>
              </w:rPr>
              <w:t>2  本项目与《巴音郭楞蒙古自治州矿产资源总体规划（2021-2025年）》符合性分析</w:t>
            </w:r>
          </w:p>
          <w:tbl>
            <w:tblPr>
              <w:tblStyle w:val="21"/>
              <w:tblW w:w="49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5"/>
              <w:gridCol w:w="2881"/>
              <w:gridCol w:w="724"/>
            </w:tblGrid>
            <w:tr w14:paraId="355F4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59" w:type="pct"/>
                  <w:noWrap w:val="0"/>
                  <w:vAlign w:val="center"/>
                </w:tcPr>
                <w:p w14:paraId="7DE27338">
                  <w:pPr>
                    <w:pStyle w:val="43"/>
                    <w:bidi w:val="0"/>
                    <w:rPr>
                      <w:rFonts w:hint="default"/>
                      <w:color w:val="auto"/>
                      <w:lang w:eastAsia="zh-CN"/>
                    </w:rPr>
                  </w:pPr>
                  <w:r>
                    <w:rPr>
                      <w:rFonts w:hint="default"/>
                      <w:color w:val="auto"/>
                      <w:lang w:eastAsia="zh-CN"/>
                    </w:rPr>
                    <w:t>规划内容</w:t>
                  </w:r>
                </w:p>
              </w:tc>
              <w:tc>
                <w:tcPr>
                  <w:tcW w:w="1870" w:type="pct"/>
                  <w:noWrap w:val="0"/>
                  <w:vAlign w:val="center"/>
                </w:tcPr>
                <w:p w14:paraId="1081F37A">
                  <w:pPr>
                    <w:pStyle w:val="43"/>
                    <w:bidi w:val="0"/>
                    <w:rPr>
                      <w:rFonts w:hint="default"/>
                      <w:color w:val="auto"/>
                      <w:lang w:eastAsia="zh-CN"/>
                    </w:rPr>
                  </w:pPr>
                  <w:r>
                    <w:rPr>
                      <w:rFonts w:hint="default"/>
                      <w:color w:val="auto"/>
                      <w:lang w:eastAsia="zh-CN"/>
                    </w:rPr>
                    <w:t>本项目情况</w:t>
                  </w:r>
                </w:p>
              </w:tc>
              <w:tc>
                <w:tcPr>
                  <w:tcW w:w="470" w:type="pct"/>
                  <w:noWrap w:val="0"/>
                  <w:vAlign w:val="center"/>
                </w:tcPr>
                <w:p w14:paraId="5C032130">
                  <w:pPr>
                    <w:pStyle w:val="43"/>
                    <w:bidi w:val="0"/>
                    <w:rPr>
                      <w:rFonts w:hint="default"/>
                      <w:color w:val="auto"/>
                      <w:lang w:eastAsia="zh-CN"/>
                    </w:rPr>
                  </w:pPr>
                  <w:r>
                    <w:rPr>
                      <w:rFonts w:hint="default"/>
                      <w:color w:val="auto"/>
                      <w:lang w:eastAsia="zh-CN"/>
                    </w:rPr>
                    <w:t>是否符合</w:t>
                  </w:r>
                </w:p>
              </w:tc>
            </w:tr>
            <w:tr w14:paraId="382F4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59" w:type="pct"/>
                  <w:noWrap w:val="0"/>
                  <w:vAlign w:val="center"/>
                </w:tcPr>
                <w:p w14:paraId="46BE36E4">
                  <w:pPr>
                    <w:pStyle w:val="43"/>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color w:val="auto"/>
                      <w:lang w:val="en-US" w:eastAsia="zh-CN"/>
                    </w:rPr>
                  </w:pPr>
                  <w:r>
                    <w:rPr>
                      <w:rFonts w:hint="default"/>
                      <w:color w:val="auto"/>
                      <w:lang w:val="en-US" w:eastAsia="zh-CN"/>
                    </w:rPr>
                    <w:t>重点勘查矿种：页岩气、煤、煤层气、地热等能源矿产，铁铜、铅锌、镍、锡、金、银、锂、铍、铌、钽等金属矿产，钾盐、萤石、硅质原料、菱镁矿等非金属矿产。</w:t>
                  </w:r>
                </w:p>
                <w:p w14:paraId="553BAEDD">
                  <w:pPr>
                    <w:pStyle w:val="43"/>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color w:val="auto"/>
                      <w:lang w:val="en-US" w:eastAsia="zh-CN"/>
                    </w:rPr>
                  </w:pPr>
                  <w:r>
                    <w:rPr>
                      <w:rFonts w:hint="default"/>
                      <w:color w:val="auto"/>
                      <w:lang w:val="en-US" w:eastAsia="zh-CN"/>
                    </w:rPr>
                    <w:t>限制勘查矿种：钨、稀土等国家规定实行保护性开采的特定矿种，高硫煤、石煤、硫铁矿、石棉等矿产，总量限制的非市场紧缺矿种等。</w:t>
                  </w:r>
                </w:p>
                <w:p w14:paraId="4907DC02">
                  <w:pPr>
                    <w:pStyle w:val="43"/>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color w:val="auto"/>
                      <w:lang w:val="en-US" w:eastAsia="zh-CN"/>
                    </w:rPr>
                  </w:pPr>
                  <w:r>
                    <w:rPr>
                      <w:rFonts w:hint="default"/>
                      <w:color w:val="auto"/>
                      <w:lang w:val="en-US" w:eastAsia="zh-CN"/>
                    </w:rPr>
                    <w:t>禁止勘查矿种：灰分大于40%或含硫大于3%的煤以及可耕地砖瓦用粘土、砂金、砂铁、汞等，放射性矿产等涉及国家战略利益的矿种。</w:t>
                  </w:r>
                </w:p>
              </w:tc>
              <w:tc>
                <w:tcPr>
                  <w:tcW w:w="1870" w:type="pct"/>
                  <w:noWrap w:val="0"/>
                  <w:vAlign w:val="center"/>
                </w:tcPr>
                <w:p w14:paraId="58FAB3DF">
                  <w:pPr>
                    <w:pStyle w:val="43"/>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eastAsia="宋体"/>
                      <w:color w:val="auto"/>
                      <w:lang w:val="en-US" w:eastAsia="zh-CN"/>
                    </w:rPr>
                  </w:pPr>
                  <w:r>
                    <w:rPr>
                      <w:rFonts w:hint="default"/>
                      <w:color w:val="auto"/>
                    </w:rPr>
                    <w:t>本次地质</w:t>
                  </w:r>
                  <w:r>
                    <w:rPr>
                      <w:rFonts w:hint="eastAsia"/>
                      <w:color w:val="auto"/>
                      <w:lang w:val="en-US" w:eastAsia="zh-CN"/>
                    </w:rPr>
                    <w:t>勘探</w:t>
                  </w:r>
                  <w:r>
                    <w:rPr>
                      <w:rFonts w:hint="default"/>
                      <w:color w:val="auto"/>
                    </w:rPr>
                    <w:t>工作</w:t>
                  </w:r>
                  <w:r>
                    <w:rPr>
                      <w:rFonts w:hint="default"/>
                      <w:color w:val="auto"/>
                      <w:lang w:val="en-US" w:eastAsia="zh-CN"/>
                    </w:rPr>
                    <w:t>以</w:t>
                  </w:r>
                  <w:r>
                    <w:rPr>
                      <w:rFonts w:hint="eastAsia"/>
                      <w:color w:val="auto"/>
                      <w:lang w:val="en-US" w:eastAsia="zh-CN"/>
                    </w:rPr>
                    <w:t>大理石</w:t>
                  </w:r>
                  <w:r>
                    <w:rPr>
                      <w:rFonts w:hint="default"/>
                      <w:color w:val="auto"/>
                      <w:lang w:val="en-US" w:eastAsia="zh-CN"/>
                    </w:rPr>
                    <w:t>岩</w:t>
                  </w:r>
                  <w:r>
                    <w:rPr>
                      <w:rFonts w:hint="eastAsia"/>
                      <w:color w:val="auto"/>
                      <w:lang w:val="en-US" w:eastAsia="zh-CN"/>
                    </w:rPr>
                    <w:t>矿</w:t>
                  </w:r>
                  <w:r>
                    <w:rPr>
                      <w:rFonts w:hint="default"/>
                      <w:color w:val="auto"/>
                      <w:lang w:val="en-US" w:eastAsia="zh-CN"/>
                    </w:rPr>
                    <w:t>为目标矿种</w:t>
                  </w:r>
                  <w:r>
                    <w:rPr>
                      <w:rFonts w:hint="default"/>
                      <w:color w:val="auto"/>
                    </w:rPr>
                    <w:t>，</w:t>
                  </w:r>
                  <w:r>
                    <w:rPr>
                      <w:rFonts w:hint="eastAsia"/>
                      <w:color w:val="auto"/>
                      <w:lang w:val="en-US" w:eastAsia="zh-CN"/>
                    </w:rPr>
                    <w:t>不属于限制、禁止开采矿种。</w:t>
                  </w:r>
                </w:p>
              </w:tc>
              <w:tc>
                <w:tcPr>
                  <w:tcW w:w="470" w:type="pct"/>
                  <w:noWrap w:val="0"/>
                  <w:vAlign w:val="center"/>
                </w:tcPr>
                <w:p w14:paraId="4A062DF1">
                  <w:pPr>
                    <w:pStyle w:val="43"/>
                    <w:bidi w:val="0"/>
                    <w:rPr>
                      <w:rFonts w:hint="default"/>
                      <w:color w:val="auto"/>
                      <w:lang w:eastAsia="zh-CN"/>
                    </w:rPr>
                  </w:pPr>
                  <w:r>
                    <w:rPr>
                      <w:rFonts w:hint="default"/>
                      <w:color w:val="auto"/>
                      <w:lang w:eastAsia="zh-CN"/>
                    </w:rPr>
                    <w:t>符合</w:t>
                  </w:r>
                </w:p>
              </w:tc>
            </w:tr>
            <w:tr w14:paraId="74A38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59" w:type="pct"/>
                  <w:shd w:val="clear" w:color="auto" w:fill="auto"/>
                  <w:noWrap w:val="0"/>
                  <w:vAlign w:val="center"/>
                </w:tcPr>
                <w:p w14:paraId="13676BB6">
                  <w:pPr>
                    <w:pStyle w:val="43"/>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勘查项目要严格按照《绿色地质勘查工作规范》DZ/T 0374-2021求，将绿色勘查理念贯穿于地质勘查项目设计、实施、验收全过程，利用先进成熟的绿色勘查新理论、新方法、新技术、新工艺开展地质勘查。大力推广遥感、物探、浅钻（以钻代槽）等绿色勘查技术，鼓励采用组合式、便捷式钻探设备，减少使用对植被破坏较大的槽探、坑探、井探等勘查手段，减轻勘查活动对生态环境的扰动。总结绿色勘查实施成效及经验，形成可复制、能推广的绿色勘查新模式、新机制、新制度；积极申报绿色勘查示范项目，促进地质勘查和生态保护协调发展。</w:t>
                  </w:r>
                </w:p>
              </w:tc>
              <w:tc>
                <w:tcPr>
                  <w:tcW w:w="1870" w:type="pct"/>
                  <w:shd w:val="clear" w:color="auto" w:fill="auto"/>
                  <w:noWrap w:val="0"/>
                  <w:vAlign w:val="center"/>
                </w:tcPr>
                <w:p w14:paraId="22E7221E">
                  <w:pPr>
                    <w:pStyle w:val="43"/>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Times New Roman" w:hAnsi="Times New Roman" w:eastAsia="宋体" w:cs="Times New Roman"/>
                      <w:color w:val="auto"/>
                      <w:kern w:val="2"/>
                      <w:sz w:val="21"/>
                      <w:szCs w:val="21"/>
                      <w:lang w:val="en-US" w:eastAsia="zh-CN" w:bidi="ar-SA"/>
                    </w:rPr>
                  </w:pPr>
                  <w:r>
                    <w:rPr>
                      <w:rFonts w:hint="default"/>
                      <w:color w:val="auto"/>
                      <w:lang w:val="zh-CN" w:eastAsia="zh-CN"/>
                    </w:rPr>
                    <w:t>本项目</w:t>
                  </w:r>
                  <w:r>
                    <w:rPr>
                      <w:rFonts w:hint="default"/>
                      <w:color w:val="auto"/>
                    </w:rPr>
                    <w:t>采用地质</w:t>
                  </w:r>
                  <w:r>
                    <w:rPr>
                      <w:rFonts w:hint="eastAsia"/>
                      <w:color w:val="auto"/>
                      <w:lang w:val="en-US" w:eastAsia="zh-CN"/>
                    </w:rPr>
                    <w:t>测量</w:t>
                  </w:r>
                  <w:r>
                    <w:rPr>
                      <w:rFonts w:hint="default"/>
                      <w:color w:val="auto"/>
                    </w:rPr>
                    <w:t>、槽探</w:t>
                  </w:r>
                  <w:r>
                    <w:rPr>
                      <w:rFonts w:hint="eastAsia"/>
                      <w:color w:val="auto"/>
                      <w:lang w:eastAsia="zh-CN"/>
                    </w:rPr>
                    <w:t>、</w:t>
                  </w:r>
                  <w:r>
                    <w:rPr>
                      <w:rFonts w:hint="eastAsia"/>
                      <w:color w:val="auto"/>
                      <w:lang w:val="en-US" w:eastAsia="zh-CN"/>
                    </w:rPr>
                    <w:t>钻探</w:t>
                  </w:r>
                  <w:r>
                    <w:rPr>
                      <w:rFonts w:hint="default"/>
                      <w:color w:val="auto"/>
                    </w:rPr>
                    <w:t>等工作手段开展详查评价。通过运用高效、环保的方法、技术、设备等，在地质勘查各方面和全过程中减少或控制对生态环境的影响</w:t>
                  </w:r>
                  <w:r>
                    <w:rPr>
                      <w:rFonts w:hint="eastAsia"/>
                      <w:color w:val="auto"/>
                      <w:lang w:eastAsia="zh-CN"/>
                    </w:rPr>
                    <w:t>，</w:t>
                  </w:r>
                  <w:r>
                    <w:rPr>
                      <w:rFonts w:hint="default"/>
                      <w:color w:val="auto"/>
                      <w:lang w:val="zh-CN" w:eastAsia="zh-CN"/>
                    </w:rPr>
                    <w:t>开展绿色勘查，及时对开挖工程进行回填，最大限度减少人为破坏，减轻勘查活动对生态环境的扰动</w:t>
                  </w:r>
                  <w:r>
                    <w:rPr>
                      <w:rFonts w:hint="eastAsia"/>
                      <w:color w:val="auto"/>
                      <w:lang w:val="zh-CN" w:eastAsia="zh-CN"/>
                    </w:rPr>
                    <w:t>。</w:t>
                  </w:r>
                </w:p>
              </w:tc>
              <w:tc>
                <w:tcPr>
                  <w:tcW w:w="470" w:type="pct"/>
                  <w:noWrap w:val="0"/>
                  <w:vAlign w:val="center"/>
                </w:tcPr>
                <w:p w14:paraId="139B46DE">
                  <w:pPr>
                    <w:pStyle w:val="43"/>
                    <w:bidi w:val="0"/>
                    <w:rPr>
                      <w:rFonts w:hint="default"/>
                      <w:color w:val="auto"/>
                    </w:rPr>
                  </w:pPr>
                  <w:r>
                    <w:rPr>
                      <w:rFonts w:hint="default"/>
                      <w:color w:val="auto"/>
                      <w:lang w:eastAsia="zh-CN"/>
                    </w:rPr>
                    <w:t>符合</w:t>
                  </w:r>
                </w:p>
              </w:tc>
            </w:tr>
          </w:tbl>
          <w:p w14:paraId="52870DA4">
            <w:pPr>
              <w:spacing w:line="520" w:lineRule="exact"/>
              <w:jc w:val="center"/>
              <w:rPr>
                <w:rFonts w:hint="default" w:ascii="Times New Roman" w:hAnsi="Times New Roman" w:eastAsia="宋体" w:cs="Times New Roman"/>
                <w:b/>
                <w:bCs/>
                <w:color w:val="auto"/>
                <w:sz w:val="24"/>
                <w:lang w:val="en-US" w:eastAsia="zh-CN"/>
              </w:rPr>
            </w:pPr>
            <w:r>
              <w:rPr>
                <w:rFonts w:hint="default" w:ascii="Times New Roman" w:hAnsi="Times New Roman" w:eastAsia="宋体" w:cs="Times New Roman"/>
                <w:b/>
                <w:bCs/>
                <w:color w:val="auto"/>
                <w:sz w:val="24"/>
                <w:lang w:val="en-US" w:eastAsia="zh-CN"/>
              </w:rPr>
              <w:t>表1-</w:t>
            </w:r>
            <w:r>
              <w:rPr>
                <w:rFonts w:hint="eastAsia" w:cs="Times New Roman"/>
                <w:b/>
                <w:bCs/>
                <w:color w:val="auto"/>
                <w:sz w:val="24"/>
                <w:lang w:val="en-US" w:eastAsia="zh-CN"/>
              </w:rPr>
              <w:t>3</w:t>
            </w:r>
            <w:r>
              <w:rPr>
                <w:rFonts w:hint="default" w:ascii="Times New Roman" w:hAnsi="Times New Roman" w:eastAsia="宋体" w:cs="Times New Roman"/>
                <w:b/>
                <w:bCs/>
                <w:color w:val="auto"/>
                <w:sz w:val="24"/>
                <w:lang w:val="en-US" w:eastAsia="zh-CN"/>
              </w:rPr>
              <w:t xml:space="preserve"> </w:t>
            </w:r>
            <w:r>
              <w:rPr>
                <w:rFonts w:hint="eastAsia" w:ascii="Times New Roman" w:hAnsi="Times New Roman" w:eastAsia="宋体" w:cs="Times New Roman"/>
                <w:b/>
                <w:bCs/>
                <w:color w:val="auto"/>
                <w:sz w:val="24"/>
                <w:lang w:val="en-US" w:eastAsia="zh-CN"/>
              </w:rPr>
              <w:t xml:space="preserve"> </w:t>
            </w:r>
            <w:r>
              <w:rPr>
                <w:rFonts w:hint="default" w:ascii="Times New Roman" w:hAnsi="Times New Roman" w:eastAsia="宋体" w:cs="Times New Roman"/>
                <w:b/>
                <w:bCs/>
                <w:color w:val="auto"/>
                <w:sz w:val="24"/>
                <w:lang w:val="en-US" w:eastAsia="zh-CN"/>
              </w:rPr>
              <w:t xml:space="preserve"> 项目与《新疆维吾尔自治区矿产资源总体规划（2021—2025年）环境影响报告书》及审查意见的符合性分析内容</w:t>
            </w:r>
          </w:p>
          <w:tbl>
            <w:tblPr>
              <w:tblStyle w:val="21"/>
              <w:tblW w:w="48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7"/>
              <w:gridCol w:w="2601"/>
              <w:gridCol w:w="724"/>
            </w:tblGrid>
            <w:tr w14:paraId="6CBE1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9" w:hRule="atLeast"/>
                <w:jc w:val="center"/>
              </w:trPr>
              <w:tc>
                <w:tcPr>
                  <w:tcW w:w="2825" w:type="pct"/>
                  <w:noWrap w:val="0"/>
                  <w:vAlign w:val="center"/>
                </w:tcPr>
                <w:p w14:paraId="05BF36D9">
                  <w:pPr>
                    <w:pStyle w:val="43"/>
                    <w:bidi w:val="0"/>
                    <w:rPr>
                      <w:rFonts w:hint="default"/>
                      <w:color w:val="auto"/>
                      <w:lang w:eastAsia="zh-CN"/>
                    </w:rPr>
                  </w:pPr>
                  <w:r>
                    <w:rPr>
                      <w:rFonts w:hint="default"/>
                      <w:color w:val="auto"/>
                      <w:lang w:eastAsia="zh-CN"/>
                    </w:rPr>
                    <w:t>规划内容</w:t>
                  </w:r>
                </w:p>
              </w:tc>
              <w:tc>
                <w:tcPr>
                  <w:tcW w:w="1701" w:type="pct"/>
                  <w:noWrap w:val="0"/>
                  <w:vAlign w:val="center"/>
                </w:tcPr>
                <w:p w14:paraId="759439DE">
                  <w:pPr>
                    <w:pStyle w:val="43"/>
                    <w:bidi w:val="0"/>
                    <w:rPr>
                      <w:rFonts w:hint="default"/>
                      <w:color w:val="auto"/>
                      <w:lang w:eastAsia="zh-CN"/>
                    </w:rPr>
                  </w:pPr>
                  <w:r>
                    <w:rPr>
                      <w:rFonts w:hint="default"/>
                      <w:color w:val="auto"/>
                      <w:lang w:eastAsia="zh-CN"/>
                    </w:rPr>
                    <w:t>本项目情况</w:t>
                  </w:r>
                </w:p>
              </w:tc>
              <w:tc>
                <w:tcPr>
                  <w:tcW w:w="473" w:type="pct"/>
                  <w:noWrap w:val="0"/>
                  <w:vAlign w:val="center"/>
                </w:tcPr>
                <w:p w14:paraId="1855A420">
                  <w:pPr>
                    <w:pStyle w:val="43"/>
                    <w:bidi w:val="0"/>
                    <w:rPr>
                      <w:rFonts w:hint="default"/>
                      <w:color w:val="auto"/>
                      <w:lang w:eastAsia="zh-CN"/>
                    </w:rPr>
                  </w:pPr>
                  <w:r>
                    <w:rPr>
                      <w:rFonts w:hint="default"/>
                      <w:color w:val="auto"/>
                      <w:lang w:eastAsia="zh-CN"/>
                    </w:rPr>
                    <w:t>是否符合</w:t>
                  </w:r>
                </w:p>
              </w:tc>
            </w:tr>
            <w:tr w14:paraId="13323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4" w:hRule="atLeast"/>
                <w:jc w:val="center"/>
              </w:trPr>
              <w:tc>
                <w:tcPr>
                  <w:tcW w:w="2825" w:type="pct"/>
                  <w:noWrap w:val="0"/>
                  <w:vAlign w:val="center"/>
                </w:tcPr>
                <w:p w14:paraId="30648B84">
                  <w:pPr>
                    <w:pStyle w:val="43"/>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color w:val="auto"/>
                      <w:lang w:eastAsia="zh-CN"/>
                    </w:rPr>
                  </w:pPr>
                  <w:r>
                    <w:rPr>
                      <w:rFonts w:hint="default"/>
                      <w:color w:val="auto"/>
                      <w:lang w:eastAsia="zh-CN"/>
                    </w:rPr>
                    <w:t>红线作为保障和维护区域生态安全的底线，应进一步优化矿业权设置和空间布局，依法依规对生态空间实施严格保护。与生态保护红线存在空间重叠的6个能源资源基地、24个国家规划矿区22个重点勘查区、32个重点开采区等，后续设置矿业权时，应进一步优化布局，确保满足生态保护红线管控要求。与大气环境优先保护区</w:t>
                  </w:r>
                  <w:r>
                    <w:rPr>
                      <w:rFonts w:hint="eastAsia"/>
                      <w:color w:val="auto"/>
                      <w:lang w:eastAsia="zh-CN"/>
                    </w:rPr>
                    <w:t>（</w:t>
                  </w:r>
                  <w:r>
                    <w:rPr>
                      <w:rFonts w:hint="default"/>
                      <w:color w:val="auto"/>
                      <w:lang w:eastAsia="zh-CN"/>
                    </w:rPr>
                    <w:t>自然保护区、森林公园、世界遗产地等</w:t>
                  </w:r>
                  <w:r>
                    <w:rPr>
                      <w:rFonts w:hint="eastAsia"/>
                      <w:color w:val="auto"/>
                      <w:lang w:eastAsia="zh-CN"/>
                    </w:rPr>
                    <w:t>）</w:t>
                  </w:r>
                  <w:r>
                    <w:rPr>
                      <w:rFonts w:hint="default"/>
                      <w:color w:val="auto"/>
                      <w:lang w:eastAsia="zh-CN"/>
                    </w:rPr>
                    <w:t>存在空间重叠的90个勘查规划区块、25个开采规划区块，以及与水环境优先保护区存在空间重叠的462个勘查规划区块、153个开采规划区块和与农用地优先保护区存在空间重叠的28个勘查规划区块、8个开采规划区块等，后续设置矿业权时，应进一步优化布局、强化管控措施，确保满足生态环境分区管控及相关环境保护要求</w:t>
                  </w:r>
                  <w:r>
                    <w:rPr>
                      <w:rFonts w:hint="eastAsia"/>
                      <w:color w:val="auto"/>
                      <w:lang w:eastAsia="zh-CN"/>
                    </w:rPr>
                    <w:t>。</w:t>
                  </w:r>
                </w:p>
              </w:tc>
              <w:tc>
                <w:tcPr>
                  <w:tcW w:w="1701" w:type="pct"/>
                  <w:noWrap w:val="0"/>
                  <w:vAlign w:val="center"/>
                </w:tcPr>
                <w:p w14:paraId="15550F38">
                  <w:pPr>
                    <w:pStyle w:val="43"/>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color w:val="auto"/>
                      <w:lang w:eastAsia="zh-CN"/>
                    </w:rPr>
                  </w:pPr>
                  <w:r>
                    <w:rPr>
                      <w:rFonts w:hint="default"/>
                      <w:color w:val="auto"/>
                    </w:rPr>
                    <w:t>本项目不</w:t>
                  </w:r>
                  <w:r>
                    <w:rPr>
                      <w:rFonts w:hint="eastAsia"/>
                      <w:color w:val="auto"/>
                      <w:lang w:val="en-US" w:eastAsia="zh-CN"/>
                    </w:rPr>
                    <w:t>存在与</w:t>
                  </w:r>
                  <w:r>
                    <w:rPr>
                      <w:rFonts w:hint="default"/>
                      <w:color w:val="auto"/>
                      <w:lang w:eastAsia="zh-CN"/>
                    </w:rPr>
                    <w:t>自然保护区、森林公园、世界遗产地等</w:t>
                  </w:r>
                  <w:r>
                    <w:rPr>
                      <w:rFonts w:hint="eastAsia"/>
                      <w:color w:val="auto"/>
                      <w:lang w:val="en-US" w:eastAsia="zh-CN"/>
                    </w:rPr>
                    <w:t>空间重叠</w:t>
                  </w:r>
                  <w:r>
                    <w:rPr>
                      <w:rFonts w:hint="default"/>
                      <w:color w:val="auto"/>
                    </w:rPr>
                    <w:t>，项目区属于</w:t>
                  </w:r>
                  <w:r>
                    <w:rPr>
                      <w:rFonts w:hint="default"/>
                      <w:color w:val="auto"/>
                      <w:lang w:val="en-US" w:eastAsia="zh-CN"/>
                    </w:rPr>
                    <w:t>一般</w:t>
                  </w:r>
                  <w:r>
                    <w:rPr>
                      <w:rFonts w:hint="default"/>
                      <w:color w:val="auto"/>
                    </w:rPr>
                    <w:t>管控单元</w:t>
                  </w:r>
                  <w:r>
                    <w:rPr>
                      <w:rFonts w:hint="default"/>
                      <w:color w:val="auto"/>
                      <w:lang w:eastAsia="zh-CN"/>
                    </w:rPr>
                    <w:t>，</w:t>
                  </w:r>
                  <w:r>
                    <w:rPr>
                      <w:rFonts w:hint="default"/>
                      <w:color w:val="auto"/>
                    </w:rPr>
                    <w:t>符合生态保护红线要求。</w:t>
                  </w:r>
                </w:p>
              </w:tc>
              <w:tc>
                <w:tcPr>
                  <w:tcW w:w="473" w:type="pct"/>
                  <w:noWrap w:val="0"/>
                  <w:vAlign w:val="center"/>
                </w:tcPr>
                <w:p w14:paraId="16527FC5">
                  <w:pPr>
                    <w:pStyle w:val="43"/>
                    <w:bidi w:val="0"/>
                    <w:rPr>
                      <w:rFonts w:hint="default"/>
                      <w:color w:val="auto"/>
                      <w:lang w:val="en-US" w:eastAsia="zh-CN"/>
                    </w:rPr>
                  </w:pPr>
                  <w:r>
                    <w:rPr>
                      <w:rFonts w:hint="eastAsia"/>
                      <w:color w:val="auto"/>
                      <w:lang w:val="en-US" w:eastAsia="zh-CN"/>
                    </w:rPr>
                    <w:t>符合</w:t>
                  </w:r>
                </w:p>
              </w:tc>
            </w:tr>
            <w:tr w14:paraId="79CBE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2" w:hRule="atLeast"/>
                <w:jc w:val="center"/>
              </w:trPr>
              <w:tc>
                <w:tcPr>
                  <w:tcW w:w="2825" w:type="pct"/>
                  <w:noWrap w:val="0"/>
                  <w:vAlign w:val="center"/>
                </w:tcPr>
                <w:p w14:paraId="7E947E98">
                  <w:pPr>
                    <w:pStyle w:val="43"/>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color w:val="auto"/>
                      <w:lang w:eastAsia="zh-CN"/>
                    </w:rPr>
                  </w:pPr>
                  <w:r>
                    <w:rPr>
                      <w:rFonts w:hint="default"/>
                      <w:color w:val="auto"/>
                      <w:lang w:eastAsia="zh-CN"/>
                    </w:rPr>
                    <w:t>结合生态保护、饮用水水源保护区及水环境功能区水质保护及改善要求、土壤污染防治目标等，推进重点矿区建立生态、地表水、地下水、土壤等环境要素的长期监测监控体系，明确责任主体、强化资金保障，其中，在用尾矿库100%安装在线监测装置</w:t>
                  </w:r>
                  <w:r>
                    <w:rPr>
                      <w:rFonts w:hint="eastAsia"/>
                      <w:color w:val="auto"/>
                      <w:lang w:eastAsia="zh-CN"/>
                    </w:rPr>
                    <w:t>；</w:t>
                  </w:r>
                  <w:r>
                    <w:rPr>
                      <w:rFonts w:hint="default"/>
                      <w:color w:val="auto"/>
                      <w:lang w:eastAsia="zh-CN"/>
                    </w:rPr>
                    <w:t>组织开展主要矿种集中开采区域生态修复效果评估，并根据监测和评估结果增加和优化必要的保护措施。针对地表水环境及土壤环境累积影响、地下水环境质量下降、生态退化等情形，建立预警机制。</w:t>
                  </w:r>
                </w:p>
              </w:tc>
              <w:tc>
                <w:tcPr>
                  <w:tcW w:w="1701" w:type="pct"/>
                  <w:noWrap w:val="0"/>
                  <w:vAlign w:val="center"/>
                </w:tcPr>
                <w:p w14:paraId="42F9C2D1">
                  <w:pPr>
                    <w:pStyle w:val="43"/>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color w:val="auto"/>
                      <w:lang w:val="en-US" w:eastAsia="zh-CN"/>
                    </w:rPr>
                  </w:pPr>
                  <w:r>
                    <w:rPr>
                      <w:rFonts w:hint="eastAsia"/>
                      <w:color w:val="auto"/>
                      <w:lang w:val="en-US" w:eastAsia="zh-CN"/>
                    </w:rPr>
                    <w:t>本项目产生的生活污水排入一体化污水处理设施后，用于洒水抑尘；设备冲洗水经沉淀池处理后用于洒水降尘，</w:t>
                  </w:r>
                  <w:r>
                    <w:rPr>
                      <w:rFonts w:hint="eastAsia" w:ascii="Times New Roman" w:hAnsi="Times New Roman" w:cs="Times New Roman"/>
                      <w:color w:val="auto"/>
                      <w:kern w:val="0"/>
                      <w:sz w:val="21"/>
                      <w:szCs w:val="21"/>
                      <w:vertAlign w:val="baseline"/>
                      <w:lang w:val="en-US" w:eastAsia="zh-CN"/>
                    </w:rPr>
                    <w:t>泥浆调配水</w:t>
                  </w:r>
                  <w:r>
                    <w:rPr>
                      <w:rFonts w:hint="eastAsia" w:cs="Times New Roman"/>
                      <w:color w:val="auto"/>
                      <w:kern w:val="0"/>
                      <w:sz w:val="21"/>
                      <w:szCs w:val="21"/>
                      <w:vertAlign w:val="baseline"/>
                      <w:lang w:val="en-US" w:eastAsia="zh-CN"/>
                    </w:rPr>
                    <w:t>随配置泥浆循环使用，</w:t>
                  </w:r>
                  <w:r>
                    <w:rPr>
                      <w:rFonts w:hint="eastAsia"/>
                      <w:color w:val="auto"/>
                      <w:lang w:val="en-US" w:eastAsia="zh-CN"/>
                    </w:rPr>
                    <w:t>蒸发逸散、不外排，不与地表水体发生水力关系，不会影响区域水环境质量。</w:t>
                  </w:r>
                </w:p>
              </w:tc>
              <w:tc>
                <w:tcPr>
                  <w:tcW w:w="473" w:type="pct"/>
                  <w:noWrap w:val="0"/>
                  <w:vAlign w:val="center"/>
                </w:tcPr>
                <w:p w14:paraId="0E24C7FC">
                  <w:pPr>
                    <w:pStyle w:val="43"/>
                    <w:bidi w:val="0"/>
                    <w:rPr>
                      <w:rFonts w:hint="default"/>
                      <w:color w:val="auto"/>
                      <w:lang w:val="en-US" w:eastAsia="zh-CN"/>
                    </w:rPr>
                  </w:pPr>
                  <w:r>
                    <w:rPr>
                      <w:rFonts w:hint="eastAsia"/>
                      <w:color w:val="auto"/>
                      <w:lang w:val="en-US" w:eastAsia="zh-CN"/>
                    </w:rPr>
                    <w:t>符合</w:t>
                  </w:r>
                </w:p>
              </w:tc>
            </w:tr>
          </w:tbl>
          <w:p w14:paraId="147D0EF2">
            <w:pPr>
              <w:autoSpaceDE w:val="0"/>
              <w:autoSpaceDN w:val="0"/>
              <w:adjustRightInd w:val="0"/>
              <w:snapToGrid w:val="0"/>
              <w:rPr>
                <w:rFonts w:ascii="宋体" w:hAnsi="宋体" w:cs="宋体"/>
                <w:color w:val="auto"/>
                <w:kern w:val="0"/>
                <w:szCs w:val="21"/>
              </w:rPr>
            </w:pPr>
          </w:p>
        </w:tc>
      </w:tr>
      <w:tr w14:paraId="277E43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31" w:hRule="atLeast"/>
        </w:trPr>
        <w:tc>
          <w:tcPr>
            <w:tcW w:w="1161" w:type="dxa"/>
            <w:noWrap w:val="0"/>
            <w:tcMar>
              <w:top w:w="16" w:type="dxa"/>
              <w:left w:w="16" w:type="dxa"/>
              <w:right w:w="16" w:type="dxa"/>
            </w:tcMar>
            <w:vAlign w:val="center"/>
          </w:tcPr>
          <w:p w14:paraId="7F154F22">
            <w:pPr>
              <w:autoSpaceDE w:val="0"/>
              <w:autoSpaceDN w:val="0"/>
              <w:adjustRightInd w:val="0"/>
              <w:snapToGrid w:val="0"/>
              <w:jc w:val="center"/>
              <w:rPr>
                <w:rFonts w:ascii="宋体" w:hAnsi="宋体" w:cs="宋体"/>
                <w:color w:val="auto"/>
                <w:kern w:val="0"/>
                <w:szCs w:val="21"/>
              </w:rPr>
            </w:pPr>
            <w:bookmarkStart w:id="2" w:name="_Hlk56690880"/>
            <w:r>
              <w:rPr>
                <w:rFonts w:hint="eastAsia" w:ascii="宋体" w:hAnsi="宋体" w:cs="宋体"/>
                <w:color w:val="auto"/>
                <w:kern w:val="0"/>
                <w:szCs w:val="21"/>
              </w:rPr>
              <w:t>其他符合性分析</w:t>
            </w:r>
            <w:bookmarkEnd w:id="2"/>
          </w:p>
        </w:tc>
        <w:tc>
          <w:tcPr>
            <w:tcW w:w="7878" w:type="dxa"/>
            <w:gridSpan w:val="5"/>
            <w:noWrap w:val="0"/>
            <w:tcMar>
              <w:top w:w="16" w:type="dxa"/>
              <w:left w:w="16" w:type="dxa"/>
              <w:right w:w="16" w:type="dxa"/>
            </w:tcMar>
            <w:vAlign w:val="center"/>
          </w:tcPr>
          <w:p w14:paraId="24B5F24E">
            <w:pPr>
              <w:pStyle w:val="45"/>
              <w:rPr>
                <w:rFonts w:hint="eastAsia"/>
                <w:color w:val="auto"/>
                <w:lang w:val="en-US" w:eastAsia="zh-CN"/>
              </w:rPr>
            </w:pPr>
            <w:r>
              <w:rPr>
                <w:rFonts w:hint="eastAsia"/>
                <w:color w:val="auto"/>
                <w:lang w:val="en-US" w:eastAsia="zh-CN"/>
              </w:rPr>
              <w:t>1产业政策符合性分析</w:t>
            </w:r>
          </w:p>
          <w:p w14:paraId="2F53772F">
            <w:pPr>
              <w:pStyle w:val="46"/>
              <w:bidi w:val="0"/>
              <w:rPr>
                <w:rFonts w:hint="default"/>
                <w:color w:val="auto"/>
                <w:lang w:val="en-US" w:eastAsia="zh-CN"/>
              </w:rPr>
            </w:pPr>
            <w:r>
              <w:rPr>
                <w:rFonts w:hint="default"/>
                <w:color w:val="auto"/>
                <w:lang w:val="en-US" w:eastAsia="zh-CN"/>
              </w:rPr>
              <w:t>本项目</w:t>
            </w:r>
            <w:r>
              <w:rPr>
                <w:rFonts w:hint="eastAsia"/>
                <w:color w:val="auto"/>
                <w:lang w:val="en-US" w:eastAsia="zh-CN"/>
              </w:rPr>
              <w:t>为</w:t>
            </w:r>
            <w:r>
              <w:rPr>
                <w:rFonts w:hint="default"/>
                <w:color w:val="auto"/>
                <w:lang w:val="en-US" w:eastAsia="zh-CN"/>
              </w:rPr>
              <w:t>陆地矿产资源地质勘查</w:t>
            </w:r>
            <w:r>
              <w:rPr>
                <w:rFonts w:hint="eastAsia"/>
                <w:color w:val="auto"/>
                <w:lang w:val="en-US" w:eastAsia="zh-CN"/>
              </w:rPr>
              <w:t>项目</w:t>
            </w:r>
            <w:r>
              <w:rPr>
                <w:rFonts w:hint="default"/>
                <w:color w:val="auto"/>
                <w:lang w:val="en-US" w:eastAsia="zh-CN"/>
              </w:rPr>
              <w:t>，</w:t>
            </w:r>
            <w:r>
              <w:rPr>
                <w:rFonts w:hint="eastAsia"/>
                <w:color w:val="auto"/>
                <w:lang w:val="en-US" w:eastAsia="zh-CN"/>
              </w:rPr>
              <w:t>已取得所在</w:t>
            </w:r>
            <w:r>
              <w:rPr>
                <w:rFonts w:hint="default"/>
                <w:color w:val="auto"/>
                <w:lang w:val="en-US" w:eastAsia="zh-CN"/>
              </w:rPr>
              <w:t>区域的探矿权，探矿证号：</w:t>
            </w:r>
            <w:r>
              <w:rPr>
                <w:rFonts w:hint="eastAsia"/>
                <w:color w:val="auto"/>
                <w:lang w:val="en-US" w:eastAsia="zh-CN"/>
              </w:rPr>
              <w:t>T6528002024127040058244。</w:t>
            </w:r>
            <w:r>
              <w:rPr>
                <w:rFonts w:hint="eastAsia" w:ascii="Times New Roman" w:hAnsi="Times New Roman" w:cs="Times New Roman"/>
                <w:b w:val="0"/>
                <w:bCs w:val="0"/>
                <w:snapToGrid/>
                <w:color w:val="auto"/>
                <w:sz w:val="24"/>
                <w:szCs w:val="24"/>
                <w:highlight w:val="none"/>
                <w:lang w:val="en-US" w:eastAsia="zh-CN"/>
              </w:rPr>
              <w:t>采用的生产工艺、设备、产品均不属于《产业结构调整指导目录（2024本）》中所列的落后工艺、装备和产品之列，且符合国家有关</w:t>
            </w:r>
            <w:r>
              <w:rPr>
                <w:rFonts w:hint="eastAsia" w:cs="Times New Roman"/>
                <w:b w:val="0"/>
                <w:bCs w:val="0"/>
                <w:snapToGrid/>
                <w:color w:val="auto"/>
                <w:sz w:val="24"/>
                <w:szCs w:val="24"/>
                <w:highlight w:val="none"/>
                <w:lang w:val="en-US" w:eastAsia="zh-CN"/>
              </w:rPr>
              <w:t>法律法规</w:t>
            </w:r>
            <w:r>
              <w:rPr>
                <w:rFonts w:hint="eastAsia" w:ascii="Times New Roman" w:hAnsi="Times New Roman" w:cs="Times New Roman"/>
                <w:b w:val="0"/>
                <w:bCs w:val="0"/>
                <w:snapToGrid/>
                <w:color w:val="auto"/>
                <w:sz w:val="24"/>
                <w:szCs w:val="24"/>
                <w:highlight w:val="none"/>
                <w:lang w:val="en-US" w:eastAsia="zh-CN"/>
              </w:rPr>
              <w:t>和政策规定，属于允许类。</w:t>
            </w:r>
            <w:r>
              <w:rPr>
                <w:rFonts w:hint="eastAsia"/>
                <w:color w:val="auto"/>
                <w:lang w:val="en-US" w:eastAsia="zh-CN"/>
              </w:rPr>
              <w:t>符合《产业结构调整指导目录（2024本）》要求。</w:t>
            </w:r>
          </w:p>
          <w:p w14:paraId="1069089A">
            <w:pPr>
              <w:pStyle w:val="45"/>
              <w:rPr>
                <w:rFonts w:hint="default"/>
                <w:color w:val="auto"/>
                <w:lang w:eastAsia="zh-CN"/>
              </w:rPr>
            </w:pPr>
            <w:r>
              <w:rPr>
                <w:rFonts w:hint="eastAsia"/>
                <w:color w:val="auto"/>
                <w:lang w:val="en-US" w:eastAsia="zh-CN"/>
              </w:rPr>
              <w:t>2</w:t>
            </w:r>
            <w:r>
              <w:rPr>
                <w:rFonts w:hint="eastAsia"/>
                <w:color w:val="auto"/>
                <w:lang w:eastAsia="zh-CN"/>
              </w:rPr>
              <w:t>“</w:t>
            </w:r>
            <w:r>
              <w:rPr>
                <w:rFonts w:hint="eastAsia"/>
                <w:color w:val="auto"/>
                <w:lang w:val="en-US" w:eastAsia="zh-CN"/>
              </w:rPr>
              <w:t>生态环境分区管控</w:t>
            </w:r>
            <w:r>
              <w:rPr>
                <w:rFonts w:hint="eastAsia"/>
                <w:color w:val="auto"/>
                <w:lang w:eastAsia="zh-CN"/>
              </w:rPr>
              <w:t>”</w:t>
            </w:r>
            <w:r>
              <w:rPr>
                <w:rFonts w:hint="eastAsia"/>
                <w:color w:val="auto"/>
                <w:lang w:val="en-US" w:eastAsia="zh-CN"/>
              </w:rPr>
              <w:t>要求</w:t>
            </w:r>
            <w:r>
              <w:rPr>
                <w:rFonts w:hint="default"/>
                <w:color w:val="auto"/>
              </w:rPr>
              <w:t>符合性分析</w:t>
            </w:r>
          </w:p>
          <w:p w14:paraId="1B15F49A">
            <w:pPr>
              <w:pStyle w:val="46"/>
              <w:bidi w:val="0"/>
              <w:rPr>
                <w:rFonts w:hint="default" w:ascii="Times New Roman" w:hAnsi="Times New Roman" w:cs="Times New Roman"/>
                <w:color w:val="auto"/>
                <w:highlight w:val="none"/>
                <w:lang w:val="en-US" w:eastAsia="zh-CN"/>
              </w:rPr>
            </w:pPr>
            <w:r>
              <w:rPr>
                <w:rFonts w:hint="eastAsia"/>
                <w:color w:val="auto"/>
                <w:lang w:val="en-US" w:eastAsia="zh-CN"/>
              </w:rPr>
              <w:t>本工程建设地点位于新疆维吾尔自治区巴音郭楞蒙古自治州且末县，根据《巴音郭楞蒙</w:t>
            </w:r>
            <w:r>
              <w:rPr>
                <w:rFonts w:hint="default" w:ascii="Times New Roman" w:hAnsi="Times New Roman" w:cs="Times New Roman"/>
                <w:color w:val="auto"/>
                <w:lang w:val="en-US" w:eastAsia="zh-CN"/>
              </w:rPr>
              <w:t>古自治州“三线一单”生态环境分区管控动态更新成果（2023）》（巴政办发〔2024〕32号），本工程所在环境管控单元管控要求详见下表。</w:t>
            </w:r>
          </w:p>
          <w:p w14:paraId="22856181">
            <w:pPr>
              <w:pStyle w:val="46"/>
              <w:bidi w:val="0"/>
              <w:ind w:left="0" w:leftChars="0" w:firstLine="0" w:firstLineChars="0"/>
              <w:jc w:val="center"/>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表1-</w:t>
            </w:r>
            <w:r>
              <w:rPr>
                <w:rFonts w:hint="default" w:ascii="Times New Roman" w:hAnsi="Times New Roman" w:cs="Times New Roman"/>
                <w:b/>
                <w:bCs/>
                <w:color w:val="auto"/>
                <w:highlight w:val="none"/>
                <w:lang w:val="en-US" w:eastAsia="zh-CN"/>
              </w:rPr>
              <w:t>4</w:t>
            </w:r>
            <w:r>
              <w:rPr>
                <w:rFonts w:hint="default" w:ascii="Times New Roman" w:hAnsi="Times New Roman" w:eastAsia="宋体" w:cs="Times New Roman"/>
                <w:b/>
                <w:bCs/>
                <w:color w:val="auto"/>
                <w:highlight w:val="none"/>
                <w:lang w:val="en-US" w:eastAsia="zh-CN"/>
              </w:rPr>
              <w:t xml:space="preserve">   </w:t>
            </w:r>
            <w:r>
              <w:rPr>
                <w:rFonts w:hint="default" w:ascii="Times New Roman" w:hAnsi="Times New Roman" w:cs="Times New Roman" w:eastAsiaTheme="minorEastAsia"/>
                <w:b/>
                <w:bCs/>
                <w:color w:val="auto"/>
                <w:sz w:val="24"/>
                <w:szCs w:val="24"/>
                <w:highlight w:val="none"/>
                <w:lang w:val="en-US" w:eastAsia="zh-CN"/>
              </w:rPr>
              <w:t>《巴音郭楞蒙古自治州“三线一单”生态环境分区管控动态更新成果（2023）》相符性分析</w:t>
            </w:r>
            <w:r>
              <w:rPr>
                <w:rFonts w:hint="default" w:ascii="Times New Roman" w:hAnsi="Times New Roman" w:eastAsia="宋体" w:cs="Times New Roman"/>
                <w:b/>
                <w:bCs/>
                <w:color w:val="auto"/>
                <w:highlight w:val="none"/>
                <w:lang w:val="en-US" w:eastAsia="zh-CN"/>
              </w:rPr>
              <w:t>（总体准入要求）</w:t>
            </w:r>
          </w:p>
          <w:tbl>
            <w:tblPr>
              <w:tblStyle w:val="20"/>
              <w:tblW w:w="4962"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099"/>
              <w:gridCol w:w="481"/>
              <w:gridCol w:w="3365"/>
              <w:gridCol w:w="2363"/>
              <w:gridCol w:w="460"/>
            </w:tblGrid>
            <w:tr w14:paraId="55C9DB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07" w:type="pct"/>
                  <w:noWrap w:val="0"/>
                  <w:vAlign w:val="center"/>
                </w:tcPr>
                <w:p w14:paraId="05D1E319">
                  <w:pPr>
                    <w:pStyle w:val="49"/>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color w:val="auto"/>
                      <w:sz w:val="21"/>
                      <w:szCs w:val="21"/>
                      <w:highlight w:val="none"/>
                      <w:lang w:val="en-US" w:eastAsia="zh-CN"/>
                    </w:rPr>
                  </w:pPr>
                  <w:r>
                    <w:rPr>
                      <w:rFonts w:hint="eastAsia" w:ascii="Times New Roman" w:cs="Times New Roman"/>
                      <w:b/>
                      <w:color w:val="auto"/>
                      <w:sz w:val="21"/>
                      <w:szCs w:val="21"/>
                      <w:highlight w:val="none"/>
                      <w:lang w:val="en-US" w:eastAsia="zh-CN"/>
                    </w:rPr>
                    <w:t>准入要求</w:t>
                  </w:r>
                </w:p>
              </w:tc>
              <w:tc>
                <w:tcPr>
                  <w:tcW w:w="2475" w:type="pct"/>
                  <w:gridSpan w:val="2"/>
                  <w:noWrap w:val="0"/>
                  <w:vAlign w:val="center"/>
                </w:tcPr>
                <w:p w14:paraId="45B4C5C7">
                  <w:pPr>
                    <w:pStyle w:val="49"/>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管控要求</w:t>
                  </w:r>
                </w:p>
              </w:tc>
              <w:tc>
                <w:tcPr>
                  <w:tcW w:w="1520" w:type="pct"/>
                  <w:noWrap w:val="0"/>
                  <w:vAlign w:val="center"/>
                </w:tcPr>
                <w:p w14:paraId="53790A64">
                  <w:pPr>
                    <w:pStyle w:val="49"/>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本项目相关内容</w:t>
                  </w:r>
                </w:p>
              </w:tc>
              <w:tc>
                <w:tcPr>
                  <w:tcW w:w="295" w:type="pct"/>
                  <w:noWrap w:val="0"/>
                  <w:vAlign w:val="center"/>
                </w:tcPr>
                <w:p w14:paraId="0AED3A79">
                  <w:pPr>
                    <w:pStyle w:val="49"/>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符合性</w:t>
                  </w:r>
                </w:p>
              </w:tc>
            </w:tr>
            <w:tr w14:paraId="471DDE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1" w:hRule="atLeast"/>
                <w:jc w:val="center"/>
              </w:trPr>
              <w:tc>
                <w:tcPr>
                  <w:tcW w:w="707" w:type="pct"/>
                  <w:vMerge w:val="restart"/>
                  <w:noWrap w:val="0"/>
                  <w:vAlign w:val="center"/>
                </w:tcPr>
                <w:p w14:paraId="45652FF6">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pacing w:val="-10"/>
                      <w:sz w:val="21"/>
                      <w:szCs w:val="21"/>
                      <w:highlight w:val="none"/>
                    </w:rPr>
                  </w:pPr>
                  <w:r>
                    <w:rPr>
                      <w:rFonts w:hint="default" w:ascii="Times New Roman" w:hAnsi="Times New Roman" w:eastAsia="宋体" w:cs="Times New Roman"/>
                      <w:b w:val="0"/>
                      <w:bCs/>
                      <w:color w:val="auto"/>
                      <w:spacing w:val="-10"/>
                      <w:sz w:val="21"/>
                      <w:szCs w:val="21"/>
                      <w:highlight w:val="none"/>
                    </w:rPr>
                    <w:t>总体管控要求</w:t>
                  </w:r>
                </w:p>
              </w:tc>
              <w:tc>
                <w:tcPr>
                  <w:tcW w:w="309" w:type="pct"/>
                  <w:noWrap w:val="0"/>
                  <w:vAlign w:val="center"/>
                </w:tcPr>
                <w:p w14:paraId="49803007">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pacing w:val="-10"/>
                      <w:sz w:val="21"/>
                      <w:szCs w:val="21"/>
                      <w:highlight w:val="none"/>
                    </w:rPr>
                  </w:pPr>
                  <w:r>
                    <w:rPr>
                      <w:rFonts w:hint="default" w:ascii="Times New Roman" w:hAnsi="Times New Roman" w:eastAsia="宋体" w:cs="Times New Roman"/>
                      <w:b w:val="0"/>
                      <w:bCs/>
                      <w:color w:val="auto"/>
                      <w:spacing w:val="-10"/>
                      <w:sz w:val="21"/>
                      <w:szCs w:val="21"/>
                      <w:highlight w:val="none"/>
                    </w:rPr>
                    <w:t>空间布局约束</w:t>
                  </w:r>
                </w:p>
              </w:tc>
              <w:tc>
                <w:tcPr>
                  <w:tcW w:w="2166" w:type="pct"/>
                  <w:tcBorders>
                    <w:bottom w:val="single" w:color="auto" w:sz="4" w:space="0"/>
                  </w:tcBorders>
                  <w:noWrap w:val="0"/>
                  <w:vAlign w:val="center"/>
                </w:tcPr>
                <w:p w14:paraId="5FD5AC31">
                  <w:pPr>
                    <w:pStyle w:val="39"/>
                    <w:keepNext w:val="0"/>
                    <w:keepLines w:val="0"/>
                    <w:pageBreakBefore w:val="0"/>
                    <w:kinsoku/>
                    <w:wordWrap/>
                    <w:overflowPunct/>
                    <w:topLinePunct w:val="0"/>
                    <w:autoSpaceDE/>
                    <w:autoSpaceDN/>
                    <w:bidi w:val="0"/>
                    <w:adjustRightInd w:val="0"/>
                    <w:snapToGrid w:val="0"/>
                    <w:spacing w:beforeLines="0" w:afterLines="0" w:line="240" w:lineRule="auto"/>
                    <w:ind w:firstLine="420" w:firstLineChars="200"/>
                    <w:jc w:val="left"/>
                    <w:textAlignment w:val="auto"/>
                    <w:rPr>
                      <w:rFonts w:hint="default" w:ascii="Times New Roman" w:hAnsi="Times New Roman" w:eastAsia="宋体" w:cs="仿宋"/>
                      <w:color w:val="auto"/>
                      <w:kern w:val="0"/>
                      <w:sz w:val="21"/>
                      <w:szCs w:val="21"/>
                      <w:highlight w:val="none"/>
                    </w:rPr>
                  </w:pPr>
                  <w:r>
                    <w:rPr>
                      <w:rFonts w:hint="default" w:ascii="Times New Roman" w:hAnsi="Times New Roman" w:eastAsia="宋体"/>
                      <w:bCs/>
                      <w:color w:val="auto"/>
                      <w:sz w:val="21"/>
                      <w:szCs w:val="21"/>
                      <w:highlight w:val="none"/>
                      <w:lang w:val="en-US" w:eastAsia="zh-CN"/>
                    </w:rPr>
                    <w:t>1.12</w:t>
                  </w:r>
                  <w:r>
                    <w:rPr>
                      <w:rFonts w:hint="eastAsia" w:ascii="Times New Roman" w:eastAsia="宋体"/>
                      <w:bCs/>
                      <w:color w:val="auto"/>
                      <w:sz w:val="21"/>
                      <w:szCs w:val="21"/>
                      <w:highlight w:val="none"/>
                      <w:lang w:val="en-US" w:eastAsia="zh-CN"/>
                    </w:rPr>
                    <w:t>【</w:t>
                  </w:r>
                  <w:r>
                    <w:rPr>
                      <w:rFonts w:hint="default" w:ascii="Times New Roman" w:hAnsi="Times New Roman" w:eastAsia="宋体"/>
                      <w:bCs/>
                      <w:color w:val="auto"/>
                      <w:sz w:val="21"/>
                      <w:szCs w:val="21"/>
                      <w:highlight w:val="none"/>
                      <w:lang w:val="en-US" w:eastAsia="zh-CN"/>
                    </w:rPr>
                    <w:t>生态红线禁止类</w:t>
                  </w:r>
                  <w:r>
                    <w:rPr>
                      <w:rFonts w:hint="eastAsia" w:ascii="Times New Roman" w:eastAsia="宋体"/>
                      <w:bCs/>
                      <w:color w:val="auto"/>
                      <w:sz w:val="21"/>
                      <w:szCs w:val="21"/>
                      <w:highlight w:val="none"/>
                      <w:lang w:val="en-US" w:eastAsia="zh-CN"/>
                    </w:rPr>
                    <w:t>】</w:t>
                  </w:r>
                  <w:r>
                    <w:rPr>
                      <w:rFonts w:hint="default" w:ascii="Times New Roman" w:hAnsi="Times New Roman" w:eastAsia="宋体"/>
                      <w:bCs/>
                      <w:color w:val="auto"/>
                      <w:sz w:val="21"/>
                      <w:szCs w:val="21"/>
                      <w:highlight w:val="none"/>
                      <w:lang w:val="en-US" w:eastAsia="zh-CN"/>
                    </w:rPr>
                    <w:t>生态保护红线内，自然保护地核心保护区原则上禁止人为活动，其他区域严格禁止开发性、生产性建设活动。</w:t>
                  </w:r>
                </w:p>
              </w:tc>
              <w:tc>
                <w:tcPr>
                  <w:tcW w:w="1520" w:type="pct"/>
                  <w:noWrap w:val="0"/>
                  <w:vAlign w:val="center"/>
                </w:tcPr>
                <w:p w14:paraId="6CB61ED6">
                  <w:pPr>
                    <w:pStyle w:val="39"/>
                    <w:keepNext w:val="0"/>
                    <w:keepLines w:val="0"/>
                    <w:pageBreakBefore w:val="0"/>
                    <w:kinsoku/>
                    <w:wordWrap/>
                    <w:overflowPunct/>
                    <w:topLinePunct w:val="0"/>
                    <w:autoSpaceDE/>
                    <w:autoSpaceDN/>
                    <w:bidi w:val="0"/>
                    <w:adjustRightInd w:val="0"/>
                    <w:snapToGrid w:val="0"/>
                    <w:spacing w:beforeLines="0" w:afterLines="0" w:line="240" w:lineRule="auto"/>
                    <w:ind w:firstLine="420" w:firstLineChars="200"/>
                    <w:jc w:val="left"/>
                    <w:textAlignment w:val="auto"/>
                    <w:rPr>
                      <w:rFonts w:hint="default" w:ascii="Times New Roman" w:hAnsi="Times New Roman" w:eastAsia="宋体" w:cs="Times New Roman"/>
                      <w:color w:val="auto"/>
                      <w:spacing w:val="-10"/>
                      <w:sz w:val="21"/>
                      <w:szCs w:val="21"/>
                      <w:highlight w:val="none"/>
                      <w:lang w:val="en-US"/>
                    </w:rPr>
                  </w:pPr>
                  <w:r>
                    <w:rPr>
                      <w:rFonts w:hint="default" w:ascii="Times New Roman" w:hAnsi="Times New Roman" w:cs="Times New Roman"/>
                      <w:color w:val="auto"/>
                      <w:sz w:val="21"/>
                      <w:szCs w:val="21"/>
                      <w:highlight w:val="none"/>
                      <w:lang w:val="en-US" w:eastAsia="zh-CN"/>
                    </w:rPr>
                    <w:t>本项目</w:t>
                  </w:r>
                  <w:r>
                    <w:rPr>
                      <w:rFonts w:hint="eastAsia" w:ascii="Times New Roman" w:cs="Times New Roman"/>
                      <w:color w:val="auto"/>
                      <w:sz w:val="21"/>
                      <w:szCs w:val="21"/>
                      <w:highlight w:val="none"/>
                      <w:lang w:val="en-US" w:eastAsia="zh-CN"/>
                    </w:rPr>
                    <w:t>不涉及生态保护红线，</w:t>
                  </w:r>
                  <w:r>
                    <w:rPr>
                      <w:rFonts w:hint="default" w:ascii="Times New Roman" w:hAnsi="Times New Roman" w:cs="Times New Roman"/>
                      <w:color w:val="auto"/>
                      <w:sz w:val="21"/>
                      <w:szCs w:val="21"/>
                      <w:highlight w:val="none"/>
                      <w:lang w:val="en-US" w:eastAsia="zh-CN"/>
                    </w:rPr>
                    <w:t>项目</w:t>
                  </w:r>
                  <w:r>
                    <w:rPr>
                      <w:rFonts w:hint="default" w:ascii="Times New Roman" w:hAnsi="Times New Roman" w:eastAsia="宋体" w:cs="Times New Roman"/>
                      <w:color w:val="auto"/>
                      <w:sz w:val="21"/>
                      <w:szCs w:val="21"/>
                      <w:highlight w:val="none"/>
                      <w:lang w:val="en-US" w:eastAsia="zh-CN"/>
                    </w:rPr>
                    <w:t>采用的生产工艺、设备、产品均不属于《产业结构调整指导目录（2024本）》中所列的落后工艺、装备和产品之列，</w:t>
                  </w:r>
                  <w:r>
                    <w:rPr>
                      <w:rFonts w:hint="default" w:ascii="Times New Roman" w:hAnsi="Times New Roman" w:cs="Times New Roman"/>
                      <w:color w:val="auto"/>
                      <w:sz w:val="21"/>
                      <w:szCs w:val="21"/>
                      <w:highlight w:val="none"/>
                      <w:lang w:val="en-US" w:eastAsia="zh-CN"/>
                    </w:rPr>
                    <w:t>大气污染物均可达标排放。</w:t>
                  </w:r>
                </w:p>
              </w:tc>
              <w:tc>
                <w:tcPr>
                  <w:tcW w:w="295" w:type="pct"/>
                  <w:noWrap w:val="0"/>
                  <w:vAlign w:val="center"/>
                </w:tcPr>
                <w:p w14:paraId="54A9B764">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0"/>
                      <w:sz w:val="21"/>
                      <w:szCs w:val="21"/>
                      <w:highlight w:val="none"/>
                    </w:rPr>
                  </w:pPr>
                  <w:r>
                    <w:rPr>
                      <w:rFonts w:hint="default" w:ascii="Times New Roman" w:hAnsi="Times New Roman" w:eastAsia="宋体" w:cs="Times New Roman"/>
                      <w:color w:val="auto"/>
                      <w:spacing w:val="-10"/>
                      <w:sz w:val="21"/>
                      <w:szCs w:val="21"/>
                      <w:highlight w:val="none"/>
                    </w:rPr>
                    <w:t>符合</w:t>
                  </w:r>
                </w:p>
              </w:tc>
            </w:tr>
            <w:tr w14:paraId="38D8CB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141" w:hRule="atLeast"/>
                <w:jc w:val="center"/>
              </w:trPr>
              <w:tc>
                <w:tcPr>
                  <w:tcW w:w="707" w:type="pct"/>
                  <w:vMerge w:val="continue"/>
                  <w:noWrap w:val="0"/>
                  <w:vAlign w:val="center"/>
                </w:tcPr>
                <w:p w14:paraId="5B6F5444">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pacing w:val="-10"/>
                      <w:sz w:val="21"/>
                      <w:szCs w:val="21"/>
                      <w:highlight w:val="none"/>
                    </w:rPr>
                  </w:pPr>
                </w:p>
              </w:tc>
              <w:tc>
                <w:tcPr>
                  <w:tcW w:w="309" w:type="pct"/>
                  <w:tcBorders>
                    <w:top w:val="single" w:color="auto" w:sz="4" w:space="0"/>
                  </w:tcBorders>
                  <w:noWrap w:val="0"/>
                  <w:vAlign w:val="center"/>
                </w:tcPr>
                <w:p w14:paraId="27D12F73">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pacing w:val="-10"/>
                      <w:sz w:val="21"/>
                      <w:szCs w:val="21"/>
                      <w:highlight w:val="none"/>
                    </w:rPr>
                  </w:pPr>
                  <w:r>
                    <w:rPr>
                      <w:rFonts w:hint="default" w:ascii="Times New Roman" w:hAnsi="Times New Roman" w:eastAsia="宋体" w:cs="Times New Roman"/>
                      <w:b w:val="0"/>
                      <w:bCs/>
                      <w:color w:val="auto"/>
                      <w:spacing w:val="-10"/>
                      <w:sz w:val="21"/>
                      <w:szCs w:val="21"/>
                      <w:highlight w:val="none"/>
                    </w:rPr>
                    <w:t>污染物</w:t>
                  </w:r>
                  <w:r>
                    <w:rPr>
                      <w:rFonts w:hint="eastAsia" w:cs="Times New Roman"/>
                      <w:b w:val="0"/>
                      <w:bCs/>
                      <w:color w:val="auto"/>
                      <w:spacing w:val="-10"/>
                      <w:sz w:val="21"/>
                      <w:szCs w:val="21"/>
                      <w:highlight w:val="none"/>
                      <w:lang w:val="en-US" w:eastAsia="zh-CN"/>
                    </w:rPr>
                    <w:t>排</w:t>
                  </w:r>
                  <w:r>
                    <w:rPr>
                      <w:rFonts w:hint="default" w:ascii="Times New Roman" w:hAnsi="Times New Roman" w:eastAsia="宋体" w:cs="Times New Roman"/>
                      <w:b w:val="0"/>
                      <w:bCs/>
                      <w:color w:val="auto"/>
                      <w:spacing w:val="-10"/>
                      <w:sz w:val="21"/>
                      <w:szCs w:val="21"/>
                      <w:highlight w:val="none"/>
                    </w:rPr>
                    <w:t>放管控</w:t>
                  </w:r>
                </w:p>
              </w:tc>
              <w:tc>
                <w:tcPr>
                  <w:tcW w:w="2166" w:type="pct"/>
                  <w:tcBorders>
                    <w:top w:val="single" w:color="auto" w:sz="4" w:space="0"/>
                    <w:bottom w:val="single" w:color="auto" w:sz="4" w:space="0"/>
                  </w:tcBorders>
                  <w:noWrap w:val="0"/>
                  <w:vAlign w:val="center"/>
                </w:tcPr>
                <w:p w14:paraId="514E7799">
                  <w:pPr>
                    <w:pStyle w:val="39"/>
                    <w:keepNext w:val="0"/>
                    <w:keepLines w:val="0"/>
                    <w:pageBreakBefore w:val="0"/>
                    <w:kinsoku/>
                    <w:wordWrap/>
                    <w:overflowPunct/>
                    <w:topLinePunct w:val="0"/>
                    <w:autoSpaceDE/>
                    <w:autoSpaceDN/>
                    <w:bidi w:val="0"/>
                    <w:adjustRightInd w:val="0"/>
                    <w:snapToGrid w:val="0"/>
                    <w:spacing w:beforeLines="0" w:afterLines="0" w:line="240" w:lineRule="auto"/>
                    <w:ind w:firstLine="420" w:firstLineChars="200"/>
                    <w:jc w:val="left"/>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2.1</w:t>
                  </w:r>
                  <w:r>
                    <w:rPr>
                      <w:rFonts w:hint="eastAsia" w:ascii="Times New Roman" w:hAnsi="Times New Roman" w:eastAsia="宋体" w:cs="Times New Roman"/>
                      <w:bCs/>
                      <w:color w:val="auto"/>
                      <w:sz w:val="21"/>
                      <w:szCs w:val="21"/>
                      <w:lang w:val="en-US" w:eastAsia="zh-CN"/>
                    </w:rPr>
                    <w:t>水源涵养和生物多样性维护型重点生态功能区水质达到地表水、地下水</w:t>
                  </w:r>
                  <w:r>
                    <w:rPr>
                      <w:rFonts w:hint="default" w:ascii="Times New Roman" w:hAnsi="Times New Roman" w:eastAsia="宋体" w:cs="Times New Roman"/>
                      <w:bCs/>
                      <w:color w:val="auto"/>
                      <w:sz w:val="21"/>
                      <w:szCs w:val="21"/>
                      <w:lang w:val="en-US" w:eastAsia="zh-CN"/>
                    </w:rPr>
                    <w:t>I</w:t>
                  </w:r>
                  <w:r>
                    <w:rPr>
                      <w:rFonts w:hint="eastAsia" w:ascii="Times New Roman" w:hAnsi="Times New Roman" w:eastAsia="宋体" w:cs="Times New Roman"/>
                      <w:bCs/>
                      <w:color w:val="auto"/>
                      <w:sz w:val="21"/>
                      <w:szCs w:val="21"/>
                      <w:lang w:val="en-US" w:eastAsia="zh-CN"/>
                    </w:rPr>
                    <w:t>类，空气质量达到一级。</w:t>
                  </w:r>
                </w:p>
                <w:p w14:paraId="3777ACF0">
                  <w:pPr>
                    <w:pStyle w:val="39"/>
                    <w:keepNext w:val="0"/>
                    <w:keepLines w:val="0"/>
                    <w:pageBreakBefore w:val="0"/>
                    <w:kinsoku/>
                    <w:wordWrap/>
                    <w:overflowPunct/>
                    <w:topLinePunct w:val="0"/>
                    <w:autoSpaceDE/>
                    <w:autoSpaceDN/>
                    <w:bidi w:val="0"/>
                    <w:adjustRightInd w:val="0"/>
                    <w:snapToGrid w:val="0"/>
                    <w:spacing w:beforeLines="0" w:afterLines="0" w:line="240" w:lineRule="auto"/>
                    <w:ind w:firstLine="420" w:firstLineChars="200"/>
                    <w:jc w:val="left"/>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2.9</w:t>
                  </w:r>
                  <w:r>
                    <w:rPr>
                      <w:rFonts w:hint="eastAsia" w:ascii="Times New Roman" w:hAnsi="Times New Roman" w:eastAsia="宋体" w:cs="Times New Roman"/>
                      <w:bCs/>
                      <w:color w:val="auto"/>
                      <w:sz w:val="21"/>
                      <w:szCs w:val="21"/>
                      <w:lang w:val="en-US" w:eastAsia="zh-CN"/>
                    </w:rPr>
                    <w:t>所有排污单位必须依法实现全面达标排放。逐一排查工业企业排污情况，重点排污单位应按要求安装污染物在线监控设施，达标企业应采取措施确保稳定达标。定期抽查排污单位达标排放情况，结果向社会公布。加大综合惩处和处罚执行力度，建立环保领域非诉案件执行联动配合机制，对行政处罚、行政命令执行情况实施后督察。</w:t>
                  </w:r>
                </w:p>
              </w:tc>
              <w:tc>
                <w:tcPr>
                  <w:tcW w:w="1520" w:type="pct"/>
                  <w:noWrap w:val="0"/>
                  <w:vAlign w:val="center"/>
                </w:tcPr>
                <w:p w14:paraId="0BCDC61F">
                  <w:pPr>
                    <w:pStyle w:val="39"/>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420" w:firstLineChars="200"/>
                    <w:jc w:val="both"/>
                    <w:textAlignment w:val="auto"/>
                    <w:rPr>
                      <w:rFonts w:hint="eastAsia" w:ascii="Times New Roman" w:hAnsi="Times New Roman" w:eastAsia="宋体" w:cs="Times New Roman"/>
                      <w:color w:val="auto"/>
                      <w:spacing w:val="-10"/>
                      <w:sz w:val="21"/>
                      <w:szCs w:val="21"/>
                      <w:highlight w:val="none"/>
                      <w:lang w:val="en-US" w:eastAsia="zh-CN"/>
                    </w:rPr>
                  </w:pPr>
                  <w:r>
                    <w:rPr>
                      <w:rFonts w:hint="eastAsia" w:ascii="Times New Roman" w:cs="Times New Roman"/>
                      <w:b w:val="0"/>
                      <w:bCs w:val="0"/>
                      <w:color w:val="auto"/>
                      <w:sz w:val="21"/>
                      <w:szCs w:val="21"/>
                      <w:highlight w:val="none"/>
                      <w:lang w:val="en-US" w:eastAsia="zh-CN"/>
                    </w:rPr>
                    <w:t>本项目不涉及</w:t>
                  </w:r>
                  <w:r>
                    <w:rPr>
                      <w:rFonts w:hint="eastAsia" w:ascii="Times New Roman" w:hAnsi="Times New Roman" w:eastAsia="宋体" w:cs="Times New Roman"/>
                      <w:bCs/>
                      <w:color w:val="auto"/>
                      <w:sz w:val="21"/>
                      <w:szCs w:val="21"/>
                      <w:lang w:val="en-US" w:eastAsia="zh-CN"/>
                    </w:rPr>
                    <w:t>水源涵养和生物多样性维护型重点生态功能区；</w:t>
                  </w:r>
                  <w:r>
                    <w:rPr>
                      <w:rFonts w:hint="eastAsia" w:ascii="Times New Roman" w:cs="Times New Roman"/>
                      <w:b w:val="0"/>
                      <w:bCs w:val="0"/>
                      <w:color w:val="auto"/>
                      <w:sz w:val="21"/>
                      <w:szCs w:val="21"/>
                      <w:highlight w:val="none"/>
                      <w:lang w:val="en-US" w:eastAsia="zh-CN"/>
                    </w:rPr>
                    <w:t>施工期、</w:t>
                  </w:r>
                  <w:r>
                    <w:rPr>
                      <w:rFonts w:hint="eastAsia" w:ascii="Times New Roman" w:hAnsi="Times New Roman" w:cs="Times New Roman"/>
                      <w:color w:val="auto"/>
                      <w:sz w:val="21"/>
                      <w:szCs w:val="21"/>
                      <w:highlight w:val="none"/>
                      <w:lang w:val="en-US" w:eastAsia="zh-CN"/>
                    </w:rPr>
                    <w:t>勘探过程中产生的粉尘通过</w:t>
                  </w:r>
                  <w:r>
                    <w:rPr>
                      <w:rFonts w:hint="eastAsia" w:ascii="Times New Roman" w:cs="Times New Roman"/>
                      <w:color w:val="auto"/>
                      <w:sz w:val="21"/>
                      <w:szCs w:val="21"/>
                      <w:highlight w:val="none"/>
                      <w:lang w:val="en-US" w:eastAsia="zh-CN"/>
                    </w:rPr>
                    <w:t>定位</w:t>
                  </w:r>
                  <w:r>
                    <w:rPr>
                      <w:rFonts w:hint="eastAsia" w:ascii="Times New Roman" w:hAnsi="Times New Roman" w:cs="Times New Roman"/>
                      <w:color w:val="auto"/>
                      <w:sz w:val="21"/>
                      <w:szCs w:val="21"/>
                      <w:highlight w:val="none"/>
                      <w:lang w:val="en-US" w:eastAsia="zh-CN"/>
                    </w:rPr>
                    <w:t>洒水抑尘的方式降低排放，</w:t>
                  </w:r>
                  <w:r>
                    <w:rPr>
                      <w:rFonts w:hint="default" w:ascii="Times New Roman" w:hAnsi="Times New Roman" w:cs="Times New Roman"/>
                      <w:color w:val="auto"/>
                      <w:sz w:val="21"/>
                      <w:szCs w:val="21"/>
                      <w:highlight w:val="none"/>
                    </w:rPr>
                    <w:t>对环境空气质量影响较小，不会降低区域环境空气质量</w:t>
                  </w:r>
                  <w:r>
                    <w:rPr>
                      <w:rFonts w:hint="eastAsia" w:asci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大气污染物均可达标排放</w:t>
                  </w:r>
                  <w:r>
                    <w:rPr>
                      <w:rFonts w:hint="eastAsia" w:ascii="Times New Roman" w:hAnsi="Times New Roman" w:cs="Times New Roman"/>
                      <w:color w:val="auto"/>
                      <w:sz w:val="21"/>
                      <w:szCs w:val="21"/>
                      <w:highlight w:val="none"/>
                      <w:lang w:eastAsia="zh-CN"/>
                    </w:rPr>
                    <w:t>。</w:t>
                  </w:r>
                  <w:r>
                    <w:rPr>
                      <w:rFonts w:hint="eastAsia" w:ascii="Times New Roman" w:cs="Times New Roman"/>
                      <w:color w:val="auto"/>
                      <w:sz w:val="21"/>
                      <w:szCs w:val="21"/>
                      <w:highlight w:val="none"/>
                      <w:lang w:val="en-US" w:eastAsia="zh-CN"/>
                    </w:rPr>
                    <w:t>勘探过程中</w:t>
                  </w:r>
                  <w:r>
                    <w:rPr>
                      <w:rFonts w:hint="default" w:ascii="Times New Roman" w:hAnsi="Times New Roman" w:cs="Times New Roman"/>
                      <w:color w:val="auto"/>
                      <w:sz w:val="21"/>
                      <w:szCs w:val="21"/>
                      <w:highlight w:val="none"/>
                    </w:rPr>
                    <w:t>开挖产生土石方在勘探期结束后全部回填至开挖地。</w:t>
                  </w:r>
                </w:p>
              </w:tc>
              <w:tc>
                <w:tcPr>
                  <w:tcW w:w="295" w:type="pct"/>
                  <w:noWrap w:val="0"/>
                  <w:vAlign w:val="center"/>
                </w:tcPr>
                <w:p w14:paraId="5C55A856">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0"/>
                      <w:sz w:val="21"/>
                      <w:szCs w:val="21"/>
                      <w:highlight w:val="none"/>
                    </w:rPr>
                  </w:pPr>
                  <w:r>
                    <w:rPr>
                      <w:rFonts w:hint="default" w:ascii="Times New Roman" w:hAnsi="Times New Roman" w:eastAsia="宋体" w:cs="Times New Roman"/>
                      <w:color w:val="auto"/>
                      <w:spacing w:val="-10"/>
                      <w:sz w:val="21"/>
                      <w:szCs w:val="21"/>
                      <w:highlight w:val="none"/>
                    </w:rPr>
                    <w:t>符合</w:t>
                  </w:r>
                </w:p>
              </w:tc>
            </w:tr>
            <w:tr w14:paraId="282272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1" w:hRule="atLeast"/>
                <w:jc w:val="center"/>
              </w:trPr>
              <w:tc>
                <w:tcPr>
                  <w:tcW w:w="707" w:type="pct"/>
                  <w:vMerge w:val="continue"/>
                  <w:noWrap w:val="0"/>
                  <w:vAlign w:val="center"/>
                </w:tcPr>
                <w:p w14:paraId="1F46C3D9">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0"/>
                      <w:sz w:val="21"/>
                      <w:szCs w:val="21"/>
                      <w:highlight w:val="none"/>
                    </w:rPr>
                  </w:pPr>
                </w:p>
              </w:tc>
              <w:tc>
                <w:tcPr>
                  <w:tcW w:w="309" w:type="pct"/>
                  <w:noWrap w:val="0"/>
                  <w:vAlign w:val="center"/>
                </w:tcPr>
                <w:p w14:paraId="44F148E9">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0"/>
                      <w:sz w:val="21"/>
                      <w:szCs w:val="21"/>
                      <w:highlight w:val="none"/>
                    </w:rPr>
                  </w:pPr>
                  <w:r>
                    <w:rPr>
                      <w:rFonts w:hint="default" w:ascii="Times New Roman" w:hAnsi="Times New Roman" w:eastAsia="宋体" w:cs="Times New Roman"/>
                      <w:color w:val="auto"/>
                      <w:spacing w:val="-10"/>
                      <w:sz w:val="21"/>
                      <w:szCs w:val="21"/>
                      <w:highlight w:val="none"/>
                    </w:rPr>
                    <w:t>环境风险防控</w:t>
                  </w:r>
                </w:p>
              </w:tc>
              <w:tc>
                <w:tcPr>
                  <w:tcW w:w="2166" w:type="pct"/>
                  <w:tcBorders>
                    <w:top w:val="single" w:color="auto" w:sz="4" w:space="0"/>
                    <w:bottom w:val="single" w:color="auto" w:sz="4" w:space="0"/>
                  </w:tcBorders>
                  <w:noWrap w:val="0"/>
                  <w:vAlign w:val="center"/>
                </w:tcPr>
                <w:p w14:paraId="6683A3D2">
                  <w:pPr>
                    <w:pStyle w:val="39"/>
                    <w:keepNext w:val="0"/>
                    <w:keepLines w:val="0"/>
                    <w:pageBreakBefore w:val="0"/>
                    <w:kinsoku/>
                    <w:wordWrap/>
                    <w:overflowPunct/>
                    <w:topLinePunct w:val="0"/>
                    <w:autoSpaceDE/>
                    <w:autoSpaceDN/>
                    <w:bidi w:val="0"/>
                    <w:adjustRightInd w:val="0"/>
                    <w:snapToGrid w:val="0"/>
                    <w:spacing w:beforeLines="0" w:afterLines="0" w:line="240" w:lineRule="auto"/>
                    <w:ind w:firstLine="420" w:firstLineChars="200"/>
                    <w:jc w:val="left"/>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3.5推进重点流域、饮用水源等环境敏感区域防控体系建设，落实环境风险防控措施，配备拦截、吸附等基本应急处置物资。落实饮用水源一级保护区周边人类活动频繁区域隔离墙、隔离网、视频监控等防范设施建设。</w:t>
                  </w:r>
                </w:p>
                <w:p w14:paraId="55B366DF">
                  <w:pPr>
                    <w:pStyle w:val="39"/>
                    <w:keepNext w:val="0"/>
                    <w:keepLines w:val="0"/>
                    <w:pageBreakBefore w:val="0"/>
                    <w:kinsoku/>
                    <w:wordWrap/>
                    <w:overflowPunct/>
                    <w:topLinePunct w:val="0"/>
                    <w:autoSpaceDE/>
                    <w:autoSpaceDN/>
                    <w:bidi w:val="0"/>
                    <w:adjustRightInd w:val="0"/>
                    <w:snapToGrid w:val="0"/>
                    <w:spacing w:beforeLines="0" w:afterLines="0" w:line="240" w:lineRule="auto"/>
                    <w:ind w:firstLine="420" w:firstLineChars="200"/>
                    <w:jc w:val="left"/>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3.8</w:t>
                  </w:r>
                  <w:r>
                    <w:rPr>
                      <w:rFonts w:hint="eastAsia" w:ascii="Times New Roman" w:hAnsi="Times New Roman" w:eastAsia="宋体" w:cs="Times New Roman"/>
                      <w:bCs/>
                      <w:color w:val="auto"/>
                      <w:sz w:val="21"/>
                      <w:szCs w:val="21"/>
                      <w:lang w:val="en-US" w:eastAsia="zh-CN"/>
                    </w:rPr>
                    <w:t>严格环境风险控制。防范环境风险。定期评估沿河流湖库的工业企业、工业集聚区环境和健康风险，加强预案管理，落实防控措施，排除水污染隐患。评估现有化学物质环境和健康风险，根据国家公布的优先控制化学品名录，对高风险化学品生产、使用进行严格限制，并逐步淘汰替代。</w:t>
                  </w:r>
                </w:p>
              </w:tc>
              <w:tc>
                <w:tcPr>
                  <w:tcW w:w="1520" w:type="pct"/>
                  <w:noWrap w:val="0"/>
                  <w:vAlign w:val="center"/>
                </w:tcPr>
                <w:p w14:paraId="6A61EC3E">
                  <w:pPr>
                    <w:pStyle w:val="39"/>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420" w:firstLineChars="200"/>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rPr>
                    <w:t>项目不涉及重点流域、饮用水源等环境敏感区域，</w:t>
                  </w:r>
                  <w:r>
                    <w:rPr>
                      <w:rFonts w:hint="eastAsia" w:ascii="Times New Roman" w:cs="Times New Roman"/>
                      <w:color w:val="auto"/>
                      <w:sz w:val="21"/>
                      <w:szCs w:val="21"/>
                      <w:highlight w:val="none"/>
                      <w:lang w:val="en-US" w:eastAsia="zh-CN"/>
                    </w:rPr>
                    <w:t>勘探</w:t>
                  </w:r>
                  <w:r>
                    <w:rPr>
                      <w:rFonts w:hint="default" w:ascii="Times New Roman" w:hAnsi="Times New Roman" w:eastAsia="宋体" w:cs="Times New Roman"/>
                      <w:color w:val="auto"/>
                      <w:sz w:val="21"/>
                      <w:szCs w:val="21"/>
                      <w:highlight w:val="none"/>
                    </w:rPr>
                    <w:t>期建立健全的环境管理制度，防范环境污染事故发生。</w:t>
                  </w:r>
                </w:p>
              </w:tc>
              <w:tc>
                <w:tcPr>
                  <w:tcW w:w="295" w:type="pct"/>
                  <w:noWrap w:val="0"/>
                  <w:vAlign w:val="center"/>
                </w:tcPr>
                <w:p w14:paraId="4DA1BC0E">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0"/>
                      <w:sz w:val="21"/>
                      <w:szCs w:val="21"/>
                      <w:highlight w:val="none"/>
                    </w:rPr>
                  </w:pPr>
                  <w:r>
                    <w:rPr>
                      <w:rFonts w:hint="default" w:ascii="Times New Roman" w:hAnsi="Times New Roman" w:eastAsia="宋体" w:cs="Times New Roman"/>
                      <w:color w:val="auto"/>
                      <w:spacing w:val="-10"/>
                      <w:sz w:val="21"/>
                      <w:szCs w:val="21"/>
                      <w:highlight w:val="none"/>
                    </w:rPr>
                    <w:t>符合</w:t>
                  </w:r>
                </w:p>
              </w:tc>
            </w:tr>
            <w:tr w14:paraId="734BB0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1" w:hRule="atLeast"/>
                <w:jc w:val="center"/>
              </w:trPr>
              <w:tc>
                <w:tcPr>
                  <w:tcW w:w="707" w:type="pct"/>
                  <w:vMerge w:val="continue"/>
                  <w:noWrap w:val="0"/>
                  <w:vAlign w:val="center"/>
                </w:tcPr>
                <w:p w14:paraId="13205377">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color w:val="auto"/>
                      <w:spacing w:val="-10"/>
                      <w:sz w:val="21"/>
                      <w:szCs w:val="21"/>
                      <w:highlight w:val="none"/>
                    </w:rPr>
                  </w:pPr>
                </w:p>
              </w:tc>
              <w:tc>
                <w:tcPr>
                  <w:tcW w:w="309" w:type="pct"/>
                  <w:noWrap w:val="0"/>
                  <w:vAlign w:val="center"/>
                </w:tcPr>
                <w:p w14:paraId="35B22792">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0"/>
                      <w:sz w:val="21"/>
                      <w:szCs w:val="21"/>
                      <w:highlight w:val="none"/>
                    </w:rPr>
                  </w:pPr>
                  <w:r>
                    <w:rPr>
                      <w:rFonts w:hint="default" w:ascii="Times New Roman" w:hAnsi="Times New Roman" w:eastAsia="宋体" w:cs="Times New Roman"/>
                      <w:color w:val="auto"/>
                      <w:spacing w:val="-10"/>
                      <w:sz w:val="21"/>
                      <w:szCs w:val="21"/>
                      <w:highlight w:val="none"/>
                    </w:rPr>
                    <w:t>资源利用效率</w:t>
                  </w:r>
                </w:p>
              </w:tc>
              <w:tc>
                <w:tcPr>
                  <w:tcW w:w="2166" w:type="pct"/>
                  <w:tcBorders>
                    <w:top w:val="single" w:color="auto" w:sz="4" w:space="0"/>
                    <w:bottom w:val="single" w:color="auto" w:sz="4" w:space="0"/>
                  </w:tcBorders>
                  <w:noWrap w:val="0"/>
                  <w:vAlign w:val="center"/>
                </w:tcPr>
                <w:p w14:paraId="09D9B779">
                  <w:pPr>
                    <w:pStyle w:val="39"/>
                    <w:keepNext w:val="0"/>
                    <w:keepLines w:val="0"/>
                    <w:pageBreakBefore w:val="0"/>
                    <w:kinsoku/>
                    <w:wordWrap/>
                    <w:overflowPunct/>
                    <w:topLinePunct w:val="0"/>
                    <w:autoSpaceDE/>
                    <w:autoSpaceDN/>
                    <w:bidi w:val="0"/>
                    <w:adjustRightInd w:val="0"/>
                    <w:snapToGrid w:val="0"/>
                    <w:spacing w:beforeLines="0" w:afterLines="0" w:line="240" w:lineRule="auto"/>
                    <w:ind w:firstLine="420" w:firstLineChars="200"/>
                    <w:jc w:val="left"/>
                    <w:textAlignment w:val="auto"/>
                    <w:rPr>
                      <w:rFonts w:hint="default" w:ascii="Times New Roman" w:hAnsi="Times New Roman" w:eastAsia="宋体" w:cs="仿宋"/>
                      <w:color w:val="auto"/>
                      <w:kern w:val="0"/>
                      <w:sz w:val="21"/>
                      <w:szCs w:val="21"/>
                      <w:lang w:val="en-US" w:eastAsia="zh-CN"/>
                    </w:rPr>
                  </w:pPr>
                  <w:r>
                    <w:rPr>
                      <w:rFonts w:hint="default" w:ascii="Times New Roman" w:hAnsi="Times New Roman" w:eastAsia="宋体" w:cs="Times New Roman"/>
                      <w:bCs/>
                      <w:color w:val="auto"/>
                      <w:sz w:val="21"/>
                      <w:szCs w:val="21"/>
                      <w:lang w:val="en-US" w:eastAsia="zh-CN"/>
                    </w:rPr>
                    <w:t>4.1</w:t>
                  </w:r>
                  <w:r>
                    <w:rPr>
                      <w:rFonts w:hint="eastAsia" w:ascii="Times New Roman" w:hAnsi="Times New Roman" w:eastAsia="宋体" w:cs="Times New Roman"/>
                      <w:bCs/>
                      <w:color w:val="auto"/>
                      <w:sz w:val="21"/>
                      <w:szCs w:val="21"/>
                      <w:lang w:val="en-US" w:eastAsia="zh-CN"/>
                    </w:rPr>
                    <w:t>推进循环发展。加强工业水循环利用。推进矿井水综合利用，煤炭矿区的补充用水、周边地区生产和生态用水应优先使用矿井水，加强洗煤废水循环利用。鼓励钢铁、纺织印染、造纸、石油石化、化工、制革等高耗水企业废水深度处理回用。</w:t>
                  </w:r>
                </w:p>
              </w:tc>
              <w:tc>
                <w:tcPr>
                  <w:tcW w:w="1520" w:type="pct"/>
                  <w:noWrap w:val="0"/>
                  <w:vAlign w:val="center"/>
                </w:tcPr>
                <w:p w14:paraId="5A9B4AF4">
                  <w:pPr>
                    <w:pStyle w:val="39"/>
                    <w:keepNext w:val="0"/>
                    <w:keepLines w:val="0"/>
                    <w:pageBreakBefore w:val="0"/>
                    <w:kinsoku/>
                    <w:wordWrap/>
                    <w:overflowPunct/>
                    <w:topLinePunct w:val="0"/>
                    <w:autoSpaceDE/>
                    <w:autoSpaceDN/>
                    <w:bidi w:val="0"/>
                    <w:adjustRightInd w:val="0"/>
                    <w:snapToGrid w:val="0"/>
                    <w:spacing w:beforeLines="0" w:afterLines="0" w:line="240" w:lineRule="auto"/>
                    <w:ind w:firstLine="420" w:firstLineChars="200"/>
                    <w:jc w:val="left"/>
                    <w:textAlignment w:val="auto"/>
                    <w:rPr>
                      <w:rFonts w:hint="eastAsia"/>
                      <w:color w:val="auto"/>
                      <w:sz w:val="21"/>
                      <w:szCs w:val="21"/>
                      <w:lang w:val="en-US" w:eastAsia="zh-CN"/>
                    </w:rPr>
                  </w:pPr>
                  <w:r>
                    <w:rPr>
                      <w:rFonts w:hint="eastAsia"/>
                      <w:color w:val="auto"/>
                      <w:sz w:val="21"/>
                      <w:szCs w:val="21"/>
                      <w:lang w:val="en-US" w:eastAsia="zh-CN"/>
                    </w:rPr>
                    <w:t>本项目产生的生活污水排入一体化污水处理设施后，用于洒水抑尘；设备冲洗水经沉淀池处理后用于洒水降尘，蒸发逸散、不外排，不与地表水体发生水力关系，不会影响区域水环境质量。</w:t>
                  </w:r>
                </w:p>
                <w:p w14:paraId="76D77EFB">
                  <w:pPr>
                    <w:pStyle w:val="39"/>
                    <w:keepNext w:val="0"/>
                    <w:keepLines w:val="0"/>
                    <w:pageBreakBefore w:val="0"/>
                    <w:kinsoku/>
                    <w:wordWrap/>
                    <w:overflowPunct/>
                    <w:topLinePunct w:val="0"/>
                    <w:autoSpaceDE/>
                    <w:autoSpaceDN/>
                    <w:bidi w:val="0"/>
                    <w:adjustRightInd w:val="0"/>
                    <w:snapToGrid w:val="0"/>
                    <w:spacing w:beforeLines="0" w:afterLines="0" w:line="240" w:lineRule="auto"/>
                    <w:ind w:firstLine="420" w:firstLineChars="200"/>
                    <w:jc w:val="left"/>
                    <w:textAlignment w:val="auto"/>
                    <w:rPr>
                      <w:rFonts w:hint="default"/>
                      <w:color w:val="auto"/>
                      <w:sz w:val="21"/>
                      <w:szCs w:val="21"/>
                      <w:lang w:val="en-US" w:eastAsia="zh-CN"/>
                    </w:rPr>
                  </w:pPr>
                  <w:r>
                    <w:rPr>
                      <w:rFonts w:hint="eastAsia"/>
                      <w:color w:val="auto"/>
                      <w:sz w:val="21"/>
                      <w:szCs w:val="21"/>
                      <w:lang w:val="en-US" w:eastAsia="zh-CN"/>
                    </w:rPr>
                    <w:t>本项目</w:t>
                  </w:r>
                  <w:r>
                    <w:rPr>
                      <w:rFonts w:hint="default"/>
                      <w:color w:val="auto"/>
                      <w:sz w:val="21"/>
                      <w:szCs w:val="21"/>
                      <w:lang w:val="en-US" w:eastAsia="zh-CN"/>
                    </w:rPr>
                    <w:t>开挖产生的土石方在勘探期结束后全部回填至开挖地。施工营地内设置一定数量的垃圾桶，施工中产生的废料、生活垃圾等固体废物及时清理，分类存储，回收利用，定期进行现场处置及外运。</w:t>
                  </w:r>
                </w:p>
              </w:tc>
              <w:tc>
                <w:tcPr>
                  <w:tcW w:w="295" w:type="pct"/>
                  <w:noWrap w:val="0"/>
                  <w:vAlign w:val="center"/>
                </w:tcPr>
                <w:p w14:paraId="516B76CA">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0"/>
                      <w:sz w:val="21"/>
                      <w:szCs w:val="21"/>
                      <w:highlight w:val="none"/>
                    </w:rPr>
                  </w:pPr>
                  <w:r>
                    <w:rPr>
                      <w:rFonts w:hint="default" w:ascii="Times New Roman" w:hAnsi="Times New Roman" w:eastAsia="宋体" w:cs="Times New Roman"/>
                      <w:color w:val="auto"/>
                      <w:spacing w:val="-10"/>
                      <w:sz w:val="21"/>
                      <w:szCs w:val="21"/>
                      <w:highlight w:val="none"/>
                    </w:rPr>
                    <w:t>符合</w:t>
                  </w:r>
                </w:p>
              </w:tc>
            </w:tr>
          </w:tbl>
          <w:p w14:paraId="59A10842">
            <w:pPr>
              <w:pStyle w:val="46"/>
              <w:bidi w:val="0"/>
              <w:ind w:left="0" w:leftChars="0" w:firstLine="0" w:firstLineChars="0"/>
              <w:jc w:val="center"/>
              <w:rPr>
                <w:rFonts w:hint="default" w:ascii="Times New Roman" w:hAnsi="Times New Roman" w:eastAsia="宋体" w:cs="宋体"/>
                <w:b/>
                <w:bCs/>
                <w:color w:val="auto"/>
                <w:lang w:val="en-US" w:eastAsia="zh-CN"/>
              </w:rPr>
            </w:pPr>
            <w:r>
              <w:rPr>
                <w:rFonts w:hint="eastAsia" w:ascii="Times New Roman" w:hAnsi="Times New Roman" w:eastAsia="宋体" w:cs="宋体"/>
                <w:b/>
                <w:bCs/>
                <w:color w:val="auto"/>
                <w:lang w:val="en-US" w:eastAsia="zh-CN"/>
              </w:rPr>
              <w:t>表1-</w:t>
            </w:r>
            <w:r>
              <w:rPr>
                <w:rFonts w:hint="eastAsia" w:cs="宋体"/>
                <w:b/>
                <w:bCs/>
                <w:color w:val="auto"/>
                <w:lang w:val="en-US" w:eastAsia="zh-CN"/>
              </w:rPr>
              <w:t xml:space="preserve">5 </w:t>
            </w:r>
            <w:r>
              <w:rPr>
                <w:rFonts w:hint="eastAsia" w:ascii="Times New Roman" w:hAnsi="Times New Roman" w:eastAsia="宋体" w:cs="宋体"/>
                <w:b/>
                <w:bCs/>
                <w:color w:val="auto"/>
                <w:lang w:val="en-US" w:eastAsia="zh-CN"/>
              </w:rPr>
              <w:t xml:space="preserve">  </w:t>
            </w:r>
            <w:r>
              <w:rPr>
                <w:rFonts w:hint="eastAsia" w:asciiTheme="minorEastAsia" w:hAnsiTheme="minorEastAsia" w:eastAsiaTheme="minorEastAsia" w:cstheme="minorEastAsia"/>
                <w:b/>
                <w:bCs/>
                <w:color w:val="auto"/>
                <w:sz w:val="24"/>
                <w:szCs w:val="24"/>
                <w:highlight w:val="none"/>
                <w:lang w:val="en-US" w:eastAsia="zh-CN"/>
              </w:rPr>
              <w:t>《巴音</w:t>
            </w:r>
            <w:r>
              <w:rPr>
                <w:rFonts w:hint="default" w:ascii="Times New Roman" w:hAnsi="Times New Roman" w:cs="Times New Roman" w:eastAsiaTheme="minorEastAsia"/>
                <w:b/>
                <w:bCs/>
                <w:color w:val="auto"/>
                <w:sz w:val="24"/>
                <w:szCs w:val="24"/>
                <w:highlight w:val="none"/>
                <w:lang w:val="en-US" w:eastAsia="zh-CN"/>
              </w:rPr>
              <w:t>郭楞蒙古自治州“三线一单”生态环境分区管控动态更新成果（2023）》相符性分析</w:t>
            </w:r>
            <w:r>
              <w:rPr>
                <w:rFonts w:hint="default" w:ascii="Times New Roman" w:hAnsi="Times New Roman" w:eastAsia="宋体" w:cs="Times New Roman"/>
                <w:b/>
                <w:bCs/>
                <w:color w:val="auto"/>
                <w:lang w:val="en-US" w:eastAsia="zh-CN"/>
              </w:rPr>
              <w:t>符合性分析（管控单元）</w:t>
            </w:r>
          </w:p>
          <w:tbl>
            <w:tblPr>
              <w:tblStyle w:val="21"/>
              <w:tblW w:w="7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670"/>
              <w:gridCol w:w="2996"/>
              <w:gridCol w:w="2643"/>
              <w:gridCol w:w="520"/>
            </w:tblGrid>
            <w:tr w14:paraId="192DF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gridSpan w:val="2"/>
                  <w:noWrap w:val="0"/>
                  <w:vAlign w:val="center"/>
                </w:tcPr>
                <w:p w14:paraId="758F9C73">
                  <w:pPr>
                    <w:pStyle w:val="48"/>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环境管控单元编码</w:t>
                  </w:r>
                </w:p>
              </w:tc>
              <w:tc>
                <w:tcPr>
                  <w:tcW w:w="2996" w:type="dxa"/>
                  <w:noWrap w:val="0"/>
                  <w:vAlign w:val="center"/>
                </w:tcPr>
                <w:p w14:paraId="552D8A0F">
                  <w:pPr>
                    <w:pStyle w:val="48"/>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ZH65282530001</w:t>
                  </w:r>
                </w:p>
              </w:tc>
              <w:tc>
                <w:tcPr>
                  <w:tcW w:w="2643" w:type="dxa"/>
                  <w:vMerge w:val="restart"/>
                  <w:noWrap w:val="0"/>
                  <w:vAlign w:val="center"/>
                </w:tcPr>
                <w:p w14:paraId="279DDE91">
                  <w:pPr>
                    <w:pStyle w:val="48"/>
                    <w:rPr>
                      <w:rFonts w:hint="default" w:ascii="Times New Roman" w:hAnsi="Times New Roman" w:cs="Times New Roman"/>
                      <w:color w:val="auto"/>
                      <w:lang w:eastAsia="zh-CN"/>
                    </w:rPr>
                  </w:pPr>
                  <w:r>
                    <w:rPr>
                      <w:rFonts w:hint="default" w:ascii="Times New Roman" w:hAnsi="Times New Roman" w:cs="Times New Roman"/>
                      <w:color w:val="auto"/>
                      <w:lang w:val="en-US" w:eastAsia="zh-CN"/>
                    </w:rPr>
                    <w:t>本工程情况</w:t>
                  </w:r>
                </w:p>
              </w:tc>
              <w:tc>
                <w:tcPr>
                  <w:tcW w:w="520" w:type="dxa"/>
                  <w:vMerge w:val="restart"/>
                  <w:noWrap w:val="0"/>
                  <w:vAlign w:val="center"/>
                </w:tcPr>
                <w:p w14:paraId="30D3CCC4">
                  <w:pPr>
                    <w:pStyle w:val="48"/>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相符性分析</w:t>
                  </w:r>
                </w:p>
              </w:tc>
            </w:tr>
            <w:tr w14:paraId="28317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gridSpan w:val="2"/>
                  <w:noWrap w:val="0"/>
                  <w:vAlign w:val="center"/>
                </w:tcPr>
                <w:p w14:paraId="576B8484">
                  <w:pPr>
                    <w:pStyle w:val="48"/>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环境管控单元名称</w:t>
                  </w:r>
                </w:p>
              </w:tc>
              <w:tc>
                <w:tcPr>
                  <w:tcW w:w="2996" w:type="dxa"/>
                  <w:noWrap w:val="0"/>
                  <w:vAlign w:val="center"/>
                </w:tcPr>
                <w:p w14:paraId="42331612">
                  <w:pPr>
                    <w:pStyle w:val="48"/>
                    <w:rPr>
                      <w:rFonts w:hint="default" w:ascii="Times New Roman" w:hAnsi="Times New Roman" w:cs="Times New Roman"/>
                      <w:color w:val="auto"/>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且末县一般管控区</w:t>
                  </w:r>
                </w:p>
              </w:tc>
              <w:tc>
                <w:tcPr>
                  <w:tcW w:w="2643" w:type="dxa"/>
                  <w:vMerge w:val="continue"/>
                  <w:noWrap w:val="0"/>
                  <w:vAlign w:val="center"/>
                </w:tcPr>
                <w:p w14:paraId="51A78DA4">
                  <w:pPr>
                    <w:pStyle w:val="48"/>
                    <w:rPr>
                      <w:rFonts w:hint="default" w:ascii="Times New Roman" w:hAnsi="Times New Roman" w:cs="Times New Roman"/>
                      <w:color w:val="auto"/>
                      <w:lang w:eastAsia="zh-CN"/>
                    </w:rPr>
                  </w:pPr>
                </w:p>
              </w:tc>
              <w:tc>
                <w:tcPr>
                  <w:tcW w:w="520" w:type="dxa"/>
                  <w:vMerge w:val="continue"/>
                  <w:noWrap w:val="0"/>
                  <w:vAlign w:val="center"/>
                </w:tcPr>
                <w:p w14:paraId="26AF68B3">
                  <w:pPr>
                    <w:pStyle w:val="48"/>
                    <w:rPr>
                      <w:rFonts w:hint="default" w:ascii="Times New Roman" w:hAnsi="Times New Roman" w:cs="Times New Roman"/>
                      <w:color w:val="auto"/>
                      <w:lang w:eastAsia="zh-CN"/>
                    </w:rPr>
                  </w:pPr>
                </w:p>
              </w:tc>
            </w:tr>
            <w:tr w14:paraId="1EB6A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gridSpan w:val="2"/>
                  <w:noWrap w:val="0"/>
                  <w:vAlign w:val="center"/>
                </w:tcPr>
                <w:p w14:paraId="0772A974">
                  <w:pPr>
                    <w:pStyle w:val="48"/>
                    <w:rPr>
                      <w:rFonts w:hint="default" w:ascii="Times New Roman" w:hAnsi="Times New Roman" w:cs="Times New Roman"/>
                      <w:color w:val="auto"/>
                      <w:lang w:val="en-US" w:eastAsia="zh-CN"/>
                    </w:rPr>
                  </w:pPr>
                  <w:r>
                    <w:rPr>
                      <w:rFonts w:hint="default" w:ascii="Times New Roman" w:hAnsi="Times New Roman" w:cs="Times New Roman"/>
                      <w:color w:val="auto"/>
                    </w:rPr>
                    <w:t>环境管控单元类别</w:t>
                  </w:r>
                </w:p>
              </w:tc>
              <w:tc>
                <w:tcPr>
                  <w:tcW w:w="2996" w:type="dxa"/>
                  <w:noWrap w:val="0"/>
                  <w:vAlign w:val="center"/>
                </w:tcPr>
                <w:p w14:paraId="0E517E7B">
                  <w:pPr>
                    <w:pStyle w:val="48"/>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一般管控单元</w:t>
                  </w:r>
                </w:p>
              </w:tc>
              <w:tc>
                <w:tcPr>
                  <w:tcW w:w="2643" w:type="dxa"/>
                  <w:vMerge w:val="continue"/>
                  <w:noWrap w:val="0"/>
                  <w:vAlign w:val="center"/>
                </w:tcPr>
                <w:p w14:paraId="03B3394F">
                  <w:pPr>
                    <w:pStyle w:val="48"/>
                    <w:rPr>
                      <w:rFonts w:hint="default" w:ascii="Times New Roman" w:hAnsi="Times New Roman" w:cs="Times New Roman"/>
                      <w:color w:val="auto"/>
                      <w:lang w:eastAsia="zh-CN"/>
                    </w:rPr>
                  </w:pPr>
                </w:p>
              </w:tc>
              <w:tc>
                <w:tcPr>
                  <w:tcW w:w="520" w:type="dxa"/>
                  <w:vMerge w:val="continue"/>
                  <w:noWrap w:val="0"/>
                  <w:vAlign w:val="center"/>
                </w:tcPr>
                <w:p w14:paraId="207DFF84">
                  <w:pPr>
                    <w:pStyle w:val="48"/>
                    <w:rPr>
                      <w:rFonts w:hint="default" w:ascii="Times New Roman" w:hAnsi="Times New Roman" w:cs="Times New Roman"/>
                      <w:color w:val="auto"/>
                      <w:lang w:eastAsia="zh-CN"/>
                    </w:rPr>
                  </w:pPr>
                </w:p>
              </w:tc>
            </w:tr>
            <w:tr w14:paraId="101BE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3" w:hRule="atLeast"/>
                <w:jc w:val="center"/>
              </w:trPr>
              <w:tc>
                <w:tcPr>
                  <w:tcW w:w="637" w:type="dxa"/>
                  <w:vMerge w:val="restart"/>
                  <w:noWrap w:val="0"/>
                  <w:vAlign w:val="center"/>
                </w:tcPr>
                <w:p w14:paraId="4A053327">
                  <w:pPr>
                    <w:pStyle w:val="48"/>
                    <w:rPr>
                      <w:rFonts w:hint="default" w:ascii="Times New Roman" w:hAnsi="Times New Roman" w:cs="Times New Roman"/>
                      <w:color w:val="auto"/>
                    </w:rPr>
                  </w:pPr>
                  <w:r>
                    <w:rPr>
                      <w:rFonts w:hint="default" w:ascii="Times New Roman" w:hAnsi="Times New Roman" w:cs="Times New Roman"/>
                      <w:color w:val="auto"/>
                      <w:lang w:val="en-US" w:eastAsia="zh-CN"/>
                    </w:rPr>
                    <w:t>管控要求</w:t>
                  </w:r>
                </w:p>
              </w:tc>
              <w:tc>
                <w:tcPr>
                  <w:tcW w:w="670" w:type="dxa"/>
                  <w:noWrap w:val="0"/>
                  <w:vAlign w:val="center"/>
                </w:tcPr>
                <w:p w14:paraId="443C3296">
                  <w:pPr>
                    <w:pStyle w:val="48"/>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空间布局约束</w:t>
                  </w:r>
                </w:p>
              </w:tc>
              <w:tc>
                <w:tcPr>
                  <w:tcW w:w="2996" w:type="dxa"/>
                  <w:noWrap w:val="0"/>
                  <w:vAlign w:val="center"/>
                </w:tcPr>
                <w:p w14:paraId="272C990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1.建设项目用地原则上不得占用基本农田，确需占用基本农田的建设项目须符合《中华人民共和国基本农田保护条例》中相关要求，占用耕地、林地或草地的建设项目须按照国家、自治区相关补偿要求进行补偿。</w:t>
                  </w:r>
                </w:p>
                <w:p w14:paraId="557884D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420" w:firstLineChars="200"/>
                    <w:jc w:val="both"/>
                    <w:textAlignment w:val="auto"/>
                    <w:rPr>
                      <w:rFonts w:hint="default" w:ascii="Times New Roman" w:hAnsi="Times New Roman" w:cs="Times New Roman"/>
                      <w:color w:val="auto"/>
                      <w:lang w:val="en-US" w:eastAsia="zh-CN"/>
                    </w:rPr>
                  </w:pPr>
                  <w:r>
                    <w:rPr>
                      <w:rFonts w:hint="default" w:ascii="Times New Roman" w:hAnsi="Times New Roman" w:eastAsia="宋体" w:cs="Times New Roman"/>
                      <w:color w:val="auto"/>
                      <w:kern w:val="2"/>
                      <w:sz w:val="21"/>
                      <w:szCs w:val="21"/>
                      <w:highlight w:val="none"/>
                      <w:lang w:val="en-US" w:eastAsia="zh-CN" w:bidi="ar-SA"/>
                    </w:rPr>
                    <w:t>5.禁止向沙漠、滩涂、盐碱地、沼泽地等非法排污、倾倒有毒有害物质。</w:t>
                  </w:r>
                </w:p>
              </w:tc>
              <w:tc>
                <w:tcPr>
                  <w:tcW w:w="2643" w:type="dxa"/>
                  <w:noWrap w:val="0"/>
                  <w:vAlign w:val="center"/>
                </w:tcPr>
                <w:p w14:paraId="47AEBC06">
                  <w:pPr>
                    <w:pStyle w:val="48"/>
                    <w:keepNext w:val="0"/>
                    <w:keepLines w:val="0"/>
                    <w:pageBreakBefore w:val="0"/>
                    <w:widowControl/>
                    <w:kinsoku/>
                    <w:wordWrap w:val="0"/>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cs="Times New Roman"/>
                      <w:color w:val="auto"/>
                      <w:lang w:val="en-US" w:eastAsia="zh-CN"/>
                    </w:rPr>
                  </w:pPr>
                  <w:r>
                    <w:rPr>
                      <w:rFonts w:hint="default" w:ascii="Times New Roman" w:hAnsi="Times New Roman" w:eastAsia="宋体" w:cs="Times New Roman"/>
                      <w:color w:val="auto"/>
                      <w:kern w:val="2"/>
                      <w:sz w:val="21"/>
                      <w:szCs w:val="21"/>
                      <w:highlight w:val="none"/>
                      <w:lang w:val="en-US" w:eastAsia="zh-CN" w:bidi="ar-SA"/>
                    </w:rPr>
                    <w:t>本项目属于陆地矿产资源地质勘查（含油气资源勘探）类项目，所在区域主要为裸岩石砾地，不涉及占用基本农田。本项目主要工作内容为矿产资源勘探，不涉及有毒有害物质，各类固废去</w:t>
                  </w:r>
                  <w:r>
                    <w:rPr>
                      <w:rFonts w:hint="default" w:ascii="Times New Roman" w:hAnsi="Times New Roman" w:cs="Times New Roman"/>
                      <w:color w:val="auto"/>
                      <w:kern w:val="2"/>
                      <w:sz w:val="21"/>
                      <w:szCs w:val="21"/>
                      <w:highlight w:val="none"/>
                      <w:lang w:val="en-US" w:eastAsia="zh-CN" w:bidi="ar-SA"/>
                    </w:rPr>
                    <w:t>处</w:t>
                  </w:r>
                  <w:r>
                    <w:rPr>
                      <w:rFonts w:hint="default" w:ascii="Times New Roman" w:hAnsi="Times New Roman" w:eastAsia="宋体" w:cs="Times New Roman"/>
                      <w:color w:val="auto"/>
                      <w:kern w:val="2"/>
                      <w:sz w:val="21"/>
                      <w:szCs w:val="21"/>
                      <w:highlight w:val="none"/>
                      <w:lang w:val="en-US" w:eastAsia="zh-CN" w:bidi="ar-SA"/>
                    </w:rPr>
                    <w:t>明确。</w:t>
                  </w:r>
                </w:p>
              </w:tc>
              <w:tc>
                <w:tcPr>
                  <w:tcW w:w="520" w:type="dxa"/>
                  <w:noWrap w:val="0"/>
                  <w:vAlign w:val="center"/>
                </w:tcPr>
                <w:p w14:paraId="086BF1AF">
                  <w:pPr>
                    <w:pStyle w:val="48"/>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符合</w:t>
                  </w:r>
                </w:p>
              </w:tc>
            </w:tr>
            <w:tr w14:paraId="60863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vMerge w:val="continue"/>
                  <w:noWrap w:val="0"/>
                  <w:vAlign w:val="center"/>
                </w:tcPr>
                <w:p w14:paraId="79F97A1F">
                  <w:pPr>
                    <w:pStyle w:val="48"/>
                    <w:rPr>
                      <w:rFonts w:hint="default" w:ascii="Times New Roman" w:hAnsi="Times New Roman" w:cs="Times New Roman"/>
                      <w:color w:val="auto"/>
                      <w:lang w:val="en-US" w:eastAsia="zh-CN"/>
                    </w:rPr>
                  </w:pPr>
                </w:p>
              </w:tc>
              <w:tc>
                <w:tcPr>
                  <w:tcW w:w="670" w:type="dxa"/>
                  <w:noWrap w:val="0"/>
                  <w:vAlign w:val="center"/>
                </w:tcPr>
                <w:p w14:paraId="4405442E">
                  <w:pPr>
                    <w:pStyle w:val="48"/>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污染物排放管控</w:t>
                  </w:r>
                </w:p>
              </w:tc>
              <w:tc>
                <w:tcPr>
                  <w:tcW w:w="2996" w:type="dxa"/>
                  <w:noWrap w:val="0"/>
                  <w:vAlign w:val="center"/>
                </w:tcPr>
                <w:p w14:paraId="3EA43E1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420" w:firstLineChars="200"/>
                    <w:jc w:val="both"/>
                    <w:textAlignment w:val="auto"/>
                    <w:rPr>
                      <w:rFonts w:hint="default" w:ascii="Times New Roman" w:hAnsi="Times New Roman" w:cs="Times New Roman"/>
                      <w:color w:val="auto"/>
                      <w:lang w:val="en-US" w:eastAsia="zh-CN"/>
                    </w:rPr>
                  </w:pPr>
                  <w:r>
                    <w:rPr>
                      <w:rFonts w:hint="default" w:ascii="Times New Roman" w:hAnsi="Times New Roman" w:eastAsia="宋体" w:cs="Times New Roman"/>
                      <w:color w:val="auto"/>
                      <w:kern w:val="0"/>
                      <w:sz w:val="21"/>
                      <w:szCs w:val="21"/>
                      <w:highlight w:val="none"/>
                      <w:lang w:val="en-US" w:eastAsia="zh-CN" w:bidi="ar"/>
                    </w:rPr>
                    <w:t>5.严控土壤重金属污染，加强油</w:t>
                  </w:r>
                  <w:r>
                    <w:rPr>
                      <w:rFonts w:hint="eastAsia" w:ascii="Times New Roman" w:hAnsi="Times New Roman"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气</w:t>
                  </w:r>
                  <w:r>
                    <w:rPr>
                      <w:rFonts w:hint="eastAsia" w:ascii="Times New Roman" w:hAnsi="Times New Roman"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田开发土壤污染防治，以历史遗留工业企业污染场地为重点，开展土壤污染风险管控与修复工程。</w:t>
                  </w:r>
                </w:p>
              </w:tc>
              <w:tc>
                <w:tcPr>
                  <w:tcW w:w="2643" w:type="dxa"/>
                  <w:noWrap w:val="0"/>
                  <w:vAlign w:val="center"/>
                </w:tcPr>
                <w:p w14:paraId="09CA536D">
                  <w:pPr>
                    <w:pStyle w:val="48"/>
                    <w:keepNext w:val="0"/>
                    <w:keepLines w:val="0"/>
                    <w:pageBreakBefore w:val="0"/>
                    <w:widowControl/>
                    <w:kinsoku/>
                    <w:wordWrap w:val="0"/>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cs="Times New Roman"/>
                      <w:color w:val="auto"/>
                      <w:lang w:val="en-US" w:eastAsia="zh-CN"/>
                    </w:rPr>
                  </w:pPr>
                  <w:r>
                    <w:rPr>
                      <w:rFonts w:hint="default" w:ascii="Times New Roman" w:hAnsi="Times New Roman" w:eastAsia="宋体" w:cs="Times New Roman"/>
                      <w:color w:val="auto"/>
                      <w:kern w:val="0"/>
                      <w:sz w:val="21"/>
                      <w:szCs w:val="21"/>
                      <w:highlight w:val="none"/>
                      <w:lang w:val="en-US" w:eastAsia="zh-CN" w:bidi="ar"/>
                    </w:rPr>
                    <w:t>加强柴油使用管理，定期检查生活污水一体化处理设施运行状况，严防勘探作业过程中发生柴油、生活污水泄漏造成土壤污染，一旦发现此类污染情况，立即展开修复工作。</w:t>
                  </w:r>
                </w:p>
              </w:tc>
              <w:tc>
                <w:tcPr>
                  <w:tcW w:w="520" w:type="dxa"/>
                  <w:noWrap w:val="0"/>
                  <w:vAlign w:val="center"/>
                </w:tcPr>
                <w:p w14:paraId="0D4E49FC">
                  <w:pPr>
                    <w:pStyle w:val="48"/>
                    <w:rPr>
                      <w:rFonts w:hint="default" w:ascii="Times New Roman" w:hAnsi="Times New Roman" w:cs="Times New Roman"/>
                      <w:color w:val="auto"/>
                      <w:lang w:eastAsia="zh-CN"/>
                    </w:rPr>
                  </w:pPr>
                  <w:r>
                    <w:rPr>
                      <w:rFonts w:hint="default" w:ascii="Times New Roman" w:hAnsi="Times New Roman" w:cs="Times New Roman"/>
                      <w:color w:val="auto"/>
                      <w:lang w:val="en-US" w:eastAsia="zh-CN"/>
                    </w:rPr>
                    <w:t>符合</w:t>
                  </w:r>
                </w:p>
              </w:tc>
            </w:tr>
            <w:tr w14:paraId="3F95D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vMerge w:val="continue"/>
                  <w:noWrap w:val="0"/>
                  <w:vAlign w:val="center"/>
                </w:tcPr>
                <w:p w14:paraId="5E7958AE">
                  <w:pPr>
                    <w:pStyle w:val="48"/>
                    <w:rPr>
                      <w:rFonts w:hint="default" w:ascii="Times New Roman" w:hAnsi="Times New Roman" w:cs="Times New Roman"/>
                      <w:color w:val="auto"/>
                      <w:lang w:val="en-US" w:eastAsia="zh-CN"/>
                    </w:rPr>
                  </w:pPr>
                </w:p>
              </w:tc>
              <w:tc>
                <w:tcPr>
                  <w:tcW w:w="670" w:type="dxa"/>
                  <w:noWrap w:val="0"/>
                  <w:vAlign w:val="center"/>
                </w:tcPr>
                <w:p w14:paraId="547C23B6">
                  <w:pPr>
                    <w:pStyle w:val="48"/>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环境风险防控</w:t>
                  </w:r>
                </w:p>
              </w:tc>
              <w:tc>
                <w:tcPr>
                  <w:tcW w:w="2996" w:type="dxa"/>
                  <w:noWrap w:val="0"/>
                  <w:vAlign w:val="center"/>
                </w:tcPr>
                <w:p w14:paraId="402E501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420" w:firstLineChars="200"/>
                    <w:jc w:val="both"/>
                    <w:textAlignment w:val="auto"/>
                    <w:rPr>
                      <w:rFonts w:hint="default" w:ascii="Times New Roman" w:hAnsi="Times New Roman" w:cs="Times New Roman"/>
                      <w:color w:val="auto"/>
                      <w:lang w:val="en-US" w:eastAsia="zh-CN"/>
                    </w:rPr>
                  </w:pPr>
                  <w:r>
                    <w:rPr>
                      <w:rFonts w:hint="default" w:ascii="Times New Roman" w:hAnsi="Times New Roman" w:eastAsia="宋体" w:cs="Times New Roman"/>
                      <w:color w:val="auto"/>
                      <w:kern w:val="0"/>
                      <w:sz w:val="21"/>
                      <w:szCs w:val="21"/>
                      <w:highlight w:val="none"/>
                      <w:lang w:val="en-US" w:eastAsia="zh-CN" w:bidi="ar"/>
                    </w:rPr>
                    <w:t>1.加强对矿山、油田等矿产资源开采影响区域内未利用地的环境监管</w:t>
                  </w:r>
                  <w:r>
                    <w:rPr>
                      <w:rFonts w:hint="default" w:ascii="Times New Roman" w:hAnsi="Times New Roman"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发现土壤污染问题的要坚决查处，并及时督促有关单位采取有效防治措施消除或减轻污染。</w:t>
                  </w:r>
                </w:p>
              </w:tc>
              <w:tc>
                <w:tcPr>
                  <w:tcW w:w="2643" w:type="dxa"/>
                  <w:noWrap w:val="0"/>
                  <w:vAlign w:val="center"/>
                </w:tcPr>
                <w:p w14:paraId="335EFB1C">
                  <w:pPr>
                    <w:pStyle w:val="48"/>
                    <w:keepNext w:val="0"/>
                    <w:keepLines w:val="0"/>
                    <w:pageBreakBefore w:val="0"/>
                    <w:widowControl/>
                    <w:kinsoku/>
                    <w:wordWrap w:val="0"/>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cs="Times New Roman"/>
                      <w:color w:val="auto"/>
                      <w:lang w:val="en-US" w:eastAsia="zh-CN"/>
                    </w:rPr>
                  </w:pPr>
                  <w:r>
                    <w:rPr>
                      <w:rFonts w:hint="default" w:ascii="Times New Roman" w:hAnsi="Times New Roman" w:eastAsia="宋体" w:cs="Times New Roman"/>
                      <w:color w:val="auto"/>
                      <w:kern w:val="0"/>
                      <w:sz w:val="21"/>
                      <w:szCs w:val="21"/>
                      <w:highlight w:val="none"/>
                      <w:lang w:val="en-US" w:eastAsia="zh-CN" w:bidi="ar"/>
                    </w:rPr>
                    <w:t>加强柴油使用管理，定期检查生活污水一体化处理设施运行状况，严防勘探作业过程中发生柴油、生活污水泄漏造成土壤污染，一旦发现此类污染情况，立即展开修复工作。</w:t>
                  </w:r>
                </w:p>
              </w:tc>
              <w:tc>
                <w:tcPr>
                  <w:tcW w:w="520" w:type="dxa"/>
                  <w:noWrap w:val="0"/>
                  <w:vAlign w:val="center"/>
                </w:tcPr>
                <w:p w14:paraId="018C3BCB">
                  <w:pPr>
                    <w:pStyle w:val="48"/>
                    <w:rPr>
                      <w:rFonts w:hint="default" w:ascii="Times New Roman" w:hAnsi="Times New Roman" w:cs="Times New Roman"/>
                      <w:color w:val="auto"/>
                      <w:lang w:eastAsia="zh-CN"/>
                    </w:rPr>
                  </w:pPr>
                  <w:r>
                    <w:rPr>
                      <w:rFonts w:hint="default" w:ascii="Times New Roman" w:hAnsi="Times New Roman" w:cs="Times New Roman"/>
                      <w:color w:val="auto"/>
                      <w:lang w:val="en-US" w:eastAsia="zh-CN"/>
                    </w:rPr>
                    <w:t>符合</w:t>
                  </w:r>
                </w:p>
              </w:tc>
            </w:tr>
            <w:tr w14:paraId="10BEF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vMerge w:val="continue"/>
                  <w:noWrap w:val="0"/>
                  <w:vAlign w:val="center"/>
                </w:tcPr>
                <w:p w14:paraId="61714CCA">
                  <w:pPr>
                    <w:pStyle w:val="48"/>
                    <w:rPr>
                      <w:rFonts w:hint="default" w:ascii="Times New Roman" w:hAnsi="Times New Roman" w:cs="Times New Roman"/>
                      <w:color w:val="auto"/>
                      <w:lang w:val="en-US" w:eastAsia="zh-CN"/>
                    </w:rPr>
                  </w:pPr>
                </w:p>
              </w:tc>
              <w:tc>
                <w:tcPr>
                  <w:tcW w:w="670" w:type="dxa"/>
                  <w:noWrap w:val="0"/>
                  <w:vAlign w:val="center"/>
                </w:tcPr>
                <w:p w14:paraId="7FBFC752">
                  <w:pPr>
                    <w:pStyle w:val="48"/>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资源利用效率</w:t>
                  </w:r>
                </w:p>
              </w:tc>
              <w:tc>
                <w:tcPr>
                  <w:tcW w:w="2996" w:type="dxa"/>
                  <w:noWrap w:val="0"/>
                  <w:vAlign w:val="center"/>
                </w:tcPr>
                <w:p w14:paraId="2647EF8D">
                  <w:pPr>
                    <w:keepNext w:val="0"/>
                    <w:keepLines w:val="0"/>
                    <w:pageBreakBefore w:val="0"/>
                    <w:widowControl/>
                    <w:suppressLineNumbers w:val="0"/>
                    <w:kinsoku/>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bidi="ar"/>
                    </w:rPr>
                    <w:t>1.全面推进秸秆综合利用，鼓励秸秆资源化、饲料化、肥料化利用，推动秸秆还田与离田收2.减少化肥农药使用量，增加有机肥使用量，实现化肥农药使用量负增长。</w:t>
                  </w:r>
                </w:p>
                <w:p w14:paraId="66CCFFDC">
                  <w:pPr>
                    <w:keepNext w:val="0"/>
                    <w:keepLines w:val="0"/>
                    <w:pageBreakBefore w:val="0"/>
                    <w:widowControl/>
                    <w:suppressLineNumbers w:val="0"/>
                    <w:kinsoku/>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bidi="ar"/>
                    </w:rPr>
                    <w:t>3.推广渠道防渗、管道输水、喷灌、微灌等节水灌溉技术，完善灌溉用水计量设施。推进规模化高效节水灌溉，推广农作物节水抗旱技术。建立灌区墒情测报网络，提高农业用水效率，降低农业用水比重。</w:t>
                  </w:r>
                </w:p>
                <w:p w14:paraId="66F8B8FE">
                  <w:pPr>
                    <w:keepNext w:val="0"/>
                    <w:keepLines w:val="0"/>
                    <w:pageBreakBefore w:val="0"/>
                    <w:widowControl/>
                    <w:suppressLineNumbers w:val="0"/>
                    <w:kinsoku/>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cs="Times New Roman"/>
                      <w:color w:val="auto"/>
                      <w:sz w:val="21"/>
                      <w:szCs w:val="21"/>
                      <w:lang w:val="en-US" w:eastAsia="zh-CN"/>
                    </w:rPr>
                  </w:pPr>
                  <w:r>
                    <w:rPr>
                      <w:rFonts w:hint="default" w:ascii="Times New Roman" w:hAnsi="Times New Roman" w:eastAsia="宋体" w:cs="Times New Roman"/>
                      <w:color w:val="auto"/>
                      <w:kern w:val="0"/>
                      <w:sz w:val="21"/>
                      <w:szCs w:val="21"/>
                      <w:lang w:val="en-US" w:eastAsia="zh-CN" w:bidi="ar"/>
                    </w:rPr>
                    <w:t>4.废石综合回用、尾矿砂利用率参考《新疆维吾尔自治区重点行业环境准入条件（2024年）》等相关文件要求。</w:t>
                  </w:r>
                </w:p>
              </w:tc>
              <w:tc>
                <w:tcPr>
                  <w:tcW w:w="2643" w:type="dxa"/>
                  <w:noWrap w:val="0"/>
                  <w:vAlign w:val="center"/>
                </w:tcPr>
                <w:p w14:paraId="6315D383">
                  <w:pPr>
                    <w:pStyle w:val="48"/>
                    <w:keepNext w:val="0"/>
                    <w:keepLines w:val="0"/>
                    <w:pageBreakBefore w:val="0"/>
                    <w:widowControl/>
                    <w:kinsoku/>
                    <w:wordWrap w:val="0"/>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本项目均不涉及。</w:t>
                  </w:r>
                </w:p>
              </w:tc>
              <w:tc>
                <w:tcPr>
                  <w:tcW w:w="520" w:type="dxa"/>
                  <w:noWrap w:val="0"/>
                  <w:vAlign w:val="center"/>
                </w:tcPr>
                <w:p w14:paraId="206486D4">
                  <w:pPr>
                    <w:pStyle w:val="48"/>
                    <w:rPr>
                      <w:rFonts w:hint="default" w:ascii="Times New Roman" w:hAnsi="Times New Roman" w:cs="Times New Roman"/>
                      <w:color w:val="auto"/>
                      <w:lang w:eastAsia="zh-CN"/>
                    </w:rPr>
                  </w:pPr>
                  <w:r>
                    <w:rPr>
                      <w:rFonts w:hint="default" w:ascii="Times New Roman" w:hAnsi="Times New Roman" w:cs="Times New Roman"/>
                      <w:color w:val="auto"/>
                      <w:lang w:val="en-US" w:eastAsia="zh-CN"/>
                    </w:rPr>
                    <w:t>符合</w:t>
                  </w:r>
                </w:p>
              </w:tc>
            </w:tr>
          </w:tbl>
          <w:p w14:paraId="67116285">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综合以上分析判定结果，本项目</w:t>
            </w:r>
            <w:r>
              <w:rPr>
                <w:rFonts w:hint="default" w:ascii="Times New Roman" w:hAnsi="Times New Roman" w:eastAsia="宋体" w:cs="Times New Roman"/>
                <w:color w:val="auto"/>
                <w:sz w:val="24"/>
                <w:highlight w:val="none"/>
                <w:lang w:eastAsia="zh-CN"/>
              </w:rPr>
              <w:t>符合</w:t>
            </w:r>
            <w:r>
              <w:rPr>
                <w:rFonts w:hint="default" w:ascii="Times New Roman" w:hAnsi="Times New Roman" w:eastAsia="宋体" w:cs="Times New Roman"/>
                <w:color w:val="auto"/>
                <w:sz w:val="24"/>
                <w:highlight w:val="none"/>
                <w:lang w:val="en-US" w:eastAsia="zh-CN"/>
              </w:rPr>
              <w:t>《巴音郭楞蒙古自治州“三线一单”生态环境分区管控动态更新成果（2023）》</w:t>
            </w:r>
            <w:r>
              <w:rPr>
                <w:rFonts w:hint="default" w:ascii="Times New Roman" w:hAnsi="Times New Roman" w:eastAsia="宋体" w:cs="Times New Roman"/>
                <w:color w:val="auto"/>
                <w:sz w:val="24"/>
                <w:highlight w:val="none"/>
              </w:rPr>
              <w:t>文件</w:t>
            </w:r>
            <w:r>
              <w:rPr>
                <w:rFonts w:hint="default" w:ascii="Times New Roman" w:hAnsi="Times New Roman" w:eastAsia="宋体" w:cs="Times New Roman"/>
                <w:color w:val="auto"/>
                <w:sz w:val="24"/>
                <w:highlight w:val="none"/>
                <w:lang w:eastAsia="zh-CN"/>
              </w:rPr>
              <w:t>要求</w:t>
            </w:r>
            <w:r>
              <w:rPr>
                <w:rFonts w:hint="default" w:ascii="Times New Roman" w:hAnsi="Times New Roman" w:eastAsia="宋体" w:cs="Times New Roman"/>
                <w:color w:val="auto"/>
                <w:sz w:val="24"/>
                <w:highlight w:val="none"/>
              </w:rPr>
              <w:t>。</w:t>
            </w:r>
          </w:p>
          <w:p w14:paraId="62DA8C72">
            <w:pPr>
              <w:pStyle w:val="45"/>
              <w:rPr>
                <w:rFonts w:hint="default"/>
                <w:color w:val="auto"/>
              </w:rPr>
            </w:pPr>
            <w:r>
              <w:rPr>
                <w:rFonts w:hint="eastAsia"/>
                <w:color w:val="auto"/>
                <w:lang w:val="en-US" w:eastAsia="zh-CN"/>
              </w:rPr>
              <w:t>3</w:t>
            </w:r>
            <w:r>
              <w:rPr>
                <w:rFonts w:hint="default"/>
                <w:color w:val="auto"/>
              </w:rPr>
              <w:t>环境管理政策</w:t>
            </w:r>
            <w:r>
              <w:rPr>
                <w:rFonts w:hint="eastAsia"/>
                <w:color w:val="auto"/>
                <w:lang w:eastAsia="zh-CN"/>
              </w:rPr>
              <w:t>、</w:t>
            </w:r>
            <w:r>
              <w:rPr>
                <w:rFonts w:hint="eastAsia"/>
                <w:color w:val="auto"/>
                <w:lang w:val="en-US" w:eastAsia="zh-CN"/>
              </w:rPr>
              <w:t>环境保护规划</w:t>
            </w:r>
            <w:r>
              <w:rPr>
                <w:rFonts w:hint="default"/>
                <w:color w:val="auto"/>
              </w:rPr>
              <w:t>相符性分析</w:t>
            </w:r>
          </w:p>
          <w:p w14:paraId="59B5E899">
            <w:pPr>
              <w:pStyle w:val="46"/>
              <w:bidi w:val="0"/>
              <w:rPr>
                <w:rFonts w:hint="default"/>
                <w:b/>
                <w:bCs/>
                <w:color w:val="auto"/>
              </w:rPr>
            </w:pPr>
            <w:r>
              <w:rPr>
                <w:rFonts w:hint="eastAsia"/>
                <w:b/>
                <w:bCs/>
                <w:color w:val="auto"/>
                <w:lang w:val="en-US" w:eastAsia="zh-CN"/>
              </w:rPr>
              <w:t>3.1</w:t>
            </w:r>
            <w:r>
              <w:rPr>
                <w:rFonts w:hint="eastAsia"/>
                <w:b/>
                <w:bCs/>
                <w:color w:val="auto"/>
                <w:lang w:eastAsia="zh-CN"/>
              </w:rPr>
              <w:t>项目与</w:t>
            </w:r>
            <w:r>
              <w:rPr>
                <w:rFonts w:hint="default"/>
                <w:b/>
                <w:bCs/>
                <w:color w:val="auto"/>
              </w:rPr>
              <w:t>《新疆维吾尔自治区重点行业生态环境准入条件（2024年）》符合性分析</w:t>
            </w:r>
          </w:p>
          <w:p w14:paraId="06A83719">
            <w:pPr>
              <w:pStyle w:val="46"/>
              <w:bidi w:val="0"/>
              <w:rPr>
                <w:rFonts w:hint="default"/>
                <w:color w:val="auto"/>
              </w:rPr>
            </w:pPr>
            <w:r>
              <w:rPr>
                <w:rFonts w:hint="default"/>
                <w:color w:val="auto"/>
              </w:rPr>
              <w:t>根据《新疆维吾尔自治区重点行业生态环境准入条件（2024年）》</w:t>
            </w:r>
            <w:r>
              <w:rPr>
                <w:rFonts w:hint="eastAsia"/>
                <w:color w:val="auto"/>
                <w:lang w:eastAsia="zh-CN"/>
              </w:rPr>
              <w:t>，</w:t>
            </w:r>
            <w:r>
              <w:rPr>
                <w:rFonts w:hint="default"/>
                <w:color w:val="auto"/>
                <w:lang w:eastAsia="zh-CN"/>
              </w:rPr>
              <w:t>禁止在自然保护区、世界自然遗产地、风景名胜区、自然公园（森林公园、地质公园、湿地公园、沙漠公园等）、重要湿地、饮用水水源保护区等依法划定禁止开发建设的环境敏感区及其它法律法规规章禁止的区域进行污染环境的任何开发活动。</w:t>
            </w:r>
          </w:p>
          <w:p w14:paraId="4C8AB160">
            <w:pPr>
              <w:pStyle w:val="46"/>
              <w:bidi w:val="0"/>
              <w:rPr>
                <w:rFonts w:hint="eastAsia"/>
                <w:color w:val="auto"/>
                <w:lang w:eastAsia="zh-CN"/>
              </w:rPr>
            </w:pPr>
            <w:r>
              <w:rPr>
                <w:rFonts w:hint="default"/>
                <w:color w:val="auto"/>
              </w:rPr>
              <w:t>根据现场勘查，</w:t>
            </w:r>
            <w:r>
              <w:rPr>
                <w:rFonts w:hint="default"/>
                <w:color w:val="auto"/>
                <w:lang w:eastAsia="zh-CN"/>
              </w:rPr>
              <w:t>勘探</w:t>
            </w:r>
            <w:r>
              <w:rPr>
                <w:rFonts w:hint="default"/>
                <w:color w:val="auto"/>
              </w:rPr>
              <w:t>区</w:t>
            </w:r>
            <w:r>
              <w:rPr>
                <w:rFonts w:hint="default"/>
                <w:color w:val="auto"/>
                <w:lang w:eastAsia="zh-CN"/>
              </w:rPr>
              <w:t>不涉及自然保护区、世界自然遗产地、风景名胜区、森林公园、地质公园、重要湿地、饮用水水源保护区等重点保护区域，</w:t>
            </w:r>
            <w:r>
              <w:rPr>
                <w:rFonts w:hint="default"/>
                <w:color w:val="auto"/>
              </w:rPr>
              <w:t>因此本项目选址符合《新疆维吾尔自治区重点行业生态环境准入条件（2024年）》的相关要求</w:t>
            </w:r>
            <w:r>
              <w:rPr>
                <w:rFonts w:hint="eastAsia"/>
                <w:color w:val="auto"/>
                <w:lang w:eastAsia="zh-CN"/>
              </w:rPr>
              <w:t>。</w:t>
            </w:r>
          </w:p>
          <w:p w14:paraId="65F03888">
            <w:pPr>
              <w:pStyle w:val="46"/>
              <w:numPr>
                <w:ilvl w:val="0"/>
                <w:numId w:val="0"/>
              </w:numPr>
              <w:bidi w:val="0"/>
              <w:ind w:firstLine="482" w:firstLineChars="200"/>
              <w:rPr>
                <w:rFonts w:hint="default"/>
                <w:b/>
                <w:bCs/>
                <w:color w:val="auto"/>
              </w:rPr>
            </w:pPr>
            <w:r>
              <w:rPr>
                <w:rFonts w:hint="eastAsia" w:cs="宋体"/>
                <w:b/>
                <w:bCs/>
                <w:color w:val="auto"/>
                <w:kern w:val="0"/>
                <w:sz w:val="24"/>
                <w:szCs w:val="24"/>
                <w:lang w:val="en-US" w:eastAsia="zh-CN" w:bidi="ar-SA"/>
              </w:rPr>
              <w:t>3.2项目与</w:t>
            </w:r>
            <w:r>
              <w:rPr>
                <w:rFonts w:hint="eastAsia"/>
                <w:b/>
                <w:bCs/>
                <w:color w:val="auto"/>
              </w:rPr>
              <w:t>《新疆生态环境保护“十四五”规划》符合性分析</w:t>
            </w:r>
          </w:p>
          <w:p w14:paraId="2718D08D">
            <w:pPr>
              <w:pStyle w:val="46"/>
              <w:bidi w:val="0"/>
              <w:rPr>
                <w:rFonts w:hint="eastAsia"/>
                <w:color w:val="auto"/>
                <w:lang w:eastAsia="zh-CN"/>
              </w:rPr>
            </w:pPr>
            <w:r>
              <w:rPr>
                <w:rFonts w:hint="eastAsia"/>
                <w:color w:val="auto"/>
                <w:lang w:eastAsia="zh-CN"/>
              </w:rPr>
              <w:t>健全国土空间开发保护制度。完善国土空间规划体系，划定并严格落实“三区三线”，明晰生态、农业、城镇三类空间及生态保护红线、永久基本农田、城镇开发边界三条控制线，持续优化城市化地区、农产品产区、生态功能区布局。严格落实国家绿色产业指导目录标准，依法依规把好土地审批供应关，加强建设用地准入监管。全面推进绿色矿山建设，规范绿色矿山第三方评估，推广矿产资源节约与综合利用先进技术。</w:t>
            </w:r>
          </w:p>
          <w:p w14:paraId="4BDCA100">
            <w:pPr>
              <w:pStyle w:val="46"/>
              <w:bidi w:val="0"/>
              <w:rPr>
                <w:rFonts w:hint="eastAsia"/>
                <w:color w:val="auto"/>
                <w:lang w:eastAsia="zh-CN"/>
              </w:rPr>
            </w:pPr>
            <w:r>
              <w:rPr>
                <w:rFonts w:hint="eastAsia"/>
                <w:color w:val="auto"/>
                <w:lang w:eastAsia="zh-CN"/>
              </w:rPr>
              <w:t>本项目已依法取得探矿权，</w:t>
            </w:r>
            <w:r>
              <w:rPr>
                <w:rFonts w:hint="eastAsia"/>
                <w:color w:val="auto"/>
                <w:lang w:val="en-US" w:eastAsia="zh-CN"/>
              </w:rPr>
              <w:t>探</w:t>
            </w:r>
            <w:r>
              <w:rPr>
                <w:rFonts w:hint="eastAsia"/>
                <w:color w:val="auto"/>
                <w:highlight w:val="none"/>
                <w:lang w:val="en-US" w:eastAsia="zh-CN"/>
              </w:rPr>
              <w:t>矿证号为T6528002024127040058244，</w:t>
            </w:r>
            <w:r>
              <w:rPr>
                <w:rFonts w:hint="eastAsia"/>
                <w:color w:val="auto"/>
                <w:lang w:eastAsia="zh-CN"/>
              </w:rPr>
              <w:t>在探矿权范围内开展勘探活动，项目用地不在生态保护红线内</w:t>
            </w:r>
            <w:r>
              <w:rPr>
                <w:rFonts w:hint="eastAsia"/>
                <w:color w:val="auto"/>
                <w:lang w:val="en-US" w:eastAsia="zh-CN"/>
              </w:rPr>
              <w:t>。在勘查过程中严格控制勘查范围，严禁超范围施工，采取相关的水土保持措施。项目</w:t>
            </w:r>
            <w:r>
              <w:rPr>
                <w:rFonts w:hint="eastAsia"/>
                <w:color w:val="auto"/>
                <w:lang w:eastAsia="zh-CN"/>
              </w:rPr>
              <w:t>占地均为临时占地，待勘探工程结束后，恢复原有地形地貌。符合《新疆生态环境保护“十四五”规划》的要求。</w:t>
            </w:r>
          </w:p>
          <w:p w14:paraId="1DCB0778">
            <w:pPr>
              <w:pStyle w:val="46"/>
              <w:bidi w:val="0"/>
              <w:rPr>
                <w:rFonts w:hint="eastAsia"/>
                <w:b/>
                <w:bCs/>
                <w:color w:val="auto"/>
                <w:lang w:eastAsia="zh-CN"/>
              </w:rPr>
            </w:pPr>
            <w:r>
              <w:rPr>
                <w:rFonts w:hint="eastAsia"/>
                <w:b/>
                <w:bCs/>
                <w:color w:val="auto"/>
                <w:lang w:val="en-US" w:eastAsia="zh-CN"/>
              </w:rPr>
              <w:t>3.3</w:t>
            </w:r>
            <w:r>
              <w:rPr>
                <w:rFonts w:hint="eastAsia"/>
                <w:b/>
                <w:bCs/>
                <w:color w:val="auto"/>
                <w:lang w:eastAsia="zh-CN"/>
              </w:rPr>
              <w:t>自然资源部、国家林草局《关于〈在新一轮找矿突破战略行动中全面实施绿色勘查〉的通知》符合性分析</w:t>
            </w:r>
          </w:p>
          <w:p w14:paraId="49C78EFA">
            <w:pPr>
              <w:pStyle w:val="46"/>
              <w:bidi w:val="0"/>
              <w:rPr>
                <w:rFonts w:hint="eastAsia"/>
                <w:color w:val="auto"/>
                <w:lang w:eastAsia="zh-CN"/>
              </w:rPr>
            </w:pPr>
            <w:r>
              <w:rPr>
                <w:rFonts w:hint="eastAsia"/>
                <w:color w:val="auto"/>
                <w:lang w:val="en-US" w:eastAsia="zh-CN"/>
              </w:rPr>
              <w:t>①</w:t>
            </w:r>
            <w:r>
              <w:rPr>
                <w:rFonts w:hint="eastAsia"/>
                <w:color w:val="auto"/>
                <w:lang w:eastAsia="zh-CN"/>
              </w:rPr>
              <w:t>地质勘查全行业要深入学习贯彻习近平生态文明思想，牢固树立和践行“绿水青山就是金山银山”的理念，全面实施绿色勘查，严格执行绿色勘查有关标准规范，全面提升绿色勘查技术方法、装备水平，高质量完成新一轮找矿突破战略行动目标。</w:t>
            </w:r>
          </w:p>
          <w:p w14:paraId="03A86C72">
            <w:pPr>
              <w:pStyle w:val="46"/>
              <w:bidi w:val="0"/>
              <w:rPr>
                <w:rFonts w:hint="eastAsia"/>
                <w:color w:val="auto"/>
                <w:lang w:eastAsia="zh-CN"/>
              </w:rPr>
            </w:pPr>
            <w:r>
              <w:rPr>
                <w:rFonts w:hint="eastAsia"/>
                <w:color w:val="auto"/>
                <w:lang w:val="en-US" w:eastAsia="zh-CN"/>
              </w:rPr>
              <w:t>②</w:t>
            </w:r>
            <w:r>
              <w:rPr>
                <w:rFonts w:hint="eastAsia"/>
                <w:color w:val="auto"/>
                <w:lang w:eastAsia="zh-CN"/>
              </w:rPr>
              <w:t>新出让的探矿权，要将矿业权人绿色勘查义务在合同中载明，并在勘查实施方案评审中，对绿色勘查措施进行严格把关，促进矿业权人落实绿色勘查各项规定和要求。</w:t>
            </w:r>
          </w:p>
          <w:p w14:paraId="3627D42A">
            <w:pPr>
              <w:pStyle w:val="46"/>
              <w:bidi w:val="0"/>
              <w:rPr>
                <w:rFonts w:hint="eastAsia"/>
                <w:color w:val="auto"/>
                <w:lang w:eastAsia="zh-CN"/>
              </w:rPr>
            </w:pPr>
            <w:r>
              <w:rPr>
                <w:rFonts w:hint="eastAsia"/>
                <w:color w:val="auto"/>
                <w:lang w:val="en-US" w:eastAsia="zh-CN"/>
              </w:rPr>
              <w:t>③</w:t>
            </w:r>
            <w:r>
              <w:rPr>
                <w:rFonts w:hint="eastAsia"/>
                <w:color w:val="auto"/>
                <w:lang w:eastAsia="zh-CN"/>
              </w:rPr>
              <w:t>地勘单位和矿山企业要在新一轮找矿突破战略行动有关地质勘查项目实施中，优先采用遥感、化探等对环境影响小的地质勘查方法，必要的坑探、槽探、钻探、硐探要符合绿色勘查有关标准规范。在森林、草原、湿地地区尽可能减少使用坑探、槽探，鼓励使用以钻代槽、一基多孔等探矿手段。</w:t>
            </w:r>
          </w:p>
          <w:p w14:paraId="2FD80E29">
            <w:pPr>
              <w:pStyle w:val="46"/>
              <w:bidi w:val="0"/>
              <w:rPr>
                <w:rFonts w:hint="eastAsia"/>
                <w:color w:val="auto"/>
                <w:lang w:eastAsia="zh-CN"/>
              </w:rPr>
            </w:pPr>
            <w:r>
              <w:rPr>
                <w:rFonts w:hint="eastAsia"/>
                <w:color w:val="auto"/>
                <w:lang w:val="en-US" w:eastAsia="zh-CN"/>
              </w:rPr>
              <w:t>④</w:t>
            </w:r>
            <w:r>
              <w:rPr>
                <w:rFonts w:hint="eastAsia"/>
                <w:color w:val="auto"/>
                <w:lang w:eastAsia="zh-CN"/>
              </w:rPr>
              <w:t>各地要严格落实好生态环境保护有关规定和要求，勘查工作结束后，项目承担单位要及时撤除各项设施，严格按照废弃物清理有关国家标准清理施工现场各种废物、垃圾等，严格按照绿色勘查有关标准规范和勘查实施方案要求处理新建道路、施工产生的坑、沟等，严格按照森林、草原、湿地、防沙治沙有关法律法规和标准规范在规定时间内做好复绿、复植等。</w:t>
            </w:r>
          </w:p>
          <w:p w14:paraId="60EB1F52">
            <w:pPr>
              <w:pStyle w:val="46"/>
              <w:bidi w:val="0"/>
              <w:rPr>
                <w:rFonts w:hint="default"/>
                <w:color w:val="auto"/>
                <w:lang w:val="en-US" w:eastAsia="zh-CN"/>
              </w:rPr>
            </w:pPr>
            <w:r>
              <w:rPr>
                <w:rFonts w:hint="eastAsia"/>
                <w:color w:val="auto"/>
                <w:lang w:val="en-US" w:eastAsia="zh-CN"/>
              </w:rPr>
              <w:t>本项目施工布置及施工遵循“从已知到未知，由表及里，由浅入深，由稀到密”原则。前期充分收集已有地质资料，运用地理信息系统（GIS）、遥感（RS）等技术，进行综合分析和研究，优化勘查工作布局，减少不必要的勘查活动对环境的影响。采用地质测量、槽探等工作手段开展详查评价。通过运用高效、环保的方法、技术、设备等，在地质勘查各方面和全过程中减少或控制对生态环境的影响。在勘查结束后按照相关要求撤除各项设施，清理施工现场各种废物、垃圾，及时对开挖工程进行回填，开展植被恢复工作，最大限度减少人为破坏，践行“绿水青山就是金山银山”的理念，实现绿色勘查。符合绿色勘查要求。</w:t>
            </w:r>
          </w:p>
          <w:p w14:paraId="5076E309">
            <w:pPr>
              <w:pStyle w:val="46"/>
              <w:bidi w:val="0"/>
              <w:rPr>
                <w:rFonts w:hint="eastAsia"/>
                <w:b/>
                <w:bCs/>
                <w:color w:val="auto"/>
                <w:lang w:val="en-US" w:eastAsia="zh-CN"/>
              </w:rPr>
            </w:pPr>
            <w:r>
              <w:rPr>
                <w:rFonts w:hint="eastAsia"/>
                <w:b/>
                <w:bCs/>
                <w:color w:val="auto"/>
                <w:lang w:val="en-US" w:eastAsia="zh-CN"/>
              </w:rPr>
              <w:t>3.4《新疆维吾尔自治区2025年空气质量持续改善行动实施方案》（新政办发〔2024〕58号）符合性分析。</w:t>
            </w:r>
          </w:p>
          <w:p w14:paraId="25D9465B">
            <w:pPr>
              <w:pStyle w:val="46"/>
              <w:bidi w:val="0"/>
              <w:rPr>
                <w:rFonts w:hint="default"/>
                <w:color w:val="auto"/>
                <w:lang w:val="en-US" w:eastAsia="zh-CN"/>
              </w:rPr>
            </w:pPr>
            <w:r>
              <w:rPr>
                <w:rFonts w:hint="default"/>
                <w:color w:val="auto"/>
                <w:lang w:val="en-US" w:eastAsia="zh-CN"/>
              </w:rPr>
              <w:t>推进矿山生态环境综合整治。根据安全生产、水土保持、生态环境等要求，新建矿山按照绿色矿山标准规划、设计、建设和运行管理，鼓励同步建设铁路专用线或采用其他清洁运输方式；推进生产矿山绿色矿山建设，依法关闭限期整改仍不达标矿山。沙化土地范围内矿产资源开发建设项目加强防沙治沙工作。</w:t>
            </w:r>
          </w:p>
          <w:p w14:paraId="4D2A2E43">
            <w:pPr>
              <w:pStyle w:val="46"/>
              <w:bidi w:val="0"/>
              <w:rPr>
                <w:rFonts w:hint="default"/>
                <w:color w:val="auto"/>
                <w:lang w:val="en-US" w:eastAsia="zh-CN"/>
              </w:rPr>
            </w:pPr>
            <w:r>
              <w:rPr>
                <w:rFonts w:hint="default"/>
                <w:color w:val="auto"/>
                <w:lang w:val="en-US" w:eastAsia="zh-CN"/>
              </w:rPr>
              <w:t>本项目属于矿产资源勘查项目，不涉及矿产资源的开采，勘探区采用边开挖、边回填、边复垦的勘探方式，</w:t>
            </w:r>
            <w:r>
              <w:rPr>
                <w:rFonts w:hint="eastAsia"/>
                <w:color w:val="auto"/>
                <w:lang w:val="en-US" w:eastAsia="zh-CN"/>
              </w:rPr>
              <w:t>项目区属于非沙化土地，在勘查过程中加强防沙治沙工作，防止从非沙化土地转变为沙化土地</w:t>
            </w:r>
            <w:r>
              <w:rPr>
                <w:rFonts w:hint="default"/>
                <w:color w:val="auto"/>
                <w:lang w:val="en-US" w:eastAsia="zh-CN"/>
              </w:rPr>
              <w:t>。</w:t>
            </w:r>
            <w:r>
              <w:rPr>
                <w:rFonts w:hint="eastAsia"/>
                <w:color w:val="auto"/>
                <w:lang w:val="en-US" w:eastAsia="zh-CN"/>
              </w:rPr>
              <w:t>符合相关要求。</w:t>
            </w:r>
          </w:p>
          <w:p w14:paraId="2B1F76B3">
            <w:pPr>
              <w:pStyle w:val="46"/>
              <w:keepNext w:val="0"/>
              <w:keepLines w:val="0"/>
              <w:pageBreakBefore w:val="0"/>
              <w:widowControl w:val="0"/>
              <w:numPr>
                <w:ilvl w:val="0"/>
                <w:numId w:val="0"/>
              </w:numPr>
              <w:kinsoku/>
              <w:wordWrap w:val="0"/>
              <w:overflowPunct/>
              <w:topLinePunct w:val="0"/>
              <w:autoSpaceDE/>
              <w:autoSpaceDN/>
              <w:bidi w:val="0"/>
              <w:adjustRightInd w:val="0"/>
              <w:snapToGrid w:val="0"/>
              <w:ind w:firstLine="482" w:firstLineChars="200"/>
              <w:textAlignment w:val="auto"/>
              <w:rPr>
                <w:rFonts w:hint="eastAsia"/>
                <w:b/>
                <w:bCs/>
                <w:color w:val="auto"/>
                <w:lang w:val="en-US" w:eastAsia="zh-CN"/>
              </w:rPr>
            </w:pPr>
            <w:r>
              <w:rPr>
                <w:rFonts w:hint="eastAsia"/>
                <w:b/>
                <w:bCs/>
                <w:color w:val="auto"/>
                <w:lang w:val="en-US" w:eastAsia="zh-CN"/>
              </w:rPr>
              <w:t>3.5《绿色地质勘查工作规范》（DZ/T0374-2021）符合性分析</w:t>
            </w:r>
          </w:p>
          <w:p w14:paraId="49B790D9">
            <w:pPr>
              <w:pStyle w:val="46"/>
              <w:keepNext w:val="0"/>
              <w:keepLines w:val="0"/>
              <w:pageBreakBefore w:val="0"/>
              <w:widowControl w:val="0"/>
              <w:numPr>
                <w:ilvl w:val="0"/>
                <w:numId w:val="0"/>
              </w:numPr>
              <w:kinsoku/>
              <w:wordWrap w:val="0"/>
              <w:overflowPunct/>
              <w:topLinePunct w:val="0"/>
              <w:autoSpaceDE/>
              <w:autoSpaceDN/>
              <w:bidi w:val="0"/>
              <w:adjustRightInd w:val="0"/>
              <w:snapToGrid w:val="0"/>
              <w:ind w:firstLine="480" w:firstLineChars="200"/>
              <w:textAlignment w:val="auto"/>
              <w:rPr>
                <w:rFonts w:hint="eastAsia"/>
                <w:color w:val="auto"/>
                <w:lang w:val="en-US" w:eastAsia="zh-CN"/>
              </w:rPr>
            </w:pPr>
            <w:r>
              <w:rPr>
                <w:rFonts w:hint="eastAsia"/>
                <w:color w:val="auto"/>
                <w:lang w:val="en-US" w:eastAsia="zh-CN"/>
              </w:rPr>
              <w:t>地质勘查工作前，应对工作人员进行绿色勘查培训，强化生态环境保护意识，掌握绿色勘查要求，地质调查工作实施中应保留绿色勘查相关记录。新修道路、驻地及探矿工程场地平整施工。绿色勘查工作质量检查应与项目工作质量检查同步开展，发现问题及时整改。地质勘查工作施工后，应按照地质勘查设计中绿色勘查内容要求，开展环境修复工作。地质勘察单位应对其开展勘查工作受影响的区域生态环境修复负责。</w:t>
            </w:r>
          </w:p>
          <w:p w14:paraId="7E53444F">
            <w:pPr>
              <w:pStyle w:val="46"/>
              <w:keepNext w:val="0"/>
              <w:keepLines w:val="0"/>
              <w:pageBreakBefore w:val="0"/>
              <w:widowControl w:val="0"/>
              <w:numPr>
                <w:ilvl w:val="0"/>
                <w:numId w:val="0"/>
              </w:numPr>
              <w:kinsoku/>
              <w:wordWrap w:val="0"/>
              <w:overflowPunct/>
              <w:topLinePunct w:val="0"/>
              <w:autoSpaceDE/>
              <w:autoSpaceDN/>
              <w:bidi w:val="0"/>
              <w:adjustRightInd w:val="0"/>
              <w:snapToGrid w:val="0"/>
              <w:ind w:firstLine="480" w:firstLineChars="200"/>
              <w:textAlignment w:val="auto"/>
              <w:rPr>
                <w:rFonts w:hint="eastAsia"/>
                <w:color w:val="auto"/>
                <w:lang w:val="en-US" w:eastAsia="zh-CN"/>
              </w:rPr>
            </w:pPr>
            <w:r>
              <w:rPr>
                <w:rFonts w:hint="eastAsia"/>
                <w:color w:val="auto"/>
                <w:lang w:val="en-US" w:eastAsia="zh-CN"/>
              </w:rPr>
              <w:t>本项目</w:t>
            </w:r>
            <w:r>
              <w:rPr>
                <w:rFonts w:hint="default"/>
                <w:color w:val="auto"/>
                <w:lang w:val="en-US" w:eastAsia="zh-CN"/>
              </w:rPr>
              <w:t>在</w:t>
            </w:r>
            <w:r>
              <w:rPr>
                <w:rFonts w:hint="eastAsia"/>
                <w:color w:val="auto"/>
                <w:lang w:val="en-US" w:eastAsia="zh-CN"/>
              </w:rPr>
              <w:t>勘查工作前对工作人员进行绿色勘查培训。</w:t>
            </w:r>
            <w:r>
              <w:rPr>
                <w:rFonts w:hint="default"/>
                <w:color w:val="auto"/>
                <w:lang w:val="en-US" w:eastAsia="zh-CN"/>
              </w:rPr>
              <w:t>勘查过程中加强监督管理，提高勘查水平，本着谁施工、谁恢复、谁治理的原则。勘查完成后，对所破坏的环境进行恢复治理。</w:t>
            </w:r>
            <w:r>
              <w:rPr>
                <w:rFonts w:hint="eastAsia"/>
                <w:color w:val="auto"/>
                <w:lang w:val="en-US" w:eastAsia="zh-CN"/>
              </w:rPr>
              <w:t>符合绿色地质勘查工作规范。</w:t>
            </w:r>
          </w:p>
          <w:p w14:paraId="628ED433">
            <w:pPr>
              <w:pStyle w:val="46"/>
              <w:keepNext w:val="0"/>
              <w:keepLines w:val="0"/>
              <w:pageBreakBefore w:val="0"/>
              <w:widowControl w:val="0"/>
              <w:numPr>
                <w:ilvl w:val="0"/>
                <w:numId w:val="0"/>
              </w:numPr>
              <w:kinsoku/>
              <w:wordWrap w:val="0"/>
              <w:overflowPunct/>
              <w:topLinePunct w:val="0"/>
              <w:autoSpaceDE/>
              <w:autoSpaceDN/>
              <w:bidi w:val="0"/>
              <w:adjustRightInd w:val="0"/>
              <w:snapToGrid w:val="0"/>
              <w:ind w:firstLine="480" w:firstLineChars="200"/>
              <w:textAlignment w:val="auto"/>
              <w:rPr>
                <w:rFonts w:hint="eastAsia"/>
                <w:color w:val="auto"/>
                <w:lang w:val="en-US" w:eastAsia="zh-CN"/>
              </w:rPr>
            </w:pPr>
          </w:p>
        </w:tc>
      </w:tr>
    </w:tbl>
    <w:p w14:paraId="219C1F03">
      <w:pPr>
        <w:spacing w:line="360" w:lineRule="auto"/>
        <w:outlineLvl w:val="0"/>
        <w:rPr>
          <w:rFonts w:eastAsia="黑体"/>
          <w:color w:val="auto"/>
          <w:sz w:val="30"/>
        </w:rPr>
        <w:sectPr>
          <w:footerReference r:id="rId5" w:type="default"/>
          <w:pgSz w:w="11906" w:h="16838"/>
          <w:pgMar w:top="1701" w:right="1531" w:bottom="1701" w:left="1531" w:header="851" w:footer="1077" w:gutter="0"/>
          <w:pgNumType w:start="1"/>
          <w:cols w:space="720" w:num="1"/>
          <w:docGrid w:linePitch="312" w:charSpace="0"/>
        </w:sectPr>
      </w:pPr>
    </w:p>
    <w:p w14:paraId="1BA6DC67">
      <w:pPr>
        <w:pStyle w:val="17"/>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二、建设内容</w:t>
      </w:r>
    </w:p>
    <w:tbl>
      <w:tblPr>
        <w:tblStyle w:val="20"/>
        <w:tblW w:w="903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5"/>
        <w:gridCol w:w="8325"/>
      </w:tblGrid>
      <w:tr w14:paraId="35E562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705" w:type="dxa"/>
            <w:noWrap w:val="0"/>
            <w:vAlign w:val="center"/>
          </w:tcPr>
          <w:p w14:paraId="155634BF">
            <w:pPr>
              <w:adjustRightInd w:val="0"/>
              <w:snapToGrid w:val="0"/>
              <w:jc w:val="center"/>
              <w:rPr>
                <w:rFonts w:ascii="宋体" w:hAnsi="宋体" w:cs="宋体"/>
                <w:color w:val="auto"/>
                <w:kern w:val="0"/>
                <w:szCs w:val="21"/>
              </w:rPr>
            </w:pPr>
            <w:r>
              <w:rPr>
                <w:rFonts w:hint="eastAsia" w:ascii="宋体" w:hAnsi="宋体" w:cs="宋体"/>
                <w:color w:val="auto"/>
                <w:kern w:val="0"/>
                <w:szCs w:val="21"/>
              </w:rPr>
              <w:t>地理位置</w:t>
            </w:r>
          </w:p>
        </w:tc>
        <w:tc>
          <w:tcPr>
            <w:tcW w:w="8325" w:type="dxa"/>
            <w:noWrap w:val="0"/>
            <w:vAlign w:val="center"/>
          </w:tcPr>
          <w:p w14:paraId="632C5DE0">
            <w:pPr>
              <w:pStyle w:val="46"/>
              <w:bidi w:val="0"/>
              <w:rPr>
                <w:rFonts w:hint="default" w:ascii="Times New Roman" w:hAnsi="Times New Roman" w:eastAsia="宋体" w:cs="宋体"/>
                <w:color w:val="auto"/>
                <w:lang w:val="en-US" w:eastAsia="zh-CN"/>
              </w:rPr>
            </w:pPr>
            <w:r>
              <w:rPr>
                <w:rFonts w:hint="eastAsia"/>
                <w:color w:val="auto"/>
              </w:rPr>
              <w:t>勘探区位于</w:t>
            </w:r>
            <w:r>
              <w:rPr>
                <w:rFonts w:hint="eastAsia"/>
                <w:color w:val="auto"/>
                <w:lang w:val="en-US" w:eastAsia="zh-CN"/>
              </w:rPr>
              <w:t>且末县城东南95°方向约122km处</w:t>
            </w:r>
            <w:r>
              <w:rPr>
                <w:rFonts w:hint="eastAsia"/>
                <w:color w:val="auto"/>
                <w:lang w:eastAsia="zh-CN"/>
              </w:rPr>
              <w:t>，</w:t>
            </w:r>
            <w:r>
              <w:rPr>
                <w:rFonts w:hint="eastAsia"/>
                <w:color w:val="auto"/>
              </w:rPr>
              <w:t>行政区划属</w:t>
            </w:r>
            <w:r>
              <w:rPr>
                <w:rFonts w:hint="eastAsia"/>
                <w:color w:val="auto"/>
                <w:lang w:val="en-US" w:eastAsia="zh-CN"/>
              </w:rPr>
              <w:t>且末县库拉木勒克乡</w:t>
            </w:r>
            <w:r>
              <w:rPr>
                <w:rFonts w:hint="eastAsia"/>
                <w:color w:val="auto"/>
              </w:rPr>
              <w:t>管辖，</w:t>
            </w:r>
            <w:r>
              <w:rPr>
                <w:rFonts w:hint="eastAsia"/>
                <w:color w:val="auto"/>
                <w:lang w:val="en-US" w:eastAsia="zh-CN"/>
              </w:rPr>
              <w:t>中</w:t>
            </w:r>
            <w:r>
              <w:rPr>
                <w:rFonts w:hint="default" w:ascii="Times New Roman" w:hAnsi="Times New Roman" w:cs="Times New Roman"/>
                <w:color w:val="auto"/>
                <w:lang w:val="en-US" w:eastAsia="zh-CN"/>
              </w:rPr>
              <w:t>心点坐标：东经86°56′8.727″，北纬38°6′44.227″，</w:t>
            </w:r>
            <w:r>
              <w:rPr>
                <w:rFonts w:hint="default" w:ascii="Times New Roman" w:hAnsi="Times New Roman" w:cs="Times New Roman"/>
                <w:color w:val="auto"/>
              </w:rPr>
              <w:t>探矿权范</w:t>
            </w:r>
            <w:bookmarkStart w:id="19" w:name="_GoBack"/>
            <w:bookmarkEnd w:id="19"/>
            <w:r>
              <w:rPr>
                <w:rFonts w:hint="default" w:ascii="Times New Roman" w:hAnsi="Times New Roman" w:cs="Times New Roman"/>
                <w:color w:val="auto"/>
              </w:rPr>
              <w:t>围由</w:t>
            </w:r>
            <w:r>
              <w:rPr>
                <w:rFonts w:hint="eastAsia" w:ascii="Times New Roman" w:hAnsi="Times New Roman" w:cs="Times New Roman"/>
                <w:color w:val="auto"/>
                <w:lang w:val="en-US" w:eastAsia="zh-CN"/>
              </w:rPr>
              <w:t>5</w:t>
            </w:r>
            <w:r>
              <w:rPr>
                <w:rFonts w:hint="default" w:ascii="Times New Roman" w:hAnsi="Times New Roman" w:cs="Times New Roman"/>
                <w:color w:val="auto"/>
              </w:rPr>
              <w:t>个拐点坐标圈定，面积</w:t>
            </w:r>
            <w:r>
              <w:rPr>
                <w:rFonts w:hint="eastAsia" w:ascii="Times New Roman" w:hAnsi="Times New Roman" w:cs="Times New Roman"/>
                <w:color w:val="auto"/>
                <w:lang w:val="en-US" w:eastAsia="zh-CN"/>
              </w:rPr>
              <w:t>3.2</w:t>
            </w:r>
            <w:r>
              <w:rPr>
                <w:rFonts w:hint="default" w:ascii="Times New Roman" w:hAnsi="Times New Roman" w:cs="Times New Roman"/>
                <w:color w:val="auto"/>
              </w:rPr>
              <w:t>平方千米。</w:t>
            </w:r>
            <w:r>
              <w:rPr>
                <w:rFonts w:hint="default" w:ascii="Times New Roman" w:hAnsi="Times New Roman" w:cs="Times New Roman"/>
                <w:color w:val="auto"/>
                <w:lang w:val="en-US" w:eastAsia="zh-CN"/>
              </w:rPr>
              <w:t>拐点坐标见</w:t>
            </w:r>
            <w:r>
              <w:rPr>
                <w:rFonts w:hint="eastAsia"/>
                <w:color w:val="auto"/>
                <w:lang w:val="en-US" w:eastAsia="zh-CN"/>
              </w:rPr>
              <w:t>表2-1</w:t>
            </w:r>
            <w:r>
              <w:rPr>
                <w:rFonts w:hint="eastAsia" w:ascii="Times New Roman" w:hAnsi="Times New Roman" w:eastAsia="宋体" w:cs="宋体"/>
                <w:color w:val="auto"/>
                <w:lang w:val="en-US" w:eastAsia="zh-CN"/>
              </w:rPr>
              <w:t>。</w:t>
            </w:r>
          </w:p>
          <w:tbl>
            <w:tblPr>
              <w:tblStyle w:val="21"/>
              <w:tblpPr w:leftFromText="180" w:rightFromText="180" w:vertAnchor="text" w:horzAnchor="page" w:tblpX="125" w:tblpY="520"/>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2532"/>
              <w:gridCol w:w="2608"/>
              <w:gridCol w:w="1794"/>
            </w:tblGrid>
            <w:tr w14:paraId="27069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pct"/>
                  <w:vMerge w:val="restart"/>
                  <w:vAlign w:val="center"/>
                </w:tcPr>
                <w:p w14:paraId="395AFDC5">
                  <w:pPr>
                    <w:pStyle w:val="3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cs="Times New Roman"/>
                      <w:color w:val="auto"/>
                      <w:sz w:val="21"/>
                      <w:szCs w:val="21"/>
                    </w:rPr>
                    <w:t>序号</w:t>
                  </w:r>
                </w:p>
              </w:tc>
              <w:tc>
                <w:tcPr>
                  <w:tcW w:w="3173" w:type="pct"/>
                  <w:gridSpan w:val="2"/>
                  <w:vAlign w:val="center"/>
                </w:tcPr>
                <w:p w14:paraId="681C14C9">
                  <w:pPr>
                    <w:pStyle w:val="3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cs="Times New Roman"/>
                      <w:color w:val="auto"/>
                      <w:sz w:val="21"/>
                      <w:szCs w:val="21"/>
                    </w:rPr>
                    <w:t>CGCS2000坐标系统</w:t>
                  </w:r>
                </w:p>
              </w:tc>
              <w:tc>
                <w:tcPr>
                  <w:tcW w:w="1107" w:type="pct"/>
                  <w:vAlign w:val="center"/>
                </w:tcPr>
                <w:p w14:paraId="755E6DDF">
                  <w:pPr>
                    <w:pStyle w:val="39"/>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备注</w:t>
                  </w:r>
                </w:p>
              </w:tc>
            </w:tr>
            <w:tr w14:paraId="38C43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pct"/>
                  <w:vMerge w:val="continue"/>
                  <w:vAlign w:val="center"/>
                </w:tcPr>
                <w:p w14:paraId="11CDD6A1">
                  <w:pPr>
                    <w:pStyle w:val="39"/>
                    <w:rPr>
                      <w:rFonts w:hint="default" w:ascii="Times New Roman" w:hAnsi="Times New Roman" w:eastAsia="宋体" w:cs="Times New Roman"/>
                      <w:b/>
                      <w:bCs/>
                      <w:color w:val="auto"/>
                      <w:sz w:val="21"/>
                      <w:szCs w:val="21"/>
                      <w:vertAlign w:val="baseline"/>
                      <w:lang w:val="en-US" w:eastAsia="zh-CN"/>
                    </w:rPr>
                  </w:pPr>
                </w:p>
              </w:tc>
              <w:tc>
                <w:tcPr>
                  <w:tcW w:w="1563" w:type="pct"/>
                  <w:vAlign w:val="center"/>
                </w:tcPr>
                <w:p w14:paraId="306D9CCD">
                  <w:pPr>
                    <w:pStyle w:val="3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cs="Times New Roman"/>
                      <w:color w:val="auto"/>
                      <w:sz w:val="21"/>
                      <w:szCs w:val="21"/>
                    </w:rPr>
                    <w:t>经度</w:t>
                  </w:r>
                </w:p>
              </w:tc>
              <w:tc>
                <w:tcPr>
                  <w:tcW w:w="1609" w:type="pct"/>
                  <w:vAlign w:val="center"/>
                </w:tcPr>
                <w:p w14:paraId="6E034D0C">
                  <w:pPr>
                    <w:pStyle w:val="3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纬度</w:t>
                  </w:r>
                </w:p>
              </w:tc>
              <w:tc>
                <w:tcPr>
                  <w:tcW w:w="1107" w:type="pct"/>
                  <w:vMerge w:val="restart"/>
                  <w:vAlign w:val="center"/>
                </w:tcPr>
                <w:p w14:paraId="2583F999">
                  <w:pPr>
                    <w:pStyle w:val="39"/>
                    <w:rPr>
                      <w:rFonts w:hint="default" w:ascii="Times New Roman" w:hAnsi="Times New Roman" w:cs="Times New Roman"/>
                      <w:color w:val="auto"/>
                      <w:sz w:val="21"/>
                      <w:szCs w:val="21"/>
                    </w:rPr>
                  </w:pPr>
                  <w:r>
                    <w:rPr>
                      <w:rFonts w:hint="eastAsia" w:ascii="Times New Roman" w:cs="Times New Roman"/>
                      <w:color w:val="auto"/>
                      <w:sz w:val="21"/>
                      <w:szCs w:val="21"/>
                      <w:lang w:val="en-US" w:eastAsia="zh-CN"/>
                    </w:rPr>
                    <w:t>探矿权</w:t>
                  </w:r>
                  <w:r>
                    <w:rPr>
                      <w:rFonts w:hint="default" w:ascii="Times New Roman" w:hAnsi="Times New Roman" w:cs="Times New Roman"/>
                      <w:color w:val="auto"/>
                      <w:sz w:val="21"/>
                      <w:szCs w:val="21"/>
                    </w:rPr>
                    <w:t>面积</w:t>
                  </w:r>
                  <w:r>
                    <w:rPr>
                      <w:rFonts w:hint="eastAsia" w:ascii="Times New Roman" w:cs="Times New Roman"/>
                      <w:color w:val="auto"/>
                      <w:sz w:val="21"/>
                      <w:szCs w:val="21"/>
                      <w:lang w:val="en-US" w:eastAsia="zh-CN"/>
                    </w:rPr>
                    <w:t>3.2</w:t>
                  </w:r>
                  <w:r>
                    <w:rPr>
                      <w:rFonts w:hint="default" w:ascii="Times New Roman" w:hAnsi="Times New Roman" w:cs="Times New Roman"/>
                      <w:color w:val="auto"/>
                      <w:sz w:val="21"/>
                      <w:szCs w:val="21"/>
                    </w:rPr>
                    <w:t>平方</w:t>
                  </w:r>
                  <w:r>
                    <w:rPr>
                      <w:rFonts w:hint="default" w:ascii="Times New Roman" w:hAnsi="Times New Roman" w:cs="Times New Roman"/>
                      <w:color w:val="auto"/>
                      <w:sz w:val="21"/>
                      <w:szCs w:val="21"/>
                      <w:lang w:val="en-US" w:eastAsia="zh-CN"/>
                    </w:rPr>
                    <w:t>公里</w:t>
                  </w:r>
                </w:p>
              </w:tc>
            </w:tr>
            <w:tr w14:paraId="1B784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pct"/>
                  <w:vAlign w:val="center"/>
                </w:tcPr>
                <w:p w14:paraId="01E1F15F">
                  <w:pPr>
                    <w:pStyle w:val="3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cs="Times New Roman"/>
                      <w:color w:val="auto"/>
                      <w:sz w:val="21"/>
                      <w:szCs w:val="21"/>
                    </w:rPr>
                    <w:t>1</w:t>
                  </w:r>
                </w:p>
              </w:tc>
              <w:tc>
                <w:tcPr>
                  <w:tcW w:w="1563" w:type="pct"/>
                  <w:vAlign w:val="center"/>
                </w:tcPr>
                <w:p w14:paraId="4E72BB29">
                  <w:pPr>
                    <w:pStyle w:val="3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cs="Times New Roman"/>
                      <w:color w:val="auto"/>
                      <w:sz w:val="21"/>
                      <w:szCs w:val="21"/>
                    </w:rPr>
                    <w:t>86°55′30″</w:t>
                  </w:r>
                </w:p>
              </w:tc>
              <w:tc>
                <w:tcPr>
                  <w:tcW w:w="1609" w:type="pct"/>
                  <w:vAlign w:val="center"/>
                </w:tcPr>
                <w:p w14:paraId="70490979">
                  <w:pPr>
                    <w:pStyle w:val="3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38°07′12″</w:t>
                  </w:r>
                </w:p>
              </w:tc>
              <w:tc>
                <w:tcPr>
                  <w:tcW w:w="1107" w:type="pct"/>
                  <w:vMerge w:val="continue"/>
                  <w:vAlign w:val="center"/>
                </w:tcPr>
                <w:p w14:paraId="1390868D">
                  <w:pPr>
                    <w:pStyle w:val="39"/>
                    <w:rPr>
                      <w:rFonts w:hint="default" w:ascii="Times New Roman" w:hAnsi="Times New Roman" w:cs="Times New Roman"/>
                      <w:color w:val="auto"/>
                      <w:sz w:val="21"/>
                      <w:szCs w:val="21"/>
                    </w:rPr>
                  </w:pPr>
                </w:p>
              </w:tc>
            </w:tr>
            <w:tr w14:paraId="4DCC3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pct"/>
                  <w:vAlign w:val="center"/>
                </w:tcPr>
                <w:p w14:paraId="47A408A4">
                  <w:pPr>
                    <w:pStyle w:val="3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cs="Times New Roman"/>
                      <w:color w:val="auto"/>
                      <w:sz w:val="21"/>
                      <w:szCs w:val="21"/>
                    </w:rPr>
                    <w:t>2</w:t>
                  </w:r>
                </w:p>
              </w:tc>
              <w:tc>
                <w:tcPr>
                  <w:tcW w:w="1563" w:type="pct"/>
                  <w:vAlign w:val="center"/>
                </w:tcPr>
                <w:p w14:paraId="67E45D06">
                  <w:pPr>
                    <w:pStyle w:val="3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cs="Times New Roman"/>
                      <w:color w:val="auto"/>
                      <w:sz w:val="21"/>
                      <w:szCs w:val="21"/>
                    </w:rPr>
                    <w:t>86°56′49″</w:t>
                  </w:r>
                </w:p>
              </w:tc>
              <w:tc>
                <w:tcPr>
                  <w:tcW w:w="1609" w:type="pct"/>
                  <w:vAlign w:val="center"/>
                </w:tcPr>
                <w:p w14:paraId="4B2E873C">
                  <w:pPr>
                    <w:pStyle w:val="3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38°07′12″</w:t>
                  </w:r>
                </w:p>
              </w:tc>
              <w:tc>
                <w:tcPr>
                  <w:tcW w:w="1107" w:type="pct"/>
                  <w:vMerge w:val="continue"/>
                  <w:vAlign w:val="center"/>
                </w:tcPr>
                <w:p w14:paraId="4DE49349">
                  <w:pPr>
                    <w:pStyle w:val="39"/>
                    <w:rPr>
                      <w:rFonts w:hint="default" w:ascii="Times New Roman" w:hAnsi="Times New Roman" w:cs="Times New Roman"/>
                      <w:color w:val="auto"/>
                      <w:sz w:val="21"/>
                      <w:szCs w:val="21"/>
                    </w:rPr>
                  </w:pPr>
                </w:p>
              </w:tc>
            </w:tr>
            <w:tr w14:paraId="0C46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9" w:type="pct"/>
                  <w:vAlign w:val="center"/>
                </w:tcPr>
                <w:p w14:paraId="5133BA1B">
                  <w:pPr>
                    <w:pStyle w:val="3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cs="Times New Roman"/>
                      <w:color w:val="auto"/>
                      <w:sz w:val="21"/>
                      <w:szCs w:val="21"/>
                    </w:rPr>
                    <w:t>3</w:t>
                  </w:r>
                </w:p>
              </w:tc>
              <w:tc>
                <w:tcPr>
                  <w:tcW w:w="1563" w:type="pct"/>
                  <w:shd w:val="clear" w:color="auto" w:fill="auto"/>
                  <w:vAlign w:val="center"/>
                </w:tcPr>
                <w:p w14:paraId="5CDAD3D1">
                  <w:pPr>
                    <w:pStyle w:val="39"/>
                    <w:rPr>
                      <w:rFonts w:hint="default" w:ascii="Times New Roman" w:hAnsi="Times New Roman" w:eastAsia="宋体" w:cs="Times New Roman"/>
                      <w:b/>
                      <w:bCs/>
                      <w:color w:val="auto"/>
                      <w:kern w:val="0"/>
                      <w:sz w:val="21"/>
                      <w:szCs w:val="21"/>
                      <w:vertAlign w:val="baseline"/>
                      <w:lang w:val="en-US" w:eastAsia="zh-CN" w:bidi="ar-SA"/>
                    </w:rPr>
                  </w:pPr>
                  <w:r>
                    <w:rPr>
                      <w:rFonts w:hint="default" w:ascii="Times New Roman" w:hAnsi="Times New Roman" w:cs="Times New Roman"/>
                      <w:color w:val="auto"/>
                      <w:sz w:val="21"/>
                      <w:szCs w:val="21"/>
                    </w:rPr>
                    <w:t>86°56′49″</w:t>
                  </w:r>
                </w:p>
              </w:tc>
              <w:tc>
                <w:tcPr>
                  <w:tcW w:w="1609" w:type="pct"/>
                  <w:shd w:val="clear" w:color="auto" w:fill="auto"/>
                  <w:vAlign w:val="center"/>
                </w:tcPr>
                <w:p w14:paraId="1CC0CB12">
                  <w:pPr>
                    <w:pStyle w:val="39"/>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rPr>
                    <w:t>38°06′18″</w:t>
                  </w:r>
                </w:p>
              </w:tc>
              <w:tc>
                <w:tcPr>
                  <w:tcW w:w="1107" w:type="pct"/>
                  <w:vMerge w:val="continue"/>
                  <w:vAlign w:val="center"/>
                </w:tcPr>
                <w:p w14:paraId="3F2787ED">
                  <w:pPr>
                    <w:pStyle w:val="39"/>
                    <w:rPr>
                      <w:rFonts w:hint="default" w:ascii="Times New Roman" w:hAnsi="Times New Roman" w:cs="Times New Roman"/>
                      <w:color w:val="auto"/>
                      <w:sz w:val="21"/>
                      <w:szCs w:val="21"/>
                    </w:rPr>
                  </w:pPr>
                </w:p>
              </w:tc>
            </w:tr>
            <w:tr w14:paraId="7B5A1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pct"/>
                  <w:vAlign w:val="center"/>
                </w:tcPr>
                <w:p w14:paraId="7D5FE5CE">
                  <w:pPr>
                    <w:pStyle w:val="3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cs="Times New Roman"/>
                      <w:color w:val="auto"/>
                      <w:sz w:val="21"/>
                      <w:szCs w:val="21"/>
                    </w:rPr>
                    <w:t>4</w:t>
                  </w:r>
                </w:p>
              </w:tc>
              <w:tc>
                <w:tcPr>
                  <w:tcW w:w="1563" w:type="pct"/>
                  <w:vAlign w:val="center"/>
                </w:tcPr>
                <w:p w14:paraId="6FDB5AEB">
                  <w:pPr>
                    <w:pStyle w:val="3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86°55′30″</w:t>
                  </w:r>
                </w:p>
              </w:tc>
              <w:tc>
                <w:tcPr>
                  <w:tcW w:w="1609" w:type="pct"/>
                  <w:vAlign w:val="center"/>
                </w:tcPr>
                <w:p w14:paraId="1A81CCEC">
                  <w:pPr>
                    <w:pStyle w:val="3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38°06′18″</w:t>
                  </w:r>
                </w:p>
              </w:tc>
              <w:tc>
                <w:tcPr>
                  <w:tcW w:w="1107" w:type="pct"/>
                  <w:vMerge w:val="continue"/>
                  <w:vAlign w:val="center"/>
                </w:tcPr>
                <w:p w14:paraId="6620C6A4">
                  <w:pPr>
                    <w:pStyle w:val="39"/>
                    <w:rPr>
                      <w:rFonts w:hint="default" w:ascii="Times New Roman" w:hAnsi="Times New Roman" w:cs="Times New Roman"/>
                      <w:color w:val="auto"/>
                      <w:sz w:val="21"/>
                      <w:szCs w:val="21"/>
                    </w:rPr>
                  </w:pPr>
                </w:p>
              </w:tc>
            </w:tr>
            <w:tr w14:paraId="7EF48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pct"/>
                  <w:vAlign w:val="center"/>
                </w:tcPr>
                <w:p w14:paraId="4BA14C31">
                  <w:pPr>
                    <w:pStyle w:val="3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cs="Times New Roman"/>
                      <w:color w:val="auto"/>
                      <w:sz w:val="21"/>
                      <w:szCs w:val="21"/>
                    </w:rPr>
                    <w:t>5</w:t>
                  </w:r>
                </w:p>
              </w:tc>
              <w:tc>
                <w:tcPr>
                  <w:tcW w:w="2550" w:type="dxa"/>
                  <w:vAlign w:val="center"/>
                </w:tcPr>
                <w:p w14:paraId="394137AD">
                  <w:pPr>
                    <w:pStyle w:val="3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cs="Times New Roman"/>
                      <w:color w:val="auto"/>
                      <w:sz w:val="21"/>
                      <w:szCs w:val="21"/>
                    </w:rPr>
                    <w:t>86°55′30″</w:t>
                  </w:r>
                </w:p>
              </w:tc>
              <w:tc>
                <w:tcPr>
                  <w:tcW w:w="2626" w:type="dxa"/>
                  <w:vAlign w:val="center"/>
                </w:tcPr>
                <w:p w14:paraId="32BB5CA8">
                  <w:pPr>
                    <w:pStyle w:val="3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38°07′12″</w:t>
                  </w:r>
                </w:p>
              </w:tc>
              <w:tc>
                <w:tcPr>
                  <w:tcW w:w="1107" w:type="pct"/>
                  <w:vMerge w:val="continue"/>
                  <w:vAlign w:val="center"/>
                </w:tcPr>
                <w:p w14:paraId="6CAFE4D2">
                  <w:pPr>
                    <w:pStyle w:val="39"/>
                    <w:rPr>
                      <w:rFonts w:hint="default" w:ascii="Times New Roman" w:hAnsi="Times New Roman" w:cs="Times New Roman"/>
                      <w:color w:val="auto"/>
                      <w:sz w:val="21"/>
                      <w:szCs w:val="21"/>
                    </w:rPr>
                  </w:pPr>
                </w:p>
              </w:tc>
            </w:tr>
          </w:tbl>
          <w:p w14:paraId="1550FCF4">
            <w:pPr>
              <w:pStyle w:val="46"/>
              <w:bidi w:val="0"/>
              <w:ind w:left="0" w:leftChars="0" w:firstLine="0" w:firstLineChars="0"/>
              <w:jc w:val="center"/>
              <w:rPr>
                <w:rFonts w:hint="eastAsia" w:ascii="Times New Roman" w:hAnsi="Times New Roman" w:eastAsia="宋体" w:cs="宋体"/>
                <w:b/>
                <w:bCs/>
                <w:color w:val="auto"/>
              </w:rPr>
            </w:pPr>
            <w:r>
              <w:rPr>
                <w:rFonts w:hint="eastAsia" w:ascii="Times New Roman" w:hAnsi="Times New Roman" w:eastAsia="宋体" w:cs="宋体"/>
                <w:b/>
                <w:bCs/>
                <w:color w:val="auto"/>
                <w:lang w:val="en-US" w:eastAsia="zh-CN"/>
              </w:rPr>
              <w:t>表2-1    勘探</w:t>
            </w:r>
            <w:r>
              <w:rPr>
                <w:rFonts w:hint="eastAsia" w:ascii="Times New Roman" w:hAnsi="Times New Roman" w:eastAsia="宋体" w:cs="宋体"/>
                <w:b/>
                <w:bCs/>
                <w:color w:val="auto"/>
              </w:rPr>
              <w:t>区范围拐点坐标表</w:t>
            </w:r>
          </w:p>
          <w:p w14:paraId="4019921C">
            <w:pPr>
              <w:adjustRightInd w:val="0"/>
              <w:snapToGrid w:val="0"/>
              <w:jc w:val="center"/>
              <w:rPr>
                <w:rFonts w:ascii="宋体" w:hAnsi="宋体" w:cs="宋体"/>
                <w:color w:val="auto"/>
                <w:kern w:val="0"/>
                <w:szCs w:val="21"/>
              </w:rPr>
            </w:pPr>
          </w:p>
        </w:tc>
      </w:tr>
      <w:tr w14:paraId="4DED13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19" w:hRule="atLeast"/>
          <w:jc w:val="center"/>
        </w:trPr>
        <w:tc>
          <w:tcPr>
            <w:tcW w:w="705" w:type="dxa"/>
            <w:noWrap w:val="0"/>
            <w:vAlign w:val="center"/>
          </w:tcPr>
          <w:p w14:paraId="23786096">
            <w:pPr>
              <w:adjustRightInd w:val="0"/>
              <w:snapToGrid w:val="0"/>
              <w:jc w:val="center"/>
              <w:rPr>
                <w:rFonts w:ascii="宋体" w:hAnsi="宋体" w:cs="宋体"/>
                <w:color w:val="auto"/>
                <w:kern w:val="0"/>
                <w:szCs w:val="21"/>
              </w:rPr>
            </w:pPr>
            <w:r>
              <w:rPr>
                <w:rFonts w:hint="eastAsia" w:ascii="宋体" w:hAnsi="宋体" w:cs="宋体"/>
                <w:color w:val="auto"/>
                <w:kern w:val="0"/>
                <w:szCs w:val="21"/>
              </w:rPr>
              <w:t>项目组成及规模</w:t>
            </w:r>
          </w:p>
        </w:tc>
        <w:tc>
          <w:tcPr>
            <w:tcW w:w="8325" w:type="dxa"/>
            <w:noWrap w:val="0"/>
            <w:vAlign w:val="center"/>
          </w:tcPr>
          <w:p w14:paraId="5CD0CBC7">
            <w:pPr>
              <w:pStyle w:val="45"/>
              <w:bidi w:val="0"/>
              <w:rPr>
                <w:rFonts w:hint="default"/>
                <w:color w:val="auto"/>
                <w:highlight w:val="none"/>
                <w:lang w:val="en-US" w:eastAsia="zh-CN"/>
              </w:rPr>
            </w:pPr>
            <w:r>
              <w:rPr>
                <w:rFonts w:hint="eastAsia"/>
                <w:color w:val="auto"/>
                <w:highlight w:val="none"/>
                <w:lang w:val="en-US" w:eastAsia="zh-CN"/>
              </w:rPr>
              <w:t>1项目基本情况</w:t>
            </w:r>
          </w:p>
          <w:p w14:paraId="2FAEFD6E">
            <w:pPr>
              <w:pStyle w:val="46"/>
              <w:bidi w:val="0"/>
              <w:jc w:val="left"/>
              <w:rPr>
                <w:rFonts w:hint="default"/>
                <w:color w:val="auto"/>
              </w:rPr>
            </w:pPr>
            <w:r>
              <w:rPr>
                <w:rFonts w:hint="eastAsia"/>
                <w:color w:val="auto"/>
              </w:rPr>
              <w:t>塔什库尔干县叶尔羌玉石有限责任公司</w:t>
            </w:r>
            <w:r>
              <w:rPr>
                <w:rFonts w:hint="eastAsia"/>
                <w:color w:val="auto"/>
                <w:lang w:val="en-US" w:eastAsia="zh-CN"/>
              </w:rPr>
              <w:t>于2024年12月18日取得该项目</w:t>
            </w:r>
            <w:r>
              <w:rPr>
                <w:rFonts w:hint="default"/>
                <w:color w:val="auto"/>
              </w:rPr>
              <w:t>探矿权</w:t>
            </w:r>
            <w:r>
              <w:rPr>
                <w:rFonts w:hint="eastAsia"/>
                <w:color w:val="auto"/>
                <w:lang w:eastAsia="zh-CN"/>
              </w:rPr>
              <w:t>。</w:t>
            </w:r>
          </w:p>
          <w:p w14:paraId="548A1E93">
            <w:pPr>
              <w:pStyle w:val="46"/>
              <w:bidi w:val="0"/>
              <w:jc w:val="left"/>
              <w:rPr>
                <w:rFonts w:hint="default"/>
                <w:color w:val="auto"/>
              </w:rPr>
            </w:pPr>
            <w:r>
              <w:rPr>
                <w:rFonts w:hint="default"/>
                <w:color w:val="auto"/>
              </w:rPr>
              <w:t>探矿权基本信息如下（探矿权拐点坐标见表</w:t>
            </w:r>
            <w:r>
              <w:rPr>
                <w:rFonts w:hint="default"/>
                <w:color w:val="auto"/>
                <w:lang w:val="en-US" w:eastAsia="zh-CN"/>
              </w:rPr>
              <w:t>2</w:t>
            </w:r>
            <w:r>
              <w:rPr>
                <w:rFonts w:hint="default"/>
                <w:color w:val="auto"/>
              </w:rPr>
              <w:t>-</w:t>
            </w:r>
            <w:r>
              <w:rPr>
                <w:rFonts w:hint="default"/>
                <w:color w:val="auto"/>
                <w:lang w:val="en-US" w:eastAsia="zh-CN"/>
              </w:rPr>
              <w:t>1</w:t>
            </w:r>
            <w:r>
              <w:rPr>
                <w:rFonts w:hint="default"/>
                <w:color w:val="auto"/>
              </w:rPr>
              <w:t>）：</w:t>
            </w:r>
          </w:p>
          <w:p w14:paraId="7936F24C">
            <w:pPr>
              <w:pStyle w:val="46"/>
              <w:bidi w:val="0"/>
              <w:rPr>
                <w:rFonts w:hint="default"/>
                <w:color w:val="auto"/>
                <w:lang w:val="en-US" w:eastAsia="zh-CN"/>
              </w:rPr>
            </w:pPr>
            <w:r>
              <w:rPr>
                <w:rFonts w:hint="eastAsia"/>
                <w:color w:val="auto"/>
                <w:lang w:val="en-US" w:eastAsia="zh-CN"/>
              </w:rPr>
              <w:t>探矿证号：T6528002024127040058244</w:t>
            </w:r>
          </w:p>
          <w:p w14:paraId="04D50B7F">
            <w:pPr>
              <w:pStyle w:val="46"/>
              <w:bidi w:val="0"/>
              <w:rPr>
                <w:rFonts w:hint="eastAsia"/>
                <w:color w:val="auto"/>
                <w:lang w:val="en-US" w:eastAsia="zh-CN"/>
              </w:rPr>
            </w:pPr>
            <w:r>
              <w:rPr>
                <w:rFonts w:hint="eastAsia"/>
                <w:color w:val="auto"/>
                <w:lang w:val="en-US" w:eastAsia="zh-CN"/>
              </w:rPr>
              <w:t>项目名称：新疆且末县修特库依干大理岩矿普查</w:t>
            </w:r>
          </w:p>
          <w:p w14:paraId="2775FFDF">
            <w:pPr>
              <w:pStyle w:val="46"/>
              <w:bidi w:val="0"/>
              <w:rPr>
                <w:rFonts w:hint="eastAsia" w:eastAsia="宋体"/>
                <w:color w:val="auto"/>
                <w:lang w:val="en-US" w:eastAsia="zh-CN"/>
              </w:rPr>
            </w:pPr>
            <w:r>
              <w:rPr>
                <w:rFonts w:hint="default"/>
                <w:color w:val="auto"/>
                <w:lang w:val="en-US" w:eastAsia="zh-CN"/>
              </w:rPr>
              <w:t>探矿权人：</w:t>
            </w:r>
            <w:r>
              <w:rPr>
                <w:rFonts w:hint="eastAsia"/>
                <w:color w:val="auto"/>
                <w:lang w:eastAsia="zh-CN"/>
              </w:rPr>
              <w:t>塔什库尔干县叶尔羌玉石有限责任公司</w:t>
            </w:r>
          </w:p>
          <w:p w14:paraId="47A28D65">
            <w:pPr>
              <w:pStyle w:val="46"/>
              <w:bidi w:val="0"/>
              <w:rPr>
                <w:rFonts w:hint="default"/>
                <w:color w:val="auto"/>
                <w:lang w:val="en-US" w:eastAsia="zh-CN"/>
              </w:rPr>
            </w:pPr>
            <w:r>
              <w:rPr>
                <w:rFonts w:hint="default"/>
                <w:color w:val="auto"/>
                <w:lang w:val="en-US" w:eastAsia="zh-CN"/>
              </w:rPr>
              <w:t>地理位置：新疆维吾尔自治区</w:t>
            </w:r>
            <w:r>
              <w:rPr>
                <w:rFonts w:hint="eastAsia"/>
                <w:color w:val="auto"/>
                <w:lang w:val="en-US" w:eastAsia="zh-CN"/>
              </w:rPr>
              <w:t>巴音郭楞蒙古自治州且末县</w:t>
            </w:r>
          </w:p>
          <w:p w14:paraId="1996F20E">
            <w:pPr>
              <w:pStyle w:val="46"/>
              <w:bidi w:val="0"/>
              <w:rPr>
                <w:rFonts w:hint="default"/>
                <w:color w:val="auto"/>
                <w:lang w:val="en-US" w:eastAsia="zh-CN"/>
              </w:rPr>
            </w:pPr>
            <w:r>
              <w:rPr>
                <w:rFonts w:hint="default"/>
                <w:color w:val="auto"/>
                <w:lang w:val="en-US" w:eastAsia="zh-CN"/>
              </w:rPr>
              <w:t>勘查面积：</w:t>
            </w:r>
            <w:r>
              <w:rPr>
                <w:rFonts w:hint="eastAsia"/>
                <w:color w:val="auto"/>
                <w:lang w:val="en-US" w:eastAsia="zh-CN"/>
              </w:rPr>
              <w:t>3.2平方公里</w:t>
            </w:r>
          </w:p>
          <w:p w14:paraId="209A568B">
            <w:pPr>
              <w:pStyle w:val="46"/>
              <w:keepNext w:val="0"/>
              <w:keepLines w:val="0"/>
              <w:pageBreakBefore w:val="0"/>
              <w:widowControl w:val="0"/>
              <w:kinsoku/>
              <w:wordWrap w:val="0"/>
              <w:overflowPunct/>
              <w:topLinePunct w:val="0"/>
              <w:autoSpaceDE/>
              <w:autoSpaceDN/>
              <w:bidi w:val="0"/>
              <w:adjustRightInd w:val="0"/>
              <w:snapToGrid w:val="0"/>
              <w:textAlignment w:val="auto"/>
              <w:rPr>
                <w:rFonts w:hint="default"/>
                <w:color w:val="auto"/>
                <w:lang w:val="en-US" w:eastAsia="zh-CN"/>
              </w:rPr>
            </w:pPr>
            <w:r>
              <w:rPr>
                <w:rFonts w:hint="default"/>
                <w:color w:val="auto"/>
                <w:lang w:val="en-US" w:eastAsia="zh-CN"/>
              </w:rPr>
              <w:t>有效期限：</w:t>
            </w:r>
            <w:r>
              <w:rPr>
                <w:rFonts w:hint="eastAsia"/>
                <w:color w:val="auto"/>
                <w:lang w:val="en-US" w:eastAsia="zh-CN"/>
              </w:rPr>
              <w:t>2024年12月18日至2029年12月18日</w:t>
            </w:r>
          </w:p>
          <w:p w14:paraId="552FED4B">
            <w:pPr>
              <w:pStyle w:val="45"/>
              <w:bidi w:val="0"/>
              <w:rPr>
                <w:rFonts w:hint="default"/>
                <w:color w:val="auto"/>
                <w:lang w:val="en-US" w:eastAsia="zh-CN"/>
              </w:rPr>
            </w:pPr>
            <w:r>
              <w:rPr>
                <w:rFonts w:hint="eastAsia"/>
                <w:color w:val="auto"/>
                <w:lang w:val="en-US" w:eastAsia="zh-CN"/>
              </w:rPr>
              <w:t>2项目主要建设内容</w:t>
            </w:r>
          </w:p>
          <w:p w14:paraId="401ACB3B">
            <w:pPr>
              <w:pStyle w:val="46"/>
              <w:bidi w:val="0"/>
              <w:rPr>
                <w:rFonts w:hint="eastAsia"/>
                <w:color w:val="auto"/>
                <w:lang w:val="en-US" w:eastAsia="zh-CN"/>
              </w:rPr>
            </w:pPr>
            <w:r>
              <w:rPr>
                <w:rFonts w:hint="eastAsia"/>
                <w:color w:val="auto"/>
              </w:rPr>
              <w:t>勘查</w:t>
            </w:r>
            <w:r>
              <w:rPr>
                <w:rFonts w:hint="eastAsia"/>
                <w:color w:val="auto"/>
                <w:lang w:val="en-US" w:eastAsia="zh-CN"/>
              </w:rPr>
              <w:t>主要任务：</w:t>
            </w:r>
          </w:p>
          <w:p w14:paraId="03FB980F">
            <w:pPr>
              <w:pStyle w:val="46"/>
              <w:bidi w:val="0"/>
              <w:rPr>
                <w:rFonts w:hint="eastAsia"/>
                <w:color w:val="auto"/>
                <w:lang w:val="en-US" w:eastAsia="zh-CN"/>
              </w:rPr>
            </w:pPr>
            <w:r>
              <w:rPr>
                <w:rFonts w:hint="eastAsia"/>
                <w:color w:val="auto"/>
                <w:lang w:val="en-US" w:eastAsia="zh-CN"/>
              </w:rPr>
              <w:t>1、大致查明矿区的地层构造；</w:t>
            </w:r>
          </w:p>
          <w:p w14:paraId="1BEE5963">
            <w:pPr>
              <w:pStyle w:val="46"/>
              <w:bidi w:val="0"/>
              <w:rPr>
                <w:rFonts w:hint="eastAsia"/>
                <w:color w:val="auto"/>
                <w:lang w:val="en-US" w:eastAsia="zh-CN"/>
              </w:rPr>
            </w:pPr>
            <w:r>
              <w:rPr>
                <w:rFonts w:hint="eastAsia"/>
                <w:color w:val="auto"/>
                <w:lang w:val="en-US" w:eastAsia="zh-CN"/>
              </w:rPr>
              <w:t>2、大致查明矿层的形态、产状、厚度、品位、变化情况等；</w:t>
            </w:r>
          </w:p>
          <w:p w14:paraId="4819AD5C">
            <w:pPr>
              <w:pStyle w:val="46"/>
              <w:bidi w:val="0"/>
              <w:rPr>
                <w:rFonts w:hint="eastAsia"/>
                <w:color w:val="auto"/>
                <w:lang w:val="en-US" w:eastAsia="zh-CN"/>
              </w:rPr>
            </w:pPr>
            <w:r>
              <w:rPr>
                <w:rFonts w:hint="eastAsia"/>
                <w:color w:val="auto"/>
                <w:lang w:val="en-US" w:eastAsia="zh-CN"/>
              </w:rPr>
              <w:t xml:space="preserve">3、大致查明矿区的开采技术条件； </w:t>
            </w:r>
          </w:p>
          <w:p w14:paraId="6652C3E5">
            <w:pPr>
              <w:pStyle w:val="46"/>
              <w:bidi w:val="0"/>
              <w:rPr>
                <w:rFonts w:hint="eastAsia"/>
                <w:color w:val="auto"/>
                <w:lang w:val="en-US" w:eastAsia="zh-CN"/>
              </w:rPr>
            </w:pPr>
            <w:r>
              <w:rPr>
                <w:rFonts w:hint="eastAsia"/>
                <w:color w:val="auto"/>
                <w:lang w:val="en-US" w:eastAsia="zh-CN"/>
              </w:rPr>
              <w:t>4、开展《且末县修特库依干大理岩矿工业指标论证》，进行矿区范围内资源量估算，编制提交《且末县修特库依干大理岩矿勘探报告》并通过评审，为矿区下一步工作提供地质依据。</w:t>
            </w:r>
          </w:p>
          <w:p w14:paraId="667D2634">
            <w:pPr>
              <w:pStyle w:val="46"/>
              <w:bidi w:val="0"/>
              <w:rPr>
                <w:rFonts w:hint="eastAsia" w:ascii="Times New Roman" w:hAnsi="Times New Roman" w:eastAsia="宋体" w:cs="宋体"/>
                <w:color w:val="auto"/>
                <w:lang w:val="en-US" w:eastAsia="zh-CN"/>
              </w:rPr>
            </w:pPr>
            <w:r>
              <w:rPr>
                <w:rFonts w:hint="eastAsia"/>
                <w:color w:val="auto"/>
                <w:lang w:val="en-US" w:eastAsia="zh-CN"/>
              </w:rPr>
              <w:t>项目主要工作量详见下表。</w:t>
            </w:r>
          </w:p>
          <w:p w14:paraId="045AB6A2">
            <w:pPr>
              <w:pStyle w:val="46"/>
              <w:bidi w:val="0"/>
              <w:ind w:left="0" w:leftChars="0" w:firstLine="0" w:firstLineChars="0"/>
              <w:jc w:val="center"/>
              <w:rPr>
                <w:rFonts w:hint="eastAsia" w:ascii="Times New Roman" w:hAnsi="Times New Roman" w:eastAsia="宋体" w:cs="宋体"/>
                <w:b/>
                <w:bCs/>
                <w:color w:val="auto"/>
                <w:lang w:val="en-US" w:eastAsia="zh-CN"/>
              </w:rPr>
            </w:pPr>
            <w:r>
              <w:rPr>
                <w:rFonts w:hint="eastAsia" w:ascii="Times New Roman" w:hAnsi="Times New Roman" w:eastAsia="宋体" w:cs="宋体"/>
                <w:b/>
                <w:bCs/>
                <w:color w:val="auto"/>
                <w:lang w:val="en-US" w:eastAsia="zh-CN"/>
              </w:rPr>
              <w:t>表2-2    主要建设内容一览表</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152"/>
              <w:gridCol w:w="1032"/>
              <w:gridCol w:w="1377"/>
              <w:gridCol w:w="1387"/>
              <w:gridCol w:w="1353"/>
              <w:gridCol w:w="1165"/>
            </w:tblGrid>
            <w:tr w14:paraId="21E5A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101" w:type="pct"/>
                  <w:gridSpan w:val="2"/>
                  <w:noWrap w:val="0"/>
                  <w:vAlign w:val="center"/>
                </w:tcPr>
                <w:p w14:paraId="378DE3D2">
                  <w:pPr>
                    <w:pStyle w:val="4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类别</w:t>
                  </w:r>
                </w:p>
              </w:tc>
              <w:tc>
                <w:tcPr>
                  <w:tcW w:w="1487" w:type="pct"/>
                  <w:gridSpan w:val="2"/>
                  <w:noWrap w:val="0"/>
                  <w:vAlign w:val="center"/>
                </w:tcPr>
                <w:p w14:paraId="67E71184">
                  <w:pPr>
                    <w:pStyle w:val="4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建设内容</w:t>
                  </w:r>
                </w:p>
              </w:tc>
              <w:tc>
                <w:tcPr>
                  <w:tcW w:w="856" w:type="pct"/>
                  <w:noWrap w:val="0"/>
                  <w:vAlign w:val="center"/>
                </w:tcPr>
                <w:p w14:paraId="248DF5D0">
                  <w:pPr>
                    <w:pStyle w:val="4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计量单位</w:t>
                  </w:r>
                </w:p>
              </w:tc>
              <w:tc>
                <w:tcPr>
                  <w:tcW w:w="835" w:type="pct"/>
                  <w:noWrap w:val="0"/>
                  <w:vAlign w:val="center"/>
                </w:tcPr>
                <w:p w14:paraId="468C4C0D">
                  <w:pPr>
                    <w:pStyle w:val="4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涉及总工作量</w:t>
                  </w:r>
                </w:p>
              </w:tc>
              <w:tc>
                <w:tcPr>
                  <w:tcW w:w="719" w:type="pct"/>
                  <w:noWrap w:val="0"/>
                  <w:vAlign w:val="center"/>
                </w:tcPr>
                <w:p w14:paraId="20F06B5E">
                  <w:pPr>
                    <w:pStyle w:val="43"/>
                    <w:bidi w:val="0"/>
                    <w:rPr>
                      <w:rFonts w:hint="default" w:ascii="Times New Roman" w:hAnsi="Times New Roman" w:cs="Times New Roman"/>
                      <w:color w:val="auto"/>
                      <w:lang w:val="en-US" w:eastAsia="zh-CN"/>
                    </w:rPr>
                  </w:pPr>
                  <w:r>
                    <w:rPr>
                      <w:rFonts w:hint="eastAsia" w:cs="Times New Roman"/>
                      <w:color w:val="auto"/>
                      <w:lang w:val="en-US" w:eastAsia="zh-CN"/>
                    </w:rPr>
                    <w:t>备注</w:t>
                  </w:r>
                </w:p>
              </w:tc>
            </w:tr>
            <w:tr w14:paraId="2CBBD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389" w:type="pct"/>
                  <w:vMerge w:val="restart"/>
                  <w:noWrap w:val="0"/>
                  <w:vAlign w:val="center"/>
                </w:tcPr>
                <w:p w14:paraId="3A010E89">
                  <w:pPr>
                    <w:pStyle w:val="4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主体工程</w:t>
                  </w:r>
                </w:p>
              </w:tc>
              <w:tc>
                <w:tcPr>
                  <w:tcW w:w="711" w:type="pct"/>
                  <w:noWrap w:val="0"/>
                  <w:vAlign w:val="center"/>
                </w:tcPr>
                <w:p w14:paraId="3CD4B68B">
                  <w:pPr>
                    <w:pStyle w:val="43"/>
                    <w:bidi w:val="0"/>
                    <w:rPr>
                      <w:rFonts w:hint="default" w:ascii="Times New Roman" w:hAnsi="Times New Roman" w:cs="Times New Roman"/>
                      <w:color w:val="auto"/>
                      <w:lang w:val="en-US" w:eastAsia="zh-CN"/>
                    </w:rPr>
                  </w:pPr>
                  <w:r>
                    <w:rPr>
                      <w:rFonts w:hint="eastAsia" w:cs="Times New Roman"/>
                      <w:color w:val="auto"/>
                      <w:lang w:val="en-US" w:eastAsia="zh-CN"/>
                    </w:rPr>
                    <w:t>测量</w:t>
                  </w:r>
                </w:p>
              </w:tc>
              <w:tc>
                <w:tcPr>
                  <w:tcW w:w="1487" w:type="pct"/>
                  <w:gridSpan w:val="2"/>
                  <w:noWrap w:val="0"/>
                  <w:vAlign w:val="center"/>
                </w:tcPr>
                <w:p w14:paraId="67693A30">
                  <w:pPr>
                    <w:pStyle w:val="43"/>
                    <w:bidi w:val="0"/>
                    <w:rPr>
                      <w:rFonts w:hint="default" w:ascii="Times New Roman" w:hAnsi="Times New Roman" w:eastAsia="宋体" w:cs="Times New Roman"/>
                      <w:color w:val="auto"/>
                      <w:szCs w:val="28"/>
                      <w:lang w:val="en-US" w:eastAsia="zh-CN"/>
                    </w:rPr>
                  </w:pPr>
                  <w:r>
                    <w:rPr>
                      <w:rFonts w:hint="eastAsia" w:cs="Times New Roman"/>
                      <w:color w:val="auto"/>
                      <w:szCs w:val="28"/>
                      <w:lang w:val="en-US" w:eastAsia="zh-CN"/>
                    </w:rPr>
                    <w:t>1:2千地形测量</w:t>
                  </w:r>
                </w:p>
              </w:tc>
              <w:tc>
                <w:tcPr>
                  <w:tcW w:w="856" w:type="pct"/>
                  <w:noWrap w:val="0"/>
                  <w:vAlign w:val="center"/>
                </w:tcPr>
                <w:p w14:paraId="38A6BB28">
                  <w:pPr>
                    <w:pStyle w:val="43"/>
                    <w:bidi w:val="0"/>
                    <w:rPr>
                      <w:rFonts w:hint="default" w:ascii="Times New Roman" w:hAnsi="Times New Roman" w:eastAsia="宋体" w:cs="Times New Roman"/>
                      <w:color w:val="auto"/>
                      <w:szCs w:val="28"/>
                      <w:lang w:val="en-US" w:eastAsia="zh-CN"/>
                    </w:rPr>
                  </w:pPr>
                  <w:r>
                    <w:rPr>
                      <w:rFonts w:hint="default" w:ascii="Times New Roman" w:hAnsi="Times New Roman" w:eastAsia="宋体" w:cs="Times New Roman"/>
                      <w:color w:val="auto"/>
                      <w:szCs w:val="28"/>
                      <w:lang w:val="en-US" w:eastAsia="zh-CN"/>
                    </w:rPr>
                    <w:t>平方千米</w:t>
                  </w:r>
                </w:p>
              </w:tc>
              <w:tc>
                <w:tcPr>
                  <w:tcW w:w="835" w:type="pct"/>
                  <w:noWrap w:val="0"/>
                  <w:vAlign w:val="center"/>
                </w:tcPr>
                <w:p w14:paraId="268E1BA6">
                  <w:pPr>
                    <w:pStyle w:val="43"/>
                    <w:bidi w:val="0"/>
                    <w:rPr>
                      <w:rFonts w:hint="default" w:ascii="Times New Roman" w:hAnsi="Times New Roman" w:eastAsia="宋体" w:cs="Times New Roman"/>
                      <w:color w:val="auto"/>
                      <w:szCs w:val="28"/>
                      <w:lang w:val="en-US" w:eastAsia="zh-CN"/>
                    </w:rPr>
                  </w:pPr>
                  <w:r>
                    <w:rPr>
                      <w:rFonts w:hint="eastAsia" w:cs="Times New Roman"/>
                      <w:color w:val="auto"/>
                      <w:szCs w:val="28"/>
                      <w:lang w:val="en-US" w:eastAsia="zh-CN"/>
                    </w:rPr>
                    <w:t>3.2</w:t>
                  </w:r>
                </w:p>
              </w:tc>
              <w:tc>
                <w:tcPr>
                  <w:tcW w:w="719" w:type="pct"/>
                  <w:noWrap w:val="0"/>
                  <w:vAlign w:val="center"/>
                </w:tcPr>
                <w:p w14:paraId="12586EBF">
                  <w:pPr>
                    <w:pStyle w:val="43"/>
                    <w:bidi w:val="0"/>
                    <w:rPr>
                      <w:rFonts w:hint="eastAsia" w:cs="Times New Roman"/>
                      <w:color w:val="auto"/>
                      <w:szCs w:val="28"/>
                      <w:lang w:val="en-US" w:eastAsia="zh-CN"/>
                    </w:rPr>
                  </w:pPr>
                  <w:r>
                    <w:rPr>
                      <w:rFonts w:hint="eastAsia" w:cs="Times New Roman"/>
                      <w:color w:val="auto"/>
                      <w:szCs w:val="28"/>
                      <w:lang w:val="en-US" w:eastAsia="zh-CN"/>
                    </w:rPr>
                    <w:t>/</w:t>
                  </w:r>
                </w:p>
              </w:tc>
            </w:tr>
            <w:tr w14:paraId="504F0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389" w:type="pct"/>
                  <w:vMerge w:val="continue"/>
                  <w:noWrap w:val="0"/>
                  <w:vAlign w:val="center"/>
                </w:tcPr>
                <w:p w14:paraId="19A9FA49">
                  <w:pPr>
                    <w:pStyle w:val="43"/>
                    <w:bidi w:val="0"/>
                    <w:rPr>
                      <w:rFonts w:hint="default" w:ascii="Times New Roman" w:hAnsi="Times New Roman" w:cs="Times New Roman"/>
                      <w:color w:val="auto"/>
                      <w:lang w:val="en-US" w:eastAsia="zh-CN"/>
                    </w:rPr>
                  </w:pPr>
                </w:p>
              </w:tc>
              <w:tc>
                <w:tcPr>
                  <w:tcW w:w="711" w:type="pct"/>
                  <w:vMerge w:val="restart"/>
                  <w:noWrap w:val="0"/>
                  <w:vAlign w:val="center"/>
                </w:tcPr>
                <w:p w14:paraId="30BA2E7A">
                  <w:pPr>
                    <w:pStyle w:val="43"/>
                    <w:bidi w:val="0"/>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地质测量</w:t>
                  </w:r>
                </w:p>
              </w:tc>
              <w:tc>
                <w:tcPr>
                  <w:tcW w:w="1487" w:type="pct"/>
                  <w:gridSpan w:val="2"/>
                  <w:noWrap w:val="0"/>
                  <w:vAlign w:val="center"/>
                </w:tcPr>
                <w:p w14:paraId="3F493F7F">
                  <w:pPr>
                    <w:pStyle w:val="43"/>
                    <w:bidi w:val="0"/>
                    <w:rPr>
                      <w:rFonts w:hint="default" w:cs="Times New Roman"/>
                      <w:color w:val="auto"/>
                      <w:szCs w:val="28"/>
                      <w:lang w:val="en-US" w:eastAsia="zh-CN"/>
                    </w:rPr>
                  </w:pPr>
                  <w:r>
                    <w:rPr>
                      <w:rFonts w:hint="eastAsia" w:cs="Times New Roman"/>
                      <w:color w:val="auto"/>
                      <w:szCs w:val="28"/>
                      <w:lang w:val="en-US" w:eastAsia="zh-CN"/>
                    </w:rPr>
                    <w:t>1:2千地质测量</w:t>
                  </w:r>
                </w:p>
              </w:tc>
              <w:tc>
                <w:tcPr>
                  <w:tcW w:w="856" w:type="pct"/>
                  <w:noWrap w:val="0"/>
                  <w:vAlign w:val="center"/>
                </w:tcPr>
                <w:p w14:paraId="50ACF56C">
                  <w:pPr>
                    <w:pStyle w:val="43"/>
                    <w:bidi w:val="0"/>
                    <w:rPr>
                      <w:rFonts w:hint="default" w:cs="Times New Roman"/>
                      <w:color w:val="auto"/>
                      <w:szCs w:val="28"/>
                      <w:lang w:val="en-US" w:eastAsia="zh-CN"/>
                    </w:rPr>
                  </w:pPr>
                  <w:r>
                    <w:rPr>
                      <w:rFonts w:hint="default" w:cs="Times New Roman"/>
                      <w:color w:val="auto"/>
                      <w:szCs w:val="28"/>
                      <w:lang w:val="en-US" w:eastAsia="zh-CN"/>
                    </w:rPr>
                    <w:t>平方千米</w:t>
                  </w:r>
                </w:p>
              </w:tc>
              <w:tc>
                <w:tcPr>
                  <w:tcW w:w="835" w:type="pct"/>
                  <w:noWrap w:val="0"/>
                  <w:vAlign w:val="center"/>
                </w:tcPr>
                <w:p w14:paraId="1B85A761">
                  <w:pPr>
                    <w:pStyle w:val="43"/>
                    <w:bidi w:val="0"/>
                    <w:rPr>
                      <w:rFonts w:hint="default" w:ascii="Times New Roman" w:hAnsi="Times New Roman" w:eastAsia="宋体" w:cs="Times New Roman"/>
                      <w:color w:val="auto"/>
                      <w:szCs w:val="28"/>
                      <w:lang w:val="en-US" w:eastAsia="zh-CN"/>
                    </w:rPr>
                  </w:pPr>
                  <w:r>
                    <w:rPr>
                      <w:rFonts w:hint="default" w:ascii="Times New Roman" w:hAnsi="Times New Roman" w:eastAsia="宋体" w:cs="Times New Roman"/>
                      <w:color w:val="auto"/>
                      <w:szCs w:val="28"/>
                    </w:rPr>
                    <w:t>13.</w:t>
                  </w:r>
                  <w:r>
                    <w:rPr>
                      <w:rFonts w:hint="eastAsia" w:cs="Times New Roman"/>
                      <w:color w:val="auto"/>
                      <w:szCs w:val="28"/>
                      <w:lang w:val="en-US" w:eastAsia="zh-CN"/>
                    </w:rPr>
                    <w:t>67</w:t>
                  </w:r>
                </w:p>
              </w:tc>
              <w:tc>
                <w:tcPr>
                  <w:tcW w:w="719" w:type="pct"/>
                  <w:noWrap w:val="0"/>
                  <w:vAlign w:val="center"/>
                </w:tcPr>
                <w:p w14:paraId="7CD20CC4">
                  <w:pPr>
                    <w:pStyle w:val="43"/>
                    <w:bidi w:val="0"/>
                    <w:rPr>
                      <w:rFonts w:hint="default" w:ascii="Times New Roman" w:hAnsi="Times New Roman" w:eastAsia="宋体" w:cs="Times New Roman"/>
                      <w:color w:val="auto"/>
                      <w:szCs w:val="28"/>
                      <w:lang w:val="en-US" w:eastAsia="zh-CN"/>
                    </w:rPr>
                  </w:pPr>
                  <w:r>
                    <w:rPr>
                      <w:rFonts w:hint="eastAsia" w:cs="Times New Roman"/>
                      <w:color w:val="auto"/>
                      <w:szCs w:val="28"/>
                      <w:lang w:val="en-US" w:eastAsia="zh-CN"/>
                    </w:rPr>
                    <w:t>/</w:t>
                  </w:r>
                </w:p>
              </w:tc>
            </w:tr>
            <w:tr w14:paraId="60137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389" w:type="pct"/>
                  <w:vMerge w:val="continue"/>
                  <w:noWrap w:val="0"/>
                  <w:vAlign w:val="center"/>
                </w:tcPr>
                <w:p w14:paraId="526AEF2F">
                  <w:pPr>
                    <w:pStyle w:val="43"/>
                    <w:bidi w:val="0"/>
                    <w:rPr>
                      <w:rFonts w:hint="eastAsia" w:ascii="Times New Roman" w:hAnsi="Times New Roman" w:cs="Times New Roman"/>
                      <w:color w:val="auto"/>
                      <w:lang w:val="en-US" w:eastAsia="zh-CN"/>
                    </w:rPr>
                  </w:pPr>
                </w:p>
              </w:tc>
              <w:tc>
                <w:tcPr>
                  <w:tcW w:w="711" w:type="pct"/>
                  <w:vMerge w:val="continue"/>
                  <w:noWrap w:val="0"/>
                  <w:vAlign w:val="center"/>
                </w:tcPr>
                <w:p w14:paraId="4A3F8C38">
                  <w:pPr>
                    <w:pStyle w:val="43"/>
                    <w:bidi w:val="0"/>
                    <w:rPr>
                      <w:rFonts w:hint="eastAsia" w:ascii="Times New Roman" w:hAnsi="Times New Roman" w:cs="Times New Roman"/>
                      <w:color w:val="auto"/>
                      <w:lang w:val="en-US" w:eastAsia="zh-CN"/>
                    </w:rPr>
                  </w:pPr>
                </w:p>
              </w:tc>
              <w:tc>
                <w:tcPr>
                  <w:tcW w:w="1487" w:type="pct"/>
                  <w:gridSpan w:val="2"/>
                  <w:noWrap w:val="0"/>
                  <w:vAlign w:val="center"/>
                </w:tcPr>
                <w:p w14:paraId="15ACBB16">
                  <w:pPr>
                    <w:pStyle w:val="43"/>
                    <w:bidi w:val="0"/>
                    <w:rPr>
                      <w:rFonts w:hint="default" w:cs="Times New Roman"/>
                      <w:color w:val="auto"/>
                      <w:szCs w:val="28"/>
                      <w:lang w:val="en-US" w:eastAsia="zh-CN"/>
                    </w:rPr>
                  </w:pPr>
                  <w:r>
                    <w:rPr>
                      <w:rFonts w:hint="eastAsia" w:cs="Times New Roman"/>
                      <w:color w:val="auto"/>
                      <w:szCs w:val="28"/>
                      <w:lang w:val="en-US" w:eastAsia="zh-CN"/>
                    </w:rPr>
                    <w:t>1:2千水文地质测量</w:t>
                  </w:r>
                </w:p>
              </w:tc>
              <w:tc>
                <w:tcPr>
                  <w:tcW w:w="856" w:type="pct"/>
                  <w:noWrap w:val="0"/>
                  <w:vAlign w:val="center"/>
                </w:tcPr>
                <w:p w14:paraId="3CEFE9F9">
                  <w:pPr>
                    <w:pStyle w:val="43"/>
                    <w:bidi w:val="0"/>
                    <w:rPr>
                      <w:rFonts w:hint="default" w:cs="Times New Roman"/>
                      <w:color w:val="auto"/>
                      <w:szCs w:val="28"/>
                      <w:lang w:val="en-US" w:eastAsia="zh-CN"/>
                    </w:rPr>
                  </w:pPr>
                  <w:r>
                    <w:rPr>
                      <w:rFonts w:hint="default" w:cs="Times New Roman"/>
                      <w:color w:val="auto"/>
                      <w:szCs w:val="28"/>
                      <w:lang w:val="en-US" w:eastAsia="zh-CN"/>
                    </w:rPr>
                    <w:t>平方千米</w:t>
                  </w:r>
                </w:p>
              </w:tc>
              <w:tc>
                <w:tcPr>
                  <w:tcW w:w="835" w:type="pct"/>
                  <w:noWrap w:val="0"/>
                  <w:vAlign w:val="center"/>
                </w:tcPr>
                <w:p w14:paraId="4F81C540">
                  <w:pPr>
                    <w:pStyle w:val="43"/>
                    <w:bidi w:val="0"/>
                    <w:rPr>
                      <w:rFonts w:hint="default" w:cs="Times New Roman"/>
                      <w:color w:val="auto"/>
                      <w:szCs w:val="28"/>
                      <w:lang w:val="en-US" w:eastAsia="zh-CN"/>
                    </w:rPr>
                  </w:pPr>
                  <w:r>
                    <w:rPr>
                      <w:rFonts w:hint="default" w:cs="Times New Roman"/>
                      <w:color w:val="auto"/>
                      <w:szCs w:val="28"/>
                      <w:lang w:val="en-US" w:eastAsia="zh-CN"/>
                    </w:rPr>
                    <w:t>2</w:t>
                  </w:r>
                </w:p>
              </w:tc>
              <w:tc>
                <w:tcPr>
                  <w:tcW w:w="719" w:type="pct"/>
                  <w:noWrap w:val="0"/>
                  <w:vAlign w:val="center"/>
                </w:tcPr>
                <w:p w14:paraId="43F184E8">
                  <w:pPr>
                    <w:pStyle w:val="43"/>
                    <w:bidi w:val="0"/>
                    <w:rPr>
                      <w:rFonts w:hint="default" w:ascii="Times New Roman" w:hAnsi="Times New Roman" w:eastAsia="宋体" w:cs="Times New Roman"/>
                      <w:color w:val="auto"/>
                      <w:szCs w:val="28"/>
                      <w:lang w:val="en-US" w:eastAsia="zh-CN"/>
                    </w:rPr>
                  </w:pPr>
                  <w:r>
                    <w:rPr>
                      <w:rFonts w:hint="eastAsia" w:cs="Times New Roman"/>
                      <w:color w:val="auto"/>
                      <w:szCs w:val="28"/>
                      <w:lang w:val="en-US" w:eastAsia="zh-CN"/>
                    </w:rPr>
                    <w:t>/</w:t>
                  </w:r>
                </w:p>
              </w:tc>
            </w:tr>
            <w:tr w14:paraId="4BB63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389" w:type="pct"/>
                  <w:vMerge w:val="continue"/>
                  <w:noWrap w:val="0"/>
                  <w:vAlign w:val="center"/>
                </w:tcPr>
                <w:p w14:paraId="77D833E3">
                  <w:pPr>
                    <w:pStyle w:val="43"/>
                    <w:bidi w:val="0"/>
                    <w:rPr>
                      <w:rFonts w:hint="default" w:ascii="Times New Roman" w:hAnsi="Times New Roman" w:cs="Times New Roman"/>
                      <w:color w:val="auto"/>
                      <w:lang w:val="en-US" w:eastAsia="zh-CN"/>
                    </w:rPr>
                  </w:pPr>
                </w:p>
              </w:tc>
              <w:tc>
                <w:tcPr>
                  <w:tcW w:w="711" w:type="pct"/>
                  <w:vMerge w:val="continue"/>
                  <w:noWrap w:val="0"/>
                  <w:vAlign w:val="center"/>
                </w:tcPr>
                <w:p w14:paraId="6C70D164">
                  <w:pPr>
                    <w:pStyle w:val="43"/>
                    <w:bidi w:val="0"/>
                    <w:rPr>
                      <w:rFonts w:hint="eastAsia" w:ascii="Times New Roman" w:hAnsi="Times New Roman" w:cs="Times New Roman"/>
                      <w:color w:val="auto"/>
                      <w:lang w:val="en-US" w:eastAsia="zh-CN"/>
                    </w:rPr>
                  </w:pPr>
                </w:p>
              </w:tc>
              <w:tc>
                <w:tcPr>
                  <w:tcW w:w="1487" w:type="pct"/>
                  <w:gridSpan w:val="2"/>
                  <w:noWrap w:val="0"/>
                  <w:vAlign w:val="center"/>
                </w:tcPr>
                <w:p w14:paraId="6634F796">
                  <w:pPr>
                    <w:pStyle w:val="43"/>
                    <w:bidi w:val="0"/>
                    <w:rPr>
                      <w:rFonts w:hint="default" w:cs="Times New Roman"/>
                      <w:color w:val="auto"/>
                      <w:szCs w:val="28"/>
                      <w:lang w:val="en-US" w:eastAsia="zh-CN"/>
                    </w:rPr>
                  </w:pPr>
                  <w:r>
                    <w:rPr>
                      <w:rFonts w:hint="eastAsia" w:cs="Times New Roman"/>
                      <w:color w:val="auto"/>
                      <w:szCs w:val="28"/>
                      <w:lang w:val="en-US" w:eastAsia="zh-CN"/>
                    </w:rPr>
                    <w:t>1:2千工程地质测量</w:t>
                  </w:r>
                </w:p>
              </w:tc>
              <w:tc>
                <w:tcPr>
                  <w:tcW w:w="856" w:type="pct"/>
                  <w:noWrap w:val="0"/>
                  <w:vAlign w:val="center"/>
                </w:tcPr>
                <w:p w14:paraId="46080142">
                  <w:pPr>
                    <w:pStyle w:val="43"/>
                    <w:bidi w:val="0"/>
                    <w:rPr>
                      <w:rFonts w:hint="default" w:cs="Times New Roman"/>
                      <w:color w:val="auto"/>
                      <w:szCs w:val="28"/>
                      <w:lang w:val="en-US" w:eastAsia="zh-CN"/>
                    </w:rPr>
                  </w:pPr>
                  <w:r>
                    <w:rPr>
                      <w:rFonts w:hint="default" w:cs="Times New Roman"/>
                      <w:color w:val="auto"/>
                      <w:szCs w:val="28"/>
                      <w:lang w:val="en-US" w:eastAsia="zh-CN"/>
                    </w:rPr>
                    <w:t>平方千米</w:t>
                  </w:r>
                </w:p>
              </w:tc>
              <w:tc>
                <w:tcPr>
                  <w:tcW w:w="835" w:type="pct"/>
                  <w:noWrap w:val="0"/>
                  <w:vAlign w:val="center"/>
                </w:tcPr>
                <w:p w14:paraId="64E179F0">
                  <w:pPr>
                    <w:pStyle w:val="43"/>
                    <w:bidi w:val="0"/>
                    <w:rPr>
                      <w:rFonts w:hint="default" w:cs="Times New Roman"/>
                      <w:color w:val="auto"/>
                      <w:szCs w:val="28"/>
                      <w:lang w:val="en-US" w:eastAsia="zh-CN"/>
                    </w:rPr>
                  </w:pPr>
                  <w:r>
                    <w:rPr>
                      <w:rFonts w:hint="default" w:cs="Times New Roman"/>
                      <w:color w:val="auto"/>
                      <w:szCs w:val="28"/>
                      <w:lang w:val="en-US" w:eastAsia="zh-CN"/>
                    </w:rPr>
                    <w:t>2</w:t>
                  </w:r>
                </w:p>
              </w:tc>
              <w:tc>
                <w:tcPr>
                  <w:tcW w:w="719" w:type="pct"/>
                  <w:noWrap w:val="0"/>
                  <w:vAlign w:val="center"/>
                </w:tcPr>
                <w:p w14:paraId="666F4925">
                  <w:pPr>
                    <w:pStyle w:val="43"/>
                    <w:bidi w:val="0"/>
                    <w:rPr>
                      <w:rFonts w:hint="default" w:ascii="Times New Roman" w:hAnsi="Times New Roman" w:eastAsia="宋体" w:cs="Times New Roman"/>
                      <w:color w:val="auto"/>
                      <w:szCs w:val="28"/>
                      <w:lang w:val="en-US" w:eastAsia="zh-CN"/>
                    </w:rPr>
                  </w:pPr>
                  <w:r>
                    <w:rPr>
                      <w:rFonts w:hint="eastAsia" w:cs="Times New Roman"/>
                      <w:color w:val="auto"/>
                      <w:szCs w:val="28"/>
                      <w:lang w:val="en-US" w:eastAsia="zh-CN"/>
                    </w:rPr>
                    <w:t>/</w:t>
                  </w:r>
                </w:p>
              </w:tc>
            </w:tr>
            <w:tr w14:paraId="453E8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389" w:type="pct"/>
                  <w:vMerge w:val="continue"/>
                  <w:noWrap w:val="0"/>
                  <w:vAlign w:val="center"/>
                </w:tcPr>
                <w:p w14:paraId="062AF416">
                  <w:pPr>
                    <w:pStyle w:val="43"/>
                    <w:bidi w:val="0"/>
                    <w:rPr>
                      <w:rFonts w:hint="default" w:ascii="Times New Roman" w:hAnsi="Times New Roman" w:cs="Times New Roman"/>
                      <w:color w:val="auto"/>
                      <w:lang w:val="en-US" w:eastAsia="zh-CN"/>
                    </w:rPr>
                  </w:pPr>
                </w:p>
              </w:tc>
              <w:tc>
                <w:tcPr>
                  <w:tcW w:w="711" w:type="pct"/>
                  <w:vMerge w:val="continue"/>
                  <w:noWrap w:val="0"/>
                  <w:vAlign w:val="center"/>
                </w:tcPr>
                <w:p w14:paraId="677CC123">
                  <w:pPr>
                    <w:pStyle w:val="43"/>
                    <w:bidi w:val="0"/>
                    <w:rPr>
                      <w:rFonts w:hint="eastAsia" w:ascii="Times New Roman" w:hAnsi="Times New Roman" w:cs="Times New Roman"/>
                      <w:color w:val="auto"/>
                      <w:lang w:val="en-US" w:eastAsia="zh-CN"/>
                    </w:rPr>
                  </w:pPr>
                </w:p>
              </w:tc>
              <w:tc>
                <w:tcPr>
                  <w:tcW w:w="1487" w:type="pct"/>
                  <w:gridSpan w:val="2"/>
                  <w:noWrap w:val="0"/>
                  <w:vAlign w:val="center"/>
                </w:tcPr>
                <w:p w14:paraId="7B9490A5">
                  <w:pPr>
                    <w:pStyle w:val="43"/>
                    <w:bidi w:val="0"/>
                    <w:rPr>
                      <w:rFonts w:hint="default" w:cs="Times New Roman"/>
                      <w:color w:val="auto"/>
                      <w:szCs w:val="28"/>
                      <w:lang w:val="en-US" w:eastAsia="zh-CN"/>
                    </w:rPr>
                  </w:pPr>
                  <w:r>
                    <w:rPr>
                      <w:rFonts w:hint="eastAsia" w:cs="Times New Roman"/>
                      <w:color w:val="auto"/>
                      <w:szCs w:val="28"/>
                      <w:lang w:val="en-US" w:eastAsia="zh-CN"/>
                    </w:rPr>
                    <w:t>1:2千环境地质测量</w:t>
                  </w:r>
                </w:p>
              </w:tc>
              <w:tc>
                <w:tcPr>
                  <w:tcW w:w="856" w:type="pct"/>
                  <w:shd w:val="clear" w:color="auto" w:fill="auto"/>
                  <w:noWrap w:val="0"/>
                  <w:vAlign w:val="center"/>
                </w:tcPr>
                <w:p w14:paraId="51BEEFB7">
                  <w:pPr>
                    <w:pStyle w:val="43"/>
                    <w:bidi w:val="0"/>
                    <w:rPr>
                      <w:rFonts w:hint="default" w:cs="Times New Roman"/>
                      <w:color w:val="auto"/>
                      <w:szCs w:val="28"/>
                      <w:lang w:val="en-US" w:eastAsia="zh-CN"/>
                    </w:rPr>
                  </w:pPr>
                  <w:r>
                    <w:rPr>
                      <w:rFonts w:hint="default" w:cs="Times New Roman"/>
                      <w:color w:val="auto"/>
                      <w:szCs w:val="28"/>
                      <w:lang w:val="en-US" w:eastAsia="zh-CN"/>
                    </w:rPr>
                    <w:t>平方千米</w:t>
                  </w:r>
                </w:p>
              </w:tc>
              <w:tc>
                <w:tcPr>
                  <w:tcW w:w="835" w:type="pct"/>
                  <w:noWrap w:val="0"/>
                  <w:vAlign w:val="center"/>
                </w:tcPr>
                <w:p w14:paraId="59D94FBD">
                  <w:pPr>
                    <w:pStyle w:val="43"/>
                    <w:bidi w:val="0"/>
                    <w:rPr>
                      <w:rFonts w:hint="default" w:cs="Times New Roman"/>
                      <w:color w:val="auto"/>
                      <w:szCs w:val="28"/>
                      <w:lang w:val="en-US" w:eastAsia="zh-CN"/>
                    </w:rPr>
                  </w:pPr>
                  <w:r>
                    <w:rPr>
                      <w:rFonts w:hint="default" w:cs="Times New Roman"/>
                      <w:color w:val="auto"/>
                      <w:szCs w:val="28"/>
                      <w:lang w:val="en-US" w:eastAsia="zh-CN"/>
                    </w:rPr>
                    <w:t>2</w:t>
                  </w:r>
                </w:p>
              </w:tc>
              <w:tc>
                <w:tcPr>
                  <w:tcW w:w="719" w:type="pct"/>
                  <w:noWrap w:val="0"/>
                  <w:vAlign w:val="center"/>
                </w:tcPr>
                <w:p w14:paraId="56E96C9B">
                  <w:pPr>
                    <w:pStyle w:val="43"/>
                    <w:bidi w:val="0"/>
                    <w:rPr>
                      <w:rFonts w:hint="eastAsia" w:cs="Times New Roman"/>
                      <w:color w:val="auto"/>
                      <w:szCs w:val="28"/>
                      <w:lang w:val="en-US" w:eastAsia="zh-CN"/>
                    </w:rPr>
                  </w:pPr>
                  <w:r>
                    <w:rPr>
                      <w:rFonts w:hint="eastAsia" w:cs="Times New Roman"/>
                      <w:color w:val="auto"/>
                      <w:szCs w:val="28"/>
                      <w:lang w:val="en-US" w:eastAsia="zh-CN"/>
                    </w:rPr>
                    <w:t>/</w:t>
                  </w:r>
                </w:p>
              </w:tc>
            </w:tr>
            <w:tr w14:paraId="62305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389" w:type="pct"/>
                  <w:vMerge w:val="continue"/>
                  <w:noWrap w:val="0"/>
                  <w:vAlign w:val="center"/>
                </w:tcPr>
                <w:p w14:paraId="4EE63317">
                  <w:pPr>
                    <w:pStyle w:val="43"/>
                    <w:bidi w:val="0"/>
                    <w:rPr>
                      <w:rFonts w:hint="default" w:ascii="Times New Roman" w:hAnsi="Times New Roman" w:cs="Times New Roman"/>
                      <w:color w:val="auto"/>
                      <w:lang w:val="en-US" w:eastAsia="zh-CN"/>
                    </w:rPr>
                  </w:pPr>
                </w:p>
              </w:tc>
              <w:tc>
                <w:tcPr>
                  <w:tcW w:w="711" w:type="pct"/>
                  <w:vMerge w:val="continue"/>
                  <w:noWrap w:val="0"/>
                  <w:vAlign w:val="center"/>
                </w:tcPr>
                <w:p w14:paraId="613B3FCB">
                  <w:pPr>
                    <w:pStyle w:val="43"/>
                    <w:bidi w:val="0"/>
                    <w:rPr>
                      <w:rFonts w:hint="eastAsia" w:ascii="Times New Roman" w:hAnsi="Times New Roman" w:cs="Times New Roman"/>
                      <w:color w:val="auto"/>
                      <w:lang w:val="en-US" w:eastAsia="zh-CN"/>
                    </w:rPr>
                  </w:pPr>
                </w:p>
              </w:tc>
              <w:tc>
                <w:tcPr>
                  <w:tcW w:w="1487" w:type="pct"/>
                  <w:gridSpan w:val="2"/>
                  <w:noWrap w:val="0"/>
                  <w:vAlign w:val="center"/>
                </w:tcPr>
                <w:p w14:paraId="13502B59">
                  <w:pPr>
                    <w:pStyle w:val="43"/>
                    <w:bidi w:val="0"/>
                    <w:rPr>
                      <w:rFonts w:hint="default" w:cs="Times New Roman"/>
                      <w:color w:val="auto"/>
                      <w:szCs w:val="28"/>
                      <w:lang w:val="en-US" w:eastAsia="zh-CN"/>
                    </w:rPr>
                  </w:pPr>
                  <w:r>
                    <w:rPr>
                      <w:rFonts w:hint="eastAsia" w:cs="Times New Roman"/>
                      <w:color w:val="auto"/>
                      <w:szCs w:val="28"/>
                      <w:lang w:val="en-US" w:eastAsia="zh-CN"/>
                    </w:rPr>
                    <w:t>1:5百地质剖面测量</w:t>
                  </w:r>
                </w:p>
              </w:tc>
              <w:tc>
                <w:tcPr>
                  <w:tcW w:w="856" w:type="pct"/>
                  <w:shd w:val="clear" w:color="auto" w:fill="auto"/>
                  <w:noWrap w:val="0"/>
                  <w:vAlign w:val="center"/>
                </w:tcPr>
                <w:p w14:paraId="2787982E">
                  <w:pPr>
                    <w:pStyle w:val="43"/>
                    <w:bidi w:val="0"/>
                    <w:rPr>
                      <w:rFonts w:hint="default" w:cs="Times New Roman"/>
                      <w:color w:val="auto"/>
                      <w:szCs w:val="28"/>
                      <w:lang w:val="en-US" w:eastAsia="zh-CN"/>
                    </w:rPr>
                  </w:pPr>
                  <w:r>
                    <w:rPr>
                      <w:rFonts w:hint="default" w:cs="Times New Roman"/>
                      <w:color w:val="auto"/>
                      <w:szCs w:val="28"/>
                      <w:lang w:val="en-US" w:eastAsia="zh-CN"/>
                    </w:rPr>
                    <w:t>千米</w:t>
                  </w:r>
                </w:p>
              </w:tc>
              <w:tc>
                <w:tcPr>
                  <w:tcW w:w="835" w:type="pct"/>
                  <w:noWrap w:val="0"/>
                  <w:vAlign w:val="center"/>
                </w:tcPr>
                <w:p w14:paraId="6BD8B6F6">
                  <w:pPr>
                    <w:pStyle w:val="43"/>
                    <w:bidi w:val="0"/>
                    <w:rPr>
                      <w:rFonts w:hint="default" w:cs="Times New Roman"/>
                      <w:color w:val="auto"/>
                      <w:szCs w:val="28"/>
                      <w:lang w:val="en-US" w:eastAsia="zh-CN"/>
                    </w:rPr>
                  </w:pPr>
                  <w:r>
                    <w:rPr>
                      <w:rFonts w:hint="default" w:cs="Times New Roman"/>
                      <w:color w:val="auto"/>
                      <w:szCs w:val="28"/>
                      <w:lang w:val="en-US" w:eastAsia="zh-CN"/>
                    </w:rPr>
                    <w:t>2</w:t>
                  </w:r>
                </w:p>
              </w:tc>
              <w:tc>
                <w:tcPr>
                  <w:tcW w:w="719" w:type="pct"/>
                  <w:noWrap w:val="0"/>
                  <w:vAlign w:val="center"/>
                </w:tcPr>
                <w:p w14:paraId="3EC19464">
                  <w:pPr>
                    <w:pStyle w:val="43"/>
                    <w:bidi w:val="0"/>
                    <w:rPr>
                      <w:rFonts w:hint="eastAsia" w:cs="Times New Roman"/>
                      <w:color w:val="auto"/>
                      <w:szCs w:val="28"/>
                      <w:lang w:val="en-US" w:eastAsia="zh-CN"/>
                    </w:rPr>
                  </w:pPr>
                  <w:r>
                    <w:rPr>
                      <w:rFonts w:hint="eastAsia" w:cs="Times New Roman"/>
                      <w:color w:val="auto"/>
                      <w:szCs w:val="28"/>
                      <w:lang w:val="en-US" w:eastAsia="zh-CN"/>
                    </w:rPr>
                    <w:t>/</w:t>
                  </w:r>
                </w:p>
              </w:tc>
            </w:tr>
            <w:tr w14:paraId="08981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389" w:type="pct"/>
                  <w:vMerge w:val="continue"/>
                  <w:noWrap w:val="0"/>
                  <w:vAlign w:val="center"/>
                </w:tcPr>
                <w:p w14:paraId="00EEFAFE">
                  <w:pPr>
                    <w:pStyle w:val="43"/>
                    <w:bidi w:val="0"/>
                    <w:rPr>
                      <w:rFonts w:hint="default" w:ascii="Times New Roman" w:hAnsi="Times New Roman" w:cs="Times New Roman"/>
                      <w:color w:val="auto"/>
                      <w:lang w:val="en-US" w:eastAsia="zh-CN"/>
                    </w:rPr>
                  </w:pPr>
                </w:p>
              </w:tc>
              <w:tc>
                <w:tcPr>
                  <w:tcW w:w="711" w:type="pct"/>
                  <w:vMerge w:val="continue"/>
                  <w:noWrap w:val="0"/>
                  <w:vAlign w:val="center"/>
                </w:tcPr>
                <w:p w14:paraId="56B64DC0">
                  <w:pPr>
                    <w:pStyle w:val="43"/>
                    <w:bidi w:val="0"/>
                    <w:rPr>
                      <w:rFonts w:hint="eastAsia" w:ascii="Times New Roman" w:hAnsi="Times New Roman" w:cs="Times New Roman"/>
                      <w:color w:val="auto"/>
                      <w:lang w:val="en-US" w:eastAsia="zh-CN"/>
                    </w:rPr>
                  </w:pPr>
                </w:p>
              </w:tc>
              <w:tc>
                <w:tcPr>
                  <w:tcW w:w="1487" w:type="pct"/>
                  <w:gridSpan w:val="2"/>
                  <w:noWrap w:val="0"/>
                  <w:vAlign w:val="center"/>
                </w:tcPr>
                <w:p w14:paraId="60194B39">
                  <w:pPr>
                    <w:pStyle w:val="43"/>
                    <w:bidi w:val="0"/>
                    <w:rPr>
                      <w:rFonts w:hint="default" w:cs="Times New Roman"/>
                      <w:color w:val="auto"/>
                      <w:szCs w:val="28"/>
                      <w:lang w:val="en-US" w:eastAsia="zh-CN"/>
                    </w:rPr>
                  </w:pPr>
                  <w:r>
                    <w:rPr>
                      <w:rFonts w:hint="eastAsia" w:cs="Times New Roman"/>
                      <w:color w:val="auto"/>
                      <w:szCs w:val="28"/>
                      <w:lang w:val="en-US" w:eastAsia="zh-CN"/>
                    </w:rPr>
                    <w:t>1:5百勘查线剖面测量</w:t>
                  </w:r>
                </w:p>
              </w:tc>
              <w:tc>
                <w:tcPr>
                  <w:tcW w:w="856" w:type="pct"/>
                  <w:shd w:val="clear" w:color="auto" w:fill="auto"/>
                  <w:noWrap w:val="0"/>
                  <w:vAlign w:val="center"/>
                </w:tcPr>
                <w:p w14:paraId="20C51418">
                  <w:pPr>
                    <w:pStyle w:val="43"/>
                    <w:bidi w:val="0"/>
                    <w:rPr>
                      <w:rFonts w:hint="default" w:cs="Times New Roman"/>
                      <w:color w:val="auto"/>
                      <w:szCs w:val="28"/>
                      <w:lang w:val="en-US" w:eastAsia="zh-CN"/>
                    </w:rPr>
                  </w:pPr>
                  <w:r>
                    <w:rPr>
                      <w:rFonts w:hint="default" w:cs="Times New Roman"/>
                      <w:color w:val="auto"/>
                      <w:szCs w:val="28"/>
                      <w:lang w:val="en-US" w:eastAsia="zh-CN"/>
                    </w:rPr>
                    <w:t>千米</w:t>
                  </w:r>
                </w:p>
              </w:tc>
              <w:tc>
                <w:tcPr>
                  <w:tcW w:w="835" w:type="pct"/>
                  <w:noWrap w:val="0"/>
                  <w:vAlign w:val="center"/>
                </w:tcPr>
                <w:p w14:paraId="2BCE33BF">
                  <w:pPr>
                    <w:pStyle w:val="43"/>
                    <w:bidi w:val="0"/>
                    <w:rPr>
                      <w:rFonts w:hint="default" w:cs="Times New Roman"/>
                      <w:color w:val="auto"/>
                      <w:szCs w:val="28"/>
                      <w:lang w:val="en-US" w:eastAsia="zh-CN"/>
                    </w:rPr>
                  </w:pPr>
                  <w:r>
                    <w:rPr>
                      <w:rFonts w:hint="eastAsia" w:cs="Times New Roman"/>
                      <w:color w:val="auto"/>
                      <w:szCs w:val="28"/>
                      <w:lang w:val="en-US" w:eastAsia="zh-CN"/>
                    </w:rPr>
                    <w:t>3</w:t>
                  </w:r>
                </w:p>
              </w:tc>
              <w:tc>
                <w:tcPr>
                  <w:tcW w:w="719" w:type="pct"/>
                  <w:noWrap w:val="0"/>
                  <w:vAlign w:val="center"/>
                </w:tcPr>
                <w:p w14:paraId="4FFC3070">
                  <w:pPr>
                    <w:pStyle w:val="43"/>
                    <w:bidi w:val="0"/>
                    <w:rPr>
                      <w:rFonts w:hint="eastAsia" w:cs="Times New Roman"/>
                      <w:color w:val="auto"/>
                      <w:szCs w:val="28"/>
                      <w:lang w:val="en-US" w:eastAsia="zh-CN"/>
                    </w:rPr>
                  </w:pPr>
                  <w:r>
                    <w:rPr>
                      <w:rFonts w:hint="eastAsia" w:cs="Times New Roman"/>
                      <w:color w:val="auto"/>
                      <w:szCs w:val="28"/>
                      <w:lang w:val="en-US" w:eastAsia="zh-CN"/>
                    </w:rPr>
                    <w:t>/</w:t>
                  </w:r>
                </w:p>
              </w:tc>
            </w:tr>
            <w:tr w14:paraId="37D11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89" w:type="pct"/>
                  <w:vMerge w:val="continue"/>
                  <w:noWrap w:val="0"/>
                  <w:vAlign w:val="center"/>
                </w:tcPr>
                <w:p w14:paraId="499AF2E6">
                  <w:pPr>
                    <w:pStyle w:val="43"/>
                    <w:bidi w:val="0"/>
                    <w:rPr>
                      <w:rFonts w:hint="default" w:ascii="Times New Roman" w:hAnsi="Times New Roman" w:cs="Times New Roman"/>
                      <w:color w:val="auto"/>
                      <w:lang w:val="en-US" w:eastAsia="zh-CN"/>
                    </w:rPr>
                  </w:pPr>
                </w:p>
              </w:tc>
              <w:tc>
                <w:tcPr>
                  <w:tcW w:w="711" w:type="pct"/>
                  <w:vMerge w:val="restart"/>
                  <w:noWrap w:val="0"/>
                  <w:vAlign w:val="center"/>
                </w:tcPr>
                <w:p w14:paraId="16B37C00">
                  <w:pPr>
                    <w:pStyle w:val="43"/>
                    <w:bidi w:val="0"/>
                    <w:rPr>
                      <w:rFonts w:hint="default" w:ascii="Times New Roman" w:hAnsi="Times New Roman" w:cs="Times New Roman"/>
                      <w:color w:val="auto"/>
                      <w:lang w:val="en-US" w:eastAsia="zh-CN"/>
                    </w:rPr>
                  </w:pPr>
                  <w:r>
                    <w:rPr>
                      <w:rFonts w:hint="default" w:ascii="Times New Roman" w:hAnsi="Times New Roman" w:cs="Times New Roman"/>
                      <w:color w:val="auto"/>
                      <w:lang w:eastAsia="zh-CN"/>
                    </w:rPr>
                    <w:t>探矿工程</w:t>
                  </w:r>
                </w:p>
              </w:tc>
              <w:tc>
                <w:tcPr>
                  <w:tcW w:w="1487" w:type="pct"/>
                  <w:gridSpan w:val="2"/>
                  <w:noWrap w:val="0"/>
                  <w:vAlign w:val="center"/>
                </w:tcPr>
                <w:p w14:paraId="7ABD30A7">
                  <w:pPr>
                    <w:pStyle w:val="43"/>
                    <w:bidi w:val="0"/>
                    <w:rPr>
                      <w:rFonts w:hint="default" w:ascii="Times New Roman" w:hAnsi="Times New Roman" w:cs="Times New Roman"/>
                      <w:color w:val="auto"/>
                      <w:lang w:val="en-US" w:eastAsia="zh-CN"/>
                    </w:rPr>
                  </w:pPr>
                  <w:r>
                    <w:rPr>
                      <w:rFonts w:hint="eastAsia" w:ascii="Times New Roman" w:hAnsi="Times New Roman" w:cs="Times New Roman"/>
                      <w:color w:val="auto"/>
                    </w:rPr>
                    <w:t>槽探</w:t>
                  </w:r>
                </w:p>
              </w:tc>
              <w:tc>
                <w:tcPr>
                  <w:tcW w:w="856" w:type="pct"/>
                  <w:noWrap w:val="0"/>
                  <w:vAlign w:val="center"/>
                </w:tcPr>
                <w:p w14:paraId="3FE49B13">
                  <w:pPr>
                    <w:pStyle w:val="43"/>
                    <w:bidi w:val="0"/>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立方米</w:t>
                  </w:r>
                </w:p>
              </w:tc>
              <w:tc>
                <w:tcPr>
                  <w:tcW w:w="835" w:type="pct"/>
                  <w:noWrap w:val="0"/>
                  <w:vAlign w:val="center"/>
                </w:tcPr>
                <w:p w14:paraId="434620B0">
                  <w:pPr>
                    <w:pStyle w:val="43"/>
                    <w:bidi w:val="0"/>
                    <w:rPr>
                      <w:rFonts w:hint="default" w:ascii="Times New Roman" w:hAnsi="Times New Roman" w:cs="Times New Roman"/>
                      <w:color w:val="auto"/>
                      <w:lang w:val="en-US" w:eastAsia="zh-CN"/>
                    </w:rPr>
                  </w:pPr>
                  <w:r>
                    <w:rPr>
                      <w:rFonts w:hint="eastAsia" w:cs="Times New Roman"/>
                      <w:color w:val="auto"/>
                      <w:lang w:val="en-US" w:eastAsia="zh-CN"/>
                    </w:rPr>
                    <w:t>800</w:t>
                  </w:r>
                </w:p>
              </w:tc>
              <w:tc>
                <w:tcPr>
                  <w:tcW w:w="719" w:type="pct"/>
                  <w:noWrap w:val="0"/>
                  <w:vAlign w:val="center"/>
                </w:tcPr>
                <w:p w14:paraId="33598E87">
                  <w:pPr>
                    <w:pStyle w:val="43"/>
                    <w:bidi w:val="0"/>
                    <w:rPr>
                      <w:rFonts w:hint="eastAsia" w:cs="Times New Roman"/>
                      <w:color w:val="auto"/>
                      <w:lang w:val="en-US" w:eastAsia="zh-CN"/>
                    </w:rPr>
                  </w:pPr>
                </w:p>
              </w:tc>
            </w:tr>
            <w:tr w14:paraId="55FE2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89" w:type="pct"/>
                  <w:vMerge w:val="continue"/>
                  <w:noWrap w:val="0"/>
                  <w:vAlign w:val="center"/>
                </w:tcPr>
                <w:p w14:paraId="081EEF48">
                  <w:pPr>
                    <w:pStyle w:val="43"/>
                    <w:bidi w:val="0"/>
                    <w:rPr>
                      <w:rFonts w:hint="default" w:ascii="Times New Roman" w:hAnsi="Times New Roman" w:cs="Times New Roman"/>
                      <w:color w:val="auto"/>
                      <w:lang w:val="en-US" w:eastAsia="zh-CN"/>
                    </w:rPr>
                  </w:pPr>
                </w:p>
              </w:tc>
              <w:tc>
                <w:tcPr>
                  <w:tcW w:w="711" w:type="pct"/>
                  <w:vMerge w:val="continue"/>
                  <w:noWrap w:val="0"/>
                  <w:vAlign w:val="center"/>
                </w:tcPr>
                <w:p w14:paraId="6E31BF4E">
                  <w:pPr>
                    <w:pStyle w:val="43"/>
                    <w:bidi w:val="0"/>
                    <w:rPr>
                      <w:rFonts w:hint="default" w:ascii="Times New Roman" w:hAnsi="Times New Roman" w:cs="Times New Roman"/>
                      <w:color w:val="auto"/>
                      <w:lang w:eastAsia="zh-CN"/>
                    </w:rPr>
                  </w:pPr>
                </w:p>
              </w:tc>
              <w:tc>
                <w:tcPr>
                  <w:tcW w:w="1487" w:type="pct"/>
                  <w:gridSpan w:val="2"/>
                  <w:noWrap w:val="0"/>
                  <w:vAlign w:val="center"/>
                </w:tcPr>
                <w:p w14:paraId="45D22D04">
                  <w:pPr>
                    <w:pStyle w:val="43"/>
                    <w:bidi w:val="0"/>
                    <w:rPr>
                      <w:rFonts w:hint="eastAsia" w:ascii="Times New Roman" w:hAnsi="Times New Roman" w:eastAsia="宋体" w:cs="Times New Roman"/>
                      <w:color w:val="auto"/>
                      <w:lang w:val="en-US" w:eastAsia="zh-CN"/>
                    </w:rPr>
                  </w:pPr>
                  <w:r>
                    <w:rPr>
                      <w:rFonts w:hint="eastAsia" w:cs="Times New Roman"/>
                      <w:color w:val="auto"/>
                      <w:lang w:val="en-US" w:eastAsia="zh-CN"/>
                    </w:rPr>
                    <w:t>钻探</w:t>
                  </w:r>
                </w:p>
              </w:tc>
              <w:tc>
                <w:tcPr>
                  <w:tcW w:w="856" w:type="pct"/>
                  <w:noWrap w:val="0"/>
                  <w:vAlign w:val="center"/>
                </w:tcPr>
                <w:p w14:paraId="08689048">
                  <w:pPr>
                    <w:pStyle w:val="43"/>
                    <w:bidi w:val="0"/>
                    <w:rPr>
                      <w:rFonts w:hint="default" w:ascii="Times New Roman" w:hAnsi="Times New Roman" w:cs="Times New Roman"/>
                      <w:color w:val="auto"/>
                      <w:lang w:val="en-US" w:eastAsia="zh-CN"/>
                    </w:rPr>
                  </w:pPr>
                  <w:r>
                    <w:rPr>
                      <w:rFonts w:hint="eastAsia" w:cs="Times New Roman"/>
                      <w:color w:val="auto"/>
                      <w:lang w:val="en-US" w:eastAsia="zh-CN"/>
                    </w:rPr>
                    <w:t>米</w:t>
                  </w:r>
                </w:p>
              </w:tc>
              <w:tc>
                <w:tcPr>
                  <w:tcW w:w="835" w:type="pct"/>
                  <w:noWrap w:val="0"/>
                  <w:vAlign w:val="center"/>
                </w:tcPr>
                <w:p w14:paraId="67CC75B5">
                  <w:pPr>
                    <w:pStyle w:val="43"/>
                    <w:bidi w:val="0"/>
                    <w:rPr>
                      <w:rFonts w:hint="default" w:cs="Times New Roman"/>
                      <w:color w:val="auto"/>
                      <w:lang w:val="en-US" w:eastAsia="zh-CN"/>
                    </w:rPr>
                  </w:pPr>
                  <w:r>
                    <w:rPr>
                      <w:rFonts w:hint="eastAsia" w:cs="Times New Roman"/>
                      <w:color w:val="auto"/>
                      <w:lang w:val="en-US" w:eastAsia="zh-CN"/>
                    </w:rPr>
                    <w:t>550</w:t>
                  </w:r>
                </w:p>
              </w:tc>
              <w:tc>
                <w:tcPr>
                  <w:tcW w:w="719" w:type="pct"/>
                  <w:noWrap w:val="0"/>
                  <w:vAlign w:val="center"/>
                </w:tcPr>
                <w:p w14:paraId="62297125">
                  <w:pPr>
                    <w:pStyle w:val="43"/>
                    <w:bidi w:val="0"/>
                    <w:rPr>
                      <w:rFonts w:hint="default" w:cs="Times New Roman"/>
                      <w:color w:val="auto"/>
                      <w:lang w:val="en-US" w:eastAsia="zh-CN"/>
                    </w:rPr>
                  </w:pPr>
                  <w:r>
                    <w:rPr>
                      <w:rFonts w:hint="eastAsia" w:cs="Times New Roman"/>
                      <w:color w:val="auto"/>
                      <w:lang w:val="en-US" w:eastAsia="zh-CN"/>
                    </w:rPr>
                    <w:t>/</w:t>
                  </w:r>
                </w:p>
              </w:tc>
            </w:tr>
            <w:tr w14:paraId="28C85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389" w:type="pct"/>
                  <w:vMerge w:val="continue"/>
                  <w:noWrap w:val="0"/>
                  <w:vAlign w:val="center"/>
                </w:tcPr>
                <w:p w14:paraId="11DA612D">
                  <w:pPr>
                    <w:pStyle w:val="43"/>
                    <w:bidi w:val="0"/>
                    <w:rPr>
                      <w:rFonts w:hint="default" w:ascii="Times New Roman" w:hAnsi="Times New Roman" w:cs="Times New Roman"/>
                      <w:color w:val="auto"/>
                      <w:lang w:val="en-US" w:eastAsia="zh-CN"/>
                    </w:rPr>
                  </w:pPr>
                </w:p>
              </w:tc>
              <w:tc>
                <w:tcPr>
                  <w:tcW w:w="711" w:type="pct"/>
                  <w:vMerge w:val="restart"/>
                  <w:tcBorders>
                    <w:top w:val="single" w:color="000000" w:sz="4" w:space="0"/>
                  </w:tcBorders>
                  <w:noWrap w:val="0"/>
                  <w:vAlign w:val="center"/>
                </w:tcPr>
                <w:p w14:paraId="1A0713CD">
                  <w:pPr>
                    <w:pStyle w:val="43"/>
                    <w:bidi w:val="0"/>
                    <w:rPr>
                      <w:rFonts w:hint="default" w:ascii="Times New Roman" w:hAnsi="Times New Roman" w:cs="Times New Roman"/>
                      <w:color w:val="auto"/>
                      <w:lang w:val="en-US" w:eastAsia="zh-CN"/>
                    </w:rPr>
                  </w:pPr>
                  <w:r>
                    <w:rPr>
                      <w:rFonts w:hint="eastAsia" w:cs="Times New Roman"/>
                      <w:color w:val="auto"/>
                      <w:lang w:val="en-US" w:eastAsia="zh-CN"/>
                    </w:rPr>
                    <w:t>采样</w:t>
                  </w:r>
                </w:p>
              </w:tc>
              <w:tc>
                <w:tcPr>
                  <w:tcW w:w="1487" w:type="pct"/>
                  <w:gridSpan w:val="2"/>
                  <w:tcBorders>
                    <w:top w:val="single" w:color="000000" w:sz="4" w:space="0"/>
                  </w:tcBorders>
                  <w:noWrap w:val="0"/>
                  <w:vAlign w:val="center"/>
                </w:tcPr>
                <w:p w14:paraId="346D17DA">
                  <w:pPr>
                    <w:pStyle w:val="43"/>
                    <w:bidi w:val="0"/>
                    <w:rPr>
                      <w:rFonts w:hint="default" w:ascii="Times New Roman" w:hAnsi="Times New Roman" w:cs="Times New Roman"/>
                      <w:color w:val="auto"/>
                      <w:lang w:val="en-US" w:eastAsia="zh-CN"/>
                    </w:rPr>
                  </w:pPr>
                  <w:r>
                    <w:rPr>
                      <w:rFonts w:hint="eastAsia" w:cs="Times New Roman"/>
                      <w:color w:val="auto"/>
                      <w:lang w:val="en-US" w:eastAsia="zh-CN"/>
                    </w:rPr>
                    <w:t>刻槽样</w:t>
                  </w:r>
                </w:p>
              </w:tc>
              <w:tc>
                <w:tcPr>
                  <w:tcW w:w="856" w:type="pct"/>
                  <w:noWrap w:val="0"/>
                  <w:vAlign w:val="center"/>
                </w:tcPr>
                <w:p w14:paraId="5D615FF3">
                  <w:pPr>
                    <w:pStyle w:val="4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件</w:t>
                  </w:r>
                </w:p>
              </w:tc>
              <w:tc>
                <w:tcPr>
                  <w:tcW w:w="835" w:type="pct"/>
                  <w:noWrap w:val="0"/>
                  <w:vAlign w:val="center"/>
                </w:tcPr>
                <w:p w14:paraId="726BB88C">
                  <w:pPr>
                    <w:pStyle w:val="43"/>
                    <w:bidi w:val="0"/>
                    <w:rPr>
                      <w:rFonts w:hint="default" w:ascii="Times New Roman" w:hAnsi="Times New Roman" w:cs="Times New Roman"/>
                      <w:color w:val="auto"/>
                      <w:lang w:val="en-US" w:eastAsia="zh-CN"/>
                    </w:rPr>
                  </w:pPr>
                  <w:r>
                    <w:rPr>
                      <w:rFonts w:hint="eastAsia" w:cs="Times New Roman"/>
                      <w:color w:val="auto"/>
                      <w:lang w:val="en-US" w:eastAsia="zh-CN"/>
                    </w:rPr>
                    <w:t>80</w:t>
                  </w:r>
                </w:p>
              </w:tc>
              <w:tc>
                <w:tcPr>
                  <w:tcW w:w="719" w:type="pct"/>
                  <w:noWrap w:val="0"/>
                  <w:vAlign w:val="center"/>
                </w:tcPr>
                <w:p w14:paraId="52F01050">
                  <w:pPr>
                    <w:pStyle w:val="43"/>
                    <w:bidi w:val="0"/>
                    <w:rPr>
                      <w:rFonts w:hint="default" w:cs="Times New Roman"/>
                      <w:color w:val="auto"/>
                      <w:lang w:val="en-US" w:eastAsia="zh-CN"/>
                    </w:rPr>
                  </w:pPr>
                  <w:r>
                    <w:rPr>
                      <w:rFonts w:hint="eastAsia" w:cs="Times New Roman"/>
                      <w:color w:val="auto"/>
                      <w:lang w:val="en-US" w:eastAsia="zh-CN"/>
                    </w:rPr>
                    <w:t>/</w:t>
                  </w:r>
                </w:p>
              </w:tc>
            </w:tr>
            <w:tr w14:paraId="6008C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389" w:type="pct"/>
                  <w:vMerge w:val="continue"/>
                  <w:noWrap w:val="0"/>
                  <w:vAlign w:val="center"/>
                </w:tcPr>
                <w:p w14:paraId="1CE28638">
                  <w:pPr>
                    <w:pStyle w:val="43"/>
                    <w:bidi w:val="0"/>
                    <w:rPr>
                      <w:rFonts w:hint="default" w:ascii="Times New Roman" w:hAnsi="Times New Roman" w:cs="Times New Roman"/>
                      <w:color w:val="auto"/>
                      <w:lang w:val="en-US" w:eastAsia="zh-CN"/>
                    </w:rPr>
                  </w:pPr>
                </w:p>
              </w:tc>
              <w:tc>
                <w:tcPr>
                  <w:tcW w:w="711" w:type="pct"/>
                  <w:vMerge w:val="continue"/>
                  <w:noWrap w:val="0"/>
                  <w:vAlign w:val="center"/>
                </w:tcPr>
                <w:p w14:paraId="37542D24">
                  <w:pPr>
                    <w:pStyle w:val="43"/>
                    <w:bidi w:val="0"/>
                    <w:rPr>
                      <w:rFonts w:hint="default" w:ascii="Times New Roman" w:hAnsi="Times New Roman" w:cs="Times New Roman"/>
                      <w:color w:val="auto"/>
                      <w:lang w:val="en-US" w:eastAsia="zh-CN"/>
                    </w:rPr>
                  </w:pPr>
                </w:p>
              </w:tc>
              <w:tc>
                <w:tcPr>
                  <w:tcW w:w="1487" w:type="pct"/>
                  <w:gridSpan w:val="2"/>
                  <w:noWrap w:val="0"/>
                  <w:vAlign w:val="center"/>
                </w:tcPr>
                <w:p w14:paraId="12170D90">
                  <w:pPr>
                    <w:pStyle w:val="43"/>
                    <w:bidi w:val="0"/>
                    <w:rPr>
                      <w:rFonts w:hint="default" w:ascii="Times New Roman" w:hAnsi="Times New Roman" w:cs="Times New Roman"/>
                      <w:color w:val="auto"/>
                      <w:lang w:val="en-US" w:eastAsia="zh-CN"/>
                    </w:rPr>
                  </w:pPr>
                  <w:r>
                    <w:rPr>
                      <w:rFonts w:hint="eastAsia" w:cs="Times New Roman"/>
                      <w:color w:val="auto"/>
                      <w:lang w:val="en-US" w:eastAsia="zh-CN"/>
                    </w:rPr>
                    <w:t>岩芯样</w:t>
                  </w:r>
                </w:p>
              </w:tc>
              <w:tc>
                <w:tcPr>
                  <w:tcW w:w="856" w:type="pct"/>
                  <w:noWrap w:val="0"/>
                  <w:vAlign w:val="center"/>
                </w:tcPr>
                <w:p w14:paraId="362C119B">
                  <w:pPr>
                    <w:pStyle w:val="43"/>
                    <w:bidi w:val="0"/>
                    <w:rPr>
                      <w:rFonts w:hint="default" w:ascii="Times New Roman" w:hAnsi="Times New Roman" w:cs="Times New Roman"/>
                      <w:color w:val="auto"/>
                      <w:lang w:val="en-US" w:eastAsia="zh-CN"/>
                    </w:rPr>
                  </w:pPr>
                  <w:r>
                    <w:rPr>
                      <w:rFonts w:hint="eastAsia" w:cs="Times New Roman"/>
                      <w:color w:val="auto"/>
                      <w:lang w:val="en-US" w:eastAsia="zh-CN"/>
                    </w:rPr>
                    <w:t>件</w:t>
                  </w:r>
                </w:p>
              </w:tc>
              <w:tc>
                <w:tcPr>
                  <w:tcW w:w="835" w:type="pct"/>
                  <w:noWrap w:val="0"/>
                  <w:vAlign w:val="center"/>
                </w:tcPr>
                <w:p w14:paraId="374FE866">
                  <w:pPr>
                    <w:pStyle w:val="43"/>
                    <w:bidi w:val="0"/>
                    <w:rPr>
                      <w:rFonts w:hint="default" w:ascii="Times New Roman" w:hAnsi="Times New Roman" w:cs="Times New Roman"/>
                      <w:color w:val="auto"/>
                      <w:lang w:val="en-US" w:eastAsia="zh-CN"/>
                    </w:rPr>
                  </w:pPr>
                  <w:r>
                    <w:rPr>
                      <w:rFonts w:hint="eastAsia" w:cs="Times New Roman"/>
                      <w:color w:val="auto"/>
                      <w:lang w:val="en-US" w:eastAsia="zh-CN"/>
                    </w:rPr>
                    <w:t>30</w:t>
                  </w:r>
                </w:p>
              </w:tc>
              <w:tc>
                <w:tcPr>
                  <w:tcW w:w="719" w:type="pct"/>
                  <w:noWrap w:val="0"/>
                  <w:vAlign w:val="center"/>
                </w:tcPr>
                <w:p w14:paraId="132097F3">
                  <w:pPr>
                    <w:pStyle w:val="43"/>
                    <w:bidi w:val="0"/>
                    <w:rPr>
                      <w:rFonts w:hint="default" w:cs="Times New Roman"/>
                      <w:color w:val="auto"/>
                      <w:lang w:val="en-US" w:eastAsia="zh-CN"/>
                    </w:rPr>
                  </w:pPr>
                  <w:r>
                    <w:rPr>
                      <w:rFonts w:hint="eastAsia" w:cs="Times New Roman"/>
                      <w:color w:val="auto"/>
                      <w:lang w:val="en-US" w:eastAsia="zh-CN"/>
                    </w:rPr>
                    <w:t>/</w:t>
                  </w:r>
                </w:p>
              </w:tc>
            </w:tr>
            <w:tr w14:paraId="70012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9" w:type="pct"/>
                  <w:vMerge w:val="restart"/>
                  <w:noWrap w:val="0"/>
                  <w:vAlign w:val="center"/>
                </w:tcPr>
                <w:p w14:paraId="1AC36584">
                  <w:pPr>
                    <w:pStyle w:val="43"/>
                    <w:bidi w:val="0"/>
                    <w:rPr>
                      <w:rFonts w:hint="default" w:ascii="Times New Roman" w:hAnsi="Times New Roman" w:cs="Times New Roman"/>
                      <w:color w:val="auto"/>
                      <w:lang w:val="en-US" w:eastAsia="zh-CN"/>
                    </w:rPr>
                  </w:pPr>
                  <w:r>
                    <w:rPr>
                      <w:rFonts w:hint="eastAsia" w:ascii="Times New Roman" w:hAnsi="Times New Roman" w:cs="Times New Roman"/>
                      <w:color w:val="auto"/>
                      <w:highlight w:val="none"/>
                      <w:lang w:val="en-US" w:eastAsia="zh-CN"/>
                    </w:rPr>
                    <w:t>辅助工程</w:t>
                  </w:r>
                </w:p>
              </w:tc>
              <w:tc>
                <w:tcPr>
                  <w:tcW w:w="711" w:type="pct"/>
                  <w:noWrap w:val="0"/>
                  <w:vAlign w:val="center"/>
                </w:tcPr>
                <w:p w14:paraId="591A748C">
                  <w:pPr>
                    <w:pStyle w:val="4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生活营地</w:t>
                  </w:r>
                </w:p>
              </w:tc>
              <w:tc>
                <w:tcPr>
                  <w:tcW w:w="3179" w:type="pct"/>
                  <w:gridSpan w:val="4"/>
                  <w:noWrap w:val="0"/>
                  <w:vAlign w:val="center"/>
                </w:tcPr>
                <w:p w14:paraId="49075612">
                  <w:pPr>
                    <w:pStyle w:val="43"/>
                    <w:bidi w:val="0"/>
                    <w:rPr>
                      <w:rFonts w:hint="default" w:ascii="Times New Roman" w:hAnsi="Times New Roman" w:eastAsia="宋体" w:cs="Times New Roman"/>
                      <w:color w:val="auto"/>
                      <w:highlight w:val="none"/>
                      <w:vertAlign w:val="baseline"/>
                      <w:lang w:val="en-US" w:eastAsia="zh-CN"/>
                    </w:rPr>
                  </w:pPr>
                  <w:r>
                    <w:rPr>
                      <w:rFonts w:hint="eastAsia" w:cs="Times New Roman"/>
                      <w:color w:val="auto"/>
                      <w:highlight w:val="none"/>
                      <w:lang w:val="en-US" w:eastAsia="zh-CN"/>
                    </w:rPr>
                    <w:t>设置一个生活营地，占地面积约100m</w:t>
                  </w:r>
                  <w:r>
                    <w:rPr>
                      <w:rFonts w:hint="eastAsia" w:cs="Times New Roman"/>
                      <w:color w:val="auto"/>
                      <w:highlight w:val="none"/>
                      <w:vertAlign w:val="superscript"/>
                      <w:lang w:val="en-US" w:eastAsia="zh-CN"/>
                    </w:rPr>
                    <w:t>2</w:t>
                  </w:r>
                  <w:r>
                    <w:rPr>
                      <w:rFonts w:hint="eastAsia" w:cs="Times New Roman"/>
                      <w:color w:val="auto"/>
                      <w:highlight w:val="none"/>
                      <w:lang w:val="en-US" w:eastAsia="zh-CN"/>
                    </w:rPr>
                    <w:t>，</w:t>
                  </w:r>
                  <w:r>
                    <w:rPr>
                      <w:rFonts w:hint="default" w:ascii="Times New Roman" w:hAnsi="Times New Roman" w:eastAsia="宋体" w:cs="Times New Roman"/>
                      <w:color w:val="auto"/>
                      <w:kern w:val="0"/>
                      <w:sz w:val="21"/>
                      <w:szCs w:val="21"/>
                      <w:highlight w:val="none"/>
                      <w:lang w:val="en-US" w:eastAsia="zh-CN"/>
                    </w:rPr>
                    <w:t>待勘探工作完成后，拆除生活营地</w:t>
                  </w:r>
                </w:p>
              </w:tc>
              <w:tc>
                <w:tcPr>
                  <w:tcW w:w="719" w:type="pct"/>
                  <w:noWrap w:val="0"/>
                  <w:vAlign w:val="center"/>
                </w:tcPr>
                <w:p w14:paraId="3C510527">
                  <w:pPr>
                    <w:pStyle w:val="43"/>
                    <w:bidi w:val="0"/>
                    <w:rPr>
                      <w:rFonts w:hint="default" w:cs="Times New Roman"/>
                      <w:color w:val="auto"/>
                      <w:lang w:val="en-US" w:eastAsia="zh-CN"/>
                    </w:rPr>
                  </w:pPr>
                  <w:r>
                    <w:rPr>
                      <w:rFonts w:hint="eastAsia" w:cs="Times New Roman"/>
                      <w:color w:val="auto"/>
                      <w:lang w:val="en-US" w:eastAsia="zh-CN"/>
                    </w:rPr>
                    <w:t>/</w:t>
                  </w:r>
                </w:p>
              </w:tc>
            </w:tr>
            <w:tr w14:paraId="198F3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9" w:type="pct"/>
                  <w:vMerge w:val="continue"/>
                  <w:noWrap w:val="0"/>
                  <w:vAlign w:val="center"/>
                </w:tcPr>
                <w:p w14:paraId="53F4627A">
                  <w:pPr>
                    <w:pStyle w:val="43"/>
                    <w:bidi w:val="0"/>
                    <w:rPr>
                      <w:rFonts w:hint="eastAsia" w:ascii="Times New Roman" w:hAnsi="Times New Roman" w:cs="Times New Roman"/>
                      <w:color w:val="auto"/>
                      <w:highlight w:val="none"/>
                      <w:lang w:val="en-US" w:eastAsia="zh-CN"/>
                    </w:rPr>
                  </w:pPr>
                </w:p>
              </w:tc>
              <w:tc>
                <w:tcPr>
                  <w:tcW w:w="711" w:type="pct"/>
                  <w:shd w:val="clear" w:color="auto" w:fill="auto"/>
                  <w:noWrap w:val="0"/>
                  <w:vAlign w:val="center"/>
                </w:tcPr>
                <w:p w14:paraId="6519B0C7">
                  <w:pPr>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施工营地</w:t>
                  </w:r>
                </w:p>
              </w:tc>
              <w:tc>
                <w:tcPr>
                  <w:tcW w:w="3179" w:type="pct"/>
                  <w:gridSpan w:val="4"/>
                  <w:shd w:val="clear" w:color="auto" w:fill="auto"/>
                  <w:noWrap w:val="0"/>
                  <w:vAlign w:val="center"/>
                </w:tcPr>
                <w:p w14:paraId="6703CF96">
                  <w:pPr>
                    <w:spacing w:line="240" w:lineRule="auto"/>
                    <w:jc w:val="center"/>
                    <w:rPr>
                      <w:rFonts w:hint="eastAsia" w:ascii="Times New Roman" w:hAnsi="Times New Roman" w:eastAsia="宋体" w:cs="Times New Roman"/>
                      <w:color w:val="auto"/>
                      <w:kern w:val="0"/>
                      <w:sz w:val="21"/>
                      <w:szCs w:val="21"/>
                      <w:highlight w:val="none"/>
                      <w:vertAlign w:val="baseline"/>
                      <w:lang w:val="en-US" w:eastAsia="zh-CN" w:bidi="ar-SA"/>
                    </w:rPr>
                  </w:pPr>
                  <w:r>
                    <w:rPr>
                      <w:rFonts w:hint="eastAsia" w:cs="Times New Roman"/>
                      <w:color w:val="auto"/>
                      <w:kern w:val="0"/>
                      <w:sz w:val="21"/>
                      <w:szCs w:val="21"/>
                      <w:highlight w:val="none"/>
                      <w:lang w:val="en-US" w:eastAsia="zh-CN"/>
                    </w:rPr>
                    <w:t>内设设备存放区、沉淀池，</w:t>
                  </w:r>
                  <w:r>
                    <w:rPr>
                      <w:rFonts w:hint="default" w:ascii="Times New Roman" w:hAnsi="Times New Roman" w:eastAsia="宋体" w:cs="Times New Roman"/>
                      <w:color w:val="auto"/>
                      <w:kern w:val="0"/>
                      <w:sz w:val="21"/>
                      <w:szCs w:val="21"/>
                      <w:highlight w:val="none"/>
                      <w:lang w:val="en-US" w:eastAsia="zh-CN"/>
                    </w:rPr>
                    <w:t>占地面积约</w:t>
                  </w:r>
                  <w:r>
                    <w:rPr>
                      <w:rFonts w:hint="eastAsia" w:ascii="Times New Roman" w:hAnsi="Times New Roman" w:eastAsia="宋体" w:cs="Times New Roman"/>
                      <w:color w:val="auto"/>
                      <w:kern w:val="0"/>
                      <w:sz w:val="21"/>
                      <w:szCs w:val="21"/>
                      <w:highlight w:val="none"/>
                      <w:lang w:val="en-US" w:eastAsia="zh-CN"/>
                    </w:rPr>
                    <w:t>1</w:t>
                  </w:r>
                  <w:r>
                    <w:rPr>
                      <w:rFonts w:hint="default" w:ascii="Times New Roman" w:hAnsi="Times New Roman" w:eastAsia="宋体" w:cs="Times New Roman"/>
                      <w:color w:val="auto"/>
                      <w:kern w:val="0"/>
                      <w:sz w:val="21"/>
                      <w:szCs w:val="21"/>
                      <w:highlight w:val="none"/>
                      <w:lang w:val="en-US" w:eastAsia="zh-CN"/>
                    </w:rPr>
                    <w:t>00m</w:t>
                  </w:r>
                  <w:r>
                    <w:rPr>
                      <w:rFonts w:hint="default" w:ascii="Times New Roman" w:hAnsi="Times New Roman" w:eastAsia="宋体" w:cs="Times New Roman"/>
                      <w:color w:val="auto"/>
                      <w:kern w:val="0"/>
                      <w:sz w:val="21"/>
                      <w:szCs w:val="21"/>
                      <w:highlight w:val="none"/>
                      <w:vertAlign w:val="superscript"/>
                      <w:lang w:val="en-US" w:eastAsia="zh-CN"/>
                    </w:rPr>
                    <w:t>2</w:t>
                  </w:r>
                  <w:r>
                    <w:rPr>
                      <w:rFonts w:hint="eastAsia" w:cs="Times New Roman"/>
                      <w:color w:val="auto"/>
                      <w:kern w:val="0"/>
                      <w:sz w:val="21"/>
                      <w:szCs w:val="21"/>
                      <w:highlight w:val="none"/>
                      <w:vertAlign w:val="baseline"/>
                      <w:lang w:val="en-US" w:eastAsia="zh-CN"/>
                    </w:rPr>
                    <w:t>，待施工工作完成后，拆除施工营地</w:t>
                  </w:r>
                </w:p>
              </w:tc>
              <w:tc>
                <w:tcPr>
                  <w:tcW w:w="719" w:type="pct"/>
                  <w:shd w:val="clear" w:color="auto" w:fill="auto"/>
                  <w:noWrap w:val="0"/>
                  <w:vAlign w:val="center"/>
                </w:tcPr>
                <w:p w14:paraId="45E601E7">
                  <w:pPr>
                    <w:spacing w:line="240" w:lineRule="auto"/>
                    <w:jc w:val="center"/>
                    <w:rPr>
                      <w:rFonts w:hint="default"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w:t>
                  </w:r>
                </w:p>
              </w:tc>
            </w:tr>
            <w:tr w14:paraId="04A76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389" w:type="pct"/>
                  <w:vMerge w:val="restart"/>
                  <w:noWrap w:val="0"/>
                  <w:vAlign w:val="center"/>
                </w:tcPr>
                <w:p w14:paraId="3E2D40C0">
                  <w:pPr>
                    <w:pStyle w:val="43"/>
                    <w:bidi w:val="0"/>
                    <w:rPr>
                      <w:rFonts w:hint="default" w:ascii="Times New Roman" w:hAnsi="Times New Roman" w:cs="Times New Roman"/>
                      <w:color w:val="auto"/>
                      <w:lang w:val="en-US" w:eastAsia="zh-CN"/>
                    </w:rPr>
                  </w:pPr>
                  <w:r>
                    <w:rPr>
                      <w:rFonts w:hint="default" w:ascii="Times New Roman" w:hAnsi="Times New Roman" w:cs="Times New Roman"/>
                      <w:color w:val="auto"/>
                      <w:lang w:eastAsia="zh-CN"/>
                    </w:rPr>
                    <w:t>储运</w:t>
                  </w:r>
                  <w:r>
                    <w:rPr>
                      <w:rFonts w:hint="default" w:ascii="Times New Roman" w:hAnsi="Times New Roman" w:cs="Times New Roman"/>
                      <w:color w:val="auto"/>
                    </w:rPr>
                    <w:t>工程</w:t>
                  </w:r>
                </w:p>
              </w:tc>
              <w:tc>
                <w:tcPr>
                  <w:tcW w:w="711" w:type="pct"/>
                  <w:shd w:val="clear" w:color="auto" w:fill="auto"/>
                  <w:noWrap w:val="0"/>
                  <w:vAlign w:val="center"/>
                </w:tcPr>
                <w:p w14:paraId="0491E1BF">
                  <w:pPr>
                    <w:pStyle w:val="43"/>
                    <w:bidi w:val="0"/>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lang w:val="en-US" w:eastAsia="zh-CN"/>
                    </w:rPr>
                    <w:t>临时堆场</w:t>
                  </w:r>
                </w:p>
              </w:tc>
              <w:tc>
                <w:tcPr>
                  <w:tcW w:w="3179" w:type="pct"/>
                  <w:gridSpan w:val="4"/>
                  <w:shd w:val="clear" w:color="auto" w:fill="auto"/>
                  <w:noWrap w:val="0"/>
                  <w:vAlign w:val="center"/>
                </w:tcPr>
                <w:p w14:paraId="4832EF18">
                  <w:pPr>
                    <w:pStyle w:val="43"/>
                    <w:bidi w:val="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highlight w:val="none"/>
                      <w:lang w:val="en-US" w:eastAsia="zh-CN"/>
                    </w:rPr>
                    <w:t>槽探区附近设置</w:t>
                  </w:r>
                  <w:r>
                    <w:rPr>
                      <w:rFonts w:hint="eastAsia" w:cs="Times New Roman"/>
                      <w:color w:val="auto"/>
                      <w:highlight w:val="none"/>
                      <w:lang w:val="en-US" w:eastAsia="zh-CN"/>
                    </w:rPr>
                    <w:t>700</w:t>
                  </w:r>
                  <w:r>
                    <w:rPr>
                      <w:rFonts w:hint="eastAsia" w:ascii="Times New Roman" w:hAnsi="Times New Roman" w:cs="Times New Roman"/>
                      <w:color w:val="auto"/>
                      <w:highlight w:val="none"/>
                    </w:rPr>
                    <w:t>m</w:t>
                  </w:r>
                  <w:r>
                    <w:rPr>
                      <w:rFonts w:hint="eastAsia" w:ascii="Times New Roman" w:hAnsi="Times New Roman" w:cs="Times New Roman"/>
                      <w:color w:val="auto"/>
                      <w:highlight w:val="none"/>
                      <w:vertAlign w:val="superscript"/>
                    </w:rPr>
                    <w:t>2</w:t>
                  </w:r>
                  <w:r>
                    <w:rPr>
                      <w:rFonts w:hint="eastAsia" w:ascii="Times New Roman" w:hAnsi="Times New Roman" w:cs="Times New Roman"/>
                      <w:color w:val="auto"/>
                      <w:highlight w:val="none"/>
                      <w:lang w:val="en-US" w:eastAsia="zh-CN"/>
                    </w:rPr>
                    <w:t>临时堆场</w:t>
                  </w:r>
                </w:p>
              </w:tc>
              <w:tc>
                <w:tcPr>
                  <w:tcW w:w="719" w:type="pct"/>
                  <w:shd w:val="clear" w:color="auto" w:fill="auto"/>
                  <w:noWrap w:val="0"/>
                  <w:vAlign w:val="center"/>
                </w:tcPr>
                <w:p w14:paraId="166DEDBC">
                  <w:pPr>
                    <w:pStyle w:val="43"/>
                    <w:bidi w:val="0"/>
                    <w:rPr>
                      <w:rFonts w:hint="default" w:ascii="Times New Roman" w:hAnsi="Times New Roman" w:cs="Times New Roman"/>
                      <w:color w:val="auto"/>
                      <w:lang w:val="en-US" w:eastAsia="zh-CN"/>
                    </w:rPr>
                  </w:pPr>
                  <w:r>
                    <w:rPr>
                      <w:rFonts w:hint="eastAsia" w:cs="Times New Roman"/>
                      <w:color w:val="auto"/>
                      <w:lang w:val="en-US" w:eastAsia="zh-CN"/>
                    </w:rPr>
                    <w:t>/</w:t>
                  </w:r>
                </w:p>
              </w:tc>
            </w:tr>
            <w:tr w14:paraId="5738C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389" w:type="pct"/>
                  <w:vMerge w:val="continue"/>
                  <w:noWrap w:val="0"/>
                  <w:vAlign w:val="center"/>
                </w:tcPr>
                <w:p w14:paraId="3AEF36E2">
                  <w:pPr>
                    <w:pStyle w:val="43"/>
                    <w:bidi w:val="0"/>
                    <w:rPr>
                      <w:rFonts w:hint="default" w:ascii="Times New Roman" w:hAnsi="Times New Roman" w:cs="Times New Roman"/>
                      <w:color w:val="auto"/>
                      <w:lang w:val="en-US" w:eastAsia="zh-CN"/>
                    </w:rPr>
                  </w:pPr>
                </w:p>
              </w:tc>
              <w:tc>
                <w:tcPr>
                  <w:tcW w:w="711" w:type="pct"/>
                  <w:shd w:val="clear" w:color="auto" w:fill="auto"/>
                  <w:noWrap w:val="0"/>
                  <w:vAlign w:val="center"/>
                </w:tcPr>
                <w:p w14:paraId="63AD6325">
                  <w:pPr>
                    <w:pStyle w:val="43"/>
                    <w:bidi w:val="0"/>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lang w:val="en-US" w:eastAsia="zh-CN"/>
                    </w:rPr>
                    <w:t>柴油贮存点</w:t>
                  </w:r>
                </w:p>
              </w:tc>
              <w:tc>
                <w:tcPr>
                  <w:tcW w:w="3179" w:type="pct"/>
                  <w:gridSpan w:val="4"/>
                  <w:shd w:val="clear" w:color="auto" w:fill="auto"/>
                  <w:noWrap w:val="0"/>
                  <w:vAlign w:val="center"/>
                </w:tcPr>
                <w:p w14:paraId="3B5E63FC">
                  <w:pPr>
                    <w:pStyle w:val="43"/>
                    <w:bidi w:val="0"/>
                    <w:rPr>
                      <w:rFonts w:hint="eastAsia" w:ascii="Times New Roman" w:hAnsi="Times New Roman" w:eastAsia="宋体" w:cs="Times New Roman"/>
                      <w:color w:val="auto"/>
                      <w:kern w:val="2"/>
                      <w:sz w:val="21"/>
                      <w:szCs w:val="21"/>
                      <w:lang w:val="en-US" w:eastAsia="zh-CN" w:bidi="ar-SA"/>
                    </w:rPr>
                  </w:pPr>
                  <w:r>
                    <w:rPr>
                      <w:rFonts w:hint="eastAsia" w:cs="Times New Roman"/>
                      <w:color w:val="auto"/>
                      <w:lang w:val="en-US" w:eastAsia="zh-CN"/>
                    </w:rPr>
                    <w:t>在临时生活营地设置铺有防渗地膜的柴油贮存点，采用不锈钢油桶盛装柴油</w:t>
                  </w:r>
                </w:p>
              </w:tc>
              <w:tc>
                <w:tcPr>
                  <w:tcW w:w="719" w:type="pct"/>
                  <w:shd w:val="clear" w:color="auto" w:fill="auto"/>
                  <w:noWrap w:val="0"/>
                  <w:vAlign w:val="center"/>
                </w:tcPr>
                <w:p w14:paraId="5527E101">
                  <w:pPr>
                    <w:pStyle w:val="43"/>
                    <w:bidi w:val="0"/>
                    <w:rPr>
                      <w:rFonts w:hint="default" w:cs="Times New Roman"/>
                      <w:color w:val="auto"/>
                      <w:lang w:val="en-US" w:eastAsia="zh-CN"/>
                    </w:rPr>
                  </w:pPr>
                  <w:r>
                    <w:rPr>
                      <w:rFonts w:hint="eastAsia" w:cs="Times New Roman"/>
                      <w:color w:val="auto"/>
                      <w:lang w:val="en-US" w:eastAsia="zh-CN"/>
                    </w:rPr>
                    <w:t>/</w:t>
                  </w:r>
                </w:p>
              </w:tc>
            </w:tr>
            <w:tr w14:paraId="0A39D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389" w:type="pct"/>
                  <w:vMerge w:val="continue"/>
                  <w:noWrap w:val="0"/>
                  <w:vAlign w:val="center"/>
                </w:tcPr>
                <w:p w14:paraId="7097028C">
                  <w:pPr>
                    <w:pStyle w:val="43"/>
                    <w:bidi w:val="0"/>
                    <w:rPr>
                      <w:rFonts w:hint="default" w:ascii="Times New Roman" w:hAnsi="Times New Roman" w:cs="Times New Roman"/>
                      <w:color w:val="auto"/>
                      <w:lang w:val="en-US" w:eastAsia="zh-CN"/>
                    </w:rPr>
                  </w:pPr>
                </w:p>
              </w:tc>
              <w:tc>
                <w:tcPr>
                  <w:tcW w:w="711" w:type="pct"/>
                  <w:shd w:val="clear" w:color="auto" w:fill="auto"/>
                  <w:noWrap w:val="0"/>
                  <w:vAlign w:val="center"/>
                </w:tcPr>
                <w:p w14:paraId="15308F41">
                  <w:pPr>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进矿道路</w:t>
                  </w:r>
                </w:p>
              </w:tc>
              <w:tc>
                <w:tcPr>
                  <w:tcW w:w="3179" w:type="pct"/>
                  <w:gridSpan w:val="4"/>
                  <w:shd w:val="clear" w:color="auto" w:fill="auto"/>
                  <w:noWrap w:val="0"/>
                  <w:vAlign w:val="center"/>
                </w:tcPr>
                <w:p w14:paraId="77DB579C">
                  <w:pPr>
                    <w:spacing w:line="240" w:lineRule="auto"/>
                    <w:jc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需机械修筑简易便道约</w:t>
                  </w:r>
                  <w:r>
                    <w:rPr>
                      <w:rFonts w:hint="eastAsia" w:cs="Times New Roman"/>
                      <w:color w:val="auto"/>
                      <w:kern w:val="0"/>
                      <w:sz w:val="21"/>
                      <w:szCs w:val="21"/>
                      <w:highlight w:val="none"/>
                      <w:lang w:val="en-US" w:eastAsia="zh-CN"/>
                    </w:rPr>
                    <w:t>5</w:t>
                  </w:r>
                  <w:r>
                    <w:rPr>
                      <w:rFonts w:hint="eastAsia" w:ascii="Times New Roman" w:hAnsi="Times New Roman" w:eastAsia="宋体" w:cs="Times New Roman"/>
                      <w:color w:val="auto"/>
                      <w:kern w:val="0"/>
                      <w:sz w:val="21"/>
                      <w:szCs w:val="21"/>
                      <w:highlight w:val="none"/>
                      <w:lang w:val="en-US" w:eastAsia="zh-CN"/>
                    </w:rPr>
                    <w:t>千米</w:t>
                  </w:r>
                  <w:r>
                    <w:rPr>
                      <w:rFonts w:hint="eastAsia"/>
                      <w:color w:val="auto"/>
                      <w:highlight w:val="none"/>
                      <w:lang w:eastAsia="zh-CN"/>
                    </w:rPr>
                    <w:t>，</w:t>
                  </w:r>
                  <w:r>
                    <w:rPr>
                      <w:rFonts w:hint="eastAsia"/>
                      <w:color w:val="auto"/>
                      <w:highlight w:val="none"/>
                      <w:lang w:val="en-US" w:eastAsia="zh-CN"/>
                    </w:rPr>
                    <w:t>路宽3米，占地约15000</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2</w:t>
                  </w:r>
                </w:p>
              </w:tc>
              <w:tc>
                <w:tcPr>
                  <w:tcW w:w="719" w:type="pct"/>
                  <w:shd w:val="clear" w:color="auto" w:fill="auto"/>
                  <w:noWrap w:val="0"/>
                  <w:vAlign w:val="center"/>
                </w:tcPr>
                <w:p w14:paraId="0F7F05A0">
                  <w:pPr>
                    <w:pStyle w:val="43"/>
                    <w:bidi w:val="0"/>
                    <w:rPr>
                      <w:rFonts w:hint="eastAsia" w:cs="Times New Roman"/>
                      <w:color w:val="auto"/>
                      <w:lang w:val="en-US" w:eastAsia="zh-CN"/>
                    </w:rPr>
                  </w:pPr>
                </w:p>
              </w:tc>
            </w:tr>
            <w:tr w14:paraId="2582A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89" w:type="pct"/>
                  <w:vMerge w:val="restart"/>
                  <w:noWrap w:val="0"/>
                  <w:vAlign w:val="center"/>
                </w:tcPr>
                <w:p w14:paraId="7811E2B6">
                  <w:pPr>
                    <w:pStyle w:val="4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公用工程</w:t>
                  </w:r>
                </w:p>
              </w:tc>
              <w:tc>
                <w:tcPr>
                  <w:tcW w:w="711" w:type="pct"/>
                  <w:noWrap w:val="0"/>
                  <w:vAlign w:val="center"/>
                </w:tcPr>
                <w:p w14:paraId="2179FDEA">
                  <w:pPr>
                    <w:pStyle w:val="43"/>
                    <w:bidi w:val="0"/>
                    <w:rPr>
                      <w:rFonts w:hint="eastAsia" w:ascii="Times New Roman" w:hAnsi="Times New Roman" w:cs="Times New Roman"/>
                      <w:color w:val="auto"/>
                      <w:highlight w:val="none"/>
                      <w:lang w:val="en-US" w:eastAsia="zh-CN"/>
                    </w:rPr>
                  </w:pPr>
                  <w:r>
                    <w:rPr>
                      <w:rFonts w:hint="default" w:ascii="Times New Roman" w:hAnsi="Times New Roman" w:cs="Times New Roman"/>
                      <w:color w:val="auto"/>
                      <w:highlight w:val="none"/>
                    </w:rPr>
                    <w:t>供水</w:t>
                  </w:r>
                </w:p>
              </w:tc>
              <w:tc>
                <w:tcPr>
                  <w:tcW w:w="3179" w:type="pct"/>
                  <w:gridSpan w:val="4"/>
                  <w:noWrap w:val="0"/>
                  <w:vAlign w:val="center"/>
                </w:tcPr>
                <w:p w14:paraId="6E8588B4">
                  <w:pPr>
                    <w:pStyle w:val="43"/>
                    <w:bidi w:val="0"/>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定期从</w:t>
                  </w:r>
                  <w:r>
                    <w:rPr>
                      <w:rFonts w:hint="eastAsia" w:cs="Times New Roman"/>
                      <w:color w:val="auto"/>
                      <w:highlight w:val="none"/>
                      <w:lang w:val="en-US" w:eastAsia="zh-CN"/>
                    </w:rPr>
                    <w:t>邻近乡镇</w:t>
                  </w:r>
                  <w:r>
                    <w:rPr>
                      <w:rFonts w:hint="eastAsia" w:ascii="Times New Roman" w:hAnsi="Times New Roman" w:cs="Times New Roman"/>
                      <w:color w:val="auto"/>
                      <w:highlight w:val="none"/>
                      <w:lang w:val="en-US" w:eastAsia="zh-CN"/>
                    </w:rPr>
                    <w:t>拉运</w:t>
                  </w:r>
                </w:p>
              </w:tc>
              <w:tc>
                <w:tcPr>
                  <w:tcW w:w="719" w:type="pct"/>
                  <w:noWrap w:val="0"/>
                  <w:vAlign w:val="center"/>
                </w:tcPr>
                <w:p w14:paraId="48DA65D3">
                  <w:pPr>
                    <w:pStyle w:val="43"/>
                    <w:bidi w:val="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w:t>
                  </w:r>
                </w:p>
              </w:tc>
            </w:tr>
            <w:tr w14:paraId="1DC3E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9" w:type="pct"/>
                  <w:vMerge w:val="continue"/>
                  <w:noWrap w:val="0"/>
                  <w:vAlign w:val="center"/>
                </w:tcPr>
                <w:p w14:paraId="631AC06D">
                  <w:pPr>
                    <w:pStyle w:val="43"/>
                    <w:bidi w:val="0"/>
                    <w:rPr>
                      <w:rFonts w:hint="default" w:ascii="Times New Roman" w:hAnsi="Times New Roman" w:cs="Times New Roman"/>
                      <w:color w:val="auto"/>
                      <w:lang w:val="en-US" w:eastAsia="zh-CN"/>
                    </w:rPr>
                  </w:pPr>
                </w:p>
              </w:tc>
              <w:tc>
                <w:tcPr>
                  <w:tcW w:w="711" w:type="pct"/>
                  <w:noWrap w:val="0"/>
                  <w:vAlign w:val="center"/>
                </w:tcPr>
                <w:p w14:paraId="5456F2FF">
                  <w:pPr>
                    <w:pStyle w:val="43"/>
                    <w:bidi w:val="0"/>
                    <w:rPr>
                      <w:rFonts w:hint="eastAsia"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排水</w:t>
                  </w:r>
                </w:p>
              </w:tc>
              <w:tc>
                <w:tcPr>
                  <w:tcW w:w="3179" w:type="pct"/>
                  <w:gridSpan w:val="4"/>
                  <w:noWrap w:val="0"/>
                  <w:vAlign w:val="center"/>
                </w:tcPr>
                <w:p w14:paraId="429F9CA5">
                  <w:pPr>
                    <w:pStyle w:val="43"/>
                    <w:bidi w:val="0"/>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eastAsia="zh-CN"/>
                    </w:rPr>
                    <w:t>生活污水排入一体化污水处理设施后，用于</w:t>
                  </w:r>
                  <w:r>
                    <w:rPr>
                      <w:rFonts w:hint="eastAsia" w:cs="Times New Roman"/>
                      <w:color w:val="auto"/>
                      <w:highlight w:val="none"/>
                      <w:lang w:val="en-US" w:eastAsia="zh-CN"/>
                    </w:rPr>
                    <w:t>洒水抑尘；设备冲洗水经沉淀池处理后用于洒水降尘、蒸发逸散，不外排</w:t>
                  </w:r>
                </w:p>
              </w:tc>
              <w:tc>
                <w:tcPr>
                  <w:tcW w:w="719" w:type="pct"/>
                  <w:noWrap w:val="0"/>
                  <w:vAlign w:val="center"/>
                </w:tcPr>
                <w:p w14:paraId="42E57449">
                  <w:pPr>
                    <w:pStyle w:val="43"/>
                    <w:bidi w:val="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w:t>
                  </w:r>
                </w:p>
              </w:tc>
            </w:tr>
            <w:tr w14:paraId="72B8A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389" w:type="pct"/>
                  <w:vMerge w:val="continue"/>
                  <w:noWrap w:val="0"/>
                  <w:vAlign w:val="center"/>
                </w:tcPr>
                <w:p w14:paraId="64E764A8">
                  <w:pPr>
                    <w:pStyle w:val="43"/>
                    <w:bidi w:val="0"/>
                    <w:rPr>
                      <w:rFonts w:hint="default" w:ascii="Times New Roman" w:hAnsi="Times New Roman" w:cs="Times New Roman"/>
                      <w:color w:val="auto"/>
                      <w:lang w:val="en-US" w:eastAsia="zh-CN"/>
                    </w:rPr>
                  </w:pPr>
                </w:p>
              </w:tc>
              <w:tc>
                <w:tcPr>
                  <w:tcW w:w="711" w:type="pct"/>
                  <w:noWrap w:val="0"/>
                  <w:vAlign w:val="center"/>
                </w:tcPr>
                <w:p w14:paraId="17D5BCBE">
                  <w:pPr>
                    <w:pStyle w:val="43"/>
                    <w:bidi w:val="0"/>
                    <w:rPr>
                      <w:rFonts w:hint="eastAsia" w:ascii="Times New Roman" w:hAnsi="Times New Roman" w:cs="Times New Roman"/>
                      <w:color w:val="auto"/>
                      <w:lang w:val="en-US" w:eastAsia="zh-CN"/>
                    </w:rPr>
                  </w:pPr>
                  <w:r>
                    <w:rPr>
                      <w:rFonts w:hint="default" w:ascii="Times New Roman" w:hAnsi="Times New Roman" w:cs="Times New Roman"/>
                      <w:color w:val="auto"/>
                    </w:rPr>
                    <w:t>供电</w:t>
                  </w:r>
                </w:p>
              </w:tc>
              <w:tc>
                <w:tcPr>
                  <w:tcW w:w="3179" w:type="pct"/>
                  <w:gridSpan w:val="4"/>
                  <w:noWrap w:val="0"/>
                  <w:vAlign w:val="center"/>
                </w:tcPr>
                <w:p w14:paraId="3A30FC09">
                  <w:pPr>
                    <w:pStyle w:val="43"/>
                    <w:bidi w:val="0"/>
                    <w:rPr>
                      <w:rFonts w:hint="eastAsia" w:ascii="Times New Roman" w:hAnsi="Times New Roman" w:cs="Times New Roman"/>
                      <w:color w:val="auto"/>
                    </w:rPr>
                  </w:pPr>
                  <w:r>
                    <w:rPr>
                      <w:rFonts w:hint="default" w:ascii="Times New Roman" w:hAnsi="Times New Roman" w:cs="Times New Roman"/>
                      <w:color w:val="auto"/>
                    </w:rPr>
                    <w:t>柴油发电机发电</w:t>
                  </w:r>
                </w:p>
              </w:tc>
              <w:tc>
                <w:tcPr>
                  <w:tcW w:w="719" w:type="pct"/>
                  <w:noWrap w:val="0"/>
                  <w:vAlign w:val="center"/>
                </w:tcPr>
                <w:p w14:paraId="4554517F">
                  <w:pPr>
                    <w:pStyle w:val="43"/>
                    <w:bidi w:val="0"/>
                    <w:rPr>
                      <w:rFonts w:hint="eastAsia" w:ascii="Times New Roman" w:hAnsi="Times New Roman" w:eastAsia="宋体" w:cs="Times New Roman"/>
                      <w:color w:val="auto"/>
                      <w:lang w:val="en-US" w:eastAsia="zh-CN"/>
                    </w:rPr>
                  </w:pPr>
                  <w:r>
                    <w:rPr>
                      <w:rFonts w:hint="eastAsia" w:cs="Times New Roman"/>
                      <w:color w:val="auto"/>
                      <w:lang w:val="en-US" w:eastAsia="zh-CN"/>
                    </w:rPr>
                    <w:t>/</w:t>
                  </w:r>
                </w:p>
              </w:tc>
            </w:tr>
            <w:tr w14:paraId="4C592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389" w:type="pct"/>
                  <w:vMerge w:val="restart"/>
                  <w:noWrap w:val="0"/>
                  <w:vAlign w:val="center"/>
                </w:tcPr>
                <w:p w14:paraId="24EB3EB1">
                  <w:pPr>
                    <w:pStyle w:val="43"/>
                    <w:bidi w:val="0"/>
                    <w:rPr>
                      <w:rFonts w:hint="default" w:ascii="Times New Roman" w:hAnsi="Times New Roman" w:cs="Times New Roman"/>
                      <w:color w:val="auto"/>
                      <w:lang w:val="en-US" w:eastAsia="zh-CN"/>
                    </w:rPr>
                  </w:pPr>
                  <w:r>
                    <w:rPr>
                      <w:rFonts w:hint="default" w:ascii="Times New Roman" w:hAnsi="Times New Roman" w:cs="Times New Roman"/>
                      <w:color w:val="auto"/>
                    </w:rPr>
                    <w:t>环保工程</w:t>
                  </w:r>
                </w:p>
              </w:tc>
              <w:tc>
                <w:tcPr>
                  <w:tcW w:w="711" w:type="pct"/>
                  <w:vMerge w:val="restart"/>
                  <w:noWrap w:val="0"/>
                  <w:vAlign w:val="center"/>
                </w:tcPr>
                <w:p w14:paraId="31312037">
                  <w:pPr>
                    <w:pStyle w:val="4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废气治理</w:t>
                  </w:r>
                </w:p>
              </w:tc>
              <w:tc>
                <w:tcPr>
                  <w:tcW w:w="637" w:type="pct"/>
                  <w:noWrap w:val="0"/>
                  <w:vAlign w:val="center"/>
                </w:tcPr>
                <w:p w14:paraId="4536315E">
                  <w:pPr>
                    <w:pStyle w:val="43"/>
                    <w:bidi w:val="0"/>
                    <w:rPr>
                      <w:rFonts w:hint="default" w:ascii="Times New Roman" w:hAnsi="Times New Roman" w:eastAsia="宋体" w:cs="Times New Roman"/>
                      <w:color w:val="auto"/>
                      <w:lang w:val="en-US" w:eastAsia="zh-CN"/>
                    </w:rPr>
                  </w:pPr>
                  <w:r>
                    <w:rPr>
                      <w:rFonts w:hint="eastAsia" w:cs="Times New Roman"/>
                      <w:color w:val="auto"/>
                      <w:lang w:val="en-US" w:eastAsia="zh-CN"/>
                    </w:rPr>
                    <w:t>扬尘</w:t>
                  </w:r>
                </w:p>
              </w:tc>
              <w:tc>
                <w:tcPr>
                  <w:tcW w:w="2542" w:type="pct"/>
                  <w:gridSpan w:val="3"/>
                  <w:noWrap w:val="0"/>
                  <w:vAlign w:val="center"/>
                </w:tcPr>
                <w:p w14:paraId="15B0A654">
                  <w:pPr>
                    <w:pStyle w:val="4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道路</w:t>
                  </w:r>
                  <w:r>
                    <w:rPr>
                      <w:rFonts w:hint="default" w:ascii="Times New Roman" w:hAnsi="Times New Roman" w:cs="Times New Roman"/>
                      <w:color w:val="auto"/>
                    </w:rPr>
                    <w:t>洒水抑尘</w:t>
                  </w:r>
                  <w:r>
                    <w:rPr>
                      <w:rFonts w:hint="default" w:ascii="Times New Roman" w:hAnsi="Times New Roman" w:cs="Times New Roman"/>
                      <w:color w:val="auto"/>
                      <w:lang w:eastAsia="zh-CN"/>
                    </w:rPr>
                    <w:t>，</w:t>
                  </w:r>
                  <w:r>
                    <w:rPr>
                      <w:rFonts w:hint="default" w:ascii="Times New Roman" w:hAnsi="Times New Roman" w:cs="Times New Roman"/>
                      <w:color w:val="auto"/>
                    </w:rPr>
                    <w:t>开挖土</w:t>
                  </w:r>
                  <w:r>
                    <w:rPr>
                      <w:rFonts w:hint="default" w:ascii="Times New Roman" w:hAnsi="Times New Roman" w:cs="Times New Roman"/>
                      <w:color w:val="auto"/>
                      <w:lang w:val="en-US" w:eastAsia="zh-CN"/>
                    </w:rPr>
                    <w:t>石</w:t>
                  </w:r>
                  <w:r>
                    <w:rPr>
                      <w:rFonts w:hint="default" w:ascii="Times New Roman" w:hAnsi="Times New Roman" w:cs="Times New Roman"/>
                      <w:color w:val="auto"/>
                    </w:rPr>
                    <w:t>方使用彩条布</w:t>
                  </w:r>
                  <w:r>
                    <w:rPr>
                      <w:rFonts w:hint="eastAsia" w:cs="Times New Roman"/>
                      <w:color w:val="auto"/>
                      <w:lang w:eastAsia="zh-CN"/>
                    </w:rPr>
                    <w:t>苫盖</w:t>
                  </w:r>
                </w:p>
              </w:tc>
              <w:tc>
                <w:tcPr>
                  <w:tcW w:w="719" w:type="pct"/>
                  <w:noWrap w:val="0"/>
                  <w:vAlign w:val="center"/>
                </w:tcPr>
                <w:p w14:paraId="4C6D376A">
                  <w:pPr>
                    <w:pStyle w:val="43"/>
                    <w:bidi w:val="0"/>
                    <w:rPr>
                      <w:rFonts w:hint="default" w:ascii="Times New Roman" w:hAnsi="Times New Roman" w:cs="Times New Roman"/>
                      <w:color w:val="auto"/>
                      <w:lang w:val="en-US" w:eastAsia="zh-CN"/>
                    </w:rPr>
                  </w:pPr>
                  <w:r>
                    <w:rPr>
                      <w:rFonts w:hint="eastAsia" w:cs="Times New Roman"/>
                      <w:color w:val="auto"/>
                      <w:lang w:val="en-US" w:eastAsia="zh-CN"/>
                    </w:rPr>
                    <w:t>/</w:t>
                  </w:r>
                </w:p>
              </w:tc>
            </w:tr>
            <w:tr w14:paraId="0BB8B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389" w:type="pct"/>
                  <w:vMerge w:val="continue"/>
                  <w:noWrap w:val="0"/>
                  <w:vAlign w:val="center"/>
                </w:tcPr>
                <w:p w14:paraId="6692546D">
                  <w:pPr>
                    <w:pStyle w:val="43"/>
                    <w:bidi w:val="0"/>
                    <w:rPr>
                      <w:rFonts w:hint="default" w:ascii="Times New Roman" w:hAnsi="Times New Roman" w:cs="Times New Roman"/>
                      <w:color w:val="auto"/>
                    </w:rPr>
                  </w:pPr>
                </w:p>
              </w:tc>
              <w:tc>
                <w:tcPr>
                  <w:tcW w:w="711" w:type="pct"/>
                  <w:vMerge w:val="continue"/>
                  <w:noWrap w:val="0"/>
                  <w:vAlign w:val="center"/>
                </w:tcPr>
                <w:p w14:paraId="0F7B53DA">
                  <w:pPr>
                    <w:pStyle w:val="43"/>
                    <w:bidi w:val="0"/>
                    <w:rPr>
                      <w:rFonts w:hint="eastAsia" w:ascii="Times New Roman" w:hAnsi="Times New Roman" w:cs="Times New Roman"/>
                      <w:color w:val="auto"/>
                      <w:lang w:val="en-US" w:eastAsia="zh-CN"/>
                    </w:rPr>
                  </w:pPr>
                </w:p>
              </w:tc>
              <w:tc>
                <w:tcPr>
                  <w:tcW w:w="637" w:type="pct"/>
                  <w:noWrap w:val="0"/>
                  <w:vAlign w:val="center"/>
                </w:tcPr>
                <w:p w14:paraId="482EF08E">
                  <w:pPr>
                    <w:pStyle w:val="43"/>
                    <w:bidi w:val="0"/>
                    <w:rPr>
                      <w:rFonts w:hint="default" w:ascii="Times New Roman" w:hAnsi="Times New Roman" w:cs="Times New Roman"/>
                      <w:color w:val="auto"/>
                      <w:lang w:val="en-US" w:eastAsia="zh-CN"/>
                    </w:rPr>
                  </w:pPr>
                  <w:r>
                    <w:rPr>
                      <w:rFonts w:hint="eastAsia" w:cs="Times New Roman"/>
                      <w:color w:val="auto"/>
                      <w:lang w:val="en-US" w:eastAsia="zh-CN"/>
                    </w:rPr>
                    <w:t>燃油废气</w:t>
                  </w:r>
                </w:p>
              </w:tc>
              <w:tc>
                <w:tcPr>
                  <w:tcW w:w="2542" w:type="pct"/>
                  <w:gridSpan w:val="3"/>
                  <w:noWrap w:val="0"/>
                  <w:vAlign w:val="center"/>
                </w:tcPr>
                <w:p w14:paraId="6245DBCA">
                  <w:pPr>
                    <w:pStyle w:val="4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对柴油发电机及运输车辆定期维护保养，使用正品燃油，减少尾气排放</w:t>
                  </w:r>
                </w:p>
              </w:tc>
              <w:tc>
                <w:tcPr>
                  <w:tcW w:w="719" w:type="pct"/>
                  <w:noWrap w:val="0"/>
                  <w:vAlign w:val="center"/>
                </w:tcPr>
                <w:p w14:paraId="6032EA9E">
                  <w:pPr>
                    <w:pStyle w:val="43"/>
                    <w:bidi w:val="0"/>
                    <w:rPr>
                      <w:rFonts w:hint="default" w:ascii="Times New Roman" w:hAnsi="Times New Roman" w:cs="Times New Roman"/>
                      <w:color w:val="auto"/>
                      <w:lang w:val="en-US" w:eastAsia="zh-CN"/>
                    </w:rPr>
                  </w:pPr>
                  <w:r>
                    <w:rPr>
                      <w:rFonts w:hint="eastAsia" w:cs="Times New Roman"/>
                      <w:color w:val="auto"/>
                      <w:lang w:val="en-US" w:eastAsia="zh-CN"/>
                    </w:rPr>
                    <w:t>/</w:t>
                  </w:r>
                </w:p>
              </w:tc>
            </w:tr>
            <w:tr w14:paraId="0CE74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89" w:type="pct"/>
                  <w:vMerge w:val="continue"/>
                  <w:noWrap w:val="0"/>
                  <w:vAlign w:val="center"/>
                </w:tcPr>
                <w:p w14:paraId="70E28669">
                  <w:pPr>
                    <w:pStyle w:val="43"/>
                    <w:bidi w:val="0"/>
                    <w:rPr>
                      <w:rFonts w:hint="default" w:ascii="Times New Roman" w:hAnsi="Times New Roman" w:cs="Times New Roman"/>
                      <w:color w:val="auto"/>
                      <w:lang w:val="en-US" w:eastAsia="zh-CN"/>
                    </w:rPr>
                  </w:pPr>
                </w:p>
              </w:tc>
              <w:tc>
                <w:tcPr>
                  <w:tcW w:w="711" w:type="pct"/>
                  <w:vMerge w:val="restart"/>
                  <w:noWrap w:val="0"/>
                  <w:vAlign w:val="center"/>
                </w:tcPr>
                <w:p w14:paraId="22A4C68A">
                  <w:pPr>
                    <w:pStyle w:val="43"/>
                    <w:bidi w:val="0"/>
                    <w:rPr>
                      <w:rFonts w:hint="default" w:ascii="Times New Roman" w:hAnsi="Times New Roman" w:cs="Times New Roman"/>
                      <w:color w:val="auto"/>
                      <w:lang w:val="en-US" w:eastAsia="zh-CN"/>
                    </w:rPr>
                  </w:pPr>
                  <w:r>
                    <w:rPr>
                      <w:rFonts w:hint="eastAsia" w:ascii="Times New Roman" w:hAnsi="Times New Roman" w:cs="Times New Roman"/>
                      <w:color w:val="auto"/>
                      <w:highlight w:val="none"/>
                      <w:lang w:val="en-US" w:eastAsia="zh-CN"/>
                    </w:rPr>
                    <w:t>废水治理</w:t>
                  </w:r>
                </w:p>
              </w:tc>
              <w:tc>
                <w:tcPr>
                  <w:tcW w:w="637" w:type="pct"/>
                  <w:noWrap w:val="0"/>
                  <w:vAlign w:val="center"/>
                </w:tcPr>
                <w:p w14:paraId="2FD0DEEF">
                  <w:pPr>
                    <w:pStyle w:val="43"/>
                    <w:bidi w:val="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生活污水</w:t>
                  </w:r>
                </w:p>
              </w:tc>
              <w:tc>
                <w:tcPr>
                  <w:tcW w:w="2542" w:type="pct"/>
                  <w:gridSpan w:val="3"/>
                  <w:noWrap w:val="0"/>
                  <w:vAlign w:val="center"/>
                </w:tcPr>
                <w:p w14:paraId="5C74617B">
                  <w:pPr>
                    <w:pStyle w:val="43"/>
                    <w:bidi w:val="0"/>
                    <w:rPr>
                      <w:rFonts w:hint="default" w:ascii="Times New Roman" w:hAnsi="Times New Roman" w:cs="Times New Roman"/>
                      <w:color w:val="auto"/>
                      <w:highlight w:val="none"/>
                      <w:lang w:val="en-US"/>
                    </w:rPr>
                  </w:pPr>
                  <w:r>
                    <w:rPr>
                      <w:rFonts w:hint="eastAsia" w:cs="Times New Roman"/>
                      <w:color w:val="auto"/>
                      <w:highlight w:val="none"/>
                      <w:lang w:val="en-US" w:eastAsia="zh-CN"/>
                    </w:rPr>
                    <w:t>设置一座一体化污水处理设施（5m</w:t>
                  </w:r>
                  <w:r>
                    <w:rPr>
                      <w:rFonts w:hint="eastAsia" w:cs="Times New Roman"/>
                      <w:color w:val="auto"/>
                      <w:highlight w:val="none"/>
                      <w:vertAlign w:val="superscript"/>
                      <w:lang w:val="en-US" w:eastAsia="zh-CN"/>
                    </w:rPr>
                    <w:t>2</w:t>
                  </w:r>
                  <w:r>
                    <w:rPr>
                      <w:rFonts w:hint="eastAsia" w:cs="Times New Roman"/>
                      <w:color w:val="auto"/>
                      <w:highlight w:val="none"/>
                      <w:lang w:val="en-US" w:eastAsia="zh-CN"/>
                    </w:rPr>
                    <w:t>），处理工艺为：</w:t>
                  </w:r>
                  <w:r>
                    <w:rPr>
                      <w:rFonts w:hint="eastAsia"/>
                      <w:color w:val="auto"/>
                      <w:lang w:val="en-US" w:eastAsia="zh-CN"/>
                    </w:rPr>
                    <w:t>A/O+MBR生化工艺</w:t>
                  </w:r>
                  <w:r>
                    <w:rPr>
                      <w:rFonts w:hint="eastAsia" w:cs="Times New Roman"/>
                      <w:color w:val="auto"/>
                      <w:highlight w:val="none"/>
                      <w:lang w:val="en-US" w:eastAsia="zh-CN"/>
                    </w:rPr>
                    <w:t>，处理后用于洒水抑尘，全部自然蒸干，不外排</w:t>
                  </w:r>
                </w:p>
              </w:tc>
              <w:tc>
                <w:tcPr>
                  <w:tcW w:w="719" w:type="pct"/>
                  <w:noWrap w:val="0"/>
                  <w:vAlign w:val="center"/>
                </w:tcPr>
                <w:p w14:paraId="1B93EBBD">
                  <w:pPr>
                    <w:pStyle w:val="43"/>
                    <w:bidi w:val="0"/>
                    <w:rPr>
                      <w:rFonts w:hint="default" w:cs="Times New Roman"/>
                      <w:color w:val="auto"/>
                      <w:highlight w:val="none"/>
                      <w:lang w:val="en-US" w:eastAsia="zh-CN"/>
                    </w:rPr>
                  </w:pPr>
                  <w:r>
                    <w:rPr>
                      <w:rFonts w:hint="eastAsia" w:cs="Times New Roman"/>
                      <w:color w:val="auto"/>
                      <w:highlight w:val="none"/>
                      <w:lang w:val="en-US" w:eastAsia="zh-CN"/>
                    </w:rPr>
                    <w:t>/</w:t>
                  </w:r>
                </w:p>
              </w:tc>
            </w:tr>
            <w:tr w14:paraId="2B9DF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89" w:type="pct"/>
                  <w:vMerge w:val="continue"/>
                  <w:noWrap w:val="0"/>
                  <w:vAlign w:val="center"/>
                </w:tcPr>
                <w:p w14:paraId="6E22F570">
                  <w:pPr>
                    <w:pStyle w:val="43"/>
                    <w:bidi w:val="0"/>
                    <w:rPr>
                      <w:rFonts w:hint="default" w:ascii="Times New Roman" w:hAnsi="Times New Roman" w:cs="Times New Roman"/>
                      <w:color w:val="auto"/>
                      <w:lang w:val="en-US" w:eastAsia="zh-CN"/>
                    </w:rPr>
                  </w:pPr>
                </w:p>
              </w:tc>
              <w:tc>
                <w:tcPr>
                  <w:tcW w:w="711" w:type="pct"/>
                  <w:vMerge w:val="continue"/>
                  <w:noWrap w:val="0"/>
                  <w:vAlign w:val="center"/>
                </w:tcPr>
                <w:p w14:paraId="7029F12C">
                  <w:pPr>
                    <w:pStyle w:val="43"/>
                    <w:bidi w:val="0"/>
                    <w:rPr>
                      <w:rFonts w:hint="eastAsia" w:ascii="Times New Roman" w:hAnsi="Times New Roman" w:cs="Times New Roman"/>
                      <w:color w:val="auto"/>
                      <w:lang w:val="en-US" w:eastAsia="zh-CN"/>
                    </w:rPr>
                  </w:pPr>
                </w:p>
              </w:tc>
              <w:tc>
                <w:tcPr>
                  <w:tcW w:w="637" w:type="pct"/>
                  <w:noWrap w:val="0"/>
                  <w:vAlign w:val="center"/>
                </w:tcPr>
                <w:p w14:paraId="689D410A">
                  <w:pPr>
                    <w:pStyle w:val="43"/>
                    <w:bidi w:val="0"/>
                    <w:jc w:val="center"/>
                    <w:rPr>
                      <w:rFonts w:hint="default" w:ascii="Times New Roman" w:hAnsi="Times New Roman" w:cs="Times New Roman"/>
                      <w:color w:val="auto"/>
                      <w:lang w:val="en-US" w:eastAsia="zh-CN"/>
                    </w:rPr>
                  </w:pPr>
                  <w:r>
                    <w:rPr>
                      <w:rFonts w:hint="eastAsia" w:cs="Times New Roman"/>
                      <w:color w:val="auto"/>
                      <w:lang w:val="en-US" w:eastAsia="zh-CN"/>
                    </w:rPr>
                    <w:t>设备清洗用水</w:t>
                  </w:r>
                </w:p>
              </w:tc>
              <w:tc>
                <w:tcPr>
                  <w:tcW w:w="2542" w:type="pct"/>
                  <w:gridSpan w:val="3"/>
                  <w:noWrap w:val="0"/>
                  <w:vAlign w:val="center"/>
                </w:tcPr>
                <w:p w14:paraId="7A68064C">
                  <w:pPr>
                    <w:pStyle w:val="43"/>
                    <w:bidi w:val="0"/>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经防渗沉淀池</w:t>
                  </w:r>
                  <w:r>
                    <w:rPr>
                      <w:rFonts w:hint="eastAsia" w:cs="Times New Roman"/>
                      <w:color w:val="auto"/>
                      <w:lang w:val="en-US" w:eastAsia="zh-CN"/>
                    </w:rPr>
                    <w:t>（2m</w:t>
                  </w:r>
                  <w:r>
                    <w:rPr>
                      <w:rFonts w:hint="eastAsia" w:cs="Times New Roman"/>
                      <w:color w:val="auto"/>
                      <w:vertAlign w:val="superscript"/>
                      <w:lang w:val="en-US" w:eastAsia="zh-CN"/>
                    </w:rPr>
                    <w:t>3</w:t>
                  </w:r>
                  <w:r>
                    <w:rPr>
                      <w:rFonts w:hint="eastAsia" w:cs="Times New Roman"/>
                      <w:color w:val="auto"/>
                      <w:lang w:val="en-US" w:eastAsia="zh-CN"/>
                    </w:rPr>
                    <w:t>）</w:t>
                  </w:r>
                  <w:r>
                    <w:rPr>
                      <w:rFonts w:hint="eastAsia" w:ascii="Times New Roman" w:hAnsi="Times New Roman" w:cs="Times New Roman"/>
                      <w:color w:val="auto"/>
                      <w:lang w:val="en-US" w:eastAsia="zh-CN"/>
                    </w:rPr>
                    <w:t>处理后用于洒水降尘，蒸发逸散、不外排</w:t>
                  </w:r>
                </w:p>
              </w:tc>
              <w:tc>
                <w:tcPr>
                  <w:tcW w:w="719" w:type="pct"/>
                  <w:noWrap w:val="0"/>
                  <w:vAlign w:val="center"/>
                </w:tcPr>
                <w:p w14:paraId="7AD8A643">
                  <w:pPr>
                    <w:pStyle w:val="43"/>
                    <w:bidi w:val="0"/>
                    <w:rPr>
                      <w:rFonts w:hint="default" w:ascii="Times New Roman" w:hAnsi="Times New Roman" w:cs="Times New Roman"/>
                      <w:color w:val="auto"/>
                      <w:lang w:val="en-US" w:eastAsia="zh-CN"/>
                    </w:rPr>
                  </w:pPr>
                  <w:r>
                    <w:rPr>
                      <w:rFonts w:hint="eastAsia" w:cs="Times New Roman"/>
                      <w:color w:val="auto"/>
                      <w:lang w:val="en-US" w:eastAsia="zh-CN"/>
                    </w:rPr>
                    <w:t>/</w:t>
                  </w:r>
                </w:p>
              </w:tc>
            </w:tr>
            <w:tr w14:paraId="6C88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389" w:type="pct"/>
                  <w:vMerge w:val="continue"/>
                  <w:noWrap w:val="0"/>
                  <w:vAlign w:val="center"/>
                </w:tcPr>
                <w:p w14:paraId="76DA48C8">
                  <w:pPr>
                    <w:pStyle w:val="43"/>
                    <w:bidi w:val="0"/>
                    <w:rPr>
                      <w:rFonts w:hint="default" w:ascii="Times New Roman" w:hAnsi="Times New Roman" w:cs="Times New Roman"/>
                      <w:color w:val="auto"/>
                      <w:lang w:val="en-US" w:eastAsia="zh-CN"/>
                    </w:rPr>
                  </w:pPr>
                </w:p>
              </w:tc>
              <w:tc>
                <w:tcPr>
                  <w:tcW w:w="711" w:type="pct"/>
                  <w:vMerge w:val="restart"/>
                  <w:noWrap w:val="0"/>
                  <w:vAlign w:val="center"/>
                </w:tcPr>
                <w:p w14:paraId="2D49CF99">
                  <w:pPr>
                    <w:pStyle w:val="43"/>
                    <w:bidi w:val="0"/>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固废治理</w:t>
                  </w:r>
                </w:p>
              </w:tc>
              <w:tc>
                <w:tcPr>
                  <w:tcW w:w="637" w:type="pct"/>
                  <w:noWrap w:val="0"/>
                  <w:vAlign w:val="center"/>
                </w:tcPr>
                <w:p w14:paraId="675C61B1">
                  <w:pPr>
                    <w:pStyle w:val="4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生活垃圾</w:t>
                  </w:r>
                </w:p>
              </w:tc>
              <w:tc>
                <w:tcPr>
                  <w:tcW w:w="2542" w:type="pct"/>
                  <w:gridSpan w:val="3"/>
                  <w:noWrap w:val="0"/>
                  <w:vAlign w:val="center"/>
                </w:tcPr>
                <w:p w14:paraId="2259E07A">
                  <w:pPr>
                    <w:pStyle w:val="4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集中收集后</w:t>
                  </w:r>
                  <w:r>
                    <w:rPr>
                      <w:rFonts w:hint="eastAsia" w:cs="Times New Roman"/>
                      <w:color w:val="auto"/>
                      <w:lang w:val="en-US" w:eastAsia="zh-CN"/>
                    </w:rPr>
                    <w:t>送至附近垃圾填埋场</w:t>
                  </w:r>
                </w:p>
              </w:tc>
              <w:tc>
                <w:tcPr>
                  <w:tcW w:w="719" w:type="pct"/>
                  <w:noWrap w:val="0"/>
                  <w:vAlign w:val="center"/>
                </w:tcPr>
                <w:p w14:paraId="24D29295">
                  <w:pPr>
                    <w:pStyle w:val="43"/>
                    <w:bidi w:val="0"/>
                    <w:rPr>
                      <w:rFonts w:hint="default" w:ascii="Times New Roman" w:hAnsi="Times New Roman" w:cs="Times New Roman"/>
                      <w:color w:val="auto"/>
                      <w:lang w:val="en-US" w:eastAsia="zh-CN"/>
                    </w:rPr>
                  </w:pPr>
                  <w:r>
                    <w:rPr>
                      <w:rFonts w:hint="eastAsia" w:cs="Times New Roman"/>
                      <w:color w:val="auto"/>
                      <w:lang w:val="en-US" w:eastAsia="zh-CN"/>
                    </w:rPr>
                    <w:t>/</w:t>
                  </w:r>
                </w:p>
              </w:tc>
            </w:tr>
            <w:tr w14:paraId="5EB6A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389" w:type="pct"/>
                  <w:vMerge w:val="continue"/>
                  <w:noWrap w:val="0"/>
                  <w:vAlign w:val="center"/>
                </w:tcPr>
                <w:p w14:paraId="0A3EA644">
                  <w:pPr>
                    <w:pStyle w:val="43"/>
                    <w:bidi w:val="0"/>
                    <w:rPr>
                      <w:rFonts w:hint="default" w:ascii="Times New Roman" w:hAnsi="Times New Roman" w:cs="Times New Roman"/>
                      <w:color w:val="auto"/>
                      <w:lang w:val="en-US" w:eastAsia="zh-CN"/>
                    </w:rPr>
                  </w:pPr>
                </w:p>
              </w:tc>
              <w:tc>
                <w:tcPr>
                  <w:tcW w:w="711" w:type="pct"/>
                  <w:vMerge w:val="continue"/>
                  <w:noWrap w:val="0"/>
                  <w:vAlign w:val="center"/>
                </w:tcPr>
                <w:p w14:paraId="486FBB8B">
                  <w:pPr>
                    <w:pStyle w:val="43"/>
                    <w:bidi w:val="0"/>
                    <w:rPr>
                      <w:rFonts w:hint="eastAsia" w:ascii="Times New Roman" w:hAnsi="Times New Roman" w:cs="Times New Roman"/>
                      <w:color w:val="auto"/>
                      <w:lang w:val="en-US" w:eastAsia="zh-CN"/>
                    </w:rPr>
                  </w:pPr>
                </w:p>
              </w:tc>
              <w:tc>
                <w:tcPr>
                  <w:tcW w:w="637" w:type="pct"/>
                  <w:noWrap w:val="0"/>
                  <w:vAlign w:val="center"/>
                </w:tcPr>
                <w:p w14:paraId="0EB461B4">
                  <w:pPr>
                    <w:pStyle w:val="4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开挖土石</w:t>
                  </w:r>
                  <w:r>
                    <w:rPr>
                      <w:rFonts w:hint="eastAsia" w:ascii="Times New Roman" w:hAnsi="Times New Roman" w:cs="Times New Roman"/>
                      <w:color w:val="auto"/>
                      <w:lang w:val="en-US" w:eastAsia="zh-CN"/>
                    </w:rPr>
                    <w:t>方</w:t>
                  </w:r>
                </w:p>
              </w:tc>
              <w:tc>
                <w:tcPr>
                  <w:tcW w:w="2542" w:type="pct"/>
                  <w:gridSpan w:val="3"/>
                  <w:noWrap w:val="0"/>
                  <w:vAlign w:val="center"/>
                </w:tcPr>
                <w:p w14:paraId="06B61BA7">
                  <w:pPr>
                    <w:pStyle w:val="43"/>
                    <w:bidi w:val="0"/>
                    <w:rPr>
                      <w:rFonts w:hint="default" w:ascii="Times New Roman" w:hAnsi="Times New Roman" w:cs="Times New Roman"/>
                      <w:color w:val="auto"/>
                      <w:lang w:val="en-US" w:eastAsia="zh-CN"/>
                    </w:rPr>
                  </w:pPr>
                  <w:r>
                    <w:rPr>
                      <w:rFonts w:hint="eastAsia" w:ascii="Times New Roman" w:hAnsi="Times New Roman" w:cs="Times New Roman"/>
                      <w:color w:val="auto"/>
                    </w:rPr>
                    <w:t>全部回填</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无弃方</w:t>
                  </w:r>
                </w:p>
              </w:tc>
              <w:tc>
                <w:tcPr>
                  <w:tcW w:w="719" w:type="pct"/>
                  <w:noWrap w:val="0"/>
                  <w:vAlign w:val="center"/>
                </w:tcPr>
                <w:p w14:paraId="60D0DE92">
                  <w:pPr>
                    <w:pStyle w:val="43"/>
                    <w:bidi w:val="0"/>
                    <w:rPr>
                      <w:rFonts w:hint="eastAsia" w:ascii="Times New Roman" w:hAnsi="Times New Roman" w:eastAsia="宋体" w:cs="Times New Roman"/>
                      <w:color w:val="auto"/>
                      <w:lang w:val="en-US" w:eastAsia="zh-CN"/>
                    </w:rPr>
                  </w:pPr>
                  <w:r>
                    <w:rPr>
                      <w:rFonts w:hint="eastAsia" w:cs="Times New Roman"/>
                      <w:color w:val="auto"/>
                      <w:lang w:val="en-US" w:eastAsia="zh-CN"/>
                    </w:rPr>
                    <w:t>/</w:t>
                  </w:r>
                </w:p>
              </w:tc>
            </w:tr>
            <w:tr w14:paraId="4A319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389" w:type="pct"/>
                  <w:vMerge w:val="continue"/>
                  <w:noWrap w:val="0"/>
                  <w:vAlign w:val="center"/>
                </w:tcPr>
                <w:p w14:paraId="201072EE">
                  <w:pPr>
                    <w:pStyle w:val="43"/>
                    <w:bidi w:val="0"/>
                    <w:rPr>
                      <w:rFonts w:hint="default" w:ascii="Times New Roman" w:hAnsi="Times New Roman" w:cs="Times New Roman"/>
                      <w:color w:val="auto"/>
                      <w:lang w:val="en-US" w:eastAsia="zh-CN"/>
                    </w:rPr>
                  </w:pPr>
                </w:p>
              </w:tc>
              <w:tc>
                <w:tcPr>
                  <w:tcW w:w="711" w:type="pct"/>
                  <w:vMerge w:val="continue"/>
                  <w:noWrap w:val="0"/>
                  <w:vAlign w:val="center"/>
                </w:tcPr>
                <w:p w14:paraId="0964C0A7">
                  <w:pPr>
                    <w:pStyle w:val="43"/>
                    <w:bidi w:val="0"/>
                    <w:rPr>
                      <w:rFonts w:hint="eastAsia" w:ascii="Times New Roman" w:hAnsi="Times New Roman" w:cs="Times New Roman"/>
                      <w:color w:val="auto"/>
                      <w:lang w:val="en-US" w:eastAsia="zh-CN"/>
                    </w:rPr>
                  </w:pPr>
                </w:p>
              </w:tc>
              <w:tc>
                <w:tcPr>
                  <w:tcW w:w="637" w:type="pct"/>
                  <w:noWrap w:val="0"/>
                  <w:vAlign w:val="center"/>
                </w:tcPr>
                <w:p w14:paraId="120FDDEB">
                  <w:pPr>
                    <w:spacing w:line="240" w:lineRule="auto"/>
                    <w:jc w:val="center"/>
                    <w:rPr>
                      <w:rFonts w:hint="default" w:ascii="Times New Roman" w:hAnsi="Times New Roman" w:cs="Times New Roman"/>
                      <w:color w:val="auto"/>
                      <w:highlight w:val="green"/>
                      <w:lang w:val="en-US" w:eastAsia="zh-CN"/>
                    </w:rPr>
                  </w:pPr>
                  <w:r>
                    <w:rPr>
                      <w:rFonts w:hint="eastAsia" w:cs="Times New Roman"/>
                      <w:color w:val="auto"/>
                      <w:sz w:val="21"/>
                      <w:szCs w:val="21"/>
                      <w:highlight w:val="none"/>
                      <w:lang w:val="en-US" w:eastAsia="zh-CN"/>
                    </w:rPr>
                    <w:t>钻井岩芯</w:t>
                  </w:r>
                </w:p>
              </w:tc>
              <w:tc>
                <w:tcPr>
                  <w:tcW w:w="2542" w:type="pct"/>
                  <w:gridSpan w:val="3"/>
                  <w:noWrap w:val="0"/>
                  <w:vAlign w:val="center"/>
                </w:tcPr>
                <w:p w14:paraId="10A94CA6">
                  <w:pPr>
                    <w:spacing w:line="240" w:lineRule="auto"/>
                    <w:jc w:val="center"/>
                    <w:rPr>
                      <w:rFonts w:hint="eastAsia" w:ascii="Times New Roman" w:hAnsi="Times New Roman" w:cs="Times New Roman"/>
                      <w:color w:val="auto"/>
                      <w:highlight w:val="green"/>
                    </w:rPr>
                  </w:pPr>
                  <w:r>
                    <w:rPr>
                      <w:rFonts w:hint="default" w:ascii="Times New Roman" w:hAnsi="Times New Roman" w:eastAsia="宋体" w:cs="Times New Roman"/>
                      <w:color w:val="auto"/>
                      <w:sz w:val="21"/>
                      <w:szCs w:val="21"/>
                      <w:highlight w:val="none"/>
                      <w:lang w:val="en-US" w:eastAsia="zh-CN"/>
                    </w:rPr>
                    <w:t>统一收集保管</w:t>
                  </w:r>
                </w:p>
              </w:tc>
              <w:tc>
                <w:tcPr>
                  <w:tcW w:w="719" w:type="pct"/>
                  <w:noWrap w:val="0"/>
                  <w:vAlign w:val="center"/>
                </w:tcPr>
                <w:p w14:paraId="66D9F4FA">
                  <w:pPr>
                    <w:pStyle w:val="43"/>
                    <w:bidi w:val="0"/>
                    <w:rPr>
                      <w:rFonts w:hint="eastAsia" w:cs="Times New Roman"/>
                      <w:color w:val="auto"/>
                      <w:lang w:val="en-US" w:eastAsia="zh-CN"/>
                    </w:rPr>
                  </w:pPr>
                </w:p>
              </w:tc>
            </w:tr>
            <w:tr w14:paraId="0A54A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389" w:type="pct"/>
                  <w:vMerge w:val="continue"/>
                  <w:noWrap w:val="0"/>
                  <w:vAlign w:val="center"/>
                </w:tcPr>
                <w:p w14:paraId="0B325394">
                  <w:pPr>
                    <w:pStyle w:val="43"/>
                    <w:bidi w:val="0"/>
                    <w:rPr>
                      <w:rFonts w:hint="default" w:ascii="Times New Roman" w:hAnsi="Times New Roman" w:cs="Times New Roman"/>
                      <w:color w:val="auto"/>
                      <w:lang w:val="en-US" w:eastAsia="zh-CN"/>
                    </w:rPr>
                  </w:pPr>
                </w:p>
              </w:tc>
              <w:tc>
                <w:tcPr>
                  <w:tcW w:w="711" w:type="pct"/>
                  <w:vMerge w:val="continue"/>
                  <w:noWrap w:val="0"/>
                  <w:vAlign w:val="center"/>
                </w:tcPr>
                <w:p w14:paraId="79AC8F83">
                  <w:pPr>
                    <w:pStyle w:val="43"/>
                    <w:bidi w:val="0"/>
                    <w:rPr>
                      <w:rFonts w:hint="eastAsia" w:ascii="Times New Roman" w:hAnsi="Times New Roman" w:cs="Times New Roman"/>
                      <w:color w:val="auto"/>
                      <w:lang w:val="en-US" w:eastAsia="zh-CN"/>
                    </w:rPr>
                  </w:pPr>
                </w:p>
              </w:tc>
              <w:tc>
                <w:tcPr>
                  <w:tcW w:w="637" w:type="pct"/>
                  <w:noWrap w:val="0"/>
                  <w:vAlign w:val="center"/>
                </w:tcPr>
                <w:p w14:paraId="53BEA7F6">
                  <w:pPr>
                    <w:pStyle w:val="43"/>
                    <w:bidi w:val="0"/>
                    <w:rPr>
                      <w:rFonts w:hint="eastAsia" w:cs="Times New Roman"/>
                      <w:color w:val="auto"/>
                      <w:highlight w:val="none"/>
                      <w:lang w:val="en-US" w:eastAsia="zh-CN"/>
                    </w:rPr>
                  </w:pPr>
                  <w:r>
                    <w:rPr>
                      <w:rFonts w:hint="default" w:ascii="Times New Roman" w:hAnsi="Times New Roman" w:eastAsia="宋体" w:cs="Times New Roman"/>
                      <w:color w:val="auto"/>
                      <w:sz w:val="21"/>
                      <w:szCs w:val="21"/>
                      <w:highlight w:val="none"/>
                      <w:lang w:eastAsia="zh-CN"/>
                    </w:rPr>
                    <w:t>钻井泥浆</w:t>
                  </w:r>
                </w:p>
              </w:tc>
              <w:tc>
                <w:tcPr>
                  <w:tcW w:w="2542" w:type="pct"/>
                  <w:gridSpan w:val="3"/>
                  <w:noWrap w:val="0"/>
                  <w:vAlign w:val="center"/>
                </w:tcPr>
                <w:p w14:paraId="21775173">
                  <w:pPr>
                    <w:pStyle w:val="43"/>
                    <w:bidi w:val="0"/>
                    <w:rPr>
                      <w:rFonts w:hint="eastAsia" w:ascii="Times New Roman" w:hAnsi="Times New Roman" w:cs="Times New Roman"/>
                      <w:color w:val="auto"/>
                      <w:highlight w:val="none"/>
                    </w:rPr>
                  </w:pPr>
                  <w:r>
                    <w:rPr>
                      <w:rFonts w:hint="default" w:ascii="Times New Roman" w:hAnsi="Times New Roman" w:eastAsia="宋体" w:cs="Times New Roman"/>
                      <w:color w:val="auto"/>
                      <w:sz w:val="21"/>
                      <w:szCs w:val="21"/>
                      <w:highlight w:val="none"/>
                      <w:lang w:eastAsia="zh-CN"/>
                    </w:rPr>
                    <w:t>项目使用的钻井泥浆为</w:t>
                  </w:r>
                  <w:r>
                    <w:rPr>
                      <w:rFonts w:hint="default" w:ascii="Times New Roman" w:hAnsi="Times New Roman" w:eastAsia="宋体" w:cs="Times New Roman"/>
                      <w:color w:val="auto"/>
                      <w:sz w:val="21"/>
                      <w:szCs w:val="21"/>
                      <w:highlight w:val="none"/>
                      <w:lang w:val="en-US" w:eastAsia="zh-CN"/>
                    </w:rPr>
                    <w:t>水基</w:t>
                  </w:r>
                  <w:r>
                    <w:rPr>
                      <w:rFonts w:hint="default" w:ascii="Times New Roman" w:hAnsi="Times New Roman" w:eastAsia="宋体" w:cs="Times New Roman"/>
                      <w:color w:val="auto"/>
                      <w:sz w:val="21"/>
                      <w:szCs w:val="21"/>
                      <w:highlight w:val="none"/>
                      <w:lang w:eastAsia="zh-CN"/>
                    </w:rPr>
                    <w:t>泥浆，</w:t>
                  </w:r>
                  <w:r>
                    <w:rPr>
                      <w:rFonts w:hint="default" w:ascii="Times New Roman" w:hAnsi="Times New Roman" w:eastAsia="宋体" w:cs="Times New Roman"/>
                      <w:color w:val="auto"/>
                      <w:sz w:val="21"/>
                      <w:szCs w:val="21"/>
                      <w:highlight w:val="none"/>
                      <w:lang w:val="en-US" w:eastAsia="zh-CN"/>
                    </w:rPr>
                    <w:t>经沉淀池沉淀后，沉淀固体进行固化处理，就地填埋</w:t>
                  </w:r>
                </w:p>
              </w:tc>
              <w:tc>
                <w:tcPr>
                  <w:tcW w:w="719" w:type="pct"/>
                  <w:noWrap w:val="0"/>
                  <w:vAlign w:val="center"/>
                </w:tcPr>
                <w:p w14:paraId="6F6BFE4B">
                  <w:pPr>
                    <w:pStyle w:val="43"/>
                    <w:bidi w:val="0"/>
                    <w:rPr>
                      <w:rFonts w:hint="eastAsia" w:cs="Times New Roman"/>
                      <w:color w:val="auto"/>
                      <w:lang w:val="en-US" w:eastAsia="zh-CN"/>
                    </w:rPr>
                  </w:pPr>
                </w:p>
              </w:tc>
            </w:tr>
            <w:tr w14:paraId="1296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89" w:type="pct"/>
                  <w:vMerge w:val="continue"/>
                  <w:noWrap w:val="0"/>
                  <w:vAlign w:val="center"/>
                </w:tcPr>
                <w:p w14:paraId="02F2ED98">
                  <w:pPr>
                    <w:pStyle w:val="43"/>
                    <w:bidi w:val="0"/>
                    <w:rPr>
                      <w:rFonts w:hint="default" w:ascii="Times New Roman" w:hAnsi="Times New Roman" w:cs="Times New Roman"/>
                      <w:color w:val="auto"/>
                      <w:lang w:val="en-US" w:eastAsia="zh-CN"/>
                    </w:rPr>
                  </w:pPr>
                </w:p>
              </w:tc>
              <w:tc>
                <w:tcPr>
                  <w:tcW w:w="711" w:type="pct"/>
                  <w:noWrap w:val="0"/>
                  <w:vAlign w:val="center"/>
                </w:tcPr>
                <w:p w14:paraId="320D4787">
                  <w:pPr>
                    <w:pStyle w:val="43"/>
                    <w:bidi w:val="0"/>
                    <w:rPr>
                      <w:rFonts w:hint="eastAsia" w:ascii="Times New Roman" w:hAnsi="Times New Roman" w:cs="Times New Roman"/>
                      <w:color w:val="auto"/>
                      <w:lang w:val="en-US" w:eastAsia="zh-CN"/>
                    </w:rPr>
                  </w:pPr>
                  <w:r>
                    <w:rPr>
                      <w:rFonts w:hint="eastAsia" w:cs="Times New Roman"/>
                      <w:color w:val="auto"/>
                      <w:highlight w:val="none"/>
                      <w:lang w:val="en-US" w:eastAsia="zh-CN"/>
                    </w:rPr>
                    <w:t>噪声治理</w:t>
                  </w:r>
                </w:p>
              </w:tc>
              <w:tc>
                <w:tcPr>
                  <w:tcW w:w="637" w:type="pct"/>
                  <w:noWrap w:val="0"/>
                  <w:vAlign w:val="center"/>
                </w:tcPr>
                <w:p w14:paraId="4500CDED">
                  <w:pPr>
                    <w:pStyle w:val="43"/>
                    <w:bidi w:val="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施工设备噪声</w:t>
                  </w:r>
                </w:p>
              </w:tc>
              <w:tc>
                <w:tcPr>
                  <w:tcW w:w="2542" w:type="pct"/>
                  <w:gridSpan w:val="3"/>
                  <w:noWrap w:val="0"/>
                  <w:vAlign w:val="center"/>
                </w:tcPr>
                <w:p w14:paraId="6009C902">
                  <w:pPr>
                    <w:pStyle w:val="43"/>
                    <w:bidi w:val="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定期检修、保养</w:t>
                  </w:r>
                </w:p>
              </w:tc>
              <w:tc>
                <w:tcPr>
                  <w:tcW w:w="719" w:type="pct"/>
                  <w:noWrap w:val="0"/>
                  <w:vAlign w:val="center"/>
                </w:tcPr>
                <w:p w14:paraId="47BD21DB">
                  <w:pPr>
                    <w:pStyle w:val="43"/>
                    <w:bidi w:val="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w:t>
                  </w:r>
                </w:p>
              </w:tc>
            </w:tr>
            <w:tr w14:paraId="5277E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101" w:type="pct"/>
                  <w:gridSpan w:val="2"/>
                  <w:noWrap w:val="0"/>
                  <w:vAlign w:val="center"/>
                </w:tcPr>
                <w:p w14:paraId="78ED85AC">
                  <w:pPr>
                    <w:pStyle w:val="43"/>
                    <w:bidi w:val="0"/>
                    <w:rPr>
                      <w:rFonts w:hint="eastAsia" w:ascii="Times New Roman" w:hAnsi="Times New Roman" w:cs="Times New Roman"/>
                      <w:color w:val="auto"/>
                      <w:lang w:val="en-US" w:eastAsia="zh-CN"/>
                    </w:rPr>
                  </w:pPr>
                  <w:r>
                    <w:rPr>
                      <w:rFonts w:hint="eastAsia" w:cs="Times New Roman"/>
                      <w:color w:val="auto"/>
                      <w:highlight w:val="none"/>
                      <w:lang w:val="en-US" w:eastAsia="zh-CN"/>
                    </w:rPr>
                    <w:t>生态保护与恢复工程</w:t>
                  </w:r>
                </w:p>
              </w:tc>
              <w:tc>
                <w:tcPr>
                  <w:tcW w:w="3179" w:type="pct"/>
                  <w:gridSpan w:val="4"/>
                  <w:noWrap w:val="0"/>
                  <w:vAlign w:val="center"/>
                </w:tcPr>
                <w:p w14:paraId="1F0FFD08">
                  <w:pPr>
                    <w:pStyle w:val="43"/>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勘探工作完成后，拆除临时设施，及时回填并恢复原有地貌，后期采取自然恢复</w:t>
                  </w:r>
                </w:p>
              </w:tc>
              <w:tc>
                <w:tcPr>
                  <w:tcW w:w="719" w:type="pct"/>
                  <w:noWrap w:val="0"/>
                  <w:vAlign w:val="center"/>
                </w:tcPr>
                <w:p w14:paraId="096620B2">
                  <w:pPr>
                    <w:pStyle w:val="43"/>
                    <w:bidi w:val="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w:t>
                  </w:r>
                </w:p>
              </w:tc>
            </w:tr>
          </w:tbl>
          <w:p w14:paraId="0A9E3341">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jc w:val="left"/>
              <w:textAlignment w:val="auto"/>
              <w:rPr>
                <w:rFonts w:hint="default" w:ascii="Times New Roman" w:hAnsi="Times New Roman" w:eastAsia="宋体" w:cs="Times New Roman"/>
                <w:b/>
                <w:color w:val="auto"/>
                <w:kern w:val="0"/>
                <w:sz w:val="24"/>
                <w:szCs w:val="24"/>
                <w:highlight w:val="none"/>
                <w:lang w:eastAsia="zh-CN"/>
              </w:rPr>
            </w:pPr>
            <w:r>
              <w:rPr>
                <w:rFonts w:hint="eastAsia" w:cs="Times New Roman"/>
                <w:b/>
                <w:color w:val="auto"/>
                <w:kern w:val="0"/>
                <w:sz w:val="24"/>
                <w:szCs w:val="24"/>
                <w:highlight w:val="none"/>
                <w:lang w:val="en-US" w:eastAsia="zh-CN"/>
              </w:rPr>
              <w:t>3.</w:t>
            </w:r>
            <w:r>
              <w:rPr>
                <w:rFonts w:hint="default" w:ascii="Times New Roman" w:hAnsi="Times New Roman" w:eastAsia="宋体" w:cs="Times New Roman"/>
                <w:b/>
                <w:color w:val="auto"/>
                <w:kern w:val="0"/>
                <w:sz w:val="24"/>
                <w:szCs w:val="24"/>
                <w:highlight w:val="none"/>
                <w:lang w:eastAsia="zh-CN"/>
              </w:rPr>
              <w:t>主要勘探设备及原、辅材料</w:t>
            </w:r>
          </w:p>
          <w:p w14:paraId="494FA045">
            <w:pPr>
              <w:spacing w:line="520" w:lineRule="exact"/>
              <w:ind w:firstLine="480" w:firstLineChars="200"/>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本项目所需主要勘探设备见</w:t>
            </w:r>
            <w:r>
              <w:rPr>
                <w:rFonts w:hint="default" w:ascii="Times New Roman" w:hAnsi="Times New Roman" w:cs="Times New Roman"/>
                <w:color w:val="auto"/>
                <w:kern w:val="0"/>
                <w:sz w:val="24"/>
                <w:highlight w:val="none"/>
                <w:lang w:val="en-US" w:eastAsia="zh-CN"/>
              </w:rPr>
              <w:t>2-3</w:t>
            </w:r>
            <w:r>
              <w:rPr>
                <w:rFonts w:hint="default" w:ascii="Times New Roman" w:hAnsi="Times New Roman" w:cs="Times New Roman"/>
                <w:color w:val="auto"/>
                <w:kern w:val="0"/>
                <w:sz w:val="24"/>
                <w:highlight w:val="none"/>
              </w:rPr>
              <w:t>，原辅材料消耗见</w:t>
            </w:r>
            <w:r>
              <w:rPr>
                <w:rFonts w:hint="default" w:ascii="Times New Roman" w:hAnsi="Times New Roman" w:cs="Times New Roman"/>
                <w:color w:val="auto"/>
                <w:kern w:val="0"/>
                <w:sz w:val="24"/>
                <w:highlight w:val="none"/>
                <w:lang w:val="en-US" w:eastAsia="zh-CN"/>
              </w:rPr>
              <w:t>2-4</w:t>
            </w:r>
            <w:r>
              <w:rPr>
                <w:rFonts w:hint="default" w:ascii="Times New Roman" w:hAnsi="Times New Roman" w:cs="Times New Roman"/>
                <w:color w:val="auto"/>
                <w:kern w:val="0"/>
                <w:sz w:val="24"/>
                <w:highlight w:val="none"/>
              </w:rPr>
              <w:t>。</w:t>
            </w:r>
          </w:p>
          <w:p w14:paraId="7A9E14B4">
            <w:pPr>
              <w:pStyle w:val="7"/>
              <w:keepNext/>
              <w:spacing w:before="0" w:after="0" w:line="520" w:lineRule="exact"/>
              <w:rPr>
                <w:rFonts w:hint="default" w:ascii="Times New Roman" w:hAnsi="Times New Roman" w:cs="Times New Roman"/>
                <w:b/>
                <w:color w:val="auto"/>
                <w:sz w:val="24"/>
                <w:szCs w:val="24"/>
                <w:highlight w:val="none"/>
              </w:rPr>
            </w:pPr>
            <w:bookmarkStart w:id="3" w:name="_Ref351905789"/>
            <w:r>
              <w:rPr>
                <w:rFonts w:hint="default" w:ascii="Times New Roman" w:hAnsi="Times New Roman" w:cs="Times New Roman"/>
                <w:b/>
                <w:color w:val="auto"/>
                <w:sz w:val="24"/>
                <w:szCs w:val="24"/>
                <w:highlight w:val="none"/>
              </w:rPr>
              <w:t>表</w:t>
            </w:r>
            <w:bookmarkEnd w:id="3"/>
            <w:r>
              <w:rPr>
                <w:rFonts w:hint="default" w:ascii="Times New Roman" w:hAnsi="Times New Roman" w:cs="Times New Roman"/>
                <w:b/>
                <w:color w:val="auto"/>
                <w:sz w:val="24"/>
                <w:szCs w:val="24"/>
                <w:highlight w:val="none"/>
                <w:lang w:val="en-US" w:eastAsia="zh-CN"/>
              </w:rPr>
              <w:t>2-3</w:t>
            </w:r>
            <w:r>
              <w:rPr>
                <w:rFonts w:hint="default" w:ascii="Times New Roman" w:hAnsi="Times New Roman" w:cs="Times New Roman"/>
                <w:b/>
                <w:color w:val="auto"/>
                <w:sz w:val="24"/>
                <w:szCs w:val="24"/>
                <w:highlight w:val="none"/>
              </w:rPr>
              <w:t xml:space="preserve">    工程主要设备一览表</w:t>
            </w:r>
          </w:p>
          <w:tbl>
            <w:tblPr>
              <w:tblStyle w:val="20"/>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747"/>
              <w:gridCol w:w="2077"/>
              <w:gridCol w:w="671"/>
              <w:gridCol w:w="731"/>
              <w:gridCol w:w="1131"/>
            </w:tblGrid>
            <w:tr w14:paraId="0633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449" w:type="pct"/>
                  <w:noWrap w:val="0"/>
                  <w:vAlign w:val="center"/>
                </w:tcPr>
                <w:p w14:paraId="1E348E05">
                  <w:pPr>
                    <w:tabs>
                      <w:tab w:val="right" w:leader="dot" w:pos="8820"/>
                    </w:tabs>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序号</w:t>
                  </w:r>
                </w:p>
              </w:tc>
              <w:tc>
                <w:tcPr>
                  <w:tcW w:w="1698" w:type="pct"/>
                  <w:noWrap w:val="0"/>
                  <w:vAlign w:val="center"/>
                </w:tcPr>
                <w:p w14:paraId="5FE95A8B">
                  <w:pPr>
                    <w:tabs>
                      <w:tab w:val="right" w:leader="dot" w:pos="8820"/>
                    </w:tabs>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技术装备名称</w:t>
                  </w:r>
                </w:p>
              </w:tc>
              <w:tc>
                <w:tcPr>
                  <w:tcW w:w="1284" w:type="pct"/>
                  <w:noWrap w:val="0"/>
                  <w:vAlign w:val="center"/>
                </w:tcPr>
                <w:p w14:paraId="0130EEB2">
                  <w:pPr>
                    <w:tabs>
                      <w:tab w:val="right" w:leader="dot" w:pos="8820"/>
                    </w:tabs>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型号规格</w:t>
                  </w:r>
                </w:p>
              </w:tc>
              <w:tc>
                <w:tcPr>
                  <w:tcW w:w="415" w:type="pct"/>
                  <w:noWrap w:val="0"/>
                  <w:vAlign w:val="center"/>
                </w:tcPr>
                <w:p w14:paraId="0D4F2868">
                  <w:pPr>
                    <w:tabs>
                      <w:tab w:val="right" w:leader="dot" w:pos="8820"/>
                    </w:tabs>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单位</w:t>
                  </w:r>
                </w:p>
              </w:tc>
              <w:tc>
                <w:tcPr>
                  <w:tcW w:w="452" w:type="pct"/>
                  <w:noWrap w:val="0"/>
                  <w:vAlign w:val="center"/>
                </w:tcPr>
                <w:p w14:paraId="42A8AF9F">
                  <w:pPr>
                    <w:tabs>
                      <w:tab w:val="right" w:leader="dot" w:pos="8820"/>
                    </w:tabs>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数量</w:t>
                  </w:r>
                </w:p>
              </w:tc>
              <w:tc>
                <w:tcPr>
                  <w:tcW w:w="699" w:type="pct"/>
                  <w:noWrap w:val="0"/>
                  <w:vAlign w:val="center"/>
                </w:tcPr>
                <w:p w14:paraId="69649E09">
                  <w:pPr>
                    <w:tabs>
                      <w:tab w:val="right" w:leader="dot" w:pos="8820"/>
                    </w:tabs>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备注</w:t>
                  </w:r>
                </w:p>
              </w:tc>
            </w:tr>
            <w:tr w14:paraId="6306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jc w:val="center"/>
              </w:trPr>
              <w:tc>
                <w:tcPr>
                  <w:tcW w:w="449" w:type="pct"/>
                  <w:noWrap w:val="0"/>
                  <w:vAlign w:val="center"/>
                </w:tcPr>
                <w:p w14:paraId="44F1DBD3">
                  <w:pPr>
                    <w:adjustRightInd w:val="0"/>
                    <w:snapToGrid w:val="0"/>
                    <w:spacing w:line="240" w:lineRule="auto"/>
                    <w:ind w:firstLine="4" w:firstLineChars="2"/>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1698" w:type="pct"/>
                  <w:noWrap w:val="0"/>
                  <w:vAlign w:val="center"/>
                </w:tcPr>
                <w:p w14:paraId="10E98E4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手持GPS</w:t>
                  </w:r>
                </w:p>
              </w:tc>
              <w:tc>
                <w:tcPr>
                  <w:tcW w:w="1284" w:type="pct"/>
                  <w:noWrap w:val="0"/>
                  <w:vAlign w:val="center"/>
                </w:tcPr>
                <w:p w14:paraId="75A7C2B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Juno3B</w:t>
                  </w:r>
                </w:p>
              </w:tc>
              <w:tc>
                <w:tcPr>
                  <w:tcW w:w="415" w:type="pct"/>
                  <w:noWrap w:val="0"/>
                  <w:vAlign w:val="center"/>
                </w:tcPr>
                <w:p w14:paraId="229DE45A">
                  <w:pPr>
                    <w:adjustRightInd w:val="0"/>
                    <w:snapToGrid w:val="0"/>
                    <w:spacing w:line="240" w:lineRule="auto"/>
                    <w:ind w:firstLine="4" w:firstLineChars="2"/>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台</w:t>
                  </w:r>
                </w:p>
              </w:tc>
              <w:tc>
                <w:tcPr>
                  <w:tcW w:w="452" w:type="pct"/>
                  <w:noWrap w:val="0"/>
                  <w:vAlign w:val="center"/>
                </w:tcPr>
                <w:p w14:paraId="500B932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Cs w:val="21"/>
                      <w:highlight w:val="none"/>
                      <w:lang w:val="en-US" w:eastAsia="zh-CN"/>
                    </w:rPr>
                    <w:t>4</w:t>
                  </w:r>
                </w:p>
              </w:tc>
              <w:tc>
                <w:tcPr>
                  <w:tcW w:w="699" w:type="pct"/>
                  <w:noWrap w:val="0"/>
                  <w:vAlign w:val="center"/>
                </w:tcPr>
                <w:p w14:paraId="5A1491F7">
                  <w:pPr>
                    <w:jc w:val="center"/>
                    <w:rPr>
                      <w:rFonts w:hint="default" w:ascii="Times New Roman" w:hAnsi="Times New Roman" w:eastAsia="宋体" w:cs="Times New Roman"/>
                      <w:color w:val="auto"/>
                      <w:szCs w:val="21"/>
                      <w:highlight w:val="none"/>
                    </w:rPr>
                  </w:pPr>
                </w:p>
              </w:tc>
            </w:tr>
            <w:tr w14:paraId="57FB1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jc w:val="center"/>
              </w:trPr>
              <w:tc>
                <w:tcPr>
                  <w:tcW w:w="449" w:type="pct"/>
                  <w:noWrap w:val="0"/>
                  <w:vAlign w:val="center"/>
                </w:tcPr>
                <w:p w14:paraId="63603DE7">
                  <w:pPr>
                    <w:adjustRightInd w:val="0"/>
                    <w:snapToGrid w:val="0"/>
                    <w:spacing w:line="240" w:lineRule="auto"/>
                    <w:ind w:firstLine="4" w:firstLineChars="2"/>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2</w:t>
                  </w:r>
                </w:p>
              </w:tc>
              <w:tc>
                <w:tcPr>
                  <w:tcW w:w="1698" w:type="pct"/>
                  <w:noWrap w:val="0"/>
                  <w:vAlign w:val="center"/>
                </w:tcPr>
                <w:p w14:paraId="3E9A7DF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RTK测量仪</w:t>
                  </w:r>
                </w:p>
              </w:tc>
              <w:tc>
                <w:tcPr>
                  <w:tcW w:w="1284" w:type="pct"/>
                  <w:noWrap w:val="0"/>
                  <w:vAlign w:val="center"/>
                </w:tcPr>
                <w:p w14:paraId="3A77471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Irtk2</w:t>
                  </w:r>
                </w:p>
              </w:tc>
              <w:tc>
                <w:tcPr>
                  <w:tcW w:w="415" w:type="pct"/>
                  <w:noWrap w:val="0"/>
                  <w:vAlign w:val="center"/>
                </w:tcPr>
                <w:p w14:paraId="23ECE475">
                  <w:pPr>
                    <w:adjustRightInd w:val="0"/>
                    <w:snapToGrid w:val="0"/>
                    <w:spacing w:line="240" w:lineRule="auto"/>
                    <w:ind w:firstLine="4" w:firstLineChars="2"/>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Cs w:val="21"/>
                      <w:highlight w:val="none"/>
                      <w:lang w:val="en-US" w:eastAsia="zh-CN"/>
                    </w:rPr>
                    <w:t>台</w:t>
                  </w:r>
                </w:p>
              </w:tc>
              <w:tc>
                <w:tcPr>
                  <w:tcW w:w="452" w:type="pct"/>
                  <w:noWrap w:val="0"/>
                  <w:vAlign w:val="center"/>
                </w:tcPr>
                <w:p w14:paraId="2D250FC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w:t>
                  </w:r>
                </w:p>
              </w:tc>
              <w:tc>
                <w:tcPr>
                  <w:tcW w:w="699" w:type="pct"/>
                  <w:noWrap w:val="0"/>
                  <w:vAlign w:val="center"/>
                </w:tcPr>
                <w:p w14:paraId="5F996D58">
                  <w:pPr>
                    <w:jc w:val="center"/>
                    <w:rPr>
                      <w:rFonts w:hint="default" w:ascii="Times New Roman" w:hAnsi="Times New Roman" w:eastAsia="宋体" w:cs="Times New Roman"/>
                      <w:color w:val="auto"/>
                      <w:szCs w:val="21"/>
                      <w:highlight w:val="none"/>
                    </w:rPr>
                  </w:pPr>
                </w:p>
              </w:tc>
            </w:tr>
            <w:tr w14:paraId="2A803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449" w:type="pct"/>
                  <w:noWrap w:val="0"/>
                  <w:vAlign w:val="center"/>
                </w:tcPr>
                <w:p w14:paraId="48AB8DA5">
                  <w:pPr>
                    <w:adjustRightInd w:val="0"/>
                    <w:snapToGrid w:val="0"/>
                    <w:spacing w:line="240" w:lineRule="auto"/>
                    <w:ind w:firstLine="4" w:firstLineChars="2"/>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3</w:t>
                  </w:r>
                </w:p>
              </w:tc>
              <w:tc>
                <w:tcPr>
                  <w:tcW w:w="1698" w:type="pct"/>
                  <w:shd w:val="clear" w:color="auto" w:fill="auto"/>
                  <w:noWrap w:val="0"/>
                  <w:vAlign w:val="center"/>
                </w:tcPr>
                <w:p w14:paraId="3B4564A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计算机</w:t>
                  </w:r>
                </w:p>
              </w:tc>
              <w:tc>
                <w:tcPr>
                  <w:tcW w:w="1284" w:type="pct"/>
                  <w:shd w:val="clear" w:color="auto" w:fill="auto"/>
                  <w:noWrap w:val="0"/>
                  <w:vAlign w:val="center"/>
                </w:tcPr>
                <w:p w14:paraId="624DE6B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415" w:type="pct"/>
                  <w:shd w:val="clear" w:color="auto" w:fill="auto"/>
                  <w:noWrap w:val="0"/>
                  <w:vAlign w:val="center"/>
                </w:tcPr>
                <w:p w14:paraId="239B983A">
                  <w:pPr>
                    <w:adjustRightInd w:val="0"/>
                    <w:snapToGrid w:val="0"/>
                    <w:spacing w:line="240" w:lineRule="auto"/>
                    <w:ind w:firstLine="4" w:firstLineChars="2"/>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Cs w:val="21"/>
                      <w:highlight w:val="none"/>
                      <w:lang w:val="en-US" w:eastAsia="zh-CN"/>
                    </w:rPr>
                    <w:t>台</w:t>
                  </w:r>
                </w:p>
              </w:tc>
              <w:tc>
                <w:tcPr>
                  <w:tcW w:w="452" w:type="pct"/>
                  <w:shd w:val="clear" w:color="auto" w:fill="auto"/>
                  <w:noWrap w:val="0"/>
                  <w:vAlign w:val="center"/>
                </w:tcPr>
                <w:p w14:paraId="0044E39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6</w:t>
                  </w:r>
                </w:p>
              </w:tc>
              <w:tc>
                <w:tcPr>
                  <w:tcW w:w="699" w:type="pct"/>
                  <w:noWrap w:val="0"/>
                  <w:vAlign w:val="center"/>
                </w:tcPr>
                <w:p w14:paraId="0DD19098">
                  <w:pPr>
                    <w:jc w:val="center"/>
                    <w:rPr>
                      <w:rFonts w:hint="default" w:ascii="Times New Roman" w:hAnsi="Times New Roman" w:eastAsia="宋体" w:cs="Times New Roman"/>
                      <w:color w:val="auto"/>
                      <w:szCs w:val="21"/>
                      <w:highlight w:val="none"/>
                    </w:rPr>
                  </w:pPr>
                </w:p>
              </w:tc>
            </w:tr>
            <w:tr w14:paraId="48F32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jc w:val="center"/>
              </w:trPr>
              <w:tc>
                <w:tcPr>
                  <w:tcW w:w="449" w:type="pct"/>
                  <w:noWrap w:val="0"/>
                  <w:vAlign w:val="center"/>
                </w:tcPr>
                <w:p w14:paraId="39E1B464">
                  <w:pPr>
                    <w:adjustRightInd w:val="0"/>
                    <w:snapToGrid w:val="0"/>
                    <w:spacing w:line="240" w:lineRule="auto"/>
                    <w:ind w:firstLine="4" w:firstLineChars="2"/>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4</w:t>
                  </w:r>
                </w:p>
              </w:tc>
              <w:tc>
                <w:tcPr>
                  <w:tcW w:w="1698" w:type="pct"/>
                  <w:shd w:val="clear" w:color="auto" w:fill="auto"/>
                  <w:noWrap w:val="0"/>
                  <w:vAlign w:val="center"/>
                </w:tcPr>
                <w:p w14:paraId="78EE54F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绘图仪</w:t>
                  </w:r>
                </w:p>
              </w:tc>
              <w:tc>
                <w:tcPr>
                  <w:tcW w:w="1284" w:type="pct"/>
                  <w:shd w:val="clear" w:color="auto" w:fill="auto"/>
                  <w:noWrap w:val="0"/>
                  <w:vAlign w:val="center"/>
                </w:tcPr>
                <w:p w14:paraId="3D5E70C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HP DesignJet 1050c</w:t>
                  </w:r>
                </w:p>
              </w:tc>
              <w:tc>
                <w:tcPr>
                  <w:tcW w:w="415" w:type="pct"/>
                  <w:shd w:val="clear" w:color="auto" w:fill="auto"/>
                  <w:noWrap w:val="0"/>
                  <w:vAlign w:val="center"/>
                </w:tcPr>
                <w:p w14:paraId="4B12F32C">
                  <w:pPr>
                    <w:adjustRightInd w:val="0"/>
                    <w:snapToGrid w:val="0"/>
                    <w:spacing w:line="240" w:lineRule="auto"/>
                    <w:ind w:firstLine="4" w:firstLineChars="2"/>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Cs w:val="21"/>
                      <w:highlight w:val="none"/>
                      <w:lang w:val="en-US" w:eastAsia="zh-CN"/>
                    </w:rPr>
                    <w:t>台</w:t>
                  </w:r>
                </w:p>
              </w:tc>
              <w:tc>
                <w:tcPr>
                  <w:tcW w:w="452" w:type="pct"/>
                  <w:shd w:val="clear" w:color="auto" w:fill="auto"/>
                  <w:noWrap w:val="0"/>
                  <w:vAlign w:val="center"/>
                </w:tcPr>
                <w:p w14:paraId="0197AE9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w:t>
                  </w:r>
                </w:p>
              </w:tc>
              <w:tc>
                <w:tcPr>
                  <w:tcW w:w="699" w:type="pct"/>
                  <w:noWrap w:val="0"/>
                  <w:vAlign w:val="center"/>
                </w:tcPr>
                <w:p w14:paraId="5C328547">
                  <w:pPr>
                    <w:jc w:val="center"/>
                    <w:rPr>
                      <w:rFonts w:hint="default" w:ascii="Times New Roman" w:hAnsi="Times New Roman" w:eastAsia="宋体" w:cs="Times New Roman"/>
                      <w:color w:val="auto"/>
                      <w:szCs w:val="21"/>
                      <w:highlight w:val="none"/>
                    </w:rPr>
                  </w:pPr>
                </w:p>
              </w:tc>
            </w:tr>
            <w:tr w14:paraId="10F11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449" w:type="pct"/>
                  <w:noWrap w:val="0"/>
                  <w:vAlign w:val="center"/>
                </w:tcPr>
                <w:p w14:paraId="6DA281FB">
                  <w:pPr>
                    <w:adjustRightInd w:val="0"/>
                    <w:snapToGrid w:val="0"/>
                    <w:spacing w:line="240" w:lineRule="auto"/>
                    <w:ind w:firstLine="4" w:firstLineChars="2"/>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5</w:t>
                  </w:r>
                </w:p>
              </w:tc>
              <w:tc>
                <w:tcPr>
                  <w:tcW w:w="1698" w:type="pct"/>
                  <w:shd w:val="clear" w:color="auto" w:fill="auto"/>
                  <w:noWrap w:val="0"/>
                  <w:vAlign w:val="center"/>
                </w:tcPr>
                <w:p w14:paraId="2CCF3CB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扫描仪</w:t>
                  </w:r>
                </w:p>
              </w:tc>
              <w:tc>
                <w:tcPr>
                  <w:tcW w:w="1284" w:type="pct"/>
                  <w:shd w:val="clear" w:color="auto" w:fill="auto"/>
                  <w:noWrap w:val="0"/>
                  <w:vAlign w:val="center"/>
                </w:tcPr>
                <w:p w14:paraId="19A60F9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Microtek 清华紫光</w:t>
                  </w:r>
                </w:p>
              </w:tc>
              <w:tc>
                <w:tcPr>
                  <w:tcW w:w="415" w:type="pct"/>
                  <w:shd w:val="clear" w:color="auto" w:fill="auto"/>
                  <w:noWrap w:val="0"/>
                  <w:vAlign w:val="center"/>
                </w:tcPr>
                <w:p w14:paraId="6EDA3090">
                  <w:pPr>
                    <w:adjustRightInd w:val="0"/>
                    <w:snapToGrid w:val="0"/>
                    <w:spacing w:line="240" w:lineRule="auto"/>
                    <w:ind w:firstLine="4" w:firstLineChars="2"/>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Cs w:val="21"/>
                      <w:highlight w:val="none"/>
                      <w:lang w:val="en-US" w:eastAsia="zh-CN"/>
                    </w:rPr>
                    <w:t>台</w:t>
                  </w:r>
                </w:p>
              </w:tc>
              <w:tc>
                <w:tcPr>
                  <w:tcW w:w="452" w:type="pct"/>
                  <w:shd w:val="clear" w:color="auto" w:fill="auto"/>
                  <w:noWrap w:val="0"/>
                  <w:vAlign w:val="center"/>
                </w:tcPr>
                <w:p w14:paraId="0AADCFC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w:t>
                  </w:r>
                </w:p>
              </w:tc>
              <w:tc>
                <w:tcPr>
                  <w:tcW w:w="699" w:type="pct"/>
                  <w:noWrap w:val="0"/>
                  <w:vAlign w:val="center"/>
                </w:tcPr>
                <w:p w14:paraId="625B2CC5">
                  <w:pPr>
                    <w:jc w:val="center"/>
                    <w:rPr>
                      <w:rFonts w:hint="default" w:ascii="Times New Roman" w:hAnsi="Times New Roman" w:eastAsia="宋体" w:cs="Times New Roman"/>
                      <w:color w:val="auto"/>
                      <w:szCs w:val="21"/>
                      <w:highlight w:val="none"/>
                    </w:rPr>
                  </w:pPr>
                </w:p>
              </w:tc>
            </w:tr>
            <w:tr w14:paraId="03668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jc w:val="center"/>
              </w:trPr>
              <w:tc>
                <w:tcPr>
                  <w:tcW w:w="449" w:type="pct"/>
                  <w:noWrap w:val="0"/>
                  <w:vAlign w:val="center"/>
                </w:tcPr>
                <w:p w14:paraId="7BCFF68A">
                  <w:pPr>
                    <w:adjustRightInd w:val="0"/>
                    <w:snapToGrid w:val="0"/>
                    <w:spacing w:line="240" w:lineRule="auto"/>
                    <w:ind w:firstLine="4" w:firstLineChars="2"/>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6</w:t>
                  </w:r>
                </w:p>
              </w:tc>
              <w:tc>
                <w:tcPr>
                  <w:tcW w:w="1698" w:type="pct"/>
                  <w:shd w:val="clear" w:color="auto" w:fill="auto"/>
                  <w:noWrap w:val="0"/>
                  <w:vAlign w:val="center"/>
                </w:tcPr>
                <w:p w14:paraId="39A3838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激光打印机</w:t>
                  </w:r>
                </w:p>
              </w:tc>
              <w:tc>
                <w:tcPr>
                  <w:tcW w:w="1284" w:type="pct"/>
                  <w:shd w:val="clear" w:color="auto" w:fill="auto"/>
                  <w:noWrap w:val="0"/>
                  <w:vAlign w:val="center"/>
                </w:tcPr>
                <w:p w14:paraId="1721C3E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佳能 mageRUNNER ADVANCE C3530</w:t>
                  </w:r>
                </w:p>
              </w:tc>
              <w:tc>
                <w:tcPr>
                  <w:tcW w:w="415" w:type="pct"/>
                  <w:shd w:val="clear" w:color="auto" w:fill="auto"/>
                  <w:noWrap w:val="0"/>
                  <w:vAlign w:val="center"/>
                </w:tcPr>
                <w:p w14:paraId="7EA43766">
                  <w:pPr>
                    <w:adjustRightInd w:val="0"/>
                    <w:snapToGrid w:val="0"/>
                    <w:spacing w:line="240" w:lineRule="auto"/>
                    <w:ind w:firstLine="4" w:firstLineChars="2"/>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Cs w:val="21"/>
                      <w:highlight w:val="none"/>
                      <w:lang w:val="en-US" w:eastAsia="zh-CN"/>
                    </w:rPr>
                    <w:t>台</w:t>
                  </w:r>
                </w:p>
              </w:tc>
              <w:tc>
                <w:tcPr>
                  <w:tcW w:w="452" w:type="pct"/>
                  <w:shd w:val="clear" w:color="auto" w:fill="auto"/>
                  <w:noWrap w:val="0"/>
                  <w:vAlign w:val="center"/>
                </w:tcPr>
                <w:p w14:paraId="7F1B9FC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w:t>
                  </w:r>
                </w:p>
              </w:tc>
              <w:tc>
                <w:tcPr>
                  <w:tcW w:w="699" w:type="pct"/>
                  <w:noWrap w:val="0"/>
                  <w:vAlign w:val="center"/>
                </w:tcPr>
                <w:p w14:paraId="49F16D82">
                  <w:pPr>
                    <w:jc w:val="center"/>
                    <w:rPr>
                      <w:rFonts w:hint="default" w:ascii="Times New Roman" w:hAnsi="Times New Roman" w:eastAsia="宋体" w:cs="Times New Roman"/>
                      <w:color w:val="auto"/>
                      <w:szCs w:val="21"/>
                      <w:highlight w:val="none"/>
                    </w:rPr>
                  </w:pPr>
                </w:p>
              </w:tc>
            </w:tr>
            <w:tr w14:paraId="25B30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jc w:val="center"/>
              </w:trPr>
              <w:tc>
                <w:tcPr>
                  <w:tcW w:w="449" w:type="pct"/>
                  <w:noWrap w:val="0"/>
                  <w:vAlign w:val="center"/>
                </w:tcPr>
                <w:p w14:paraId="1A2C9B82">
                  <w:pPr>
                    <w:adjustRightInd w:val="0"/>
                    <w:snapToGrid w:val="0"/>
                    <w:spacing w:line="240" w:lineRule="auto"/>
                    <w:ind w:firstLine="4" w:firstLineChars="2"/>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7</w:t>
                  </w:r>
                </w:p>
              </w:tc>
              <w:tc>
                <w:tcPr>
                  <w:tcW w:w="1698" w:type="pct"/>
                  <w:shd w:val="clear" w:color="auto" w:fill="auto"/>
                  <w:noWrap w:val="0"/>
                  <w:vAlign w:val="center"/>
                </w:tcPr>
                <w:p w14:paraId="3F18D61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汽车</w:t>
                  </w:r>
                </w:p>
              </w:tc>
              <w:tc>
                <w:tcPr>
                  <w:tcW w:w="1284" w:type="pct"/>
                  <w:shd w:val="clear" w:color="auto" w:fill="auto"/>
                  <w:noWrap w:val="0"/>
                  <w:vAlign w:val="center"/>
                </w:tcPr>
                <w:p w14:paraId="4F54337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霸道</w:t>
                  </w:r>
                </w:p>
              </w:tc>
              <w:tc>
                <w:tcPr>
                  <w:tcW w:w="415" w:type="pct"/>
                  <w:shd w:val="clear" w:color="auto" w:fill="auto"/>
                  <w:noWrap w:val="0"/>
                  <w:vAlign w:val="center"/>
                </w:tcPr>
                <w:p w14:paraId="529E575A">
                  <w:pPr>
                    <w:adjustRightInd w:val="0"/>
                    <w:snapToGrid w:val="0"/>
                    <w:spacing w:line="240" w:lineRule="auto"/>
                    <w:ind w:firstLine="4" w:firstLineChars="2"/>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辆</w:t>
                  </w:r>
                </w:p>
              </w:tc>
              <w:tc>
                <w:tcPr>
                  <w:tcW w:w="452" w:type="pct"/>
                  <w:shd w:val="clear" w:color="auto" w:fill="auto"/>
                  <w:noWrap w:val="0"/>
                  <w:vAlign w:val="center"/>
                </w:tcPr>
                <w:p w14:paraId="4F21D92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w:t>
                  </w:r>
                </w:p>
              </w:tc>
              <w:tc>
                <w:tcPr>
                  <w:tcW w:w="699" w:type="pct"/>
                  <w:noWrap w:val="0"/>
                  <w:vAlign w:val="center"/>
                </w:tcPr>
                <w:p w14:paraId="0C024133">
                  <w:pPr>
                    <w:jc w:val="center"/>
                    <w:rPr>
                      <w:rFonts w:hint="default" w:ascii="Times New Roman" w:hAnsi="Times New Roman" w:eastAsia="宋体" w:cs="Times New Roman"/>
                      <w:color w:val="auto"/>
                      <w:szCs w:val="21"/>
                      <w:highlight w:val="none"/>
                    </w:rPr>
                  </w:pPr>
                </w:p>
              </w:tc>
            </w:tr>
            <w:tr w14:paraId="6C0A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jc w:val="center"/>
              </w:trPr>
              <w:tc>
                <w:tcPr>
                  <w:tcW w:w="449" w:type="pct"/>
                  <w:shd w:val="clear" w:color="auto" w:fill="auto"/>
                  <w:noWrap w:val="0"/>
                  <w:vAlign w:val="center"/>
                </w:tcPr>
                <w:p w14:paraId="4BCAF932">
                  <w:pPr>
                    <w:adjustRightInd w:val="0"/>
                    <w:snapToGrid w:val="0"/>
                    <w:spacing w:line="240" w:lineRule="auto"/>
                    <w:ind w:firstLine="4" w:firstLineChars="2"/>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8</w:t>
                  </w:r>
                </w:p>
              </w:tc>
              <w:tc>
                <w:tcPr>
                  <w:tcW w:w="1698" w:type="pct"/>
                  <w:shd w:val="clear" w:color="auto" w:fill="auto"/>
                  <w:noWrap w:val="0"/>
                  <w:vAlign w:val="center"/>
                </w:tcPr>
                <w:p w14:paraId="6258265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数码相机</w:t>
                  </w:r>
                </w:p>
              </w:tc>
              <w:tc>
                <w:tcPr>
                  <w:tcW w:w="1284" w:type="pct"/>
                  <w:shd w:val="clear" w:color="auto" w:fill="auto"/>
                  <w:noWrap w:val="0"/>
                  <w:vAlign w:val="center"/>
                </w:tcPr>
                <w:p w14:paraId="14BF398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佳能 IXUS265</w:t>
                  </w:r>
                </w:p>
              </w:tc>
              <w:tc>
                <w:tcPr>
                  <w:tcW w:w="415" w:type="pct"/>
                  <w:shd w:val="clear" w:color="auto" w:fill="auto"/>
                  <w:noWrap w:val="0"/>
                  <w:vAlign w:val="center"/>
                </w:tcPr>
                <w:p w14:paraId="32B1FEE3">
                  <w:pPr>
                    <w:adjustRightInd w:val="0"/>
                    <w:snapToGrid w:val="0"/>
                    <w:spacing w:line="240" w:lineRule="auto"/>
                    <w:ind w:firstLine="4" w:firstLineChars="2"/>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台</w:t>
                  </w:r>
                </w:p>
              </w:tc>
              <w:tc>
                <w:tcPr>
                  <w:tcW w:w="452" w:type="pct"/>
                  <w:shd w:val="clear" w:color="auto" w:fill="auto"/>
                  <w:noWrap w:val="0"/>
                  <w:vAlign w:val="center"/>
                </w:tcPr>
                <w:p w14:paraId="2211C70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w:t>
                  </w:r>
                </w:p>
              </w:tc>
              <w:tc>
                <w:tcPr>
                  <w:tcW w:w="699" w:type="pct"/>
                  <w:noWrap w:val="0"/>
                  <w:vAlign w:val="center"/>
                </w:tcPr>
                <w:p w14:paraId="3A2C4695">
                  <w:pPr>
                    <w:jc w:val="center"/>
                    <w:rPr>
                      <w:rFonts w:hint="default" w:ascii="Times New Roman" w:hAnsi="Times New Roman" w:eastAsia="宋体" w:cs="Times New Roman"/>
                      <w:color w:val="auto"/>
                      <w:szCs w:val="21"/>
                      <w:highlight w:val="none"/>
                    </w:rPr>
                  </w:pPr>
                </w:p>
              </w:tc>
            </w:tr>
            <w:tr w14:paraId="17EF8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jc w:val="center"/>
              </w:trPr>
              <w:tc>
                <w:tcPr>
                  <w:tcW w:w="449" w:type="pct"/>
                  <w:shd w:val="clear" w:color="auto" w:fill="auto"/>
                  <w:noWrap w:val="0"/>
                  <w:vAlign w:val="center"/>
                </w:tcPr>
                <w:p w14:paraId="166C7440">
                  <w:pPr>
                    <w:adjustRightInd w:val="0"/>
                    <w:snapToGrid w:val="0"/>
                    <w:spacing w:line="240" w:lineRule="auto"/>
                    <w:ind w:firstLine="4" w:firstLineChars="2"/>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9</w:t>
                  </w:r>
                </w:p>
              </w:tc>
              <w:tc>
                <w:tcPr>
                  <w:tcW w:w="1698" w:type="pct"/>
                  <w:shd w:val="clear" w:color="auto" w:fill="auto"/>
                  <w:noWrap w:val="0"/>
                  <w:vAlign w:val="center"/>
                </w:tcPr>
                <w:p w14:paraId="43C5F8A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钻机</w:t>
                  </w:r>
                </w:p>
              </w:tc>
              <w:tc>
                <w:tcPr>
                  <w:tcW w:w="1284" w:type="pct"/>
                  <w:shd w:val="clear" w:color="auto" w:fill="auto"/>
                  <w:noWrap w:val="0"/>
                  <w:vAlign w:val="center"/>
                </w:tcPr>
                <w:p w14:paraId="2F129DA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普华英工 FX800 型便携式钻机</w:t>
                  </w:r>
                </w:p>
              </w:tc>
              <w:tc>
                <w:tcPr>
                  <w:tcW w:w="415" w:type="pct"/>
                  <w:shd w:val="clear" w:color="auto" w:fill="auto"/>
                  <w:noWrap w:val="0"/>
                  <w:vAlign w:val="center"/>
                </w:tcPr>
                <w:p w14:paraId="3563FFDE">
                  <w:pPr>
                    <w:adjustRightInd w:val="0"/>
                    <w:snapToGrid w:val="0"/>
                    <w:spacing w:line="240" w:lineRule="auto"/>
                    <w:ind w:firstLine="4" w:firstLineChars="2"/>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台</w:t>
                  </w:r>
                </w:p>
              </w:tc>
              <w:tc>
                <w:tcPr>
                  <w:tcW w:w="452" w:type="pct"/>
                  <w:shd w:val="clear" w:color="auto" w:fill="auto"/>
                  <w:noWrap w:val="0"/>
                  <w:vAlign w:val="center"/>
                </w:tcPr>
                <w:p w14:paraId="0145075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w:t>
                  </w:r>
                </w:p>
              </w:tc>
              <w:tc>
                <w:tcPr>
                  <w:tcW w:w="699" w:type="pct"/>
                  <w:noWrap w:val="0"/>
                  <w:vAlign w:val="center"/>
                </w:tcPr>
                <w:p w14:paraId="3CB57B79">
                  <w:pPr>
                    <w:jc w:val="center"/>
                    <w:rPr>
                      <w:rFonts w:hint="default" w:ascii="Times New Roman" w:hAnsi="Times New Roman" w:eastAsia="宋体" w:cs="Times New Roman"/>
                      <w:color w:val="auto"/>
                      <w:szCs w:val="21"/>
                      <w:highlight w:val="none"/>
                    </w:rPr>
                  </w:pPr>
                </w:p>
              </w:tc>
            </w:tr>
            <w:tr w14:paraId="00417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jc w:val="center"/>
              </w:trPr>
              <w:tc>
                <w:tcPr>
                  <w:tcW w:w="449" w:type="pct"/>
                  <w:shd w:val="clear" w:color="auto" w:fill="auto"/>
                  <w:noWrap w:val="0"/>
                  <w:vAlign w:val="center"/>
                </w:tcPr>
                <w:p w14:paraId="09A4B03A">
                  <w:pPr>
                    <w:adjustRightInd w:val="0"/>
                    <w:snapToGrid w:val="0"/>
                    <w:spacing w:line="240" w:lineRule="auto"/>
                    <w:ind w:firstLine="4" w:firstLineChars="2"/>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10</w:t>
                  </w:r>
                </w:p>
              </w:tc>
              <w:tc>
                <w:tcPr>
                  <w:tcW w:w="1698" w:type="pct"/>
                  <w:shd w:val="clear" w:color="auto" w:fill="auto"/>
                  <w:noWrap w:val="0"/>
                  <w:vAlign w:val="center"/>
                </w:tcPr>
                <w:p w14:paraId="08A84D9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GNSS接收机</w:t>
                  </w:r>
                </w:p>
              </w:tc>
              <w:tc>
                <w:tcPr>
                  <w:tcW w:w="1284" w:type="pct"/>
                  <w:shd w:val="clear" w:color="auto" w:fill="auto"/>
                  <w:noWrap w:val="0"/>
                  <w:vAlign w:val="center"/>
                </w:tcPr>
                <w:p w14:paraId="4385F6D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TS5</w:t>
                  </w:r>
                </w:p>
              </w:tc>
              <w:tc>
                <w:tcPr>
                  <w:tcW w:w="415" w:type="pct"/>
                  <w:shd w:val="clear" w:color="auto" w:fill="auto"/>
                  <w:noWrap w:val="0"/>
                  <w:vAlign w:val="center"/>
                </w:tcPr>
                <w:p w14:paraId="1567F075">
                  <w:pPr>
                    <w:adjustRightInd w:val="0"/>
                    <w:snapToGrid w:val="0"/>
                    <w:spacing w:line="240" w:lineRule="auto"/>
                    <w:ind w:firstLine="4" w:firstLineChars="2"/>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台</w:t>
                  </w:r>
                </w:p>
              </w:tc>
              <w:tc>
                <w:tcPr>
                  <w:tcW w:w="452" w:type="pct"/>
                  <w:shd w:val="clear" w:color="auto" w:fill="auto"/>
                  <w:noWrap w:val="0"/>
                  <w:vAlign w:val="center"/>
                </w:tcPr>
                <w:p w14:paraId="7C2C0CC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w:t>
                  </w:r>
                </w:p>
              </w:tc>
              <w:tc>
                <w:tcPr>
                  <w:tcW w:w="699" w:type="pct"/>
                  <w:noWrap w:val="0"/>
                  <w:vAlign w:val="center"/>
                </w:tcPr>
                <w:p w14:paraId="4F61C862">
                  <w:pPr>
                    <w:jc w:val="center"/>
                    <w:rPr>
                      <w:rFonts w:hint="default" w:ascii="Times New Roman" w:hAnsi="Times New Roman" w:eastAsia="宋体" w:cs="Times New Roman"/>
                      <w:color w:val="auto"/>
                      <w:szCs w:val="21"/>
                      <w:highlight w:val="none"/>
                    </w:rPr>
                  </w:pPr>
                </w:p>
              </w:tc>
            </w:tr>
            <w:tr w14:paraId="1F917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jc w:val="center"/>
              </w:trPr>
              <w:tc>
                <w:tcPr>
                  <w:tcW w:w="449" w:type="pct"/>
                  <w:shd w:val="clear" w:color="auto" w:fill="auto"/>
                  <w:noWrap w:val="0"/>
                  <w:vAlign w:val="center"/>
                </w:tcPr>
                <w:p w14:paraId="203C0A77">
                  <w:pPr>
                    <w:adjustRightInd w:val="0"/>
                    <w:snapToGrid w:val="0"/>
                    <w:spacing w:line="240" w:lineRule="auto"/>
                    <w:ind w:firstLine="4" w:firstLineChars="2"/>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11</w:t>
                  </w:r>
                </w:p>
              </w:tc>
              <w:tc>
                <w:tcPr>
                  <w:tcW w:w="1698" w:type="pct"/>
                  <w:shd w:val="clear" w:color="auto" w:fill="auto"/>
                  <w:noWrap w:val="0"/>
                  <w:vAlign w:val="center"/>
                </w:tcPr>
                <w:p w14:paraId="2B4FBE3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水准仪</w:t>
                  </w:r>
                </w:p>
              </w:tc>
              <w:tc>
                <w:tcPr>
                  <w:tcW w:w="1284" w:type="pct"/>
                  <w:shd w:val="clear" w:color="auto" w:fill="auto"/>
                  <w:noWrap w:val="0"/>
                  <w:vAlign w:val="center"/>
                </w:tcPr>
                <w:p w14:paraId="0482B2E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DSZ1</w:t>
                  </w:r>
                </w:p>
              </w:tc>
              <w:tc>
                <w:tcPr>
                  <w:tcW w:w="415" w:type="pct"/>
                  <w:shd w:val="clear" w:color="auto" w:fill="auto"/>
                  <w:noWrap w:val="0"/>
                  <w:vAlign w:val="center"/>
                </w:tcPr>
                <w:p w14:paraId="57A48A14">
                  <w:pPr>
                    <w:adjustRightInd w:val="0"/>
                    <w:snapToGrid w:val="0"/>
                    <w:spacing w:line="240" w:lineRule="auto"/>
                    <w:ind w:firstLine="4" w:firstLineChars="2"/>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台</w:t>
                  </w:r>
                </w:p>
              </w:tc>
              <w:tc>
                <w:tcPr>
                  <w:tcW w:w="452" w:type="pct"/>
                  <w:shd w:val="clear" w:color="auto" w:fill="auto"/>
                  <w:noWrap w:val="0"/>
                  <w:vAlign w:val="center"/>
                </w:tcPr>
                <w:p w14:paraId="20FFA47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w:t>
                  </w:r>
                </w:p>
              </w:tc>
              <w:tc>
                <w:tcPr>
                  <w:tcW w:w="699" w:type="pct"/>
                  <w:noWrap w:val="0"/>
                  <w:vAlign w:val="center"/>
                </w:tcPr>
                <w:p w14:paraId="73C929D4">
                  <w:pPr>
                    <w:jc w:val="center"/>
                    <w:rPr>
                      <w:rFonts w:hint="default" w:ascii="Times New Roman" w:hAnsi="Times New Roman" w:eastAsia="宋体" w:cs="Times New Roman"/>
                      <w:color w:val="auto"/>
                      <w:szCs w:val="21"/>
                      <w:highlight w:val="none"/>
                    </w:rPr>
                  </w:pPr>
                </w:p>
              </w:tc>
            </w:tr>
            <w:tr w14:paraId="736CA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jc w:val="center"/>
              </w:trPr>
              <w:tc>
                <w:tcPr>
                  <w:tcW w:w="449" w:type="pct"/>
                  <w:noWrap w:val="0"/>
                  <w:vAlign w:val="center"/>
                </w:tcPr>
                <w:p w14:paraId="622931CF">
                  <w:pPr>
                    <w:adjustRightInd w:val="0"/>
                    <w:snapToGrid w:val="0"/>
                    <w:spacing w:line="240" w:lineRule="auto"/>
                    <w:ind w:firstLine="4" w:firstLineChars="2"/>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12</w:t>
                  </w:r>
                </w:p>
              </w:tc>
              <w:tc>
                <w:tcPr>
                  <w:tcW w:w="1698" w:type="pct"/>
                  <w:shd w:val="clear" w:color="auto" w:fill="auto"/>
                  <w:noWrap w:val="0"/>
                  <w:vAlign w:val="center"/>
                </w:tcPr>
                <w:p w14:paraId="3A0365C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挖掘机</w:t>
                  </w:r>
                </w:p>
              </w:tc>
              <w:tc>
                <w:tcPr>
                  <w:tcW w:w="1284" w:type="pct"/>
                  <w:shd w:val="clear" w:color="auto" w:fill="auto"/>
                  <w:noWrap w:val="0"/>
                  <w:vAlign w:val="center"/>
                </w:tcPr>
                <w:p w14:paraId="555A61A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415" w:type="pct"/>
                  <w:shd w:val="clear" w:color="auto" w:fill="auto"/>
                  <w:noWrap w:val="0"/>
                  <w:vAlign w:val="center"/>
                </w:tcPr>
                <w:p w14:paraId="05ED9719">
                  <w:pPr>
                    <w:adjustRightInd w:val="0"/>
                    <w:snapToGrid w:val="0"/>
                    <w:spacing w:line="240" w:lineRule="auto"/>
                    <w:ind w:firstLine="4" w:firstLineChars="2"/>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辆</w:t>
                  </w:r>
                </w:p>
              </w:tc>
              <w:tc>
                <w:tcPr>
                  <w:tcW w:w="452" w:type="pct"/>
                  <w:shd w:val="clear" w:color="auto" w:fill="auto"/>
                  <w:noWrap w:val="0"/>
                  <w:vAlign w:val="center"/>
                </w:tcPr>
                <w:p w14:paraId="0CC3581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w:t>
                  </w:r>
                </w:p>
              </w:tc>
              <w:tc>
                <w:tcPr>
                  <w:tcW w:w="699" w:type="pct"/>
                  <w:noWrap w:val="0"/>
                  <w:vAlign w:val="center"/>
                </w:tcPr>
                <w:p w14:paraId="37A04334">
                  <w:pPr>
                    <w:jc w:val="center"/>
                    <w:rPr>
                      <w:rFonts w:hint="default" w:ascii="Times New Roman" w:hAnsi="Times New Roman" w:eastAsia="宋体" w:cs="Times New Roman"/>
                      <w:color w:val="auto"/>
                      <w:szCs w:val="21"/>
                      <w:highlight w:val="none"/>
                    </w:rPr>
                  </w:pPr>
                </w:p>
              </w:tc>
            </w:tr>
            <w:tr w14:paraId="32318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jc w:val="center"/>
              </w:trPr>
              <w:tc>
                <w:tcPr>
                  <w:tcW w:w="449" w:type="pct"/>
                  <w:noWrap w:val="0"/>
                  <w:vAlign w:val="center"/>
                </w:tcPr>
                <w:p w14:paraId="03B12569">
                  <w:pPr>
                    <w:adjustRightInd w:val="0"/>
                    <w:snapToGrid w:val="0"/>
                    <w:spacing w:line="240" w:lineRule="auto"/>
                    <w:ind w:firstLine="4" w:firstLineChars="2"/>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13</w:t>
                  </w:r>
                </w:p>
              </w:tc>
              <w:tc>
                <w:tcPr>
                  <w:tcW w:w="1698" w:type="pct"/>
                  <w:shd w:val="clear" w:color="auto" w:fill="auto"/>
                  <w:noWrap w:val="0"/>
                  <w:vAlign w:val="center"/>
                </w:tcPr>
                <w:p w14:paraId="079BD2F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柴油发电机</w:t>
                  </w:r>
                </w:p>
              </w:tc>
              <w:tc>
                <w:tcPr>
                  <w:tcW w:w="1284" w:type="pct"/>
                  <w:shd w:val="clear" w:color="auto" w:fill="auto"/>
                  <w:noWrap w:val="0"/>
                  <w:vAlign w:val="center"/>
                </w:tcPr>
                <w:p w14:paraId="6C70D69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415" w:type="pct"/>
                  <w:shd w:val="clear" w:color="auto" w:fill="auto"/>
                  <w:noWrap w:val="0"/>
                  <w:vAlign w:val="center"/>
                </w:tcPr>
                <w:p w14:paraId="5D4D4DE0">
                  <w:pPr>
                    <w:adjustRightInd w:val="0"/>
                    <w:snapToGrid w:val="0"/>
                    <w:spacing w:line="240" w:lineRule="auto"/>
                    <w:ind w:firstLine="4" w:firstLineChars="2"/>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台</w:t>
                  </w:r>
                </w:p>
              </w:tc>
              <w:tc>
                <w:tcPr>
                  <w:tcW w:w="452" w:type="pct"/>
                  <w:shd w:val="clear" w:color="auto" w:fill="auto"/>
                  <w:noWrap w:val="0"/>
                  <w:vAlign w:val="center"/>
                </w:tcPr>
                <w:p w14:paraId="65C28C7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w:t>
                  </w:r>
                </w:p>
              </w:tc>
              <w:tc>
                <w:tcPr>
                  <w:tcW w:w="699" w:type="pct"/>
                  <w:noWrap w:val="0"/>
                  <w:vAlign w:val="center"/>
                </w:tcPr>
                <w:p w14:paraId="2F7784DB">
                  <w:pPr>
                    <w:jc w:val="center"/>
                    <w:rPr>
                      <w:rFonts w:hint="default" w:ascii="Times New Roman" w:hAnsi="Times New Roman" w:eastAsia="宋体" w:cs="Times New Roman"/>
                      <w:color w:val="auto"/>
                      <w:szCs w:val="21"/>
                      <w:highlight w:val="none"/>
                    </w:rPr>
                  </w:pPr>
                </w:p>
              </w:tc>
            </w:tr>
          </w:tbl>
          <w:p w14:paraId="01BE41F1">
            <w:pPr>
              <w:pStyle w:val="7"/>
              <w:keepNext/>
              <w:spacing w:before="0" w:after="0" w:line="520" w:lineRule="exact"/>
              <w:rPr>
                <w:rFonts w:hint="eastAsia" w:ascii="Times New Roman" w:hAnsi="Times New Roman" w:eastAsia="宋体" w:cs="Times New Roman"/>
                <w:b/>
                <w:color w:val="auto"/>
                <w:sz w:val="24"/>
                <w:szCs w:val="24"/>
                <w:highlight w:val="none"/>
                <w:lang w:eastAsia="zh-CN"/>
              </w:rPr>
            </w:pPr>
            <w:r>
              <w:rPr>
                <w:rFonts w:hint="default" w:ascii="Times New Roman" w:hAnsi="Times New Roman" w:cs="Times New Roman"/>
                <w:b/>
                <w:color w:val="auto"/>
                <w:sz w:val="24"/>
                <w:szCs w:val="24"/>
                <w:highlight w:val="none"/>
              </w:rPr>
              <w:t>表</w:t>
            </w:r>
            <w:r>
              <w:rPr>
                <w:rFonts w:hint="default" w:ascii="Times New Roman" w:hAnsi="Times New Roman" w:cs="Times New Roman"/>
                <w:b/>
                <w:color w:val="auto"/>
                <w:sz w:val="24"/>
                <w:szCs w:val="24"/>
                <w:highlight w:val="none"/>
                <w:lang w:val="en-US" w:eastAsia="zh-CN"/>
              </w:rPr>
              <w:t>2-4</w:t>
            </w:r>
            <w:r>
              <w:rPr>
                <w:rFonts w:hint="default" w:ascii="Times New Roman" w:hAnsi="Times New Roman" w:cs="Times New Roman"/>
                <w:b/>
                <w:color w:val="auto"/>
                <w:sz w:val="24"/>
                <w:szCs w:val="24"/>
                <w:highlight w:val="none"/>
              </w:rPr>
              <w:t xml:space="preserve">   工程主要原、辅材料一览表</w:t>
            </w:r>
            <w:r>
              <w:rPr>
                <w:rFonts w:hint="eastAsia" w:cs="Times New Roman"/>
                <w:b/>
                <w:color w:val="auto"/>
                <w:sz w:val="24"/>
                <w:szCs w:val="24"/>
                <w:highlight w:val="none"/>
                <w:lang w:eastAsia="zh-CN"/>
              </w:rPr>
              <w:t>（</w:t>
            </w:r>
            <w:r>
              <w:rPr>
                <w:rFonts w:hint="eastAsia" w:cs="Times New Roman"/>
                <w:b/>
                <w:color w:val="auto"/>
                <w:sz w:val="24"/>
                <w:szCs w:val="24"/>
                <w:highlight w:val="none"/>
                <w:lang w:val="en-US" w:eastAsia="zh-CN"/>
              </w:rPr>
              <w:t>探矿期</w:t>
            </w:r>
            <w:r>
              <w:rPr>
                <w:rFonts w:hint="eastAsia" w:cs="Times New Roman"/>
                <w:b/>
                <w:color w:val="auto"/>
                <w:sz w:val="24"/>
                <w:szCs w:val="24"/>
                <w:highlight w:val="none"/>
                <w:lang w:eastAsia="zh-CN"/>
              </w:rPr>
              <w:t>）</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929"/>
              <w:gridCol w:w="833"/>
              <w:gridCol w:w="956"/>
              <w:gridCol w:w="1800"/>
              <w:gridCol w:w="2851"/>
            </w:tblGrid>
            <w:tr w14:paraId="363FA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449" w:type="pct"/>
                  <w:noWrap w:val="0"/>
                  <w:vAlign w:val="center"/>
                </w:tcPr>
                <w:p w14:paraId="6FB1DE5D">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序号</w:t>
                  </w:r>
                </w:p>
              </w:tc>
              <w:tc>
                <w:tcPr>
                  <w:tcW w:w="574" w:type="pct"/>
                  <w:noWrap w:val="0"/>
                  <w:vAlign w:val="center"/>
                </w:tcPr>
                <w:p w14:paraId="1E31CCD0">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名称</w:t>
                  </w:r>
                </w:p>
              </w:tc>
              <w:tc>
                <w:tcPr>
                  <w:tcW w:w="514" w:type="pct"/>
                  <w:noWrap w:val="0"/>
                  <w:vAlign w:val="center"/>
                </w:tcPr>
                <w:p w14:paraId="6D99D32A">
                  <w:pPr>
                    <w:jc w:val="center"/>
                    <w:rPr>
                      <w:rFonts w:hint="eastAsia"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单位</w:t>
                  </w:r>
                </w:p>
              </w:tc>
              <w:tc>
                <w:tcPr>
                  <w:tcW w:w="590" w:type="pct"/>
                  <w:noWrap w:val="0"/>
                  <w:vAlign w:val="center"/>
                </w:tcPr>
                <w:p w14:paraId="653F2F54">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用量</w:t>
                  </w:r>
                </w:p>
              </w:tc>
              <w:tc>
                <w:tcPr>
                  <w:tcW w:w="1111" w:type="pct"/>
                  <w:noWrap w:val="0"/>
                  <w:vAlign w:val="center"/>
                </w:tcPr>
                <w:p w14:paraId="743D4998">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来源</w:t>
                  </w:r>
                </w:p>
              </w:tc>
              <w:tc>
                <w:tcPr>
                  <w:tcW w:w="1760" w:type="pct"/>
                  <w:noWrap w:val="0"/>
                  <w:vAlign w:val="center"/>
                </w:tcPr>
                <w:p w14:paraId="0BED6E67">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备注</w:t>
                  </w:r>
                </w:p>
              </w:tc>
            </w:tr>
            <w:tr w14:paraId="384D0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449" w:type="pct"/>
                  <w:noWrap w:val="0"/>
                  <w:vAlign w:val="center"/>
                </w:tcPr>
                <w:p w14:paraId="012E4BC4">
                  <w:pPr>
                    <w:jc w:val="center"/>
                    <w:rPr>
                      <w:rFonts w:hint="eastAsia" w:ascii="Times New Roman" w:hAnsi="Times New Roman" w:eastAsia="宋体" w:cs="Times New Roman"/>
                      <w:color w:val="auto"/>
                      <w:szCs w:val="21"/>
                      <w:highlight w:val="none"/>
                      <w:lang w:eastAsia="zh-CN"/>
                    </w:rPr>
                  </w:pPr>
                  <w:r>
                    <w:rPr>
                      <w:rFonts w:hint="eastAsia" w:cs="Times New Roman"/>
                      <w:color w:val="auto"/>
                      <w:szCs w:val="21"/>
                      <w:highlight w:val="none"/>
                      <w:lang w:val="en-US" w:eastAsia="zh-CN"/>
                    </w:rPr>
                    <w:t>辅料</w:t>
                  </w:r>
                </w:p>
              </w:tc>
              <w:tc>
                <w:tcPr>
                  <w:tcW w:w="574" w:type="pct"/>
                  <w:noWrap w:val="0"/>
                  <w:vAlign w:val="center"/>
                </w:tcPr>
                <w:p w14:paraId="46F4ED50">
                  <w:pPr>
                    <w:ind w:firstLine="4"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彩条布</w:t>
                  </w:r>
                </w:p>
              </w:tc>
              <w:tc>
                <w:tcPr>
                  <w:tcW w:w="514" w:type="pct"/>
                  <w:noWrap w:val="0"/>
                  <w:vAlign w:val="center"/>
                </w:tcPr>
                <w:p w14:paraId="2DA8EC5E">
                  <w:pPr>
                    <w:ind w:firstLine="4"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590" w:type="pct"/>
                  <w:noWrap w:val="0"/>
                  <w:vAlign w:val="center"/>
                </w:tcPr>
                <w:p w14:paraId="2B2F69E1">
                  <w:pPr>
                    <w:ind w:firstLine="4"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6</w:t>
                  </w:r>
                  <w:r>
                    <w:rPr>
                      <w:rFonts w:hint="default" w:ascii="Times New Roman" w:hAnsi="Times New Roman" w:cs="Times New Roman"/>
                      <w:color w:val="auto"/>
                      <w:sz w:val="21"/>
                      <w:szCs w:val="21"/>
                      <w:highlight w:val="none"/>
                    </w:rPr>
                    <w:t>00</w:t>
                  </w:r>
                </w:p>
              </w:tc>
              <w:tc>
                <w:tcPr>
                  <w:tcW w:w="1111" w:type="pct"/>
                  <w:noWrap w:val="0"/>
                  <w:vAlign w:val="center"/>
                </w:tcPr>
                <w:p w14:paraId="63E63414">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外购</w:t>
                  </w:r>
                </w:p>
              </w:tc>
              <w:tc>
                <w:tcPr>
                  <w:tcW w:w="1760" w:type="pct"/>
                  <w:noWrap w:val="0"/>
                  <w:vAlign w:val="top"/>
                </w:tcPr>
                <w:p w14:paraId="66E82399">
                  <w:pPr>
                    <w:ind w:firstLine="4"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对暂时露天放置的设备，槽探开挖石料进行遮盖。使用后回收并无害化处理</w:t>
                  </w:r>
                </w:p>
              </w:tc>
            </w:tr>
            <w:tr w14:paraId="5E5E1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49" w:type="pct"/>
                  <w:vMerge w:val="restart"/>
                  <w:noWrap w:val="0"/>
                  <w:vAlign w:val="center"/>
                </w:tcPr>
                <w:p w14:paraId="17FD7E4B">
                  <w:pPr>
                    <w:jc w:val="center"/>
                    <w:rPr>
                      <w:rFonts w:hint="eastAsia"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资源</w:t>
                  </w:r>
                </w:p>
              </w:tc>
              <w:tc>
                <w:tcPr>
                  <w:tcW w:w="574" w:type="pct"/>
                  <w:noWrap w:val="0"/>
                  <w:vAlign w:val="center"/>
                </w:tcPr>
                <w:p w14:paraId="7E5FE742">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水</w:t>
                  </w:r>
                </w:p>
              </w:tc>
              <w:tc>
                <w:tcPr>
                  <w:tcW w:w="514" w:type="pct"/>
                  <w:noWrap w:val="0"/>
                  <w:vAlign w:val="center"/>
                </w:tcPr>
                <w:p w14:paraId="1806F537">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m³</w:t>
                  </w:r>
                </w:p>
              </w:tc>
              <w:tc>
                <w:tcPr>
                  <w:tcW w:w="590" w:type="pct"/>
                  <w:noWrap w:val="0"/>
                  <w:vAlign w:val="center"/>
                </w:tcPr>
                <w:p w14:paraId="772814CC">
                  <w:pPr>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84</w:t>
                  </w:r>
                </w:p>
              </w:tc>
              <w:tc>
                <w:tcPr>
                  <w:tcW w:w="1111" w:type="pct"/>
                  <w:noWrap w:val="0"/>
                  <w:vAlign w:val="center"/>
                </w:tcPr>
                <w:p w14:paraId="18DAD811">
                  <w:pPr>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Cs w:val="21"/>
                      <w:highlight w:val="none"/>
                      <w:lang w:val="en-US" w:eastAsia="zh-CN"/>
                    </w:rPr>
                    <w:t>附近乡镇拉运</w:t>
                  </w:r>
                </w:p>
              </w:tc>
              <w:tc>
                <w:tcPr>
                  <w:tcW w:w="1760" w:type="pct"/>
                  <w:noWrap w:val="0"/>
                  <w:vAlign w:val="center"/>
                </w:tcPr>
                <w:p w14:paraId="0B821046">
                  <w:pPr>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Cs w:val="21"/>
                      <w:highlight w:val="none"/>
                      <w:lang w:val="en-US" w:eastAsia="zh-CN"/>
                    </w:rPr>
                    <w:t>/</w:t>
                  </w:r>
                </w:p>
              </w:tc>
            </w:tr>
            <w:tr w14:paraId="7E19D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49" w:type="pct"/>
                  <w:vMerge w:val="continue"/>
                  <w:noWrap w:val="0"/>
                  <w:vAlign w:val="center"/>
                </w:tcPr>
                <w:p w14:paraId="2982CAAC">
                  <w:pPr>
                    <w:jc w:val="center"/>
                    <w:rPr>
                      <w:rFonts w:hint="default" w:ascii="Times New Roman" w:hAnsi="Times New Roman" w:cs="Times New Roman"/>
                      <w:color w:val="auto"/>
                      <w:szCs w:val="21"/>
                      <w:highlight w:val="none"/>
                      <w:lang w:val="en-US" w:eastAsia="zh-CN"/>
                    </w:rPr>
                  </w:pPr>
                </w:p>
              </w:tc>
              <w:tc>
                <w:tcPr>
                  <w:tcW w:w="574" w:type="pct"/>
                  <w:noWrap w:val="0"/>
                  <w:vAlign w:val="center"/>
                </w:tcPr>
                <w:p w14:paraId="4CF96B90">
                  <w:pPr>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柴油</w:t>
                  </w:r>
                </w:p>
              </w:tc>
              <w:tc>
                <w:tcPr>
                  <w:tcW w:w="514" w:type="pct"/>
                  <w:noWrap w:val="0"/>
                  <w:vAlign w:val="center"/>
                </w:tcPr>
                <w:p w14:paraId="7F47590D">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t</w:t>
                  </w:r>
                </w:p>
              </w:tc>
              <w:tc>
                <w:tcPr>
                  <w:tcW w:w="590" w:type="pct"/>
                  <w:noWrap w:val="0"/>
                  <w:vAlign w:val="center"/>
                </w:tcPr>
                <w:p w14:paraId="6FBEE4E1">
                  <w:pPr>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Cs w:val="21"/>
                      <w:highlight w:val="none"/>
                      <w:lang w:val="en-US" w:eastAsia="zh-CN"/>
                    </w:rPr>
                    <w:t>10</w:t>
                  </w:r>
                </w:p>
              </w:tc>
              <w:tc>
                <w:tcPr>
                  <w:tcW w:w="1111" w:type="pct"/>
                  <w:noWrap w:val="0"/>
                  <w:vAlign w:val="center"/>
                </w:tcPr>
                <w:p w14:paraId="47127354">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定期从附近加油站运送至探矿区</w:t>
                  </w:r>
                </w:p>
              </w:tc>
              <w:tc>
                <w:tcPr>
                  <w:tcW w:w="1760" w:type="pct"/>
                  <w:noWrap w:val="0"/>
                  <w:vAlign w:val="center"/>
                </w:tcPr>
                <w:p w14:paraId="65D3C3E1">
                  <w:pPr>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油桶储存，最大储存量为5t</w:t>
                  </w:r>
                </w:p>
              </w:tc>
            </w:tr>
          </w:tbl>
          <w:p w14:paraId="15553D58">
            <w:pPr>
              <w:pStyle w:val="45"/>
              <w:bidi w:val="0"/>
              <w:rPr>
                <w:rFonts w:hint="default"/>
                <w:color w:val="auto"/>
                <w:lang w:val="en-US" w:eastAsia="zh-CN"/>
              </w:rPr>
            </w:pPr>
            <w:r>
              <w:rPr>
                <w:rFonts w:hint="eastAsia"/>
                <w:color w:val="auto"/>
                <w:lang w:val="en-US" w:eastAsia="zh-CN"/>
              </w:rPr>
              <w:t>4</w:t>
            </w:r>
            <w:r>
              <w:rPr>
                <w:rFonts w:hint="eastAsia"/>
                <w:color w:val="auto"/>
                <w:highlight w:val="none"/>
                <w:lang w:val="en-US" w:eastAsia="zh-CN"/>
              </w:rPr>
              <w:t>.公用工程</w:t>
            </w:r>
          </w:p>
          <w:p w14:paraId="1E93E5BE">
            <w:pPr>
              <w:pStyle w:val="45"/>
              <w:bidi w:val="0"/>
              <w:rPr>
                <w:rFonts w:hint="default"/>
                <w:color w:val="auto"/>
                <w:lang w:val="en-US" w:eastAsia="zh-CN"/>
              </w:rPr>
            </w:pPr>
            <w:r>
              <w:rPr>
                <w:rFonts w:hint="eastAsia"/>
                <w:color w:val="auto"/>
                <w:lang w:val="en-US" w:eastAsia="zh-CN"/>
              </w:rPr>
              <w:t>4.1给水</w:t>
            </w:r>
          </w:p>
          <w:p w14:paraId="2D38305A">
            <w:pPr>
              <w:pStyle w:val="46"/>
              <w:bidi w:val="0"/>
              <w:rPr>
                <w:rFonts w:hint="default"/>
                <w:color w:val="auto"/>
                <w:lang w:val="en-US" w:eastAsia="zh-CN"/>
              </w:rPr>
            </w:pPr>
            <w:r>
              <w:rPr>
                <w:rFonts w:hint="eastAsia"/>
                <w:color w:val="auto"/>
                <w:lang w:val="en-US" w:eastAsia="zh-CN"/>
              </w:rPr>
              <w:t>本项目用水定期</w:t>
            </w:r>
            <w:r>
              <w:rPr>
                <w:rFonts w:hint="default" w:ascii="Times New Roman" w:hAnsi="Times New Roman" w:eastAsia="宋体" w:cs="Times New Roman"/>
                <w:color w:val="auto"/>
                <w:sz w:val="24"/>
                <w:szCs w:val="24"/>
                <w:highlight w:val="none"/>
                <w:lang w:val="en-US" w:eastAsia="zh-CN"/>
              </w:rPr>
              <w:t>从</w:t>
            </w:r>
            <w:r>
              <w:rPr>
                <w:rFonts w:hint="eastAsia" w:cs="Times New Roman"/>
                <w:color w:val="auto"/>
                <w:sz w:val="24"/>
                <w:szCs w:val="24"/>
                <w:highlight w:val="none"/>
                <w:lang w:val="en-US" w:eastAsia="zh-CN"/>
              </w:rPr>
              <w:t>附近乡镇拉运。</w:t>
            </w:r>
          </w:p>
          <w:p w14:paraId="312D3A5A">
            <w:pPr>
              <w:pStyle w:val="46"/>
              <w:bidi w:val="0"/>
              <w:rPr>
                <w:rFonts w:hint="default"/>
                <w:color w:val="auto"/>
                <w:lang w:val="en-US" w:eastAsia="zh-CN"/>
              </w:rPr>
            </w:pPr>
            <w:r>
              <w:rPr>
                <w:rFonts w:hint="eastAsia"/>
                <w:color w:val="auto"/>
                <w:lang w:val="en-US" w:eastAsia="zh-CN"/>
              </w:rPr>
              <w:t>（1）生活用水</w:t>
            </w:r>
          </w:p>
          <w:p w14:paraId="354C0060">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本项目</w:t>
            </w:r>
            <w:r>
              <w:rPr>
                <w:rFonts w:hint="eastAsia" w:ascii="Times New Roman" w:hAnsi="Times New Roman" w:eastAsia="宋体" w:cs="Times New Roman"/>
                <w:color w:val="auto"/>
                <w:sz w:val="24"/>
                <w:szCs w:val="24"/>
                <w:highlight w:val="none"/>
                <w:lang w:eastAsia="zh-CN"/>
              </w:rPr>
              <w:t>勘探过程中，劳动定员约为</w:t>
            </w:r>
            <w:r>
              <w:rPr>
                <w:rFonts w:hint="eastAsia" w:cs="Times New Roman"/>
                <w:color w:val="auto"/>
                <w:sz w:val="24"/>
                <w:szCs w:val="24"/>
                <w:highlight w:val="none"/>
                <w:lang w:val="en-US" w:eastAsia="zh-CN"/>
              </w:rPr>
              <w:t>10</w:t>
            </w:r>
            <w:r>
              <w:rPr>
                <w:rFonts w:hint="eastAsia" w:ascii="Times New Roman" w:hAnsi="Times New Roman" w:eastAsia="宋体" w:cs="Times New Roman"/>
                <w:color w:val="auto"/>
                <w:sz w:val="24"/>
                <w:szCs w:val="24"/>
                <w:highlight w:val="none"/>
                <w:lang w:val="en-US" w:eastAsia="zh-CN"/>
              </w:rPr>
              <w:t>人</w:t>
            </w:r>
            <w:r>
              <w:rPr>
                <w:rFonts w:hint="default" w:ascii="Times New Roman" w:hAnsi="Times New Roman" w:eastAsia="宋体" w:cs="Times New Roman"/>
                <w:color w:val="auto"/>
                <w:sz w:val="24"/>
                <w:szCs w:val="24"/>
                <w:highlight w:val="none"/>
                <w:lang w:eastAsia="zh-CN"/>
              </w:rPr>
              <w:t>，职工</w:t>
            </w:r>
            <w:r>
              <w:rPr>
                <w:rFonts w:hint="eastAsia" w:ascii="Times New Roman" w:hAnsi="Times New Roman" w:eastAsia="宋体" w:cs="Times New Roman"/>
                <w:color w:val="auto"/>
                <w:sz w:val="24"/>
                <w:szCs w:val="24"/>
                <w:highlight w:val="none"/>
                <w:lang w:eastAsia="zh-CN"/>
              </w:rPr>
              <w:t>均</w:t>
            </w:r>
            <w:r>
              <w:rPr>
                <w:rFonts w:hint="default" w:ascii="Times New Roman" w:hAnsi="Times New Roman" w:eastAsia="宋体" w:cs="Times New Roman"/>
                <w:color w:val="auto"/>
                <w:sz w:val="24"/>
                <w:szCs w:val="24"/>
                <w:highlight w:val="none"/>
                <w:lang w:eastAsia="zh-CN"/>
              </w:rPr>
              <w:t>在矿区</w:t>
            </w:r>
            <w:r>
              <w:rPr>
                <w:rFonts w:hint="eastAsia" w:cs="Times New Roman"/>
                <w:color w:val="auto"/>
                <w:sz w:val="24"/>
                <w:szCs w:val="24"/>
                <w:highlight w:val="none"/>
                <w:lang w:val="en-US" w:eastAsia="zh-CN"/>
              </w:rPr>
              <w:t>临时生活营地</w:t>
            </w:r>
            <w:r>
              <w:rPr>
                <w:rFonts w:hint="default" w:ascii="Times New Roman" w:hAnsi="Times New Roman" w:eastAsia="宋体" w:cs="Times New Roman"/>
                <w:color w:val="auto"/>
                <w:sz w:val="24"/>
                <w:szCs w:val="24"/>
                <w:highlight w:val="none"/>
                <w:lang w:eastAsia="zh-CN"/>
              </w:rPr>
              <w:t>食宿，</w:t>
            </w:r>
            <w:r>
              <w:rPr>
                <w:rFonts w:hint="eastAsia" w:cs="Times New Roman"/>
                <w:color w:val="auto"/>
                <w:sz w:val="24"/>
                <w:szCs w:val="24"/>
                <w:highlight w:val="none"/>
                <w:lang w:val="en-US" w:eastAsia="zh-CN"/>
              </w:rPr>
              <w:t>生</w:t>
            </w:r>
            <w:r>
              <w:rPr>
                <w:rFonts w:hint="default" w:ascii="Times New Roman" w:hAnsi="Times New Roman" w:eastAsia="宋体" w:cs="Times New Roman"/>
                <w:color w:val="auto"/>
                <w:sz w:val="24"/>
                <w:szCs w:val="24"/>
                <w:highlight w:val="none"/>
                <w:lang w:eastAsia="zh-CN"/>
              </w:rPr>
              <w:t>活用水量根据《新疆维吾尔自治区生活用水定额》为</w:t>
            </w:r>
            <w:r>
              <w:rPr>
                <w:rFonts w:hint="eastAsia" w:cs="Times New Roman"/>
                <w:color w:val="auto"/>
                <w:sz w:val="24"/>
                <w:szCs w:val="24"/>
                <w:highlight w:val="none"/>
                <w:lang w:val="en-US" w:eastAsia="zh-CN"/>
              </w:rPr>
              <w:t>30</w:t>
            </w:r>
            <w:r>
              <w:rPr>
                <w:rFonts w:hint="default" w:ascii="Times New Roman" w:hAnsi="Times New Roman" w:eastAsia="宋体" w:cs="Times New Roman"/>
                <w:color w:val="auto"/>
                <w:sz w:val="24"/>
                <w:szCs w:val="24"/>
                <w:highlight w:val="none"/>
                <w:lang w:eastAsia="zh-CN"/>
              </w:rPr>
              <w:t>L/d·人，</w:t>
            </w:r>
            <w:r>
              <w:rPr>
                <w:rFonts w:hint="eastAsia" w:cs="Times New Roman"/>
                <w:color w:val="auto"/>
                <w:sz w:val="24"/>
                <w:szCs w:val="24"/>
                <w:highlight w:val="none"/>
                <w:lang w:val="en-US" w:eastAsia="zh-CN"/>
              </w:rPr>
              <w:t>施工期和勘探期共计180</w:t>
            </w:r>
            <w:r>
              <w:rPr>
                <w:rFonts w:hint="default" w:ascii="Times New Roman" w:hAnsi="Times New Roman" w:eastAsia="宋体" w:cs="Times New Roman"/>
                <w:color w:val="auto"/>
                <w:sz w:val="24"/>
                <w:szCs w:val="24"/>
                <w:highlight w:val="none"/>
                <w:lang w:eastAsia="zh-CN"/>
              </w:rPr>
              <w:t>d，则可知本项目生活用水量为</w:t>
            </w:r>
            <w:r>
              <w:rPr>
                <w:rFonts w:hint="eastAsia" w:cs="Times New Roman"/>
                <w:color w:val="auto"/>
                <w:sz w:val="24"/>
                <w:szCs w:val="24"/>
                <w:highlight w:val="none"/>
                <w:lang w:val="en-US" w:eastAsia="zh-CN"/>
              </w:rPr>
              <w:t>0.3</w:t>
            </w:r>
            <w:r>
              <w:rPr>
                <w:rFonts w:hint="default" w:ascii="Times New Roman" w:hAnsi="Times New Roman" w:eastAsia="宋体" w:cs="Times New Roman"/>
                <w:color w:val="auto"/>
                <w:sz w:val="24"/>
                <w:szCs w:val="24"/>
                <w:highlight w:val="none"/>
                <w:lang w:eastAsia="zh-CN"/>
              </w:rPr>
              <w:t>m³/d</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生活用水总量为54</w:t>
            </w:r>
            <w:r>
              <w:rPr>
                <w:rFonts w:hint="default" w:ascii="Times New Roman" w:hAnsi="Times New Roman" w:eastAsia="宋体" w:cs="Times New Roman"/>
                <w:color w:val="auto"/>
                <w:sz w:val="24"/>
                <w:szCs w:val="24"/>
                <w:highlight w:val="none"/>
                <w:lang w:eastAsia="zh-CN"/>
              </w:rPr>
              <w:t>m³</w:t>
            </w:r>
            <w:r>
              <w:rPr>
                <w:rFonts w:hint="eastAsia" w:cs="Times New Roman"/>
                <w:color w:val="auto"/>
                <w:sz w:val="24"/>
                <w:szCs w:val="24"/>
                <w:highlight w:val="none"/>
                <w:lang w:val="en-US" w:eastAsia="zh-CN"/>
              </w:rPr>
              <w:t>/a</w:t>
            </w:r>
            <w:r>
              <w:rPr>
                <w:rFonts w:hint="default" w:ascii="Times New Roman" w:hAnsi="Times New Roman" w:eastAsia="宋体" w:cs="Times New Roman"/>
                <w:color w:val="auto"/>
                <w:sz w:val="24"/>
                <w:szCs w:val="24"/>
                <w:highlight w:val="none"/>
                <w:lang w:eastAsia="zh-CN"/>
              </w:rPr>
              <w:t>。</w:t>
            </w:r>
          </w:p>
          <w:p w14:paraId="669978C4">
            <w:pPr>
              <w:pStyle w:val="46"/>
              <w:bidi w:val="0"/>
              <w:rPr>
                <w:rFonts w:hint="default"/>
                <w:color w:val="auto"/>
                <w:lang w:val="en-US" w:eastAsia="zh-CN"/>
              </w:rPr>
            </w:pPr>
            <w:r>
              <w:rPr>
                <w:rFonts w:hint="eastAsia"/>
                <w:color w:val="auto"/>
                <w:lang w:val="en-US" w:eastAsia="zh-CN"/>
              </w:rPr>
              <w:t>（2）生产用水</w:t>
            </w:r>
          </w:p>
          <w:p w14:paraId="36E48329">
            <w:pPr>
              <w:pStyle w:val="46"/>
              <w:bidi w:val="0"/>
              <w:rPr>
                <w:rFonts w:hint="eastAsia"/>
                <w:color w:val="auto"/>
                <w:lang w:val="en-US" w:eastAsia="zh-CN"/>
              </w:rPr>
            </w:pPr>
            <w:r>
              <w:rPr>
                <w:rFonts w:hint="eastAsia"/>
                <w:color w:val="auto"/>
                <w:lang w:val="en-US" w:eastAsia="zh-CN"/>
              </w:rPr>
              <w:t>设备冲洗用水：项目</w:t>
            </w:r>
            <w:r>
              <w:rPr>
                <w:rFonts w:hint="eastAsia" w:cs="Times New Roman"/>
                <w:color w:val="auto"/>
                <w:sz w:val="24"/>
                <w:szCs w:val="24"/>
                <w:highlight w:val="none"/>
                <w:lang w:val="en-US" w:eastAsia="zh-CN"/>
              </w:rPr>
              <w:t>施工期和勘探期间</w:t>
            </w:r>
            <w:r>
              <w:rPr>
                <w:rFonts w:hint="eastAsia"/>
                <w:color w:val="auto"/>
                <w:lang w:val="en-US" w:eastAsia="zh-CN"/>
              </w:rPr>
              <w:t>用水量约为</w:t>
            </w:r>
            <w:r>
              <w:rPr>
                <w:rFonts w:hint="eastAsia"/>
                <w:color w:val="auto"/>
                <w:vertAlign w:val="baseline"/>
                <w:lang w:val="en-US" w:eastAsia="zh-CN"/>
              </w:rPr>
              <w:t>18</w:t>
            </w:r>
            <w:r>
              <w:rPr>
                <w:rFonts w:hint="eastAsia"/>
                <w:color w:val="auto"/>
                <w:lang w:val="en-US" w:eastAsia="zh-CN"/>
              </w:rPr>
              <w:t>m</w:t>
            </w:r>
            <w:r>
              <w:rPr>
                <w:rFonts w:hint="eastAsia"/>
                <w:color w:val="auto"/>
                <w:vertAlign w:val="superscript"/>
                <w:lang w:val="en-US" w:eastAsia="zh-CN"/>
              </w:rPr>
              <w:t>3</w:t>
            </w:r>
            <w:r>
              <w:rPr>
                <w:rFonts w:hint="eastAsia"/>
                <w:color w:val="auto"/>
                <w:vertAlign w:val="baseline"/>
                <w:lang w:val="en-US" w:eastAsia="zh-CN"/>
              </w:rPr>
              <w:t>（</w:t>
            </w:r>
            <w:r>
              <w:rPr>
                <w:rFonts w:hint="eastAsia"/>
                <w:color w:val="auto"/>
                <w:lang w:val="en-US" w:eastAsia="zh-CN"/>
              </w:rPr>
              <w:t>0.1m</w:t>
            </w:r>
            <w:r>
              <w:rPr>
                <w:rFonts w:hint="eastAsia"/>
                <w:color w:val="auto"/>
                <w:vertAlign w:val="superscript"/>
                <w:lang w:val="en-US" w:eastAsia="zh-CN"/>
              </w:rPr>
              <w:t>3</w:t>
            </w:r>
            <w:r>
              <w:rPr>
                <w:rFonts w:hint="eastAsia"/>
                <w:color w:val="auto"/>
                <w:vertAlign w:val="baseline"/>
                <w:lang w:val="en-US" w:eastAsia="zh-CN"/>
              </w:rPr>
              <w:t>/d），</w:t>
            </w:r>
            <w:r>
              <w:rPr>
                <w:rFonts w:hint="eastAsia"/>
                <w:color w:val="auto"/>
                <w:lang w:val="en-US" w:eastAsia="zh-CN"/>
              </w:rPr>
              <w:t>经沉淀池处理后用于洒水降尘、蒸发逸散，不外排。</w:t>
            </w:r>
          </w:p>
          <w:p w14:paraId="294AA574">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Times New Roman" w:hAnsi="Times New Roman" w:eastAsia="宋体" w:cs="Times New Roman"/>
                <w:color w:val="auto"/>
                <w:sz w:val="24"/>
                <w:szCs w:val="24"/>
                <w:highlight w:val="none"/>
                <w:vertAlign w:val="baseline"/>
                <w:lang w:val="en-US" w:eastAsia="zh-CN"/>
              </w:rPr>
            </w:pPr>
            <w:r>
              <w:rPr>
                <w:rFonts w:hint="eastAsia" w:ascii="Times New Roman" w:hAnsi="Times New Roman" w:eastAsia="宋体" w:cs="Times New Roman"/>
                <w:color w:val="auto"/>
                <w:sz w:val="24"/>
                <w:szCs w:val="24"/>
                <w:highlight w:val="none"/>
                <w:lang w:val="en-US" w:eastAsia="zh-CN"/>
              </w:rPr>
              <w:t>泥浆调配用水：项目钻井期间泥浆调配用水量约为</w:t>
            </w:r>
            <w:r>
              <w:rPr>
                <w:rFonts w:hint="eastAsia" w:cs="Times New Roman"/>
                <w:color w:val="auto"/>
                <w:sz w:val="24"/>
                <w:szCs w:val="24"/>
                <w:highlight w:val="none"/>
                <w:lang w:val="en-US" w:eastAsia="zh-CN"/>
              </w:rPr>
              <w:t>12</w:t>
            </w:r>
            <w:r>
              <w:rPr>
                <w:rFonts w:hint="eastAsia" w:ascii="Times New Roman" w:hAnsi="Times New Roman" w:eastAsia="宋体" w:cs="Times New Roman"/>
                <w:color w:val="auto"/>
                <w:sz w:val="24"/>
                <w:szCs w:val="24"/>
                <w:highlight w:val="none"/>
                <w:lang w:val="en-US" w:eastAsia="zh-CN"/>
              </w:rPr>
              <w:t>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vertAlign w:val="baseline"/>
                <w:lang w:val="en-US" w:eastAsia="zh-CN"/>
              </w:rPr>
              <w:t>，调配好的泥浆循环使用。</w:t>
            </w:r>
          </w:p>
          <w:p w14:paraId="7C53A854">
            <w:pPr>
              <w:pStyle w:val="45"/>
              <w:bidi w:val="0"/>
              <w:rPr>
                <w:rFonts w:hint="default"/>
                <w:color w:val="auto"/>
                <w:lang w:val="en-US" w:eastAsia="zh-CN"/>
              </w:rPr>
            </w:pPr>
            <w:r>
              <w:rPr>
                <w:rFonts w:hint="eastAsia"/>
                <w:color w:val="auto"/>
                <w:lang w:val="en-US" w:eastAsia="zh-CN"/>
              </w:rPr>
              <w:t>4.2排水</w:t>
            </w:r>
          </w:p>
          <w:p w14:paraId="2E9E66CE">
            <w:pPr>
              <w:pStyle w:val="46"/>
              <w:numPr>
                <w:ilvl w:val="0"/>
                <w:numId w:val="0"/>
              </w:numPr>
              <w:bidi w:val="0"/>
              <w:ind w:firstLine="480" w:firstLineChars="200"/>
              <w:rPr>
                <w:rFonts w:hint="eastAsia"/>
                <w:color w:val="auto"/>
                <w:lang w:val="en-US" w:eastAsia="zh-CN"/>
              </w:rPr>
            </w:pPr>
            <w:r>
              <w:rPr>
                <w:rFonts w:hint="eastAsia" w:ascii="Times New Roman" w:hAnsi="Times New Roman" w:eastAsia="宋体" w:cs="宋体"/>
                <w:color w:val="auto"/>
                <w:kern w:val="0"/>
                <w:sz w:val="24"/>
                <w:szCs w:val="24"/>
                <w:lang w:val="en-US" w:eastAsia="zh-CN" w:bidi="ar-SA"/>
              </w:rPr>
              <w:t>（1）</w:t>
            </w:r>
            <w:r>
              <w:rPr>
                <w:rFonts w:hint="eastAsia"/>
                <w:color w:val="auto"/>
                <w:lang w:val="en-US" w:eastAsia="zh-CN"/>
              </w:rPr>
              <w:t>生活污水</w:t>
            </w:r>
          </w:p>
          <w:p w14:paraId="351E20D2">
            <w:pPr>
              <w:pStyle w:val="46"/>
              <w:bidi w:val="0"/>
              <w:rPr>
                <w:rFonts w:hint="default"/>
                <w:color w:val="auto"/>
                <w:lang w:val="en-US" w:eastAsia="zh-CN"/>
              </w:rPr>
            </w:pPr>
            <w:r>
              <w:rPr>
                <w:rFonts w:hint="eastAsia"/>
                <w:color w:val="auto"/>
                <w:lang w:val="en-US" w:eastAsia="zh-CN"/>
              </w:rPr>
              <w:t>本项目生活污水产生量较少，生活污水排入一体化污水处理设施后，其出水标准可达到《农村生活污水处理排放标准》（DB654275-2019）表2中C级标准，用于洒水抑尘，自然蒸干，不外排。</w:t>
            </w:r>
            <w:r>
              <w:rPr>
                <w:rFonts w:hint="default"/>
                <w:color w:val="auto"/>
                <w:lang w:val="en-US" w:eastAsia="zh-CN"/>
              </w:rPr>
              <w:t>生活污水量以生活用水量的80%计，则可知本项目探矿期生活污水产生量为</w:t>
            </w:r>
            <w:r>
              <w:rPr>
                <w:rFonts w:hint="eastAsia"/>
                <w:color w:val="auto"/>
                <w:lang w:val="en-US" w:eastAsia="zh-CN"/>
              </w:rPr>
              <w:t>43.2</w:t>
            </w:r>
            <w:r>
              <w:rPr>
                <w:rFonts w:hint="default"/>
                <w:color w:val="auto"/>
                <w:lang w:val="en-US" w:eastAsia="zh-CN"/>
              </w:rPr>
              <w:t>m³</w:t>
            </w:r>
            <w:r>
              <w:rPr>
                <w:rFonts w:hint="eastAsia"/>
                <w:color w:val="auto"/>
                <w:lang w:val="en-US" w:eastAsia="zh-CN"/>
              </w:rPr>
              <w:t>（0.24m³/d）</w:t>
            </w:r>
            <w:r>
              <w:rPr>
                <w:rFonts w:hint="default"/>
                <w:color w:val="auto"/>
                <w:lang w:val="en-US" w:eastAsia="zh-CN"/>
              </w:rPr>
              <w:t>。</w:t>
            </w:r>
          </w:p>
          <w:p w14:paraId="7514744B">
            <w:pPr>
              <w:pStyle w:val="46"/>
              <w:numPr>
                <w:ilvl w:val="0"/>
                <w:numId w:val="0"/>
              </w:numPr>
              <w:bidi w:val="0"/>
              <w:ind w:left="0" w:leftChars="0" w:firstLine="480" w:firstLineChars="200"/>
              <w:rPr>
                <w:rFonts w:hint="eastAsia"/>
                <w:color w:val="auto"/>
                <w:lang w:val="en-US" w:eastAsia="zh-CN"/>
              </w:rPr>
            </w:pPr>
            <w:r>
              <w:rPr>
                <w:rFonts w:hint="eastAsia" w:ascii="Times New Roman" w:hAnsi="Times New Roman" w:eastAsia="宋体" w:cs="宋体"/>
                <w:color w:val="auto"/>
                <w:kern w:val="0"/>
                <w:sz w:val="24"/>
                <w:szCs w:val="24"/>
                <w:lang w:val="en-US" w:eastAsia="zh-CN" w:bidi="ar-SA"/>
              </w:rPr>
              <w:t>（2）</w:t>
            </w:r>
            <w:r>
              <w:rPr>
                <w:rFonts w:hint="eastAsia"/>
                <w:color w:val="auto"/>
                <w:lang w:val="en-US" w:eastAsia="zh-CN"/>
              </w:rPr>
              <w:t>生产废水</w:t>
            </w:r>
          </w:p>
          <w:p w14:paraId="00570880">
            <w:pPr>
              <w:pStyle w:val="46"/>
              <w:numPr>
                <w:ilvl w:val="0"/>
                <w:numId w:val="0"/>
              </w:numPr>
              <w:bidi w:val="0"/>
              <w:ind w:left="0" w:leftChars="0" w:firstLine="480" w:firstLineChars="200"/>
              <w:rPr>
                <w:rFonts w:hint="eastAsia"/>
                <w:color w:val="auto"/>
                <w:lang w:val="en-US" w:eastAsia="zh-CN"/>
              </w:rPr>
            </w:pPr>
            <w:r>
              <w:rPr>
                <w:rFonts w:hint="eastAsia"/>
                <w:color w:val="auto"/>
                <w:lang w:val="en-US" w:eastAsia="zh-CN"/>
              </w:rPr>
              <w:t>设备冲洗废水：</w:t>
            </w:r>
            <w:r>
              <w:rPr>
                <w:rFonts w:hint="eastAsia"/>
                <w:color w:val="auto"/>
                <w:vertAlign w:val="baseline"/>
                <w:lang w:val="en-US" w:eastAsia="zh-CN"/>
              </w:rPr>
              <w:t>产生量约为14.4</w:t>
            </w:r>
            <w:r>
              <w:rPr>
                <w:rFonts w:hint="default"/>
                <w:color w:val="auto"/>
                <w:lang w:val="en-US" w:eastAsia="zh-CN"/>
              </w:rPr>
              <w:t>m³</w:t>
            </w:r>
            <w:r>
              <w:rPr>
                <w:rFonts w:hint="eastAsia"/>
                <w:color w:val="auto"/>
                <w:lang w:val="en-US" w:eastAsia="zh-CN"/>
              </w:rPr>
              <w:t>，经沉淀池处理后用于洒水降尘、蒸发逸散，不外排。</w:t>
            </w:r>
          </w:p>
          <w:p w14:paraId="436F726B">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Times New Roman" w:hAnsi="Times New Roman" w:eastAsia="宋体" w:cs="Times New Roman"/>
                <w:color w:val="auto"/>
                <w:sz w:val="24"/>
                <w:szCs w:val="24"/>
                <w:highlight w:val="none"/>
                <w:vertAlign w:val="baseline"/>
                <w:lang w:val="en-US" w:eastAsia="zh-CN"/>
              </w:rPr>
            </w:pPr>
            <w:r>
              <w:rPr>
                <w:rFonts w:hint="eastAsia" w:cs="Times New Roman"/>
                <w:color w:val="auto"/>
                <w:sz w:val="24"/>
                <w:szCs w:val="24"/>
                <w:highlight w:val="none"/>
                <w:lang w:val="en-US" w:eastAsia="zh-CN"/>
              </w:rPr>
              <w:t>废泥浆</w:t>
            </w:r>
            <w:r>
              <w:rPr>
                <w:rFonts w:hint="eastAsia" w:ascii="Times New Roman" w:hAnsi="Times New Roman" w:eastAsia="宋体" w:cs="Times New Roman"/>
                <w:color w:val="auto"/>
                <w:sz w:val="24"/>
                <w:szCs w:val="24"/>
                <w:highlight w:val="none"/>
                <w:lang w:val="en-US" w:eastAsia="zh-CN"/>
              </w:rPr>
              <w:t>：钻探工程结束后，钻井泥浆全部排入沉淀池</w:t>
            </w:r>
            <w:r>
              <w:rPr>
                <w:rFonts w:hint="eastAsia" w:cs="Times New Roman"/>
                <w:color w:val="auto"/>
                <w:sz w:val="24"/>
                <w:szCs w:val="24"/>
                <w:highlight w:val="none"/>
                <w:lang w:val="en-US" w:eastAsia="zh-CN"/>
              </w:rPr>
              <w:t>蒸干</w:t>
            </w:r>
            <w:r>
              <w:rPr>
                <w:rFonts w:hint="eastAsia"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不外排，沉淀固体固化后就地填埋</w:t>
            </w:r>
            <w:r>
              <w:rPr>
                <w:rFonts w:hint="eastAsia" w:ascii="Times New Roman" w:hAnsi="Times New Roman" w:eastAsia="宋体" w:cs="Times New Roman"/>
                <w:color w:val="auto"/>
                <w:sz w:val="24"/>
                <w:szCs w:val="24"/>
                <w:highlight w:val="none"/>
                <w:vertAlign w:val="baseline"/>
                <w:lang w:val="en-US" w:eastAsia="zh-CN"/>
              </w:rPr>
              <w:t>。</w:t>
            </w:r>
          </w:p>
          <w:p w14:paraId="5C526DBD">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Times New Roman" w:hAnsi="Times New Roman" w:eastAsia="宋体" w:cs="Times New Roman"/>
                <w:color w:val="auto"/>
                <w:sz w:val="24"/>
                <w:szCs w:val="24"/>
                <w:highlight w:val="none"/>
                <w:vertAlign w:val="baseline"/>
                <w:lang w:val="en-US" w:eastAsia="zh-CN"/>
              </w:rPr>
            </w:pPr>
          </w:p>
          <w:p w14:paraId="3427D672">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Times New Roman" w:hAnsi="Times New Roman" w:eastAsia="宋体" w:cs="Times New Roman"/>
                <w:color w:val="auto"/>
                <w:sz w:val="24"/>
                <w:szCs w:val="24"/>
                <w:highlight w:val="none"/>
                <w:vertAlign w:val="baseline"/>
                <w:lang w:val="en-US" w:eastAsia="zh-CN"/>
              </w:rPr>
            </w:pPr>
          </w:p>
          <w:p w14:paraId="44DD04D6">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Times New Roman" w:hAnsi="Times New Roman" w:eastAsia="宋体" w:cs="Times New Roman"/>
                <w:color w:val="auto"/>
                <w:sz w:val="24"/>
                <w:szCs w:val="24"/>
                <w:highlight w:val="none"/>
                <w:vertAlign w:val="baseline"/>
                <w:lang w:val="en-US" w:eastAsia="zh-CN"/>
              </w:rPr>
            </w:pPr>
          </w:p>
          <w:p w14:paraId="73232A19">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Times New Roman" w:hAnsi="Times New Roman" w:eastAsia="宋体" w:cs="Times New Roman"/>
                <w:color w:val="auto"/>
                <w:sz w:val="24"/>
                <w:szCs w:val="24"/>
                <w:highlight w:val="none"/>
                <w:vertAlign w:val="baseline"/>
                <w:lang w:val="en-US" w:eastAsia="zh-CN"/>
              </w:rPr>
            </w:pPr>
          </w:p>
          <w:p w14:paraId="0F2DDCFB">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eastAsia="宋体" w:cs="Times New Roman"/>
                <w:color w:val="auto"/>
                <w:sz w:val="24"/>
                <w:szCs w:val="24"/>
                <w:highlight w:val="none"/>
                <w:vertAlign w:val="baseline"/>
                <w:lang w:val="en-US" w:eastAsia="zh-CN"/>
              </w:rPr>
            </w:pPr>
          </w:p>
          <w:p w14:paraId="2780CE16">
            <w:pPr>
              <w:pStyle w:val="46"/>
              <w:bidi w:val="0"/>
              <w:spacing w:line="240" w:lineRule="auto"/>
              <w:rPr>
                <w:rFonts w:hint="eastAsia"/>
                <w:color w:val="auto"/>
                <w:lang w:val="en-US" w:eastAsia="zh-CN"/>
              </w:rPr>
            </w:pPr>
            <w:r>
              <w:rPr>
                <w:rFonts w:hint="eastAsia"/>
                <w:color w:val="auto"/>
                <w:lang w:val="en-US" w:eastAsia="zh-CN"/>
              </w:rPr>
              <w:drawing>
                <wp:inline distT="0" distB="0" distL="114300" distR="114300">
                  <wp:extent cx="5179060" cy="2917190"/>
                  <wp:effectExtent l="0" t="0" r="0" b="0"/>
                  <wp:docPr id="1" name="ECB019B1-382A-4266-B25C-5B523AA43C14-1" descr="C:/Users/Lenovo/AppData/Local/Temp/wps.vTlyCx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B019B1-382A-4266-B25C-5B523AA43C14-1" descr="C:/Users/Lenovo/AppData/Local/Temp/wps.vTlyCxwps"/>
                          <pic:cNvPicPr>
                            <a:picLocks noChangeAspect="1"/>
                          </pic:cNvPicPr>
                        </pic:nvPicPr>
                        <pic:blipFill>
                          <a:blip r:embed="rId7"/>
                          <a:stretch>
                            <a:fillRect/>
                          </a:stretch>
                        </pic:blipFill>
                        <pic:spPr>
                          <a:xfrm>
                            <a:off x="0" y="0"/>
                            <a:ext cx="5179060" cy="2917190"/>
                          </a:xfrm>
                          <a:prstGeom prst="rect">
                            <a:avLst/>
                          </a:prstGeom>
                        </pic:spPr>
                      </pic:pic>
                    </a:graphicData>
                  </a:graphic>
                </wp:inline>
              </w:drawing>
            </w:r>
          </w:p>
          <w:p w14:paraId="5FF10A97">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图2-1    探矿工作期水平衡示意图    （m</w:t>
            </w:r>
            <w:r>
              <w:rPr>
                <w:rFonts w:hint="eastAsia" w:ascii="Times New Roman" w:hAnsi="Times New Roman" w:eastAsia="宋体" w:cs="Times New Roman"/>
                <w:b/>
                <w:bCs/>
                <w:color w:val="auto"/>
                <w:sz w:val="24"/>
                <w:szCs w:val="24"/>
                <w:highlight w:val="none"/>
                <w:vertAlign w:val="superscript"/>
                <w:lang w:val="en-US" w:eastAsia="zh-CN"/>
              </w:rPr>
              <w:t>3</w:t>
            </w:r>
            <w:r>
              <w:rPr>
                <w:rFonts w:hint="eastAsia" w:ascii="Times New Roman" w:hAnsi="Times New Roman" w:eastAsia="宋体" w:cs="Times New Roman"/>
                <w:b/>
                <w:bCs/>
                <w:color w:val="auto"/>
                <w:sz w:val="24"/>
                <w:szCs w:val="24"/>
                <w:highlight w:val="none"/>
                <w:lang w:val="en-US" w:eastAsia="zh-CN"/>
              </w:rPr>
              <w:t>/探矿期）</w:t>
            </w:r>
          </w:p>
          <w:p w14:paraId="50844FFD">
            <w:pPr>
              <w:keepNext w:val="0"/>
              <w:keepLines w:val="0"/>
              <w:pageBreakBefore w:val="0"/>
              <w:widowControl w:val="0"/>
              <w:kinsoku/>
              <w:wordWrap/>
              <w:overflowPunct/>
              <w:topLinePunct w:val="0"/>
              <w:autoSpaceDE/>
              <w:autoSpaceDN/>
              <w:bidi w:val="0"/>
              <w:adjustRightInd w:val="0"/>
              <w:snapToGrid w:val="0"/>
              <w:spacing w:line="520" w:lineRule="exact"/>
              <w:ind w:firstLine="480"/>
              <w:textAlignment w:val="auto"/>
              <w:rPr>
                <w:rFonts w:hint="default" w:ascii="Times New Roman" w:hAnsi="Times New Roman" w:eastAsia="宋体" w:cs="Times New Roman"/>
                <w:b/>
                <w:bCs/>
                <w:color w:val="auto"/>
                <w:sz w:val="24"/>
                <w:szCs w:val="24"/>
                <w:highlight w:val="none"/>
                <w:lang w:eastAsia="zh-CN"/>
              </w:rPr>
            </w:pPr>
            <w:r>
              <w:rPr>
                <w:rFonts w:hint="default" w:ascii="Times New Roman" w:hAnsi="Times New Roman" w:cs="Times New Roman"/>
                <w:b/>
                <w:bCs/>
                <w:color w:val="auto"/>
                <w:sz w:val="24"/>
                <w:szCs w:val="24"/>
                <w:highlight w:val="none"/>
                <w:lang w:val="en-US" w:eastAsia="zh-CN"/>
              </w:rPr>
              <w:t>4.</w:t>
            </w:r>
            <w:r>
              <w:rPr>
                <w:rFonts w:hint="default" w:ascii="Times New Roman" w:hAnsi="Times New Roman" w:eastAsia="宋体" w:cs="Times New Roman"/>
                <w:b/>
                <w:bCs/>
                <w:color w:val="auto"/>
                <w:sz w:val="24"/>
                <w:szCs w:val="24"/>
                <w:highlight w:val="none"/>
                <w:lang w:val="en-US" w:eastAsia="zh-CN"/>
              </w:rPr>
              <w:t>3</w:t>
            </w:r>
            <w:r>
              <w:rPr>
                <w:rFonts w:hint="default" w:ascii="Times New Roman" w:hAnsi="Times New Roman" w:eastAsia="宋体" w:cs="Times New Roman"/>
                <w:b/>
                <w:bCs/>
                <w:color w:val="auto"/>
                <w:sz w:val="24"/>
                <w:szCs w:val="24"/>
                <w:highlight w:val="none"/>
                <w:lang w:eastAsia="zh-CN"/>
              </w:rPr>
              <w:t>供电</w:t>
            </w:r>
          </w:p>
          <w:p w14:paraId="6F2B6E7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Times New Roman" w:hAnsi="Times New Roman" w:cs="Times New Roman"/>
                <w:b/>
                <w:color w:val="auto"/>
                <w:sz w:val="24"/>
                <w:highlight w:val="none"/>
                <w:lang w:val="en-US" w:eastAsia="zh-CN"/>
              </w:rPr>
            </w:pPr>
            <w:r>
              <w:rPr>
                <w:rFonts w:hint="eastAsia" w:cs="Times New Roman"/>
                <w:color w:val="auto"/>
                <w:sz w:val="24"/>
                <w:szCs w:val="24"/>
                <w:highlight w:val="none"/>
                <w:lang w:val="en-US" w:eastAsia="zh-CN"/>
              </w:rPr>
              <w:t>本项目</w:t>
            </w:r>
            <w:r>
              <w:rPr>
                <w:rFonts w:hint="eastAsia" w:ascii="Times New Roman" w:hAnsi="Times New Roman" w:eastAsia="宋体" w:cs="Times New Roman"/>
                <w:color w:val="auto"/>
                <w:sz w:val="24"/>
                <w:szCs w:val="24"/>
                <w:highlight w:val="none"/>
                <w:lang w:eastAsia="zh-CN"/>
              </w:rPr>
              <w:t>使用</w:t>
            </w:r>
            <w:r>
              <w:rPr>
                <w:rFonts w:hint="eastAsia" w:ascii="Times New Roman" w:hAnsi="Times New Roman" w:eastAsia="宋体" w:cs="Times New Roman"/>
                <w:color w:val="auto"/>
                <w:sz w:val="24"/>
                <w:szCs w:val="24"/>
                <w:highlight w:val="none"/>
                <w:lang w:val="en-US" w:eastAsia="zh-CN"/>
              </w:rPr>
              <w:t>柴油</w:t>
            </w:r>
            <w:r>
              <w:rPr>
                <w:rFonts w:hint="eastAsia" w:ascii="Times New Roman" w:hAnsi="Times New Roman" w:eastAsia="宋体" w:cs="Times New Roman"/>
                <w:color w:val="auto"/>
                <w:sz w:val="24"/>
                <w:szCs w:val="24"/>
                <w:highlight w:val="none"/>
                <w:lang w:eastAsia="zh-CN"/>
              </w:rPr>
              <w:t>发电机供电。</w:t>
            </w:r>
          </w:p>
          <w:p w14:paraId="5599A567">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default" w:ascii="Times New Roman" w:hAnsi="Times New Roman" w:cs="Times New Roman"/>
                <w:b/>
                <w:color w:val="auto"/>
                <w:sz w:val="24"/>
                <w:highlight w:val="none"/>
              </w:rPr>
            </w:pPr>
            <w:r>
              <w:rPr>
                <w:rFonts w:hint="eastAsia" w:ascii="Times New Roman" w:hAnsi="Times New Roman" w:cs="Times New Roman"/>
                <w:b/>
                <w:color w:val="auto"/>
                <w:sz w:val="24"/>
                <w:highlight w:val="none"/>
                <w:lang w:val="en-US" w:eastAsia="zh-CN"/>
              </w:rPr>
              <w:t>5.劳动定员及工作</w:t>
            </w:r>
            <w:r>
              <w:rPr>
                <w:rFonts w:hint="default" w:ascii="Times New Roman" w:hAnsi="Times New Roman" w:cs="Times New Roman"/>
                <w:b/>
                <w:color w:val="auto"/>
                <w:sz w:val="24"/>
                <w:highlight w:val="none"/>
              </w:rPr>
              <w:t>制度</w:t>
            </w:r>
          </w:p>
          <w:p w14:paraId="58251397">
            <w:pPr>
              <w:keepNext w:val="0"/>
              <w:keepLines w:val="0"/>
              <w:pageBreakBefore w:val="0"/>
              <w:widowControl w:val="0"/>
              <w:kinsoku/>
              <w:wordWrap/>
              <w:overflowPunct/>
              <w:topLinePunct w:val="0"/>
              <w:autoSpaceDE/>
              <w:autoSpaceDN/>
              <w:bidi w:val="0"/>
              <w:spacing w:line="520" w:lineRule="exact"/>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highlight w:val="none"/>
              </w:rPr>
              <w:t>根据</w:t>
            </w:r>
            <w:r>
              <w:rPr>
                <w:rFonts w:hint="eastAsia" w:ascii="Times New Roman" w:hAnsi="Times New Roman" w:cs="Times New Roman"/>
                <w:color w:val="auto"/>
                <w:sz w:val="24"/>
                <w:highlight w:val="none"/>
                <w:lang w:val="en-US" w:eastAsia="zh-CN"/>
              </w:rPr>
              <w:t>该探矿区</w:t>
            </w:r>
            <w:r>
              <w:rPr>
                <w:rFonts w:hint="default" w:ascii="Times New Roman" w:hAnsi="Times New Roman" w:cs="Times New Roman"/>
                <w:color w:val="auto"/>
                <w:sz w:val="24"/>
                <w:highlight w:val="none"/>
              </w:rPr>
              <w:t>周边气候条件</w:t>
            </w:r>
            <w:r>
              <w:rPr>
                <w:rFonts w:hint="eastAsia" w:cs="Times New Roman"/>
                <w:color w:val="auto"/>
                <w:sz w:val="24"/>
                <w:highlight w:val="none"/>
                <w:lang w:val="en-US" w:eastAsia="zh-CN"/>
              </w:rPr>
              <w:t>及设计方案</w:t>
            </w:r>
            <w:r>
              <w:rPr>
                <w:rFonts w:hint="default" w:ascii="Times New Roman" w:hAnsi="Times New Roman" w:cs="Times New Roman"/>
                <w:color w:val="auto"/>
                <w:sz w:val="24"/>
                <w:highlight w:val="none"/>
              </w:rPr>
              <w:t>，</w:t>
            </w:r>
            <w:r>
              <w:rPr>
                <w:rFonts w:hint="eastAsia" w:cs="Times New Roman"/>
                <w:color w:val="auto"/>
                <w:sz w:val="24"/>
                <w:highlight w:val="none"/>
                <w:lang w:val="en-US" w:eastAsia="zh-CN"/>
              </w:rPr>
              <w:t>本项目劳动定员为10人，设计勘探</w:t>
            </w:r>
            <w:r>
              <w:rPr>
                <w:rFonts w:hint="eastAsia" w:ascii="Times New Roman" w:hAnsi="Times New Roman" w:eastAsia="宋体" w:cs="Times New Roman"/>
                <w:color w:val="auto"/>
                <w:sz w:val="24"/>
                <w:szCs w:val="24"/>
                <w:highlight w:val="none"/>
                <w:lang w:val="en-US" w:eastAsia="zh-CN"/>
              </w:rPr>
              <w:t>约</w:t>
            </w:r>
            <w:r>
              <w:rPr>
                <w:rFonts w:hint="eastAsia" w:cs="Times New Roman"/>
                <w:color w:val="auto"/>
                <w:sz w:val="24"/>
                <w:szCs w:val="24"/>
                <w:highlight w:val="none"/>
                <w:lang w:val="en-US" w:eastAsia="zh-CN"/>
              </w:rPr>
              <w:t>180</w:t>
            </w:r>
            <w:r>
              <w:rPr>
                <w:rFonts w:hint="default" w:ascii="Times New Roman" w:hAnsi="Times New Roman" w:eastAsia="宋体" w:cs="Times New Roman"/>
                <w:color w:val="auto"/>
                <w:sz w:val="24"/>
                <w:szCs w:val="24"/>
                <w:highlight w:val="none"/>
              </w:rPr>
              <w:t>天，</w:t>
            </w:r>
            <w:r>
              <w:rPr>
                <w:rFonts w:hint="eastAsia" w:cs="Times New Roman"/>
                <w:color w:val="auto"/>
                <w:sz w:val="24"/>
                <w:szCs w:val="24"/>
                <w:highlight w:val="none"/>
                <w:lang w:val="en-US" w:eastAsia="zh-CN"/>
              </w:rPr>
              <w:t>采取8小时工作制</w:t>
            </w:r>
            <w:r>
              <w:rPr>
                <w:rFonts w:hint="default" w:ascii="Times New Roman" w:hAnsi="Times New Roman" w:eastAsia="宋体" w:cs="Times New Roman"/>
                <w:color w:val="auto"/>
                <w:sz w:val="24"/>
                <w:szCs w:val="24"/>
                <w:highlight w:val="none"/>
              </w:rPr>
              <w:t>。</w:t>
            </w:r>
          </w:p>
          <w:p w14:paraId="60047E4B">
            <w:pPr>
              <w:keepNext w:val="0"/>
              <w:keepLines w:val="0"/>
              <w:pageBreakBefore w:val="0"/>
              <w:widowControl w:val="0"/>
              <w:kinsoku/>
              <w:wordWrap/>
              <w:overflowPunct/>
              <w:topLinePunct w:val="0"/>
              <w:autoSpaceDE/>
              <w:autoSpaceDN/>
              <w:bidi w:val="0"/>
              <w:spacing w:line="520" w:lineRule="exact"/>
              <w:ind w:firstLine="480" w:firstLineChars="200"/>
              <w:jc w:val="left"/>
              <w:textAlignment w:val="auto"/>
              <w:rPr>
                <w:rFonts w:hint="default" w:ascii="Times New Roman" w:hAnsi="Times New Roman" w:eastAsia="宋体" w:cs="Times New Roman"/>
                <w:color w:val="auto"/>
                <w:sz w:val="24"/>
                <w:szCs w:val="24"/>
                <w:highlight w:val="none"/>
              </w:rPr>
            </w:pPr>
          </w:p>
        </w:tc>
      </w:tr>
      <w:tr w14:paraId="30BA60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19" w:hRule="atLeast"/>
          <w:jc w:val="center"/>
        </w:trPr>
        <w:tc>
          <w:tcPr>
            <w:tcW w:w="705" w:type="dxa"/>
            <w:noWrap w:val="0"/>
            <w:vAlign w:val="center"/>
          </w:tcPr>
          <w:p w14:paraId="62B098D7">
            <w:pPr>
              <w:adjustRightInd w:val="0"/>
              <w:snapToGrid w:val="0"/>
              <w:jc w:val="center"/>
              <w:rPr>
                <w:rFonts w:ascii="宋体" w:hAnsi="宋体" w:cs="宋体"/>
                <w:color w:val="auto"/>
                <w:kern w:val="0"/>
                <w:szCs w:val="21"/>
              </w:rPr>
            </w:pPr>
            <w:r>
              <w:rPr>
                <w:rFonts w:hint="eastAsia" w:ascii="宋体" w:hAnsi="宋体" w:cs="宋体"/>
                <w:color w:val="auto"/>
                <w:kern w:val="0"/>
                <w:szCs w:val="21"/>
              </w:rPr>
              <w:t>总平面及现场布置</w:t>
            </w:r>
          </w:p>
        </w:tc>
        <w:tc>
          <w:tcPr>
            <w:tcW w:w="8325" w:type="dxa"/>
            <w:noWrap w:val="0"/>
            <w:vAlign w:val="center"/>
          </w:tcPr>
          <w:p w14:paraId="44A143CA">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Times New Roman" w:hAnsi="Times New Roman" w:eastAsia="宋体" w:cs="Times New Roman"/>
                <w:b/>
                <w:bCs w:val="0"/>
                <w:color w:val="auto"/>
                <w:kern w:val="0"/>
                <w:sz w:val="24"/>
                <w:lang w:val="en-US" w:eastAsia="zh-CN"/>
              </w:rPr>
            </w:pPr>
            <w:r>
              <w:rPr>
                <w:rFonts w:hint="eastAsia" w:ascii="Times New Roman" w:hAnsi="Times New Roman" w:cs="Times New Roman"/>
                <w:b/>
                <w:bCs w:val="0"/>
                <w:color w:val="auto"/>
                <w:kern w:val="0"/>
                <w:sz w:val="24"/>
                <w:lang w:val="en-US" w:eastAsia="zh-CN"/>
              </w:rPr>
              <w:t>1总平面布置</w:t>
            </w:r>
          </w:p>
          <w:p w14:paraId="4AD26724">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default" w:ascii="Times New Roman" w:hAnsi="Times New Roman" w:eastAsia="宋体" w:cs="Times New Roman"/>
                <w:b/>
                <w:bCs w:val="0"/>
                <w:color w:val="auto"/>
                <w:kern w:val="0"/>
                <w:sz w:val="24"/>
                <w:highlight w:val="none"/>
                <w:lang w:val="en-US" w:eastAsia="zh-CN"/>
              </w:rPr>
            </w:pPr>
            <w:r>
              <w:rPr>
                <w:rFonts w:hint="default" w:ascii="Times New Roman" w:hAnsi="Times New Roman" w:cs="Times New Roman"/>
                <w:bCs/>
                <w:color w:val="auto"/>
                <w:kern w:val="0"/>
                <w:sz w:val="24"/>
              </w:rPr>
              <w:t>矿</w:t>
            </w:r>
            <w:r>
              <w:rPr>
                <w:rFonts w:hint="default" w:ascii="Times New Roman" w:hAnsi="Times New Roman" w:cs="Times New Roman"/>
                <w:bCs/>
                <w:color w:val="auto"/>
                <w:kern w:val="0"/>
                <w:sz w:val="24"/>
                <w:highlight w:val="none"/>
              </w:rPr>
              <w:t>区布局包括</w:t>
            </w:r>
            <w:r>
              <w:rPr>
                <w:rFonts w:hint="default" w:ascii="Times New Roman" w:hAnsi="Times New Roman" w:cs="Times New Roman"/>
                <w:bCs/>
                <w:color w:val="auto"/>
                <w:kern w:val="0"/>
                <w:sz w:val="24"/>
                <w:highlight w:val="none"/>
                <w:lang w:eastAsia="zh-CN"/>
              </w:rPr>
              <w:t>测量勘探场地</w:t>
            </w:r>
            <w:r>
              <w:rPr>
                <w:rFonts w:hint="eastAsia" w:ascii="Times New Roman" w:hAnsi="Times New Roman" w:cs="Times New Roman"/>
                <w:bCs/>
                <w:color w:val="auto"/>
                <w:kern w:val="0"/>
                <w:sz w:val="24"/>
                <w:highlight w:val="none"/>
                <w:lang w:eastAsia="zh-CN"/>
              </w:rPr>
              <w:t>、</w:t>
            </w:r>
            <w:r>
              <w:rPr>
                <w:rFonts w:hint="eastAsia" w:ascii="Times New Roman" w:hAnsi="Times New Roman" w:cs="Times New Roman"/>
                <w:bCs/>
                <w:color w:val="auto"/>
                <w:kern w:val="0"/>
                <w:sz w:val="24"/>
                <w:highlight w:val="none"/>
                <w:lang w:val="en-US" w:eastAsia="zh-CN"/>
              </w:rPr>
              <w:t>临时生活营地、</w:t>
            </w:r>
            <w:r>
              <w:rPr>
                <w:rFonts w:hint="eastAsia" w:cs="Times New Roman"/>
                <w:bCs/>
                <w:color w:val="auto"/>
                <w:kern w:val="0"/>
                <w:sz w:val="24"/>
                <w:highlight w:val="none"/>
                <w:lang w:val="en-US" w:eastAsia="zh-CN"/>
              </w:rPr>
              <w:t>临时</w:t>
            </w:r>
            <w:r>
              <w:rPr>
                <w:rFonts w:hint="eastAsia" w:ascii="Times New Roman" w:hAnsi="Times New Roman" w:cs="Times New Roman"/>
                <w:bCs/>
                <w:color w:val="auto"/>
                <w:kern w:val="0"/>
                <w:sz w:val="24"/>
                <w:highlight w:val="none"/>
                <w:lang w:val="en-US" w:eastAsia="zh-CN"/>
              </w:rPr>
              <w:t>施工道路</w:t>
            </w:r>
            <w:r>
              <w:rPr>
                <w:rFonts w:hint="default" w:ascii="Times New Roman" w:hAnsi="Times New Roman" w:cs="Times New Roman"/>
                <w:bCs/>
                <w:color w:val="auto"/>
                <w:kern w:val="0"/>
                <w:sz w:val="24"/>
                <w:highlight w:val="none"/>
              </w:rPr>
              <w:t>等</w:t>
            </w:r>
            <w:r>
              <w:rPr>
                <w:rFonts w:hint="eastAsia" w:cs="Times New Roman"/>
                <w:bCs/>
                <w:color w:val="auto"/>
                <w:kern w:val="0"/>
                <w:sz w:val="24"/>
                <w:highlight w:val="none"/>
                <w:lang w:eastAsia="zh-CN"/>
              </w:rPr>
              <w:t>，</w:t>
            </w:r>
            <w:r>
              <w:rPr>
                <w:rFonts w:hint="eastAsia" w:cs="Times New Roman"/>
                <w:bCs/>
                <w:color w:val="auto"/>
                <w:kern w:val="0"/>
                <w:sz w:val="24"/>
                <w:highlight w:val="none"/>
                <w:lang w:val="en-US" w:eastAsia="zh-CN"/>
              </w:rPr>
              <w:t>施工布置、勘探布置见图8、图9</w:t>
            </w:r>
            <w:r>
              <w:rPr>
                <w:rFonts w:hint="default" w:ascii="Times New Roman" w:hAnsi="Times New Roman" w:cs="Times New Roman"/>
                <w:bCs/>
                <w:color w:val="auto"/>
                <w:kern w:val="0"/>
                <w:sz w:val="24"/>
                <w:highlight w:val="none"/>
              </w:rPr>
              <w:t>。</w:t>
            </w:r>
          </w:p>
          <w:p w14:paraId="178FC24C">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2现场施工布置</w:t>
            </w:r>
          </w:p>
          <w:p w14:paraId="61AF061E">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2.</w:t>
            </w:r>
            <w:r>
              <w:rPr>
                <w:rFonts w:hint="eastAsia" w:cs="Times New Roman"/>
                <w:b/>
                <w:bCs/>
                <w:color w:val="auto"/>
                <w:sz w:val="24"/>
                <w:szCs w:val="24"/>
                <w:highlight w:val="none"/>
                <w:lang w:val="en-US" w:eastAsia="zh-CN"/>
              </w:rPr>
              <w:t>1</w:t>
            </w:r>
            <w:r>
              <w:rPr>
                <w:rFonts w:hint="default" w:ascii="Times New Roman" w:hAnsi="Times New Roman" w:eastAsia="宋体" w:cs="Times New Roman"/>
                <w:b/>
                <w:bCs/>
                <w:color w:val="auto"/>
                <w:sz w:val="24"/>
                <w:szCs w:val="24"/>
                <w:highlight w:val="none"/>
                <w:lang w:val="en-US" w:eastAsia="zh-CN"/>
              </w:rPr>
              <w:t>临时生活营地</w:t>
            </w:r>
          </w:p>
          <w:p w14:paraId="11465DC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由于项目探矿区域较大，勘探地点较为分散，不利于施工，因此</w:t>
            </w:r>
            <w:r>
              <w:rPr>
                <w:rFonts w:hint="default" w:ascii="Times New Roman" w:hAnsi="Times New Roman" w:eastAsia="宋体" w:cs="Times New Roman"/>
                <w:color w:val="auto"/>
                <w:sz w:val="24"/>
                <w:szCs w:val="24"/>
                <w:highlight w:val="none"/>
              </w:rPr>
              <w:t>在矿区内新搭</w:t>
            </w: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处临时生活营地作为工作人员休息和施工材料的堆放场所，营地搭建帐篷</w:t>
            </w:r>
            <w:r>
              <w:rPr>
                <w:rFonts w:hint="default" w:ascii="Times New Roman" w:hAnsi="Times New Roman" w:eastAsia="宋体" w:cs="Times New Roman"/>
                <w:color w:val="auto"/>
                <w:sz w:val="24"/>
                <w:szCs w:val="24"/>
                <w:highlight w:val="none"/>
                <w:lang w:eastAsia="zh-CN"/>
              </w:rPr>
              <w:t>和临时彩板房</w:t>
            </w:r>
            <w:r>
              <w:rPr>
                <w:rFonts w:hint="default" w:ascii="Times New Roman" w:hAnsi="Times New Roman" w:eastAsia="宋体" w:cs="Times New Roman"/>
                <w:color w:val="auto"/>
                <w:sz w:val="24"/>
                <w:szCs w:val="24"/>
                <w:highlight w:val="none"/>
              </w:rPr>
              <w:t>，占地面积</w:t>
            </w:r>
            <w:r>
              <w:rPr>
                <w:rFonts w:hint="default" w:ascii="Times New Roman" w:hAnsi="Times New Roman" w:eastAsia="宋体" w:cs="Times New Roman"/>
                <w:color w:val="auto"/>
                <w:sz w:val="24"/>
                <w:szCs w:val="24"/>
                <w:highlight w:val="none"/>
                <w:lang w:eastAsia="zh-CN"/>
              </w:rPr>
              <w:t>共</w:t>
            </w:r>
            <w:r>
              <w:rPr>
                <w:rFonts w:hint="eastAsia"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0</w:t>
            </w:r>
            <w:r>
              <w:rPr>
                <w:rFonts w:hint="default" w:ascii="Times New Roman" w:hAnsi="Times New Roman" w:eastAsia="宋体"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2</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均</w:t>
            </w:r>
            <w:r>
              <w:rPr>
                <w:rFonts w:hint="default" w:ascii="Times New Roman" w:hAnsi="Times New Roman" w:eastAsia="宋体" w:cs="Times New Roman"/>
                <w:color w:val="auto"/>
                <w:sz w:val="24"/>
                <w:szCs w:val="24"/>
                <w:highlight w:val="none"/>
              </w:rPr>
              <w:t>布置在项目区域地势平缓</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植被稀疏处，探矿工作结</w:t>
            </w:r>
            <w:r>
              <w:rPr>
                <w:rFonts w:hint="default" w:ascii="Times New Roman" w:hAnsi="Times New Roman" w:eastAsia="宋体" w:cs="Times New Roman"/>
                <w:color w:val="auto"/>
                <w:sz w:val="24"/>
                <w:szCs w:val="24"/>
                <w:highlight w:val="none"/>
                <w:lang w:eastAsia="zh-CN"/>
              </w:rPr>
              <w:t>束后</w:t>
            </w:r>
            <w:r>
              <w:rPr>
                <w:rFonts w:hint="eastAsia" w:cs="Times New Roman"/>
                <w:color w:val="auto"/>
                <w:sz w:val="24"/>
                <w:szCs w:val="24"/>
                <w:highlight w:val="none"/>
                <w:lang w:eastAsia="zh-CN"/>
              </w:rPr>
              <w:t>，拆除临时生活营地，</w:t>
            </w:r>
            <w:r>
              <w:rPr>
                <w:rFonts w:hint="eastAsia" w:cs="Times New Roman"/>
                <w:color w:val="auto"/>
                <w:sz w:val="24"/>
                <w:szCs w:val="24"/>
                <w:highlight w:val="none"/>
                <w:lang w:val="en-US" w:eastAsia="zh-CN"/>
              </w:rPr>
              <w:t>恢复原有地貌</w:t>
            </w:r>
            <w:r>
              <w:rPr>
                <w:rFonts w:hint="default" w:ascii="Times New Roman" w:hAnsi="Times New Roman" w:eastAsia="宋体" w:cs="Times New Roman"/>
                <w:color w:val="auto"/>
                <w:sz w:val="24"/>
                <w:szCs w:val="24"/>
                <w:highlight w:val="none"/>
                <w:lang w:eastAsia="zh-CN"/>
              </w:rPr>
              <w:t>。</w:t>
            </w:r>
          </w:p>
          <w:p w14:paraId="0F08CAF2">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default"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2.2施工营地</w:t>
            </w:r>
          </w:p>
          <w:p w14:paraId="7A7DC56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用于存放</w:t>
            </w:r>
            <w:r>
              <w:rPr>
                <w:rFonts w:hint="eastAsia" w:cs="Times New Roman"/>
                <w:color w:val="auto"/>
                <w:sz w:val="24"/>
                <w:szCs w:val="24"/>
                <w:highlight w:val="none"/>
                <w:lang w:val="en-US" w:eastAsia="zh-CN"/>
              </w:rPr>
              <w:t>探矿</w:t>
            </w:r>
            <w:r>
              <w:rPr>
                <w:rFonts w:hint="eastAsia" w:ascii="Times New Roman" w:hAnsi="Times New Roman" w:eastAsia="宋体" w:cs="Times New Roman"/>
                <w:color w:val="auto"/>
                <w:sz w:val="24"/>
                <w:szCs w:val="24"/>
                <w:highlight w:val="none"/>
                <w:lang w:eastAsia="zh-CN"/>
              </w:rPr>
              <w:t>设备、</w:t>
            </w:r>
            <w:r>
              <w:rPr>
                <w:rFonts w:hint="eastAsia" w:cs="Times New Roman"/>
                <w:color w:val="auto"/>
                <w:sz w:val="24"/>
                <w:szCs w:val="24"/>
                <w:highlight w:val="none"/>
                <w:lang w:val="en-US" w:eastAsia="zh-CN"/>
              </w:rPr>
              <w:t>挖机等</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占地面积约100</w:t>
            </w:r>
            <w:r>
              <w:rPr>
                <w:rFonts w:hint="default" w:ascii="Times New Roman" w:hAnsi="Times New Roman" w:eastAsia="宋体" w:cs="Times New Roman"/>
                <w:color w:val="auto"/>
                <w:sz w:val="24"/>
                <w:szCs w:val="24"/>
                <w:highlight w:val="none"/>
                <w:lang w:eastAsia="zh-CN"/>
              </w:rPr>
              <w:t>m</w:t>
            </w:r>
            <w:r>
              <w:rPr>
                <w:rFonts w:hint="default" w:ascii="Times New Roman" w:hAnsi="Times New Roman" w:eastAsia="宋体" w:cs="Times New Roman"/>
                <w:color w:val="auto"/>
                <w:sz w:val="24"/>
                <w:szCs w:val="24"/>
                <w:highlight w:val="none"/>
                <w:vertAlign w:val="superscript"/>
                <w:lang w:eastAsia="zh-CN"/>
              </w:rPr>
              <w:t>2</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eastAsia="zh-CN"/>
              </w:rPr>
              <w:t>探矿工作结束后</w:t>
            </w:r>
            <w:r>
              <w:rPr>
                <w:rFonts w:hint="eastAsia" w:ascii="Times New Roman" w:hAnsi="Times New Roman" w:eastAsia="宋体" w:cs="Times New Roman"/>
                <w:color w:val="auto"/>
                <w:sz w:val="24"/>
                <w:szCs w:val="24"/>
                <w:highlight w:val="none"/>
                <w:lang w:val="en-US" w:eastAsia="zh-CN"/>
              </w:rPr>
              <w:t>拆除设备，并对其</w:t>
            </w:r>
            <w:r>
              <w:rPr>
                <w:rFonts w:hint="default" w:ascii="Times New Roman" w:hAnsi="Times New Roman" w:eastAsia="宋体" w:cs="Times New Roman"/>
                <w:color w:val="auto"/>
                <w:sz w:val="24"/>
                <w:szCs w:val="24"/>
                <w:highlight w:val="none"/>
                <w:lang w:eastAsia="zh-CN"/>
              </w:rPr>
              <w:t>进行恢复。</w:t>
            </w:r>
          </w:p>
          <w:p w14:paraId="27C5714B">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2.</w:t>
            </w:r>
            <w:r>
              <w:rPr>
                <w:rFonts w:hint="eastAsia" w:cs="Times New Roman"/>
                <w:b/>
                <w:bCs/>
                <w:color w:val="auto"/>
                <w:sz w:val="24"/>
                <w:szCs w:val="24"/>
                <w:highlight w:val="none"/>
                <w:lang w:val="en-US" w:eastAsia="zh-CN"/>
              </w:rPr>
              <w:t>3简易进矿道路</w:t>
            </w:r>
          </w:p>
          <w:p w14:paraId="7E367F1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s="Times New Roman"/>
                <w:b w:val="0"/>
                <w:bCs w:val="0"/>
                <w:color w:val="auto"/>
                <w:sz w:val="24"/>
                <w:szCs w:val="24"/>
                <w:highlight w:val="none"/>
                <w:lang w:val="en-US" w:eastAsia="zh-CN"/>
              </w:rPr>
            </w:pPr>
            <w:r>
              <w:rPr>
                <w:rFonts w:hint="eastAsia" w:cs="Times New Roman"/>
                <w:b w:val="0"/>
                <w:bCs w:val="0"/>
                <w:color w:val="auto"/>
                <w:sz w:val="24"/>
                <w:szCs w:val="24"/>
                <w:highlight w:val="none"/>
                <w:lang w:val="en-US" w:eastAsia="zh-CN"/>
              </w:rPr>
              <w:t>普查区交通便利条件较差，需要机械修路约5km进入，雨季洪水泛滥道路常被冲毁，整体普查区交通条件较差。道路施工为方便工作人员进行勘探工作建设，不做场地硬化处理。进行简单的场地平整，压实，方便物资运输以及勘探工作的开展即可。</w:t>
            </w:r>
          </w:p>
          <w:p w14:paraId="612710B4">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2.4</w:t>
            </w:r>
            <w:r>
              <w:rPr>
                <w:rFonts w:hint="default" w:ascii="Times New Roman" w:hAnsi="Times New Roman" w:eastAsia="宋体" w:cs="Times New Roman"/>
                <w:b/>
                <w:bCs/>
                <w:color w:val="auto"/>
                <w:sz w:val="24"/>
                <w:szCs w:val="24"/>
                <w:highlight w:val="none"/>
                <w:lang w:val="en-US" w:eastAsia="zh-CN"/>
              </w:rPr>
              <w:t>测量勘探场地</w:t>
            </w:r>
          </w:p>
          <w:p w14:paraId="57AD3D9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sz w:val="24"/>
                <w:szCs w:val="24"/>
                <w:lang w:eastAsia="zh-CN"/>
              </w:rPr>
            </w:pPr>
            <w:bookmarkStart w:id="4" w:name="_Toc244426295"/>
            <w:bookmarkStart w:id="5" w:name="_Toc338757079"/>
            <w:bookmarkStart w:id="6" w:name="_Toc176947661"/>
            <w:bookmarkStart w:id="7" w:name="_Toc341192942"/>
            <w:bookmarkStart w:id="8" w:name="_Toc341455097"/>
            <w:bookmarkStart w:id="9" w:name="_Toc336432747"/>
            <w:bookmarkStart w:id="10" w:name="_Toc10012114"/>
            <w:bookmarkStart w:id="11" w:name="_Toc176947604"/>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lang w:eastAsia="zh-CN"/>
              </w:rPr>
              <w:t>）地质</w:t>
            </w:r>
            <w:bookmarkEnd w:id="4"/>
            <w:r>
              <w:rPr>
                <w:rFonts w:hint="eastAsia" w:ascii="Times New Roman" w:hAnsi="Times New Roman" w:eastAsia="宋体" w:cs="Times New Roman"/>
                <w:color w:val="auto"/>
                <w:sz w:val="24"/>
                <w:szCs w:val="24"/>
                <w:lang w:eastAsia="zh-CN"/>
              </w:rPr>
              <w:t>测量</w:t>
            </w:r>
            <w:bookmarkEnd w:id="5"/>
            <w:bookmarkEnd w:id="6"/>
            <w:bookmarkEnd w:id="7"/>
            <w:bookmarkEnd w:id="8"/>
            <w:bookmarkEnd w:id="9"/>
            <w:bookmarkEnd w:id="10"/>
            <w:bookmarkEnd w:id="11"/>
          </w:p>
          <w:p w14:paraId="0AEBEF0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sz w:val="24"/>
                <w:szCs w:val="24"/>
                <w:lang w:eastAsia="zh-CN"/>
              </w:rPr>
            </w:pPr>
            <w:bookmarkStart w:id="12" w:name="_Toc176947605"/>
            <w:bookmarkStart w:id="13" w:name="_Toc156222450"/>
            <w:r>
              <w:rPr>
                <w:rFonts w:hint="eastAsia" w:ascii="Times New Roman" w:hAnsi="Times New Roman" w:eastAsia="宋体" w:cs="Times New Roman"/>
                <w:color w:val="auto"/>
                <w:sz w:val="24"/>
                <w:szCs w:val="24"/>
                <w:lang w:eastAsia="zh-CN"/>
              </w:rPr>
              <w:t>1.1∶10000地质测量</w:t>
            </w:r>
            <w:bookmarkEnd w:id="12"/>
            <w:bookmarkEnd w:id="13"/>
            <w:r>
              <w:rPr>
                <w:rFonts w:hint="eastAsia" w:cs="Times New Roman"/>
                <w:color w:val="auto"/>
                <w:sz w:val="24"/>
                <w:szCs w:val="24"/>
                <w:lang w:val="en-US" w:eastAsia="zh-CN"/>
              </w:rPr>
              <w:t>3.2</w:t>
            </w:r>
            <w:r>
              <w:rPr>
                <w:rFonts w:hint="eastAsia" w:ascii="Times New Roman" w:hAnsi="Times New Roman" w:eastAsia="宋体" w:cs="Times New Roman"/>
                <w:color w:val="auto"/>
                <w:sz w:val="24"/>
                <w:szCs w:val="24"/>
                <w:lang w:eastAsia="zh-CN"/>
              </w:rPr>
              <w:t>km</w:t>
            </w:r>
            <w:r>
              <w:rPr>
                <w:rFonts w:hint="eastAsia" w:ascii="Times New Roman" w:hAnsi="Times New Roman" w:eastAsia="宋体" w:cs="Times New Roman"/>
                <w:color w:val="auto"/>
                <w:sz w:val="24"/>
                <w:szCs w:val="24"/>
                <w:vertAlign w:val="superscript"/>
                <w:lang w:eastAsia="zh-CN"/>
              </w:rPr>
              <w:t>2</w:t>
            </w:r>
            <w:r>
              <w:rPr>
                <w:rFonts w:hint="eastAsia" w:ascii="Times New Roman" w:hAnsi="Times New Roman" w:eastAsia="宋体" w:cs="Times New Roman"/>
                <w:color w:val="auto"/>
                <w:sz w:val="24"/>
                <w:szCs w:val="24"/>
                <w:vertAlign w:val="baseline"/>
                <w:lang w:eastAsia="zh-CN"/>
              </w:rPr>
              <w:t>，</w:t>
            </w:r>
            <w:r>
              <w:rPr>
                <w:rFonts w:hint="eastAsia" w:ascii="Times New Roman" w:hAnsi="Times New Roman" w:eastAsia="宋体" w:cs="Times New Roman"/>
                <w:color w:val="auto"/>
                <w:sz w:val="24"/>
                <w:szCs w:val="24"/>
                <w:lang w:eastAsia="zh-CN"/>
              </w:rPr>
              <w:t>采用相同比例尺的地形图作底图，充分利用已有资料，以穿越</w:t>
            </w:r>
            <w:r>
              <w:rPr>
                <w:rFonts w:hint="eastAsia" w:cs="Times New Roman"/>
                <w:color w:val="auto"/>
                <w:sz w:val="24"/>
                <w:szCs w:val="24"/>
                <w:lang w:eastAsia="zh-CN"/>
              </w:rPr>
              <w:t>为主</w:t>
            </w:r>
            <w:r>
              <w:rPr>
                <w:rFonts w:hint="eastAsia" w:ascii="Times New Roman" w:hAnsi="Times New Roman" w:eastAsia="宋体" w:cs="Times New Roman"/>
                <w:color w:val="auto"/>
                <w:sz w:val="24"/>
                <w:szCs w:val="24"/>
                <w:lang w:eastAsia="zh-CN"/>
              </w:rPr>
              <w:t>，辅以少量追索法。路线调查多布置于含矿层位分布地段，主要解决含矿层展布形态，圈定有利地段。地质观察以含矿岩性、含矿层、矿化带、矿（化）体为主要对象，正确、详细地测定其展布形态、产状、相互关系等特征。</w:t>
            </w:r>
          </w:p>
          <w:p w14:paraId="09A20DB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sz w:val="24"/>
                <w:szCs w:val="24"/>
                <w:lang w:eastAsia="zh-CN"/>
              </w:rPr>
            </w:pPr>
            <w:bookmarkStart w:id="14" w:name="_Toc176947663"/>
            <w:bookmarkStart w:id="15" w:name="_Toc176947607"/>
            <w:r>
              <w:rPr>
                <w:rFonts w:hint="eastAsia" w:ascii="Times New Roman" w:hAnsi="Times New Roman" w:eastAsia="宋体" w:cs="Times New Roman"/>
                <w:color w:val="auto"/>
                <w:sz w:val="24"/>
                <w:szCs w:val="24"/>
                <w:lang w:eastAsia="zh-CN"/>
              </w:rPr>
              <w:t>（</w:t>
            </w:r>
            <w:r>
              <w:rPr>
                <w:rFonts w:hint="eastAsia" w:cs="Times New Roman"/>
                <w:color w:val="auto"/>
                <w:sz w:val="24"/>
                <w:szCs w:val="24"/>
                <w:lang w:val="en-US" w:eastAsia="zh-CN"/>
              </w:rPr>
              <w:t>2</w:t>
            </w:r>
            <w:r>
              <w:rPr>
                <w:rFonts w:hint="eastAsia" w:ascii="Times New Roman" w:hAnsi="Times New Roman" w:eastAsia="宋体" w:cs="Times New Roman"/>
                <w:color w:val="auto"/>
                <w:sz w:val="24"/>
                <w:szCs w:val="24"/>
                <w:lang w:eastAsia="zh-CN"/>
              </w:rPr>
              <w:t>）槽探工程</w:t>
            </w:r>
            <w:bookmarkEnd w:id="14"/>
            <w:bookmarkEnd w:id="15"/>
          </w:p>
          <w:p w14:paraId="0F69B8D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eastAsia="zh-CN"/>
              </w:rPr>
              <w:t>在已有工作的基础上，对区内圈出的矿化蚀变带进行槽探工程揭露，地表槽探工程间距100m，见矿后对铅锌矿体按槽探50m间距系统控制地表矿体，扩大地表矿体规模。查明地表矿（化）体的产态特征及质量变化情况，探槽一般垂直矿化蚀变带布设，探槽断面要求为倒梯形，底宽不小于0.8m，两壁平整，深度以揭露到新鲜基岩以下0.5m为宜，总体达到控制矿化蚀变带、矿体、主要地质界线、构造并能采集到相关样品的目的</w:t>
            </w:r>
            <w:r>
              <w:rPr>
                <w:rFonts w:hint="eastAsia" w:cs="Times New Roman"/>
                <w:color w:val="auto"/>
                <w:sz w:val="24"/>
                <w:szCs w:val="24"/>
                <w:lang w:eastAsia="zh-CN"/>
              </w:rPr>
              <w:t>，</w:t>
            </w:r>
            <w:r>
              <w:rPr>
                <w:rFonts w:hint="eastAsia" w:cs="Times New Roman"/>
                <w:color w:val="auto"/>
                <w:sz w:val="24"/>
                <w:szCs w:val="24"/>
                <w:lang w:val="en-US" w:eastAsia="zh-CN"/>
              </w:rPr>
              <w:t>槽探样品采用刻槽取样，采样长度≤2.0m，样品规格5cm×3cm。</w:t>
            </w:r>
          </w:p>
          <w:p w14:paraId="4AE53F3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s="Times New Roman"/>
                <w:color w:val="auto"/>
                <w:sz w:val="24"/>
                <w:szCs w:val="24"/>
                <w:lang w:val="en-US" w:eastAsia="zh-CN"/>
              </w:rPr>
            </w:pPr>
            <w:bookmarkStart w:id="16" w:name="_Toc176947608"/>
            <w:bookmarkStart w:id="17" w:name="_Toc176947664"/>
            <w:r>
              <w:rPr>
                <w:rFonts w:hint="eastAsia" w:ascii="Times New Roman" w:hAnsi="Times New Roman" w:eastAsia="宋体" w:cs="Times New Roman"/>
                <w:color w:val="auto"/>
                <w:sz w:val="24"/>
                <w:szCs w:val="24"/>
                <w:lang w:eastAsia="zh-CN"/>
              </w:rPr>
              <w:t>（</w:t>
            </w:r>
            <w:r>
              <w:rPr>
                <w:rFonts w:hint="eastAsia" w:cs="Times New Roman"/>
                <w:color w:val="auto"/>
                <w:sz w:val="24"/>
                <w:szCs w:val="24"/>
                <w:lang w:val="en-US" w:eastAsia="zh-CN"/>
              </w:rPr>
              <w:t>3</w:t>
            </w:r>
            <w:r>
              <w:rPr>
                <w:rFonts w:hint="eastAsia" w:ascii="Times New Roman" w:hAnsi="Times New Roman" w:eastAsia="宋体" w:cs="Times New Roman"/>
                <w:color w:val="auto"/>
                <w:sz w:val="24"/>
                <w:szCs w:val="24"/>
                <w:lang w:eastAsia="zh-CN"/>
              </w:rPr>
              <w:t>）</w:t>
            </w:r>
            <w:r>
              <w:rPr>
                <w:rFonts w:hint="eastAsia" w:cs="Times New Roman"/>
                <w:color w:val="auto"/>
                <w:sz w:val="24"/>
                <w:szCs w:val="24"/>
                <w:lang w:val="en-US" w:eastAsia="zh-CN"/>
              </w:rPr>
              <w:t>钻探工程</w:t>
            </w:r>
          </w:p>
          <w:p w14:paraId="780388E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default" w:cs="Times New Roman"/>
                <w:color w:val="auto"/>
                <w:sz w:val="24"/>
                <w:szCs w:val="24"/>
                <w:lang w:val="en-US" w:eastAsia="zh-CN"/>
              </w:rPr>
              <w:t>在1∶2000地质测量、地表探槽及样品化验等成果的基础上进行，主要对矿体的深部进行控制</w:t>
            </w:r>
            <w:r>
              <w:rPr>
                <w:rFonts w:hint="default" w:ascii="Times New Roman" w:hAnsi="Times New Roman" w:eastAsia="宋体" w:cs="Times New Roman"/>
                <w:color w:val="auto"/>
                <w:sz w:val="24"/>
                <w:szCs w:val="24"/>
                <w:lang w:val="en-US" w:eastAsia="zh-CN"/>
              </w:rPr>
              <w:t>。钻孔位置应根据地质成果进行动态调整。本次勘探工作钻探工程网度为200m</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走向</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×200m</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倾向</w:t>
            </w:r>
            <w:r>
              <w:rPr>
                <w:rFonts w:hint="eastAsia" w:ascii="Times New Roman" w:hAnsi="Times New Roman" w:eastAsia="宋体" w:cs="Times New Roman"/>
                <w:color w:val="auto"/>
                <w:sz w:val="24"/>
                <w:szCs w:val="24"/>
                <w:lang w:val="en-US" w:eastAsia="zh-CN"/>
              </w:rPr>
              <w:t>）。</w:t>
            </w:r>
          </w:p>
          <w:p w14:paraId="524759F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sz w:val="24"/>
                <w:szCs w:val="24"/>
                <w:lang w:eastAsia="zh-CN"/>
              </w:rPr>
            </w:pPr>
            <w:r>
              <w:rPr>
                <w:rFonts w:hint="eastAsia" w:cs="Times New Roman"/>
                <w:color w:val="auto"/>
                <w:sz w:val="24"/>
                <w:szCs w:val="24"/>
                <w:lang w:eastAsia="zh-CN"/>
              </w:rPr>
              <w:t>（</w:t>
            </w:r>
            <w:r>
              <w:rPr>
                <w:rFonts w:hint="eastAsia" w:cs="Times New Roman"/>
                <w:color w:val="auto"/>
                <w:sz w:val="24"/>
                <w:szCs w:val="24"/>
                <w:lang w:val="en-US" w:eastAsia="zh-CN"/>
              </w:rPr>
              <w:t>4）</w:t>
            </w:r>
            <w:r>
              <w:rPr>
                <w:rFonts w:hint="eastAsia" w:ascii="Times New Roman" w:hAnsi="Times New Roman" w:eastAsia="宋体" w:cs="Times New Roman"/>
                <w:color w:val="auto"/>
                <w:sz w:val="24"/>
                <w:szCs w:val="24"/>
                <w:lang w:eastAsia="zh-CN"/>
              </w:rPr>
              <w:t>取样、化验、测试工作</w:t>
            </w:r>
            <w:bookmarkEnd w:id="16"/>
            <w:bookmarkEnd w:id="17"/>
          </w:p>
          <w:p w14:paraId="48DD5A20">
            <w:pPr>
              <w:pStyle w:val="46"/>
              <w:keepNext w:val="0"/>
              <w:keepLines w:val="0"/>
              <w:pageBreakBefore w:val="0"/>
              <w:widowControl w:val="0"/>
              <w:kinsoku/>
              <w:overflowPunct/>
              <w:topLinePunct w:val="0"/>
              <w:autoSpaceDE/>
              <w:autoSpaceDN/>
              <w:bidi w:val="0"/>
              <w:adjustRightInd/>
              <w:snapToGrid/>
              <w:spacing w:line="520" w:lineRule="exact"/>
              <w:textAlignment w:val="auto"/>
              <w:rPr>
                <w:rFonts w:hint="default"/>
                <w:color w:val="auto"/>
                <w:highlight w:val="none"/>
                <w:lang w:val="en-US" w:eastAsia="zh-CN"/>
              </w:rPr>
            </w:pPr>
            <w:r>
              <w:rPr>
                <w:rFonts w:hint="eastAsia"/>
                <w:color w:val="auto"/>
                <w:highlight w:val="none"/>
                <w:lang w:val="en-US" w:eastAsia="zh-CN"/>
              </w:rPr>
              <w:t>取样和化验工作是研究、认识矿床成因及其生成地质条件，确定矿石物质成分及其变化规律、矿床开采技术条件等的重要方法，也是评定矿床经济价值、圈定矿体、划分矿石类型的基础工作。</w:t>
            </w:r>
          </w:p>
          <w:p w14:paraId="75198DBE">
            <w:pPr>
              <w:pStyle w:val="46"/>
              <w:keepNext w:val="0"/>
              <w:keepLines w:val="0"/>
              <w:pageBreakBefore w:val="0"/>
              <w:widowControl w:val="0"/>
              <w:kinsoku/>
              <w:overflowPunct/>
              <w:topLinePunct w:val="0"/>
              <w:autoSpaceDE/>
              <w:autoSpaceDN/>
              <w:bidi w:val="0"/>
              <w:adjustRightInd/>
              <w:snapToGrid/>
              <w:spacing w:line="520" w:lineRule="exact"/>
              <w:textAlignment w:val="auto"/>
              <w:rPr>
                <w:rFonts w:hint="eastAsia"/>
                <w:color w:val="auto"/>
                <w:highlight w:val="none"/>
                <w:lang w:val="en-US" w:eastAsia="zh-CN"/>
              </w:rPr>
            </w:pPr>
            <w:r>
              <w:rPr>
                <w:rFonts w:hint="default"/>
                <w:color w:val="auto"/>
                <w:highlight w:val="none"/>
                <w:lang w:val="en-US" w:eastAsia="zh-CN"/>
              </w:rPr>
              <w:t>本次工作设计采取基本分析化学样、薄片样、光片样、</w:t>
            </w:r>
            <w:r>
              <w:rPr>
                <w:rFonts w:hint="eastAsia"/>
                <w:color w:val="auto"/>
                <w:highlight w:val="none"/>
                <w:lang w:val="en-US" w:eastAsia="zh-CN"/>
              </w:rPr>
              <w:t>化探样品分析</w:t>
            </w:r>
            <w:r>
              <w:rPr>
                <w:rFonts w:hint="default"/>
                <w:color w:val="auto"/>
                <w:highlight w:val="none"/>
                <w:lang w:val="en-US" w:eastAsia="zh-CN"/>
              </w:rPr>
              <w:t>等。设计样品数可根据野外实际情况，以达到地质目的为原则，可作适当增减或调整。</w:t>
            </w:r>
            <w:r>
              <w:rPr>
                <w:rFonts w:hint="eastAsia"/>
                <w:color w:val="auto"/>
                <w:highlight w:val="none"/>
                <w:lang w:val="en-US" w:eastAsia="zh-CN"/>
              </w:rPr>
              <w:t>本次探矿只包含取样工作，现场不设实验室，化验工作交由实验室承担。</w:t>
            </w:r>
          </w:p>
          <w:p w14:paraId="0AD47C1F">
            <w:pPr>
              <w:pStyle w:val="46"/>
              <w:keepNext w:val="0"/>
              <w:keepLines w:val="0"/>
              <w:pageBreakBefore w:val="0"/>
              <w:widowControl w:val="0"/>
              <w:kinsoku/>
              <w:overflowPunct/>
              <w:topLinePunct w:val="0"/>
              <w:autoSpaceDE/>
              <w:autoSpaceDN/>
              <w:bidi w:val="0"/>
              <w:adjustRightInd/>
              <w:snapToGrid/>
              <w:spacing w:line="520" w:lineRule="exact"/>
              <w:textAlignment w:val="auto"/>
              <w:rPr>
                <w:rFonts w:hint="eastAsia"/>
                <w:color w:val="auto"/>
                <w:highlight w:val="none"/>
                <w:lang w:val="en-US" w:eastAsia="zh-CN"/>
              </w:rPr>
            </w:pPr>
            <w:r>
              <w:rPr>
                <w:rFonts w:hint="eastAsia"/>
                <w:color w:val="auto"/>
                <w:highlight w:val="none"/>
                <w:lang w:val="en-US" w:eastAsia="zh-CN"/>
              </w:rPr>
              <w:t>在地质测绘的基础上进行，对新收集的勘查区及相邻地区水文、气象资料的新数据，进行修改和补充；对矿区开发影响范围的滑坡、崩塌、山洪泥石流等物理地质现象进行野外调查。</w:t>
            </w:r>
          </w:p>
          <w:p w14:paraId="30C8BF51">
            <w:pPr>
              <w:pStyle w:val="46"/>
              <w:keepNext w:val="0"/>
              <w:keepLines w:val="0"/>
              <w:pageBreakBefore w:val="0"/>
              <w:widowControl w:val="0"/>
              <w:kinsoku/>
              <w:overflowPunct/>
              <w:topLinePunct w:val="0"/>
              <w:autoSpaceDE/>
              <w:autoSpaceDN/>
              <w:bidi w:val="0"/>
              <w:adjustRightInd/>
              <w:snapToGrid/>
              <w:spacing w:line="520" w:lineRule="exact"/>
              <w:ind w:left="0" w:leftChars="0" w:firstLine="0" w:firstLineChars="0"/>
              <w:textAlignment w:val="auto"/>
              <w:rPr>
                <w:rFonts w:hint="default"/>
                <w:b/>
                <w:bCs/>
                <w:color w:val="auto"/>
                <w:highlight w:val="none"/>
                <w:lang w:val="en-US" w:eastAsia="zh-CN"/>
              </w:rPr>
            </w:pPr>
            <w:r>
              <w:rPr>
                <w:rFonts w:hint="eastAsia"/>
                <w:b/>
                <w:bCs/>
                <w:color w:val="auto"/>
                <w:highlight w:val="none"/>
                <w:lang w:val="en-US" w:eastAsia="zh-CN"/>
              </w:rPr>
              <w:t>3施工布置情况</w:t>
            </w:r>
          </w:p>
          <w:p w14:paraId="69D21378">
            <w:pPr>
              <w:pStyle w:val="46"/>
              <w:keepNext w:val="0"/>
              <w:keepLines w:val="0"/>
              <w:pageBreakBefore w:val="0"/>
              <w:widowControl w:val="0"/>
              <w:kinsoku/>
              <w:overflowPunct/>
              <w:topLinePunct w:val="0"/>
              <w:autoSpaceDE/>
              <w:autoSpaceDN/>
              <w:bidi w:val="0"/>
              <w:adjustRightInd/>
              <w:snapToGrid/>
              <w:spacing w:line="520" w:lineRule="exact"/>
              <w:textAlignment w:val="auto"/>
              <w:rPr>
                <w:rFonts w:hint="default"/>
                <w:color w:val="auto"/>
                <w:highlight w:val="none"/>
                <w:lang w:val="en-US" w:eastAsia="zh-CN"/>
              </w:rPr>
            </w:pPr>
            <w:r>
              <w:rPr>
                <w:rFonts w:hint="eastAsia"/>
                <w:color w:val="auto"/>
                <w:highlight w:val="none"/>
                <w:lang w:val="en-US" w:eastAsia="zh-CN"/>
              </w:rPr>
              <w:t>施工布置应综合考虑工程规模、施工方案及工期、造价等因素，按照因地制宜、因时制宜、有利生产、方便生活、易于管理、安全可靠的原则，在满足环保与水保要求的条件下布置施工场地，本项目施工期主要进行进山主道路和勘探区便道的修筑、平整。</w:t>
            </w:r>
          </w:p>
          <w:p w14:paraId="608D9CE8">
            <w:pPr>
              <w:pStyle w:val="46"/>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hint="eastAsia" w:eastAsia="宋体" w:cs="宋体"/>
                <w:color w:val="auto"/>
                <w:highlight w:val="none"/>
                <w:lang w:val="en-US" w:eastAsia="zh-CN"/>
              </w:rPr>
            </w:pPr>
            <w:r>
              <w:rPr>
                <w:rFonts w:hint="eastAsia"/>
                <w:color w:val="auto"/>
                <w:highlight w:val="none"/>
                <w:lang w:val="en-US" w:eastAsia="zh-CN"/>
              </w:rPr>
              <w:t>本项目土石方开挖量主要来源于主道路和勘探区便道施工开挖，开挖土石方部分回填。开挖土石方临时堆放于道路一侧，并使用彩条布覆盖，以防止土石方扬尘及流失。部分回填后剩余土方用于项目区周边土地平整，不单独设置弃渣场。</w:t>
            </w:r>
          </w:p>
          <w:p w14:paraId="012C28D0">
            <w:pPr>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sz w:val="24"/>
                <w:szCs w:val="24"/>
                <w:highlight w:val="none"/>
                <w:lang w:eastAsia="zh-CN"/>
              </w:rPr>
              <w:t>表</w:t>
            </w:r>
            <w:r>
              <w:rPr>
                <w:rFonts w:hint="eastAsia" w:ascii="Times New Roman" w:hAnsi="Times New Roman" w:eastAsia="宋体" w:cs="Times New Roman"/>
                <w:b/>
                <w:bCs/>
                <w:color w:val="auto"/>
                <w:sz w:val="24"/>
                <w:szCs w:val="24"/>
                <w:highlight w:val="none"/>
                <w:lang w:val="en-US" w:eastAsia="zh-CN"/>
              </w:rPr>
              <w:t>2-</w:t>
            </w:r>
            <w:r>
              <w:rPr>
                <w:rFonts w:hint="eastAsia" w:cs="Times New Roman"/>
                <w:b/>
                <w:bCs/>
                <w:color w:val="auto"/>
                <w:sz w:val="24"/>
                <w:szCs w:val="24"/>
                <w:highlight w:val="none"/>
                <w:lang w:val="en-US" w:eastAsia="zh-CN"/>
              </w:rPr>
              <w:t>5</w:t>
            </w:r>
            <w:r>
              <w:rPr>
                <w:rFonts w:hint="default" w:ascii="Times New Roman" w:hAnsi="Times New Roman" w:eastAsia="宋体" w:cs="Times New Roman"/>
                <w:b/>
                <w:bCs/>
                <w:color w:val="auto"/>
                <w:sz w:val="24"/>
                <w:szCs w:val="24"/>
                <w:highlight w:val="none"/>
                <w:lang w:eastAsia="zh-CN"/>
              </w:rPr>
              <w:t xml:space="preserve">    项目占地类型一览表</w:t>
            </w:r>
          </w:p>
          <w:tbl>
            <w:tblPr>
              <w:tblStyle w:val="20"/>
              <w:tblW w:w="486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21"/>
              <w:gridCol w:w="1574"/>
              <w:gridCol w:w="1311"/>
              <w:gridCol w:w="1360"/>
              <w:gridCol w:w="1233"/>
              <w:gridCol w:w="1980"/>
            </w:tblGrid>
            <w:tr w14:paraId="468BF7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266" w:type="pct"/>
                  <w:gridSpan w:val="2"/>
                  <w:noWrap w:val="0"/>
                  <w:vAlign w:val="center"/>
                </w:tcPr>
                <w:p w14:paraId="27F2B741">
                  <w:pPr>
                    <w:widowControl/>
                    <w:spacing w:line="32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名称</w:t>
                  </w:r>
                </w:p>
              </w:tc>
              <w:tc>
                <w:tcPr>
                  <w:tcW w:w="831" w:type="pct"/>
                  <w:noWrap w:val="0"/>
                  <w:vAlign w:val="center"/>
                </w:tcPr>
                <w:p w14:paraId="0FEF8545">
                  <w:pPr>
                    <w:widowControl/>
                    <w:spacing w:line="320" w:lineRule="exact"/>
                    <w:jc w:val="center"/>
                    <w:rPr>
                      <w:rFonts w:hint="eastAsia" w:ascii="Times New Roman" w:hAnsi="Times New Roman" w:eastAsia="宋体" w:cs="Times New Roman"/>
                      <w:color w:val="auto"/>
                      <w:kern w:val="0"/>
                      <w:szCs w:val="21"/>
                      <w:highlight w:val="none"/>
                      <w:lang w:eastAsia="zh-CN"/>
                    </w:rPr>
                  </w:pPr>
                  <w:r>
                    <w:rPr>
                      <w:rFonts w:hint="default" w:ascii="Times New Roman" w:hAnsi="Times New Roman" w:cs="Times New Roman"/>
                      <w:color w:val="auto"/>
                      <w:kern w:val="0"/>
                      <w:szCs w:val="21"/>
                      <w:highlight w:val="none"/>
                    </w:rPr>
                    <w:t>占地面积</w:t>
                  </w:r>
                  <w:r>
                    <w:rPr>
                      <w:rFonts w:hint="eastAsia" w:cs="Times New Roman"/>
                      <w:color w:val="auto"/>
                      <w:kern w:val="0"/>
                      <w:szCs w:val="21"/>
                      <w:highlight w:val="none"/>
                      <w:lang w:eastAsia="zh-CN"/>
                    </w:rPr>
                    <w:t>（</w:t>
                  </w:r>
                  <w:r>
                    <w:rPr>
                      <w:rFonts w:hint="eastAsia" w:cs="Times New Roman"/>
                      <w:color w:val="auto"/>
                      <w:kern w:val="0"/>
                      <w:szCs w:val="21"/>
                      <w:highlight w:val="none"/>
                      <w:lang w:val="en-US" w:eastAsia="zh-CN"/>
                    </w:rPr>
                    <w:t>m</w:t>
                  </w:r>
                  <w:r>
                    <w:rPr>
                      <w:rFonts w:hint="eastAsia" w:cs="Times New Roman"/>
                      <w:color w:val="auto"/>
                      <w:kern w:val="0"/>
                      <w:szCs w:val="21"/>
                      <w:highlight w:val="none"/>
                      <w:vertAlign w:val="superscript"/>
                      <w:lang w:val="en-US" w:eastAsia="zh-CN"/>
                    </w:rPr>
                    <w:t>2</w:t>
                  </w:r>
                  <w:r>
                    <w:rPr>
                      <w:rFonts w:hint="eastAsia" w:cs="Times New Roman"/>
                      <w:color w:val="auto"/>
                      <w:kern w:val="0"/>
                      <w:szCs w:val="21"/>
                      <w:highlight w:val="none"/>
                      <w:lang w:eastAsia="zh-CN"/>
                    </w:rPr>
                    <w:t>）</w:t>
                  </w:r>
                </w:p>
              </w:tc>
              <w:tc>
                <w:tcPr>
                  <w:tcW w:w="863" w:type="pct"/>
                  <w:noWrap w:val="0"/>
                  <w:vAlign w:val="center"/>
                </w:tcPr>
                <w:p w14:paraId="0D82B3F2">
                  <w:pPr>
                    <w:widowControl/>
                    <w:spacing w:line="32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占地类型</w:t>
                  </w:r>
                </w:p>
              </w:tc>
              <w:tc>
                <w:tcPr>
                  <w:tcW w:w="782" w:type="pct"/>
                  <w:noWrap w:val="0"/>
                  <w:vAlign w:val="center"/>
                </w:tcPr>
                <w:p w14:paraId="6505BCE8">
                  <w:pPr>
                    <w:jc w:val="center"/>
                    <w:rPr>
                      <w:rFonts w:hint="default" w:ascii="Times New Roman" w:hAnsi="Times New Roman" w:cs="Times New Roman"/>
                      <w:color w:val="auto"/>
                      <w:kern w:val="0"/>
                      <w:szCs w:val="21"/>
                      <w:highlight w:val="none"/>
                    </w:rPr>
                  </w:pPr>
                  <w:r>
                    <w:rPr>
                      <w:rFonts w:hint="eastAsia"/>
                      <w:color w:val="auto"/>
                      <w:szCs w:val="21"/>
                      <w:highlight w:val="none"/>
                    </w:rPr>
                    <w:t>占地性质</w:t>
                  </w:r>
                </w:p>
              </w:tc>
              <w:tc>
                <w:tcPr>
                  <w:tcW w:w="1256" w:type="pct"/>
                  <w:noWrap w:val="0"/>
                  <w:vAlign w:val="center"/>
                </w:tcPr>
                <w:p w14:paraId="7515FD6C">
                  <w:pPr>
                    <w:widowControl/>
                    <w:spacing w:line="32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备注</w:t>
                  </w:r>
                </w:p>
              </w:tc>
            </w:tr>
            <w:tr w14:paraId="4034BB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266" w:type="pct"/>
                  <w:gridSpan w:val="2"/>
                  <w:noWrap w:val="0"/>
                  <w:vAlign w:val="center"/>
                </w:tcPr>
                <w:p w14:paraId="58296A47">
                  <w:pPr>
                    <w:widowControl/>
                    <w:spacing w:line="32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eastAsia="zh-CN"/>
                    </w:rPr>
                    <w:t>探矿权</w:t>
                  </w:r>
                  <w:r>
                    <w:rPr>
                      <w:rFonts w:hint="default" w:ascii="Times New Roman" w:hAnsi="Times New Roman" w:cs="Times New Roman"/>
                      <w:color w:val="auto"/>
                      <w:kern w:val="0"/>
                      <w:szCs w:val="21"/>
                      <w:highlight w:val="none"/>
                    </w:rPr>
                    <w:t>范围</w:t>
                  </w:r>
                </w:p>
              </w:tc>
              <w:tc>
                <w:tcPr>
                  <w:tcW w:w="831" w:type="pct"/>
                  <w:noWrap w:val="0"/>
                  <w:vAlign w:val="center"/>
                </w:tcPr>
                <w:p w14:paraId="0845A39F">
                  <w:pPr>
                    <w:widowControl/>
                    <w:spacing w:line="320" w:lineRule="exact"/>
                    <w:jc w:val="center"/>
                    <w:rPr>
                      <w:rFonts w:hint="default" w:ascii="Times New Roman" w:hAnsi="Times New Roman" w:eastAsia="宋体" w:cs="Times New Roman"/>
                      <w:color w:val="auto"/>
                      <w:kern w:val="0"/>
                      <w:szCs w:val="21"/>
                      <w:highlight w:val="none"/>
                      <w:lang w:val="en-US" w:eastAsia="zh-CN"/>
                    </w:rPr>
                  </w:pPr>
                  <w:r>
                    <w:rPr>
                      <w:rFonts w:hint="eastAsia"/>
                      <w:color w:val="auto"/>
                      <w:highlight w:val="none"/>
                      <w:lang w:val="en-US" w:eastAsia="zh-CN"/>
                    </w:rPr>
                    <w:t>3.2km</w:t>
                  </w:r>
                  <w:r>
                    <w:rPr>
                      <w:rFonts w:hint="eastAsia"/>
                      <w:color w:val="auto"/>
                      <w:highlight w:val="none"/>
                      <w:vertAlign w:val="superscript"/>
                      <w:lang w:val="en-US" w:eastAsia="zh-CN"/>
                    </w:rPr>
                    <w:t>2</w:t>
                  </w:r>
                </w:p>
              </w:tc>
              <w:tc>
                <w:tcPr>
                  <w:tcW w:w="863" w:type="pct"/>
                  <w:noWrap w:val="0"/>
                  <w:vAlign w:val="center"/>
                </w:tcPr>
                <w:p w14:paraId="53FC1518">
                  <w:pPr>
                    <w:spacing w:line="320" w:lineRule="exact"/>
                    <w:jc w:val="center"/>
                    <w:rPr>
                      <w:rFonts w:hint="default"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裸岩石砾地</w:t>
                  </w:r>
                </w:p>
              </w:tc>
              <w:tc>
                <w:tcPr>
                  <w:tcW w:w="782" w:type="pct"/>
                  <w:noWrap w:val="0"/>
                  <w:vAlign w:val="center"/>
                </w:tcPr>
                <w:p w14:paraId="777F795D">
                  <w:pPr>
                    <w:jc w:val="center"/>
                    <w:rPr>
                      <w:rFonts w:hint="eastAsia" w:ascii="Times New Roman" w:hAnsi="Times New Roman" w:cs="Times New Roman"/>
                      <w:color w:val="auto"/>
                      <w:kern w:val="0"/>
                      <w:szCs w:val="21"/>
                      <w:highlight w:val="none"/>
                      <w:lang w:eastAsia="zh-CN"/>
                    </w:rPr>
                  </w:pPr>
                  <w:r>
                    <w:rPr>
                      <w:rFonts w:hint="eastAsia"/>
                      <w:color w:val="auto"/>
                      <w:szCs w:val="21"/>
                      <w:highlight w:val="none"/>
                    </w:rPr>
                    <w:t>临时占地</w:t>
                  </w:r>
                </w:p>
              </w:tc>
              <w:tc>
                <w:tcPr>
                  <w:tcW w:w="1256" w:type="pct"/>
                  <w:noWrap w:val="0"/>
                  <w:vAlign w:val="center"/>
                </w:tcPr>
                <w:p w14:paraId="7596943A">
                  <w:pPr>
                    <w:widowControl/>
                    <w:spacing w:line="320" w:lineRule="exact"/>
                    <w:jc w:val="center"/>
                    <w:rPr>
                      <w:rFonts w:hint="default" w:ascii="Times New Roman" w:hAnsi="Times New Roman" w:eastAsia="宋体" w:cs="Times New Roman"/>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w:t>
                  </w:r>
                </w:p>
              </w:tc>
            </w:tr>
            <w:tr w14:paraId="7D7660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67" w:type="pct"/>
                  <w:vMerge w:val="restart"/>
                  <w:tcBorders>
                    <w:right w:val="single" w:color="auto" w:sz="4" w:space="0"/>
                  </w:tcBorders>
                  <w:noWrap w:val="0"/>
                  <w:vAlign w:val="center"/>
                </w:tcPr>
                <w:p w14:paraId="6059C8CB">
                  <w:pPr>
                    <w:widowControl/>
                    <w:spacing w:line="32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其中</w:t>
                  </w:r>
                </w:p>
              </w:tc>
              <w:tc>
                <w:tcPr>
                  <w:tcW w:w="999" w:type="pct"/>
                  <w:tcBorders>
                    <w:left w:val="single" w:color="auto" w:sz="4" w:space="0"/>
                  </w:tcBorders>
                  <w:noWrap w:val="0"/>
                  <w:vAlign w:val="center"/>
                </w:tcPr>
                <w:p w14:paraId="790C1CA9">
                  <w:pPr>
                    <w:widowControl/>
                    <w:spacing w:line="320" w:lineRule="exact"/>
                    <w:jc w:val="center"/>
                    <w:rPr>
                      <w:rFonts w:hint="eastAsia" w:ascii="Times New Roman" w:hAnsi="Times New Roman" w:eastAsia="宋体" w:cs="Times New Roman"/>
                      <w:color w:val="auto"/>
                      <w:kern w:val="0"/>
                      <w:szCs w:val="21"/>
                      <w:highlight w:val="none"/>
                      <w:lang w:eastAsia="zh-CN"/>
                    </w:rPr>
                  </w:pPr>
                  <w:r>
                    <w:rPr>
                      <w:rFonts w:hint="eastAsia" w:ascii="Times New Roman" w:hAnsi="Times New Roman" w:cs="Times New Roman"/>
                      <w:color w:val="auto"/>
                      <w:kern w:val="0"/>
                      <w:szCs w:val="21"/>
                      <w:highlight w:val="none"/>
                      <w:lang w:eastAsia="zh-CN"/>
                    </w:rPr>
                    <w:t>槽探区</w:t>
                  </w:r>
                </w:p>
              </w:tc>
              <w:tc>
                <w:tcPr>
                  <w:tcW w:w="831" w:type="pct"/>
                  <w:tcBorders>
                    <w:top w:val="single" w:color="auto" w:sz="4" w:space="0"/>
                    <w:bottom w:val="single" w:color="auto" w:sz="4" w:space="0"/>
                  </w:tcBorders>
                  <w:noWrap w:val="0"/>
                  <w:vAlign w:val="center"/>
                </w:tcPr>
                <w:p w14:paraId="7A2196CD">
                  <w:pPr>
                    <w:widowControl/>
                    <w:spacing w:line="320" w:lineRule="exact"/>
                    <w:jc w:val="center"/>
                    <w:rPr>
                      <w:rFonts w:hint="default"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600</w:t>
                  </w:r>
                </w:p>
              </w:tc>
              <w:tc>
                <w:tcPr>
                  <w:tcW w:w="863" w:type="pct"/>
                  <w:noWrap w:val="0"/>
                  <w:vAlign w:val="center"/>
                </w:tcPr>
                <w:p w14:paraId="47ECD551">
                  <w:pPr>
                    <w:spacing w:line="320" w:lineRule="exact"/>
                    <w:jc w:val="center"/>
                    <w:rPr>
                      <w:rFonts w:hint="default" w:ascii="Times New Roman" w:hAnsi="Times New Roman" w:cs="Times New Roman"/>
                      <w:color w:val="auto"/>
                      <w:kern w:val="0"/>
                      <w:szCs w:val="21"/>
                      <w:highlight w:val="none"/>
                    </w:rPr>
                  </w:pPr>
                  <w:r>
                    <w:rPr>
                      <w:rFonts w:hint="eastAsia" w:cs="Times New Roman"/>
                      <w:color w:val="auto"/>
                      <w:kern w:val="0"/>
                      <w:szCs w:val="21"/>
                      <w:highlight w:val="none"/>
                      <w:lang w:val="en-US" w:eastAsia="zh-CN"/>
                    </w:rPr>
                    <w:t>裸岩石砾地</w:t>
                  </w:r>
                </w:p>
              </w:tc>
              <w:tc>
                <w:tcPr>
                  <w:tcW w:w="782" w:type="pct"/>
                  <w:tcBorders>
                    <w:top w:val="single" w:color="auto" w:sz="4" w:space="0"/>
                    <w:bottom w:val="single" w:color="auto" w:sz="4" w:space="0"/>
                  </w:tcBorders>
                  <w:noWrap w:val="0"/>
                  <w:vAlign w:val="center"/>
                </w:tcPr>
                <w:p w14:paraId="7CC8A6EE">
                  <w:pPr>
                    <w:jc w:val="center"/>
                    <w:rPr>
                      <w:rFonts w:hint="default" w:ascii="Times New Roman" w:hAnsi="Times New Roman" w:cs="Times New Roman"/>
                      <w:color w:val="auto"/>
                      <w:szCs w:val="21"/>
                      <w:highlight w:val="none"/>
                    </w:rPr>
                  </w:pPr>
                  <w:r>
                    <w:rPr>
                      <w:rFonts w:hint="eastAsia"/>
                      <w:color w:val="auto"/>
                      <w:szCs w:val="21"/>
                      <w:highlight w:val="none"/>
                    </w:rPr>
                    <w:t>临时占地</w:t>
                  </w:r>
                </w:p>
              </w:tc>
              <w:tc>
                <w:tcPr>
                  <w:tcW w:w="1256" w:type="pct"/>
                  <w:tcBorders>
                    <w:top w:val="single" w:color="auto" w:sz="4" w:space="0"/>
                    <w:bottom w:val="single" w:color="auto" w:sz="4" w:space="0"/>
                  </w:tcBorders>
                  <w:noWrap w:val="0"/>
                  <w:vAlign w:val="center"/>
                </w:tcPr>
                <w:p w14:paraId="4257BBA9">
                  <w:pPr>
                    <w:spacing w:line="320" w:lineRule="exact"/>
                    <w:jc w:val="center"/>
                    <w:rPr>
                      <w:rFonts w:hint="default" w:ascii="Times New Roman" w:hAnsi="Times New Roman" w:eastAsia="宋体" w:cs="Times New Roman"/>
                      <w:color w:val="auto"/>
                      <w:kern w:val="0"/>
                      <w:szCs w:val="21"/>
                      <w:highlight w:val="none"/>
                      <w:lang w:eastAsia="zh-CN"/>
                    </w:rPr>
                  </w:pPr>
                  <w:r>
                    <w:rPr>
                      <w:rFonts w:hint="eastAsia"/>
                      <w:color w:val="auto"/>
                      <w:szCs w:val="21"/>
                      <w:highlight w:val="none"/>
                    </w:rPr>
                    <w:t>探矿区范围内</w:t>
                  </w:r>
                </w:p>
              </w:tc>
            </w:tr>
            <w:tr w14:paraId="5827F0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67" w:type="pct"/>
                  <w:vMerge w:val="continue"/>
                  <w:tcBorders>
                    <w:right w:val="single" w:color="auto" w:sz="4" w:space="0"/>
                  </w:tcBorders>
                  <w:noWrap w:val="0"/>
                  <w:vAlign w:val="center"/>
                </w:tcPr>
                <w:p w14:paraId="1F5984E6">
                  <w:pPr>
                    <w:widowControl/>
                    <w:spacing w:line="320" w:lineRule="exact"/>
                    <w:jc w:val="center"/>
                    <w:rPr>
                      <w:rFonts w:hint="default" w:ascii="Times New Roman" w:hAnsi="Times New Roman" w:cs="Times New Roman"/>
                      <w:color w:val="auto"/>
                      <w:kern w:val="0"/>
                      <w:szCs w:val="21"/>
                      <w:highlight w:val="none"/>
                    </w:rPr>
                  </w:pPr>
                </w:p>
              </w:tc>
              <w:tc>
                <w:tcPr>
                  <w:tcW w:w="999" w:type="pct"/>
                  <w:tcBorders>
                    <w:left w:val="single" w:color="auto" w:sz="4" w:space="0"/>
                  </w:tcBorders>
                  <w:noWrap w:val="0"/>
                  <w:vAlign w:val="center"/>
                </w:tcPr>
                <w:p w14:paraId="74C51CF0">
                  <w:pPr>
                    <w:widowControl/>
                    <w:spacing w:line="320" w:lineRule="exact"/>
                    <w:jc w:val="center"/>
                    <w:rPr>
                      <w:rFonts w:hint="default" w:ascii="Times New Roman" w:hAnsi="Times New Roman" w:cs="Times New Roman"/>
                      <w:color w:val="auto"/>
                      <w:kern w:val="0"/>
                      <w:szCs w:val="21"/>
                      <w:highlight w:val="none"/>
                      <w:lang w:val="en-US" w:eastAsia="zh-CN"/>
                    </w:rPr>
                  </w:pPr>
                  <w:r>
                    <w:rPr>
                      <w:rFonts w:hint="eastAsia" w:cs="Times New Roman"/>
                      <w:color w:val="auto"/>
                      <w:kern w:val="0"/>
                      <w:szCs w:val="21"/>
                      <w:highlight w:val="none"/>
                      <w:lang w:val="en-US" w:eastAsia="zh-CN"/>
                    </w:rPr>
                    <w:t>钻探区</w:t>
                  </w:r>
                </w:p>
              </w:tc>
              <w:tc>
                <w:tcPr>
                  <w:tcW w:w="831" w:type="pct"/>
                  <w:tcBorders>
                    <w:top w:val="single" w:color="auto" w:sz="4" w:space="0"/>
                    <w:bottom w:val="single" w:color="auto" w:sz="4" w:space="0"/>
                  </w:tcBorders>
                  <w:noWrap w:val="0"/>
                  <w:vAlign w:val="center"/>
                </w:tcPr>
                <w:p w14:paraId="55DE2BDD">
                  <w:pPr>
                    <w:widowControl/>
                    <w:spacing w:line="320" w:lineRule="exact"/>
                    <w:jc w:val="center"/>
                    <w:rPr>
                      <w:rFonts w:hint="default" w:cs="Times New Roman"/>
                      <w:color w:val="auto"/>
                      <w:kern w:val="0"/>
                      <w:szCs w:val="21"/>
                      <w:highlight w:val="none"/>
                      <w:lang w:val="en-US" w:eastAsia="zh-CN"/>
                    </w:rPr>
                  </w:pPr>
                  <w:r>
                    <w:rPr>
                      <w:rFonts w:hint="eastAsia" w:cs="Times New Roman"/>
                      <w:color w:val="auto"/>
                      <w:kern w:val="0"/>
                      <w:szCs w:val="21"/>
                      <w:highlight w:val="none"/>
                      <w:lang w:val="en-US" w:eastAsia="zh-CN"/>
                    </w:rPr>
                    <w:t>/</w:t>
                  </w:r>
                </w:p>
              </w:tc>
              <w:tc>
                <w:tcPr>
                  <w:tcW w:w="863" w:type="pct"/>
                  <w:noWrap w:val="0"/>
                  <w:vAlign w:val="center"/>
                </w:tcPr>
                <w:p w14:paraId="4964C5FB">
                  <w:pPr>
                    <w:spacing w:line="320" w:lineRule="exact"/>
                    <w:jc w:val="center"/>
                    <w:rPr>
                      <w:rFonts w:hint="eastAsia" w:cs="Times New Roman"/>
                      <w:color w:val="auto"/>
                      <w:kern w:val="0"/>
                      <w:szCs w:val="21"/>
                      <w:highlight w:val="none"/>
                      <w:lang w:val="en-US" w:eastAsia="zh-CN"/>
                    </w:rPr>
                  </w:pPr>
                  <w:r>
                    <w:rPr>
                      <w:rFonts w:hint="eastAsia" w:cs="Times New Roman"/>
                      <w:color w:val="auto"/>
                      <w:kern w:val="0"/>
                      <w:szCs w:val="21"/>
                      <w:highlight w:val="none"/>
                      <w:lang w:val="en-US" w:eastAsia="zh-CN"/>
                    </w:rPr>
                    <w:t>裸岩石砾地</w:t>
                  </w:r>
                </w:p>
              </w:tc>
              <w:tc>
                <w:tcPr>
                  <w:tcW w:w="782" w:type="pct"/>
                  <w:tcBorders>
                    <w:top w:val="single" w:color="auto" w:sz="4" w:space="0"/>
                    <w:bottom w:val="single" w:color="auto" w:sz="4" w:space="0"/>
                  </w:tcBorders>
                  <w:noWrap w:val="0"/>
                  <w:vAlign w:val="center"/>
                </w:tcPr>
                <w:p w14:paraId="37624727">
                  <w:pPr>
                    <w:jc w:val="center"/>
                    <w:rPr>
                      <w:rFonts w:hint="eastAsia"/>
                      <w:color w:val="auto"/>
                      <w:szCs w:val="21"/>
                      <w:highlight w:val="none"/>
                    </w:rPr>
                  </w:pPr>
                  <w:r>
                    <w:rPr>
                      <w:rFonts w:hint="eastAsia"/>
                      <w:color w:val="auto"/>
                      <w:szCs w:val="21"/>
                      <w:highlight w:val="none"/>
                    </w:rPr>
                    <w:t>临时占地</w:t>
                  </w:r>
                </w:p>
              </w:tc>
              <w:tc>
                <w:tcPr>
                  <w:tcW w:w="1256" w:type="pct"/>
                  <w:tcBorders>
                    <w:top w:val="single" w:color="auto" w:sz="4" w:space="0"/>
                    <w:bottom w:val="single" w:color="auto" w:sz="4" w:space="0"/>
                  </w:tcBorders>
                  <w:noWrap w:val="0"/>
                  <w:vAlign w:val="center"/>
                </w:tcPr>
                <w:p w14:paraId="58669AC1">
                  <w:pPr>
                    <w:spacing w:line="320" w:lineRule="exact"/>
                    <w:jc w:val="center"/>
                    <w:rPr>
                      <w:rFonts w:hint="default"/>
                      <w:color w:val="auto"/>
                      <w:szCs w:val="21"/>
                      <w:highlight w:val="none"/>
                      <w:lang w:val="en-US"/>
                    </w:rPr>
                  </w:pPr>
                  <w:r>
                    <w:rPr>
                      <w:rFonts w:hint="eastAsia" w:ascii="Times New Roman" w:hAnsi="Times New Roman" w:eastAsia="宋体" w:cs="Times New Roman"/>
                      <w:color w:val="auto"/>
                      <w:szCs w:val="21"/>
                      <w:highlight w:val="none"/>
                      <w:lang w:val="en-US" w:eastAsia="zh-CN"/>
                    </w:rPr>
                    <w:t>位于槽探区内</w:t>
                  </w:r>
                </w:p>
              </w:tc>
            </w:tr>
            <w:tr w14:paraId="216AAE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6" w:hRule="atLeast"/>
                <w:jc w:val="center"/>
              </w:trPr>
              <w:tc>
                <w:tcPr>
                  <w:tcW w:w="267" w:type="pct"/>
                  <w:vMerge w:val="continue"/>
                  <w:tcBorders>
                    <w:right w:val="single" w:color="auto" w:sz="4" w:space="0"/>
                  </w:tcBorders>
                  <w:noWrap w:val="0"/>
                  <w:vAlign w:val="center"/>
                </w:tcPr>
                <w:p w14:paraId="383F9C7F">
                  <w:pPr>
                    <w:widowControl/>
                    <w:spacing w:line="320" w:lineRule="exact"/>
                    <w:jc w:val="center"/>
                    <w:rPr>
                      <w:rFonts w:hint="default" w:ascii="Times New Roman" w:hAnsi="Times New Roman" w:cs="Times New Roman"/>
                      <w:color w:val="auto"/>
                      <w:kern w:val="0"/>
                      <w:szCs w:val="21"/>
                      <w:highlight w:val="none"/>
                    </w:rPr>
                  </w:pPr>
                </w:p>
              </w:tc>
              <w:tc>
                <w:tcPr>
                  <w:tcW w:w="999" w:type="pct"/>
                  <w:tcBorders>
                    <w:left w:val="single" w:color="auto" w:sz="4" w:space="0"/>
                  </w:tcBorders>
                  <w:noWrap w:val="0"/>
                  <w:vAlign w:val="center"/>
                </w:tcPr>
                <w:p w14:paraId="53860A4D">
                  <w:pPr>
                    <w:widowControl/>
                    <w:spacing w:line="320" w:lineRule="exact"/>
                    <w:jc w:val="center"/>
                    <w:rPr>
                      <w:rFonts w:hint="default"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施工营地</w:t>
                  </w:r>
                </w:p>
              </w:tc>
              <w:tc>
                <w:tcPr>
                  <w:tcW w:w="831" w:type="pct"/>
                  <w:tcBorders>
                    <w:top w:val="single" w:color="auto" w:sz="4" w:space="0"/>
                    <w:bottom w:val="single" w:color="auto" w:sz="4" w:space="0"/>
                  </w:tcBorders>
                  <w:noWrap w:val="0"/>
                  <w:vAlign w:val="center"/>
                </w:tcPr>
                <w:p w14:paraId="778407D3">
                  <w:pPr>
                    <w:widowControl/>
                    <w:spacing w:line="320" w:lineRule="exact"/>
                    <w:jc w:val="center"/>
                    <w:rPr>
                      <w:rFonts w:hint="default" w:cs="Times New Roman"/>
                      <w:color w:val="auto"/>
                      <w:kern w:val="0"/>
                      <w:szCs w:val="21"/>
                      <w:highlight w:val="none"/>
                      <w:lang w:val="en-US" w:eastAsia="zh-CN"/>
                    </w:rPr>
                  </w:pPr>
                  <w:r>
                    <w:rPr>
                      <w:rFonts w:hint="eastAsia" w:cs="Times New Roman"/>
                      <w:color w:val="auto"/>
                      <w:kern w:val="0"/>
                      <w:szCs w:val="21"/>
                      <w:highlight w:val="none"/>
                      <w:lang w:val="en-US" w:eastAsia="zh-CN"/>
                    </w:rPr>
                    <w:t>100</w:t>
                  </w:r>
                </w:p>
              </w:tc>
              <w:tc>
                <w:tcPr>
                  <w:tcW w:w="863" w:type="pct"/>
                  <w:noWrap w:val="0"/>
                  <w:vAlign w:val="center"/>
                </w:tcPr>
                <w:p w14:paraId="1F000551">
                  <w:pPr>
                    <w:spacing w:line="320" w:lineRule="exact"/>
                    <w:jc w:val="center"/>
                    <w:rPr>
                      <w:rFonts w:hint="default" w:cs="Times New Roman"/>
                      <w:color w:val="auto"/>
                      <w:kern w:val="0"/>
                      <w:szCs w:val="21"/>
                      <w:highlight w:val="none"/>
                      <w:lang w:val="en-US" w:eastAsia="zh-CN"/>
                    </w:rPr>
                  </w:pPr>
                  <w:r>
                    <w:rPr>
                      <w:rFonts w:hint="eastAsia" w:cs="Times New Roman"/>
                      <w:color w:val="auto"/>
                      <w:kern w:val="0"/>
                      <w:szCs w:val="21"/>
                      <w:highlight w:val="none"/>
                      <w:lang w:val="en-US" w:eastAsia="zh-CN"/>
                    </w:rPr>
                    <w:t>裸岩石砾地</w:t>
                  </w:r>
                </w:p>
              </w:tc>
              <w:tc>
                <w:tcPr>
                  <w:tcW w:w="782" w:type="pct"/>
                  <w:tcBorders>
                    <w:top w:val="single" w:color="auto" w:sz="4" w:space="0"/>
                    <w:bottom w:val="single" w:color="auto" w:sz="4" w:space="0"/>
                  </w:tcBorders>
                  <w:noWrap w:val="0"/>
                  <w:vAlign w:val="center"/>
                </w:tcPr>
                <w:p w14:paraId="6FB6BE3C">
                  <w:pPr>
                    <w:jc w:val="center"/>
                    <w:rPr>
                      <w:rFonts w:hint="eastAsia"/>
                      <w:color w:val="auto"/>
                      <w:szCs w:val="21"/>
                      <w:highlight w:val="none"/>
                    </w:rPr>
                  </w:pPr>
                  <w:r>
                    <w:rPr>
                      <w:rFonts w:hint="eastAsia"/>
                      <w:color w:val="auto"/>
                      <w:szCs w:val="21"/>
                      <w:highlight w:val="none"/>
                    </w:rPr>
                    <w:t>临时占地</w:t>
                  </w:r>
                </w:p>
              </w:tc>
              <w:tc>
                <w:tcPr>
                  <w:tcW w:w="1256" w:type="pct"/>
                  <w:tcBorders>
                    <w:top w:val="single" w:color="auto" w:sz="4" w:space="0"/>
                    <w:bottom w:val="single" w:color="auto" w:sz="4" w:space="0"/>
                  </w:tcBorders>
                  <w:noWrap w:val="0"/>
                  <w:vAlign w:val="center"/>
                </w:tcPr>
                <w:p w14:paraId="79AB8EA3">
                  <w:pPr>
                    <w:jc w:val="center"/>
                    <w:rPr>
                      <w:rFonts w:hint="eastAsia"/>
                      <w:color w:val="auto"/>
                      <w:szCs w:val="21"/>
                      <w:highlight w:val="none"/>
                    </w:rPr>
                  </w:pPr>
                  <w:r>
                    <w:rPr>
                      <w:rFonts w:hint="eastAsia"/>
                      <w:color w:val="auto"/>
                      <w:szCs w:val="21"/>
                      <w:highlight w:val="none"/>
                    </w:rPr>
                    <w:t>探矿区范围内</w:t>
                  </w:r>
                </w:p>
              </w:tc>
            </w:tr>
            <w:tr w14:paraId="05AA16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67" w:type="pct"/>
                  <w:vMerge w:val="continue"/>
                  <w:tcBorders>
                    <w:right w:val="single" w:color="auto" w:sz="4" w:space="0"/>
                  </w:tcBorders>
                  <w:noWrap w:val="0"/>
                  <w:vAlign w:val="center"/>
                </w:tcPr>
                <w:p w14:paraId="54445E1F">
                  <w:pPr>
                    <w:widowControl/>
                    <w:spacing w:line="320" w:lineRule="exact"/>
                    <w:jc w:val="center"/>
                    <w:rPr>
                      <w:rFonts w:hint="default" w:ascii="Times New Roman" w:hAnsi="Times New Roman" w:cs="Times New Roman"/>
                      <w:color w:val="auto"/>
                      <w:kern w:val="0"/>
                      <w:szCs w:val="21"/>
                      <w:highlight w:val="none"/>
                    </w:rPr>
                  </w:pPr>
                </w:p>
              </w:tc>
              <w:tc>
                <w:tcPr>
                  <w:tcW w:w="999" w:type="pct"/>
                  <w:tcBorders>
                    <w:left w:val="single" w:color="auto" w:sz="4" w:space="0"/>
                  </w:tcBorders>
                  <w:noWrap w:val="0"/>
                  <w:vAlign w:val="center"/>
                </w:tcPr>
                <w:p w14:paraId="624FDBFA">
                  <w:pPr>
                    <w:widowControl/>
                    <w:spacing w:line="320" w:lineRule="exact"/>
                    <w:jc w:val="center"/>
                    <w:rPr>
                      <w:rFonts w:hint="default" w:ascii="Times New Roman" w:hAnsi="Times New Roman" w:cs="Times New Roman"/>
                      <w:color w:val="auto"/>
                      <w:kern w:val="0"/>
                      <w:szCs w:val="21"/>
                      <w:highlight w:val="none"/>
                      <w:lang w:val="en-US" w:eastAsia="zh-CN"/>
                    </w:rPr>
                  </w:pPr>
                  <w:r>
                    <w:rPr>
                      <w:rFonts w:hint="eastAsia" w:ascii="Times New Roman" w:hAnsi="Times New Roman" w:cs="Times New Roman"/>
                      <w:color w:val="auto"/>
                      <w:kern w:val="0"/>
                      <w:szCs w:val="21"/>
                      <w:highlight w:val="none"/>
                      <w:lang w:eastAsia="zh-CN"/>
                    </w:rPr>
                    <w:t>临时堆渣</w:t>
                  </w:r>
                  <w:r>
                    <w:rPr>
                      <w:rFonts w:hint="eastAsia" w:cs="Times New Roman"/>
                      <w:color w:val="auto"/>
                      <w:kern w:val="0"/>
                      <w:szCs w:val="21"/>
                      <w:highlight w:val="none"/>
                      <w:lang w:val="en-US" w:eastAsia="zh-CN"/>
                    </w:rPr>
                    <w:t>区（进矿道路）</w:t>
                  </w:r>
                </w:p>
              </w:tc>
              <w:tc>
                <w:tcPr>
                  <w:tcW w:w="831" w:type="pct"/>
                  <w:tcBorders>
                    <w:top w:val="single" w:color="auto" w:sz="4" w:space="0"/>
                    <w:bottom w:val="single" w:color="auto" w:sz="4" w:space="0"/>
                  </w:tcBorders>
                  <w:noWrap w:val="0"/>
                  <w:vAlign w:val="center"/>
                </w:tcPr>
                <w:p w14:paraId="3D5CFD6D">
                  <w:pPr>
                    <w:widowControl/>
                    <w:spacing w:line="320" w:lineRule="exact"/>
                    <w:jc w:val="center"/>
                    <w:rPr>
                      <w:rFonts w:hint="default" w:ascii="Times New Roman" w:hAnsi="Times New Roman" w:cs="Times New Roman"/>
                      <w:color w:val="auto"/>
                      <w:kern w:val="0"/>
                      <w:szCs w:val="21"/>
                      <w:highlight w:val="none"/>
                      <w:lang w:val="en-US" w:eastAsia="zh-CN"/>
                    </w:rPr>
                  </w:pPr>
                  <w:r>
                    <w:rPr>
                      <w:rFonts w:hint="eastAsia" w:cs="Times New Roman"/>
                      <w:color w:val="auto"/>
                      <w:kern w:val="0"/>
                      <w:szCs w:val="21"/>
                      <w:highlight w:val="none"/>
                      <w:lang w:val="en-US" w:eastAsia="zh-CN"/>
                    </w:rPr>
                    <w:t>1800</w:t>
                  </w:r>
                </w:p>
              </w:tc>
              <w:tc>
                <w:tcPr>
                  <w:tcW w:w="863" w:type="pct"/>
                  <w:noWrap w:val="0"/>
                  <w:vAlign w:val="center"/>
                </w:tcPr>
                <w:p w14:paraId="0BA4A897">
                  <w:pPr>
                    <w:spacing w:line="320" w:lineRule="exact"/>
                    <w:jc w:val="center"/>
                    <w:rPr>
                      <w:rFonts w:hint="default" w:ascii="Times New Roman" w:hAnsi="Times New Roman" w:cs="Times New Roman"/>
                      <w:color w:val="auto"/>
                      <w:kern w:val="0"/>
                      <w:szCs w:val="21"/>
                      <w:highlight w:val="none"/>
                    </w:rPr>
                  </w:pPr>
                  <w:r>
                    <w:rPr>
                      <w:rFonts w:hint="eastAsia" w:cs="Times New Roman"/>
                      <w:color w:val="auto"/>
                      <w:kern w:val="0"/>
                      <w:szCs w:val="21"/>
                      <w:highlight w:val="none"/>
                      <w:lang w:val="en-US" w:eastAsia="zh-CN"/>
                    </w:rPr>
                    <w:t>裸岩石砾地</w:t>
                  </w:r>
                </w:p>
              </w:tc>
              <w:tc>
                <w:tcPr>
                  <w:tcW w:w="782" w:type="pct"/>
                  <w:tcBorders>
                    <w:top w:val="single" w:color="auto" w:sz="4" w:space="0"/>
                    <w:bottom w:val="single" w:color="auto" w:sz="4" w:space="0"/>
                  </w:tcBorders>
                  <w:noWrap w:val="0"/>
                  <w:vAlign w:val="center"/>
                </w:tcPr>
                <w:p w14:paraId="47198A6A">
                  <w:pPr>
                    <w:jc w:val="center"/>
                    <w:rPr>
                      <w:rFonts w:hint="default" w:ascii="Times New Roman" w:hAnsi="Times New Roman" w:cs="Times New Roman"/>
                      <w:color w:val="auto"/>
                      <w:kern w:val="0"/>
                      <w:szCs w:val="21"/>
                      <w:highlight w:val="none"/>
                    </w:rPr>
                  </w:pPr>
                  <w:r>
                    <w:rPr>
                      <w:rFonts w:hint="eastAsia"/>
                      <w:color w:val="auto"/>
                      <w:szCs w:val="21"/>
                      <w:highlight w:val="none"/>
                    </w:rPr>
                    <w:t>临时占地</w:t>
                  </w:r>
                </w:p>
              </w:tc>
              <w:tc>
                <w:tcPr>
                  <w:tcW w:w="1256" w:type="pct"/>
                  <w:tcBorders>
                    <w:top w:val="single" w:color="auto" w:sz="4" w:space="0"/>
                    <w:bottom w:val="single" w:color="auto" w:sz="4" w:space="0"/>
                  </w:tcBorders>
                  <w:noWrap w:val="0"/>
                  <w:vAlign w:val="center"/>
                </w:tcPr>
                <w:p w14:paraId="76ED515A">
                  <w:pPr>
                    <w:jc w:val="center"/>
                    <w:rPr>
                      <w:rFonts w:hint="default" w:ascii="Times New Roman" w:hAnsi="Times New Roman" w:cs="Times New Roman"/>
                      <w:color w:val="auto"/>
                      <w:kern w:val="0"/>
                      <w:szCs w:val="21"/>
                      <w:highlight w:val="none"/>
                    </w:rPr>
                  </w:pPr>
                  <w:r>
                    <w:rPr>
                      <w:rFonts w:hint="eastAsia"/>
                      <w:color w:val="auto"/>
                      <w:highlight w:val="none"/>
                    </w:rPr>
                    <w:t>位于槽探</w:t>
                  </w:r>
                  <w:r>
                    <w:rPr>
                      <w:rFonts w:hint="eastAsia"/>
                      <w:color w:val="auto"/>
                      <w:highlight w:val="none"/>
                      <w:lang w:val="en-US" w:eastAsia="zh-CN"/>
                    </w:rPr>
                    <w:t>探坑</w:t>
                  </w:r>
                  <w:r>
                    <w:rPr>
                      <w:rFonts w:hint="eastAsia"/>
                      <w:color w:val="auto"/>
                      <w:highlight w:val="none"/>
                    </w:rPr>
                    <w:t>一侧</w:t>
                  </w:r>
                </w:p>
              </w:tc>
            </w:tr>
            <w:tr w14:paraId="508706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267" w:type="pct"/>
                  <w:vMerge w:val="continue"/>
                  <w:tcBorders>
                    <w:right w:val="single" w:color="auto" w:sz="4" w:space="0"/>
                  </w:tcBorders>
                  <w:noWrap w:val="0"/>
                  <w:vAlign w:val="center"/>
                </w:tcPr>
                <w:p w14:paraId="535D0660">
                  <w:pPr>
                    <w:widowControl/>
                    <w:spacing w:line="320" w:lineRule="exact"/>
                    <w:jc w:val="center"/>
                    <w:rPr>
                      <w:rFonts w:hint="default" w:ascii="Times New Roman" w:hAnsi="Times New Roman" w:cs="Times New Roman"/>
                      <w:color w:val="auto"/>
                      <w:kern w:val="0"/>
                      <w:szCs w:val="21"/>
                      <w:highlight w:val="none"/>
                    </w:rPr>
                  </w:pPr>
                </w:p>
              </w:tc>
              <w:tc>
                <w:tcPr>
                  <w:tcW w:w="999" w:type="pct"/>
                  <w:tcBorders>
                    <w:left w:val="single" w:color="auto" w:sz="4" w:space="0"/>
                  </w:tcBorders>
                  <w:noWrap w:val="0"/>
                  <w:vAlign w:val="center"/>
                </w:tcPr>
                <w:p w14:paraId="3F5E2E97">
                  <w:pPr>
                    <w:widowControl/>
                    <w:spacing w:line="320" w:lineRule="exact"/>
                    <w:jc w:val="center"/>
                    <w:rPr>
                      <w:rFonts w:hint="default" w:ascii="Times New Roman" w:hAnsi="Times New Roman" w:cs="Times New Roman"/>
                      <w:color w:val="auto"/>
                      <w:kern w:val="0"/>
                      <w:szCs w:val="21"/>
                      <w:highlight w:val="none"/>
                      <w:lang w:val="en-US" w:eastAsia="zh-CN"/>
                    </w:rPr>
                  </w:pPr>
                  <w:r>
                    <w:rPr>
                      <w:rFonts w:hint="eastAsia" w:ascii="Times New Roman" w:hAnsi="Times New Roman" w:cs="Times New Roman"/>
                      <w:color w:val="auto"/>
                      <w:kern w:val="0"/>
                      <w:szCs w:val="21"/>
                      <w:highlight w:val="none"/>
                      <w:lang w:eastAsia="zh-CN"/>
                    </w:rPr>
                    <w:t>临时堆渣</w:t>
                  </w:r>
                  <w:r>
                    <w:rPr>
                      <w:rFonts w:hint="eastAsia" w:cs="Times New Roman"/>
                      <w:color w:val="auto"/>
                      <w:kern w:val="0"/>
                      <w:szCs w:val="21"/>
                      <w:highlight w:val="none"/>
                      <w:lang w:val="en-US" w:eastAsia="zh-CN"/>
                    </w:rPr>
                    <w:t>区（勘探）</w:t>
                  </w:r>
                </w:p>
              </w:tc>
              <w:tc>
                <w:tcPr>
                  <w:tcW w:w="831" w:type="pct"/>
                  <w:tcBorders>
                    <w:top w:val="single" w:color="auto" w:sz="4" w:space="0"/>
                    <w:bottom w:val="single" w:color="auto" w:sz="4" w:space="0"/>
                  </w:tcBorders>
                  <w:noWrap w:val="0"/>
                  <w:vAlign w:val="center"/>
                </w:tcPr>
                <w:p w14:paraId="329EA31A">
                  <w:pPr>
                    <w:widowControl/>
                    <w:spacing w:line="320" w:lineRule="exact"/>
                    <w:jc w:val="center"/>
                    <w:rPr>
                      <w:rFonts w:hint="default" w:cs="Times New Roman"/>
                      <w:color w:val="auto"/>
                      <w:kern w:val="0"/>
                      <w:szCs w:val="21"/>
                      <w:highlight w:val="none"/>
                      <w:lang w:val="en-US" w:eastAsia="zh-CN"/>
                    </w:rPr>
                  </w:pPr>
                  <w:r>
                    <w:rPr>
                      <w:rFonts w:hint="eastAsia" w:cs="Times New Roman"/>
                      <w:color w:val="auto"/>
                      <w:kern w:val="0"/>
                      <w:szCs w:val="21"/>
                      <w:highlight w:val="none"/>
                      <w:lang w:val="en-US" w:eastAsia="zh-CN"/>
                    </w:rPr>
                    <w:t>700</w:t>
                  </w:r>
                </w:p>
              </w:tc>
              <w:tc>
                <w:tcPr>
                  <w:tcW w:w="863" w:type="pct"/>
                  <w:noWrap w:val="0"/>
                  <w:vAlign w:val="center"/>
                </w:tcPr>
                <w:p w14:paraId="622F445F">
                  <w:pPr>
                    <w:spacing w:line="320" w:lineRule="exact"/>
                    <w:jc w:val="center"/>
                    <w:rPr>
                      <w:rFonts w:hint="eastAsia" w:cs="Times New Roman"/>
                      <w:color w:val="auto"/>
                      <w:kern w:val="0"/>
                      <w:szCs w:val="21"/>
                      <w:highlight w:val="none"/>
                      <w:lang w:val="en-US" w:eastAsia="zh-CN"/>
                    </w:rPr>
                  </w:pPr>
                  <w:r>
                    <w:rPr>
                      <w:rFonts w:hint="eastAsia" w:cs="Times New Roman"/>
                      <w:color w:val="auto"/>
                      <w:kern w:val="0"/>
                      <w:szCs w:val="21"/>
                      <w:highlight w:val="none"/>
                      <w:lang w:val="en-US" w:eastAsia="zh-CN"/>
                    </w:rPr>
                    <w:t>裸岩石砾地</w:t>
                  </w:r>
                </w:p>
              </w:tc>
              <w:tc>
                <w:tcPr>
                  <w:tcW w:w="782" w:type="pct"/>
                  <w:tcBorders>
                    <w:top w:val="single" w:color="auto" w:sz="4" w:space="0"/>
                    <w:bottom w:val="single" w:color="auto" w:sz="4" w:space="0"/>
                  </w:tcBorders>
                  <w:noWrap w:val="0"/>
                  <w:vAlign w:val="center"/>
                </w:tcPr>
                <w:p w14:paraId="1EFCCB7B">
                  <w:pPr>
                    <w:jc w:val="center"/>
                    <w:rPr>
                      <w:rFonts w:hint="eastAsia"/>
                      <w:color w:val="auto"/>
                      <w:szCs w:val="21"/>
                      <w:highlight w:val="none"/>
                    </w:rPr>
                  </w:pPr>
                  <w:r>
                    <w:rPr>
                      <w:rFonts w:hint="eastAsia"/>
                      <w:color w:val="auto"/>
                      <w:szCs w:val="21"/>
                      <w:highlight w:val="none"/>
                    </w:rPr>
                    <w:t>临时占地</w:t>
                  </w:r>
                </w:p>
              </w:tc>
              <w:tc>
                <w:tcPr>
                  <w:tcW w:w="1256" w:type="pct"/>
                  <w:tcBorders>
                    <w:top w:val="single" w:color="auto" w:sz="4" w:space="0"/>
                    <w:bottom w:val="single" w:color="auto" w:sz="4" w:space="0"/>
                  </w:tcBorders>
                  <w:noWrap w:val="0"/>
                  <w:vAlign w:val="center"/>
                </w:tcPr>
                <w:p w14:paraId="32D46F0C">
                  <w:pPr>
                    <w:jc w:val="center"/>
                    <w:rPr>
                      <w:rFonts w:hint="eastAsia"/>
                      <w:color w:val="auto"/>
                      <w:highlight w:val="none"/>
                    </w:rPr>
                  </w:pPr>
                  <w:r>
                    <w:rPr>
                      <w:rFonts w:hint="eastAsia"/>
                      <w:color w:val="auto"/>
                      <w:highlight w:val="none"/>
                    </w:rPr>
                    <w:t>位于</w:t>
                  </w:r>
                  <w:r>
                    <w:rPr>
                      <w:rFonts w:hint="eastAsia"/>
                      <w:color w:val="auto"/>
                      <w:highlight w:val="none"/>
                      <w:lang w:val="en-US" w:eastAsia="zh-CN"/>
                    </w:rPr>
                    <w:t>施工道路</w:t>
                  </w:r>
                  <w:r>
                    <w:rPr>
                      <w:rFonts w:hint="eastAsia"/>
                      <w:color w:val="auto"/>
                      <w:highlight w:val="none"/>
                    </w:rPr>
                    <w:t>一侧</w:t>
                  </w:r>
                </w:p>
              </w:tc>
            </w:tr>
            <w:tr w14:paraId="65A490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267" w:type="pct"/>
                  <w:vMerge w:val="continue"/>
                  <w:tcBorders>
                    <w:right w:val="single" w:color="auto" w:sz="4" w:space="0"/>
                  </w:tcBorders>
                  <w:noWrap w:val="0"/>
                  <w:vAlign w:val="center"/>
                </w:tcPr>
                <w:p w14:paraId="7CF8DBEB">
                  <w:pPr>
                    <w:widowControl/>
                    <w:spacing w:line="320" w:lineRule="exact"/>
                    <w:jc w:val="center"/>
                    <w:rPr>
                      <w:rFonts w:hint="default" w:ascii="Times New Roman" w:hAnsi="Times New Roman" w:cs="Times New Roman"/>
                      <w:color w:val="auto"/>
                      <w:kern w:val="0"/>
                      <w:szCs w:val="21"/>
                      <w:highlight w:val="none"/>
                    </w:rPr>
                  </w:pPr>
                </w:p>
              </w:tc>
              <w:tc>
                <w:tcPr>
                  <w:tcW w:w="999" w:type="pct"/>
                  <w:tcBorders>
                    <w:left w:val="single" w:color="auto" w:sz="4" w:space="0"/>
                  </w:tcBorders>
                  <w:noWrap w:val="0"/>
                  <w:vAlign w:val="center"/>
                </w:tcPr>
                <w:p w14:paraId="073039A7">
                  <w:pPr>
                    <w:widowControl/>
                    <w:spacing w:line="320" w:lineRule="exact"/>
                    <w:jc w:val="center"/>
                    <w:rPr>
                      <w:rFonts w:hint="eastAsia" w:ascii="Times New Roman" w:hAnsi="Times New Roman" w:cs="Times New Roman"/>
                      <w:color w:val="auto"/>
                      <w:kern w:val="0"/>
                      <w:sz w:val="21"/>
                      <w:szCs w:val="21"/>
                      <w:highlight w:val="none"/>
                      <w:lang w:val="en-US" w:eastAsia="zh-CN" w:bidi="ar-SA"/>
                    </w:rPr>
                  </w:pPr>
                  <w:r>
                    <w:rPr>
                      <w:rFonts w:hint="eastAsia" w:ascii="Times New Roman" w:hAnsi="Times New Roman" w:cs="Times New Roman"/>
                      <w:color w:val="auto"/>
                      <w:kern w:val="0"/>
                      <w:szCs w:val="21"/>
                      <w:highlight w:val="none"/>
                      <w:lang w:eastAsia="zh-CN"/>
                    </w:rPr>
                    <w:t>生活营地</w:t>
                  </w:r>
                </w:p>
              </w:tc>
              <w:tc>
                <w:tcPr>
                  <w:tcW w:w="831" w:type="pct"/>
                  <w:tcBorders>
                    <w:top w:val="single" w:color="auto" w:sz="4" w:space="0"/>
                    <w:bottom w:val="single" w:color="auto" w:sz="4" w:space="0"/>
                  </w:tcBorders>
                  <w:noWrap w:val="0"/>
                  <w:vAlign w:val="center"/>
                </w:tcPr>
                <w:p w14:paraId="72179971">
                  <w:pPr>
                    <w:widowControl/>
                    <w:spacing w:line="320" w:lineRule="exact"/>
                    <w:jc w:val="center"/>
                    <w:rPr>
                      <w:rFonts w:hint="default" w:ascii="Times New Roman" w:hAnsi="Times New Roman" w:cs="Times New Roman"/>
                      <w:color w:val="auto"/>
                      <w:kern w:val="0"/>
                      <w:sz w:val="21"/>
                      <w:szCs w:val="21"/>
                      <w:highlight w:val="none"/>
                      <w:lang w:val="en-US" w:eastAsia="zh-CN" w:bidi="ar-SA"/>
                    </w:rPr>
                  </w:pPr>
                  <w:r>
                    <w:rPr>
                      <w:rFonts w:hint="eastAsia" w:cs="Times New Roman"/>
                      <w:color w:val="auto"/>
                      <w:kern w:val="0"/>
                      <w:szCs w:val="21"/>
                      <w:highlight w:val="none"/>
                      <w:lang w:val="en-US" w:eastAsia="zh-CN"/>
                    </w:rPr>
                    <w:t>100</w:t>
                  </w:r>
                </w:p>
              </w:tc>
              <w:tc>
                <w:tcPr>
                  <w:tcW w:w="863" w:type="pct"/>
                  <w:noWrap w:val="0"/>
                  <w:vAlign w:val="center"/>
                </w:tcPr>
                <w:p w14:paraId="7B77EBC1">
                  <w:pPr>
                    <w:spacing w:line="320" w:lineRule="exact"/>
                    <w:jc w:val="center"/>
                    <w:rPr>
                      <w:rFonts w:hint="eastAsia" w:ascii="Times New Roman" w:hAnsi="Times New Roman" w:cs="Times New Roman"/>
                      <w:color w:val="auto"/>
                      <w:kern w:val="0"/>
                      <w:sz w:val="21"/>
                      <w:szCs w:val="21"/>
                      <w:highlight w:val="none"/>
                      <w:lang w:val="en-US" w:eastAsia="zh-CN" w:bidi="ar-SA"/>
                    </w:rPr>
                  </w:pPr>
                  <w:r>
                    <w:rPr>
                      <w:rFonts w:hint="eastAsia" w:cs="Times New Roman"/>
                      <w:color w:val="auto"/>
                      <w:kern w:val="0"/>
                      <w:szCs w:val="21"/>
                      <w:highlight w:val="none"/>
                      <w:lang w:val="en-US" w:eastAsia="zh-CN"/>
                    </w:rPr>
                    <w:t>裸岩石砾地</w:t>
                  </w:r>
                </w:p>
              </w:tc>
              <w:tc>
                <w:tcPr>
                  <w:tcW w:w="782" w:type="pct"/>
                  <w:tcBorders>
                    <w:top w:val="single" w:color="auto" w:sz="4" w:space="0"/>
                    <w:bottom w:val="single" w:color="auto" w:sz="4" w:space="0"/>
                  </w:tcBorders>
                  <w:noWrap w:val="0"/>
                  <w:vAlign w:val="center"/>
                </w:tcPr>
                <w:p w14:paraId="0FF08ED7">
                  <w:pPr>
                    <w:jc w:val="center"/>
                    <w:rPr>
                      <w:rFonts w:hint="eastAsia" w:ascii="Times New Roman" w:hAnsi="Times New Roman" w:cs="Times New Roman"/>
                      <w:color w:val="auto"/>
                      <w:kern w:val="0"/>
                      <w:sz w:val="21"/>
                      <w:szCs w:val="21"/>
                      <w:highlight w:val="none"/>
                      <w:lang w:val="en-US" w:eastAsia="zh-CN" w:bidi="ar-SA"/>
                    </w:rPr>
                  </w:pPr>
                  <w:r>
                    <w:rPr>
                      <w:rFonts w:hint="eastAsia"/>
                      <w:color w:val="auto"/>
                      <w:szCs w:val="21"/>
                      <w:highlight w:val="none"/>
                    </w:rPr>
                    <w:t>临时占地</w:t>
                  </w:r>
                </w:p>
              </w:tc>
              <w:tc>
                <w:tcPr>
                  <w:tcW w:w="1256" w:type="pct"/>
                  <w:tcBorders>
                    <w:top w:val="single" w:color="auto" w:sz="4" w:space="0"/>
                    <w:bottom w:val="single" w:color="auto" w:sz="4" w:space="0"/>
                  </w:tcBorders>
                  <w:noWrap w:val="0"/>
                  <w:vAlign w:val="center"/>
                </w:tcPr>
                <w:p w14:paraId="02A0CB89">
                  <w:pPr>
                    <w:jc w:val="center"/>
                    <w:rPr>
                      <w:rFonts w:hint="eastAsia" w:ascii="Times New Roman" w:hAnsi="Times New Roman" w:cs="Times New Roman"/>
                      <w:color w:val="auto"/>
                      <w:kern w:val="0"/>
                      <w:sz w:val="21"/>
                      <w:szCs w:val="21"/>
                      <w:highlight w:val="none"/>
                      <w:lang w:val="en-US" w:eastAsia="zh-CN" w:bidi="ar-SA"/>
                    </w:rPr>
                  </w:pPr>
                  <w:r>
                    <w:rPr>
                      <w:rFonts w:hint="eastAsia"/>
                      <w:color w:val="auto"/>
                      <w:szCs w:val="21"/>
                      <w:highlight w:val="none"/>
                    </w:rPr>
                    <w:t>探矿区范围内</w:t>
                  </w:r>
                </w:p>
              </w:tc>
            </w:tr>
            <w:tr w14:paraId="559606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267" w:type="pct"/>
                  <w:vMerge w:val="continue"/>
                  <w:tcBorders>
                    <w:right w:val="single" w:color="auto" w:sz="4" w:space="0"/>
                  </w:tcBorders>
                  <w:noWrap w:val="0"/>
                  <w:vAlign w:val="center"/>
                </w:tcPr>
                <w:p w14:paraId="6F233E73">
                  <w:pPr>
                    <w:widowControl/>
                    <w:spacing w:line="320" w:lineRule="exact"/>
                    <w:jc w:val="center"/>
                    <w:rPr>
                      <w:rFonts w:hint="default" w:ascii="Times New Roman" w:hAnsi="Times New Roman" w:cs="Times New Roman"/>
                      <w:color w:val="auto"/>
                      <w:kern w:val="0"/>
                      <w:szCs w:val="21"/>
                      <w:highlight w:val="none"/>
                    </w:rPr>
                  </w:pPr>
                </w:p>
              </w:tc>
              <w:tc>
                <w:tcPr>
                  <w:tcW w:w="999" w:type="pct"/>
                  <w:tcBorders>
                    <w:left w:val="single" w:color="auto" w:sz="4" w:space="0"/>
                  </w:tcBorders>
                  <w:noWrap w:val="0"/>
                  <w:vAlign w:val="center"/>
                </w:tcPr>
                <w:p w14:paraId="66BC451B">
                  <w:pPr>
                    <w:widowControl/>
                    <w:spacing w:line="320" w:lineRule="exact"/>
                    <w:jc w:val="center"/>
                    <w:rPr>
                      <w:rFonts w:hint="default" w:ascii="Times New Roman" w:hAnsi="Times New Roman" w:cs="Times New Roman"/>
                      <w:color w:val="auto"/>
                      <w:kern w:val="0"/>
                      <w:szCs w:val="21"/>
                      <w:highlight w:val="none"/>
                      <w:lang w:val="en-US" w:eastAsia="zh-CN"/>
                    </w:rPr>
                  </w:pPr>
                  <w:r>
                    <w:rPr>
                      <w:rFonts w:hint="eastAsia" w:cs="Times New Roman"/>
                      <w:color w:val="auto"/>
                      <w:kern w:val="0"/>
                      <w:szCs w:val="21"/>
                      <w:highlight w:val="none"/>
                      <w:lang w:val="en-US" w:eastAsia="zh-CN"/>
                    </w:rPr>
                    <w:t>探矿道路</w:t>
                  </w:r>
                </w:p>
              </w:tc>
              <w:tc>
                <w:tcPr>
                  <w:tcW w:w="831" w:type="pct"/>
                  <w:tcBorders>
                    <w:top w:val="single" w:color="auto" w:sz="4" w:space="0"/>
                    <w:bottom w:val="single" w:color="auto" w:sz="4" w:space="0"/>
                  </w:tcBorders>
                  <w:noWrap w:val="0"/>
                  <w:vAlign w:val="center"/>
                </w:tcPr>
                <w:p w14:paraId="52FF3505">
                  <w:pPr>
                    <w:widowControl/>
                    <w:spacing w:line="320" w:lineRule="exact"/>
                    <w:jc w:val="center"/>
                    <w:rPr>
                      <w:rFonts w:hint="default" w:cs="Times New Roman"/>
                      <w:color w:val="auto"/>
                      <w:kern w:val="0"/>
                      <w:szCs w:val="21"/>
                      <w:highlight w:val="none"/>
                      <w:lang w:val="en-US" w:eastAsia="zh-CN"/>
                    </w:rPr>
                  </w:pPr>
                  <w:r>
                    <w:rPr>
                      <w:rFonts w:hint="eastAsia" w:cs="Times New Roman"/>
                      <w:color w:val="auto"/>
                      <w:kern w:val="0"/>
                      <w:szCs w:val="21"/>
                      <w:highlight w:val="none"/>
                      <w:lang w:val="en-US" w:eastAsia="zh-CN"/>
                    </w:rPr>
                    <w:t>15000</w:t>
                  </w:r>
                </w:p>
              </w:tc>
              <w:tc>
                <w:tcPr>
                  <w:tcW w:w="863" w:type="pct"/>
                  <w:noWrap w:val="0"/>
                  <w:vAlign w:val="center"/>
                </w:tcPr>
                <w:p w14:paraId="447A202F">
                  <w:pPr>
                    <w:spacing w:line="320" w:lineRule="exact"/>
                    <w:jc w:val="center"/>
                    <w:rPr>
                      <w:rFonts w:hint="eastAsia" w:cs="Times New Roman"/>
                      <w:color w:val="auto"/>
                      <w:kern w:val="0"/>
                      <w:szCs w:val="21"/>
                      <w:highlight w:val="none"/>
                      <w:lang w:val="en-US" w:eastAsia="zh-CN"/>
                    </w:rPr>
                  </w:pPr>
                  <w:r>
                    <w:rPr>
                      <w:rFonts w:hint="eastAsia" w:cs="Times New Roman"/>
                      <w:color w:val="auto"/>
                      <w:kern w:val="0"/>
                      <w:szCs w:val="21"/>
                      <w:highlight w:val="none"/>
                      <w:lang w:val="en-US" w:eastAsia="zh-CN"/>
                    </w:rPr>
                    <w:t>裸岩石砾地</w:t>
                  </w:r>
                </w:p>
              </w:tc>
              <w:tc>
                <w:tcPr>
                  <w:tcW w:w="782" w:type="pct"/>
                  <w:tcBorders>
                    <w:top w:val="single" w:color="auto" w:sz="4" w:space="0"/>
                    <w:bottom w:val="single" w:color="auto" w:sz="4" w:space="0"/>
                  </w:tcBorders>
                  <w:noWrap w:val="0"/>
                  <w:vAlign w:val="center"/>
                </w:tcPr>
                <w:p w14:paraId="024A8EFE">
                  <w:pPr>
                    <w:jc w:val="center"/>
                    <w:rPr>
                      <w:rFonts w:hint="eastAsia"/>
                      <w:color w:val="auto"/>
                      <w:szCs w:val="21"/>
                      <w:highlight w:val="none"/>
                    </w:rPr>
                  </w:pPr>
                  <w:r>
                    <w:rPr>
                      <w:rFonts w:hint="eastAsia"/>
                      <w:color w:val="auto"/>
                      <w:szCs w:val="21"/>
                      <w:highlight w:val="none"/>
                    </w:rPr>
                    <w:t>临时占地</w:t>
                  </w:r>
                </w:p>
              </w:tc>
              <w:tc>
                <w:tcPr>
                  <w:tcW w:w="1256" w:type="pct"/>
                  <w:tcBorders>
                    <w:top w:val="single" w:color="auto" w:sz="4" w:space="0"/>
                    <w:bottom w:val="single" w:color="auto" w:sz="4" w:space="0"/>
                  </w:tcBorders>
                  <w:noWrap w:val="0"/>
                  <w:vAlign w:val="center"/>
                </w:tcPr>
                <w:p w14:paraId="73712B7A">
                  <w:pPr>
                    <w:jc w:val="center"/>
                    <w:rPr>
                      <w:rFonts w:hint="eastAsia"/>
                      <w:color w:val="auto"/>
                      <w:szCs w:val="21"/>
                      <w:highlight w:val="none"/>
                    </w:rPr>
                  </w:pPr>
                  <w:r>
                    <w:rPr>
                      <w:rFonts w:hint="eastAsia"/>
                      <w:color w:val="auto"/>
                      <w:szCs w:val="21"/>
                      <w:highlight w:val="none"/>
                    </w:rPr>
                    <w:t>探矿区范围</w:t>
                  </w:r>
                  <w:r>
                    <w:rPr>
                      <w:rFonts w:hint="eastAsia"/>
                      <w:color w:val="auto"/>
                      <w:szCs w:val="21"/>
                      <w:highlight w:val="none"/>
                      <w:lang w:val="en-US" w:eastAsia="zh-CN"/>
                    </w:rPr>
                    <w:t>外、</w:t>
                  </w:r>
                  <w:r>
                    <w:rPr>
                      <w:rFonts w:hint="eastAsia"/>
                      <w:color w:val="auto"/>
                      <w:szCs w:val="21"/>
                      <w:highlight w:val="none"/>
                    </w:rPr>
                    <w:t>内</w:t>
                  </w:r>
                </w:p>
              </w:tc>
            </w:tr>
            <w:tr w14:paraId="095872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267" w:type="pct"/>
                  <w:vMerge w:val="continue"/>
                  <w:tcBorders>
                    <w:right w:val="single" w:color="auto" w:sz="4" w:space="0"/>
                  </w:tcBorders>
                  <w:noWrap w:val="0"/>
                  <w:vAlign w:val="center"/>
                </w:tcPr>
                <w:p w14:paraId="0B9FCB5C">
                  <w:pPr>
                    <w:widowControl/>
                    <w:spacing w:line="320" w:lineRule="exact"/>
                    <w:jc w:val="center"/>
                    <w:rPr>
                      <w:rFonts w:hint="default" w:ascii="Times New Roman" w:hAnsi="Times New Roman" w:cs="Times New Roman"/>
                      <w:color w:val="auto"/>
                      <w:kern w:val="0"/>
                      <w:szCs w:val="21"/>
                      <w:highlight w:val="none"/>
                    </w:rPr>
                  </w:pPr>
                </w:p>
              </w:tc>
              <w:tc>
                <w:tcPr>
                  <w:tcW w:w="999" w:type="pct"/>
                  <w:tcBorders>
                    <w:left w:val="single" w:color="auto" w:sz="4" w:space="0"/>
                  </w:tcBorders>
                  <w:noWrap w:val="0"/>
                  <w:vAlign w:val="center"/>
                </w:tcPr>
                <w:p w14:paraId="303F7C86">
                  <w:pPr>
                    <w:widowControl/>
                    <w:spacing w:line="320" w:lineRule="exact"/>
                    <w:jc w:val="center"/>
                    <w:rPr>
                      <w:rFonts w:hint="default" w:ascii="Times New Roman" w:hAnsi="Times New Roman" w:cs="Times New Roman"/>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合计</w:t>
                  </w:r>
                </w:p>
              </w:tc>
              <w:tc>
                <w:tcPr>
                  <w:tcW w:w="831" w:type="pct"/>
                  <w:tcBorders>
                    <w:top w:val="single" w:color="auto" w:sz="4" w:space="0"/>
                    <w:bottom w:val="single" w:color="auto" w:sz="4" w:space="0"/>
                  </w:tcBorders>
                  <w:noWrap w:val="0"/>
                  <w:vAlign w:val="center"/>
                </w:tcPr>
                <w:p w14:paraId="53F9BF9B">
                  <w:pPr>
                    <w:widowControl/>
                    <w:spacing w:line="320" w:lineRule="exact"/>
                    <w:jc w:val="center"/>
                    <w:rPr>
                      <w:rFonts w:hint="default" w:ascii="Times New Roman" w:hAnsi="Times New Roman" w:cs="Times New Roman"/>
                      <w:color w:val="auto"/>
                      <w:kern w:val="0"/>
                      <w:szCs w:val="21"/>
                      <w:highlight w:val="none"/>
                      <w:lang w:val="en-US" w:eastAsia="zh-CN"/>
                    </w:rPr>
                  </w:pPr>
                  <w:r>
                    <w:rPr>
                      <w:rFonts w:hint="eastAsia" w:cs="Times New Roman"/>
                      <w:color w:val="auto"/>
                      <w:kern w:val="0"/>
                      <w:szCs w:val="21"/>
                      <w:highlight w:val="none"/>
                      <w:lang w:val="en-US" w:eastAsia="zh-CN"/>
                    </w:rPr>
                    <w:t>18300</w:t>
                  </w:r>
                </w:p>
              </w:tc>
              <w:tc>
                <w:tcPr>
                  <w:tcW w:w="863" w:type="pct"/>
                  <w:noWrap w:val="0"/>
                  <w:vAlign w:val="center"/>
                </w:tcPr>
                <w:p w14:paraId="71B86AB4">
                  <w:pPr>
                    <w:spacing w:line="320" w:lineRule="exact"/>
                    <w:jc w:val="center"/>
                    <w:rPr>
                      <w:rFonts w:hint="eastAsia" w:ascii="Times New Roman" w:hAnsi="Times New Roman" w:eastAsia="宋体" w:cs="Times New Roman"/>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w:t>
                  </w:r>
                </w:p>
              </w:tc>
              <w:tc>
                <w:tcPr>
                  <w:tcW w:w="782" w:type="pct"/>
                  <w:tcBorders>
                    <w:top w:val="single" w:color="auto" w:sz="4" w:space="0"/>
                    <w:bottom w:val="single" w:color="auto" w:sz="4" w:space="0"/>
                  </w:tcBorders>
                  <w:noWrap w:val="0"/>
                  <w:vAlign w:val="center"/>
                </w:tcPr>
                <w:p w14:paraId="73BA87C0">
                  <w:pPr>
                    <w:jc w:val="center"/>
                    <w:rPr>
                      <w:rFonts w:hint="default" w:ascii="Times New Roman" w:hAnsi="Times New Roman" w:cs="Times New Roman"/>
                      <w:color w:val="auto"/>
                      <w:kern w:val="0"/>
                      <w:szCs w:val="21"/>
                      <w:highlight w:val="none"/>
                    </w:rPr>
                  </w:pPr>
                  <w:r>
                    <w:rPr>
                      <w:rFonts w:hint="eastAsia" w:ascii="Times New Roman" w:hAnsi="Times New Roman" w:cs="Times New Roman"/>
                      <w:color w:val="auto"/>
                      <w:kern w:val="0"/>
                      <w:szCs w:val="21"/>
                      <w:highlight w:val="none"/>
                      <w:lang w:val="en-US" w:eastAsia="zh-CN"/>
                    </w:rPr>
                    <w:t>/</w:t>
                  </w:r>
                </w:p>
              </w:tc>
              <w:tc>
                <w:tcPr>
                  <w:tcW w:w="1256" w:type="pct"/>
                  <w:tcBorders>
                    <w:top w:val="single" w:color="auto" w:sz="4" w:space="0"/>
                    <w:bottom w:val="single" w:color="auto" w:sz="4" w:space="0"/>
                  </w:tcBorders>
                  <w:noWrap w:val="0"/>
                  <w:vAlign w:val="center"/>
                </w:tcPr>
                <w:p w14:paraId="7A8B4ABF">
                  <w:pPr>
                    <w:jc w:val="center"/>
                    <w:rPr>
                      <w:rFonts w:hint="default" w:ascii="Times New Roman" w:hAnsi="Times New Roman" w:cs="Times New Roman"/>
                      <w:color w:val="auto"/>
                      <w:kern w:val="0"/>
                      <w:szCs w:val="21"/>
                      <w:highlight w:val="none"/>
                    </w:rPr>
                  </w:pPr>
                  <w:r>
                    <w:rPr>
                      <w:rFonts w:hint="eastAsia" w:ascii="Times New Roman" w:hAnsi="Times New Roman" w:cs="Times New Roman"/>
                      <w:color w:val="auto"/>
                      <w:kern w:val="0"/>
                      <w:szCs w:val="21"/>
                      <w:highlight w:val="none"/>
                      <w:lang w:val="en-US" w:eastAsia="zh-CN"/>
                    </w:rPr>
                    <w:t>/</w:t>
                  </w:r>
                </w:p>
              </w:tc>
            </w:tr>
          </w:tbl>
          <w:p w14:paraId="1F6877B3">
            <w:pPr>
              <w:pStyle w:val="2"/>
              <w:rPr>
                <w:rFonts w:hint="default"/>
                <w:color w:val="auto"/>
                <w:lang w:val="en-US" w:eastAsia="zh-CN"/>
              </w:rPr>
            </w:pPr>
          </w:p>
        </w:tc>
      </w:tr>
      <w:tr w14:paraId="6AF110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19" w:hRule="atLeast"/>
          <w:jc w:val="center"/>
        </w:trPr>
        <w:tc>
          <w:tcPr>
            <w:tcW w:w="705" w:type="dxa"/>
            <w:noWrap w:val="0"/>
            <w:vAlign w:val="center"/>
          </w:tcPr>
          <w:p w14:paraId="624BCEB1">
            <w:pPr>
              <w:adjustRightInd w:val="0"/>
              <w:snapToGrid w:val="0"/>
              <w:jc w:val="center"/>
              <w:rPr>
                <w:rFonts w:ascii="宋体" w:hAnsi="宋体" w:cs="宋体"/>
                <w:color w:val="auto"/>
                <w:kern w:val="0"/>
                <w:szCs w:val="21"/>
              </w:rPr>
            </w:pPr>
            <w:r>
              <w:rPr>
                <w:rFonts w:hint="eastAsia" w:ascii="宋体" w:hAnsi="宋体" w:cs="宋体"/>
                <w:color w:val="auto"/>
                <w:kern w:val="0"/>
                <w:szCs w:val="21"/>
              </w:rPr>
              <w:t>施工方案</w:t>
            </w:r>
          </w:p>
        </w:tc>
        <w:tc>
          <w:tcPr>
            <w:tcW w:w="8325" w:type="dxa"/>
            <w:noWrap w:val="0"/>
            <w:vAlign w:val="center"/>
          </w:tcPr>
          <w:p w14:paraId="33D91CC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b/>
                <w:color w:val="auto"/>
                <w:sz w:val="24"/>
                <w:lang w:val="en-US" w:eastAsia="zh-CN"/>
              </w:rPr>
            </w:pPr>
            <w:r>
              <w:rPr>
                <w:rFonts w:hint="eastAsia"/>
                <w:b/>
                <w:color w:val="auto"/>
                <w:sz w:val="24"/>
                <w:lang w:val="en-US" w:eastAsia="zh-CN"/>
              </w:rPr>
              <w:t>1.营地施工流程简述（图示）</w:t>
            </w:r>
          </w:p>
          <w:p w14:paraId="7B3EFFAE">
            <w:pPr>
              <w:pStyle w:val="51"/>
              <w:keepNext w:val="0"/>
              <w:keepLines w:val="0"/>
              <w:pageBreakBefore w:val="0"/>
              <w:widowControl w:val="0"/>
              <w:kinsoku/>
              <w:wordWrap/>
              <w:overflowPunct/>
              <w:topLinePunct w:val="0"/>
              <w:autoSpaceDE w:val="0"/>
              <w:autoSpaceDN w:val="0"/>
              <w:bidi w:val="0"/>
              <w:adjustRightInd w:val="0"/>
              <w:snapToGrid/>
              <w:spacing w:line="520" w:lineRule="exact"/>
              <w:ind w:left="0" w:firstLine="480" w:firstLineChars="200"/>
              <w:jc w:val="left"/>
              <w:textAlignment w:val="auto"/>
              <w:rPr>
                <w:rFonts w:hint="default" w:ascii="Times New Roman" w:hAnsi="Times New Roman" w:cs="Times New Roman"/>
                <w:b w:val="0"/>
                <w:bCs/>
                <w:color w:val="auto"/>
                <w:highlight w:val="none"/>
              </w:rPr>
            </w:pPr>
            <w:r>
              <w:rPr>
                <w:rFonts w:hint="default" w:ascii="Times New Roman" w:hAnsi="Times New Roman" w:cs="Times New Roman"/>
                <w:b w:val="0"/>
                <w:bCs/>
                <w:color w:val="auto"/>
                <w:highlight w:val="none"/>
              </w:rPr>
              <w:t>本项目为新建</w:t>
            </w:r>
            <w:r>
              <w:rPr>
                <w:rFonts w:hint="eastAsia" w:ascii="Times New Roman" w:hAnsi="Times New Roman" w:cs="Times New Roman"/>
                <w:b w:val="0"/>
                <w:bCs/>
                <w:color w:val="auto"/>
                <w:highlight w:val="none"/>
                <w:lang w:val="en-US" w:eastAsia="zh-CN"/>
              </w:rPr>
              <w:t>项目</w:t>
            </w:r>
            <w:r>
              <w:rPr>
                <w:rFonts w:hint="default" w:ascii="Times New Roman" w:hAnsi="Times New Roman" w:cs="Times New Roman"/>
                <w:b w:val="0"/>
                <w:bCs/>
                <w:color w:val="auto"/>
                <w:highlight w:val="none"/>
              </w:rPr>
              <w:t>，</w:t>
            </w:r>
            <w:r>
              <w:rPr>
                <w:rFonts w:hint="eastAsia" w:ascii="Times New Roman" w:hAnsi="Times New Roman" w:cs="Times New Roman"/>
                <w:b w:val="0"/>
                <w:bCs/>
                <w:color w:val="auto"/>
                <w:highlight w:val="none"/>
                <w:lang w:val="en-US" w:eastAsia="zh-CN"/>
              </w:rPr>
              <w:t>勘探</w:t>
            </w:r>
            <w:r>
              <w:rPr>
                <w:rFonts w:hint="default" w:ascii="Times New Roman" w:hAnsi="Times New Roman" w:cs="Times New Roman"/>
                <w:b w:val="0"/>
                <w:bCs/>
                <w:color w:val="auto"/>
                <w:highlight w:val="none"/>
              </w:rPr>
              <w:t>施工期</w:t>
            </w:r>
            <w:r>
              <w:rPr>
                <w:rFonts w:hint="eastAsia" w:ascii="Times New Roman" w:hAnsi="Times New Roman" w:cs="Times New Roman"/>
                <w:b w:val="0"/>
                <w:bCs/>
                <w:color w:val="auto"/>
                <w:highlight w:val="none"/>
                <w:lang w:val="en-US" w:eastAsia="zh-CN"/>
              </w:rPr>
              <w:t>需搭设临时</w:t>
            </w:r>
            <w:r>
              <w:rPr>
                <w:rFonts w:hint="eastAsia" w:ascii="Times New Roman" w:cs="Times New Roman"/>
                <w:b w:val="0"/>
                <w:bCs/>
                <w:color w:val="auto"/>
                <w:highlight w:val="none"/>
                <w:lang w:val="en-US" w:eastAsia="zh-CN"/>
              </w:rPr>
              <w:t>营地、修筑临时进矿道路</w:t>
            </w:r>
            <w:r>
              <w:rPr>
                <w:rFonts w:hint="default" w:ascii="Times New Roman" w:hAnsi="Times New Roman" w:cs="Times New Roman"/>
                <w:b w:val="0"/>
                <w:bCs/>
                <w:color w:val="auto"/>
                <w:highlight w:val="none"/>
              </w:rPr>
              <w:t>，</w:t>
            </w:r>
            <w:r>
              <w:rPr>
                <w:rFonts w:hint="eastAsia" w:ascii="Times New Roman" w:hAnsi="Times New Roman" w:cs="Times New Roman"/>
                <w:b w:val="0"/>
                <w:bCs/>
                <w:color w:val="auto"/>
                <w:highlight w:val="none"/>
                <w:lang w:eastAsia="zh-CN"/>
              </w:rPr>
              <w:t>在施工过程中会有</w:t>
            </w:r>
            <w:r>
              <w:rPr>
                <w:rFonts w:hint="default" w:ascii="Times New Roman" w:hAnsi="Times New Roman" w:cs="Times New Roman"/>
                <w:b w:val="0"/>
                <w:bCs/>
                <w:color w:val="auto"/>
                <w:highlight w:val="none"/>
              </w:rPr>
              <w:t>施工废气、施工扬尘、施工噪声</w:t>
            </w:r>
            <w:r>
              <w:rPr>
                <w:rFonts w:hint="eastAsia" w:ascii="Times New Roman" w:cs="Times New Roman"/>
                <w:b w:val="0"/>
                <w:bCs/>
                <w:color w:val="auto"/>
                <w:highlight w:val="none"/>
                <w:lang w:eastAsia="zh-CN"/>
              </w:rPr>
              <w:t>、</w:t>
            </w:r>
            <w:r>
              <w:rPr>
                <w:rFonts w:hint="eastAsia" w:ascii="Times New Roman" w:cs="Times New Roman"/>
                <w:b w:val="0"/>
                <w:bCs/>
                <w:color w:val="auto"/>
                <w:highlight w:val="none"/>
                <w:lang w:val="en-US" w:eastAsia="zh-CN"/>
              </w:rPr>
              <w:t>开挖土石方</w:t>
            </w:r>
            <w:r>
              <w:rPr>
                <w:rFonts w:hint="default" w:ascii="Times New Roman" w:hAnsi="Times New Roman" w:cs="Times New Roman"/>
                <w:b w:val="0"/>
                <w:bCs/>
                <w:color w:val="auto"/>
                <w:highlight w:val="none"/>
              </w:rPr>
              <w:t>等产生，工艺流程图及产污环节见</w:t>
            </w:r>
            <w:r>
              <w:rPr>
                <w:rFonts w:hint="default" w:ascii="Times New Roman" w:hAnsi="Times New Roman" w:cs="Times New Roman"/>
                <w:b w:val="0"/>
                <w:bCs/>
                <w:color w:val="auto"/>
                <w:highlight w:val="none"/>
                <w:lang w:eastAsia="zh-CN"/>
              </w:rPr>
              <w:t>图</w:t>
            </w:r>
            <w:r>
              <w:rPr>
                <w:rFonts w:hint="eastAsia" w:ascii="Times New Roman" w:cs="Times New Roman"/>
                <w:b w:val="0"/>
                <w:bCs/>
                <w:color w:val="auto"/>
                <w:highlight w:val="none"/>
                <w:lang w:val="en-US" w:eastAsia="zh-CN"/>
              </w:rPr>
              <w:t>2-2、2-3</w:t>
            </w:r>
            <w:r>
              <w:rPr>
                <w:rFonts w:hint="default" w:ascii="Times New Roman" w:hAnsi="Times New Roman" w:cs="Times New Roman"/>
                <w:b w:val="0"/>
                <w:bCs/>
                <w:color w:val="auto"/>
                <w:highlight w:val="none"/>
              </w:rPr>
              <w:t>。</w:t>
            </w:r>
          </w:p>
          <w:p w14:paraId="57CA3AA3">
            <w:pPr>
              <w:rPr>
                <w:rFonts w:hint="default" w:ascii="Times New Roman" w:hAnsi="Times New Roman" w:cs="Times New Roman"/>
                <w:b w:val="0"/>
                <w:bCs/>
                <w:color w:val="auto"/>
                <w:highlight w:val="none"/>
              </w:rPr>
            </w:pPr>
            <w:r>
              <w:rPr>
                <w:color w:val="auto"/>
                <w:sz w:val="24"/>
              </w:rPr>
              <mc:AlternateContent>
                <mc:Choice Requires="wps">
                  <w:drawing>
                    <wp:anchor distT="0" distB="0" distL="114300" distR="114300" simplePos="0" relativeHeight="251721728" behindDoc="0" locked="0" layoutInCell="1" allowOverlap="1">
                      <wp:simplePos x="0" y="0"/>
                      <wp:positionH relativeFrom="column">
                        <wp:posOffset>3959860</wp:posOffset>
                      </wp:positionH>
                      <wp:positionV relativeFrom="paragraph">
                        <wp:posOffset>59690</wp:posOffset>
                      </wp:positionV>
                      <wp:extent cx="920750" cy="274955"/>
                      <wp:effectExtent l="0" t="0" r="0" b="0"/>
                      <wp:wrapNone/>
                      <wp:docPr id="19" name="文本框 170"/>
                      <wp:cNvGraphicFramePr/>
                      <a:graphic xmlns:a="http://schemas.openxmlformats.org/drawingml/2006/main">
                        <a:graphicData uri="http://schemas.microsoft.com/office/word/2010/wordprocessingShape">
                          <wps:wsp>
                            <wps:cNvSpPr txBox="1"/>
                            <wps:spPr>
                              <a:xfrm>
                                <a:off x="0" y="0"/>
                                <a:ext cx="920750" cy="274955"/>
                              </a:xfrm>
                              <a:prstGeom prst="rect">
                                <a:avLst/>
                              </a:prstGeom>
                              <a:noFill/>
                              <a:ln>
                                <a:noFill/>
                              </a:ln>
                              <a:effectLst/>
                            </wps:spPr>
                            <wps:txbx>
                              <w:txbxContent>
                                <w:p w14:paraId="3C0AAAE2">
                                  <w:pPr>
                                    <w:rPr>
                                      <w:rFonts w:hint="default" w:eastAsia="宋体"/>
                                      <w:lang w:val="en-US" w:eastAsia="zh-CN"/>
                                    </w:rPr>
                                  </w:pPr>
                                  <w:r>
                                    <w:rPr>
                                      <w:rFonts w:hint="eastAsia"/>
                                      <w:lang w:val="en-US" w:eastAsia="zh-CN"/>
                                    </w:rPr>
                                    <w:t>废气、噪声</w:t>
                                  </w:r>
                                </w:p>
                              </w:txbxContent>
                            </wps:txbx>
                            <wps:bodyPr vert="horz" wrap="square" anchor="t" anchorCtr="0" upright="1"/>
                          </wps:wsp>
                        </a:graphicData>
                      </a:graphic>
                    </wp:anchor>
                  </w:drawing>
                </mc:Choice>
                <mc:Fallback>
                  <w:pict>
                    <v:shape id="文本框 170" o:spid="_x0000_s1026" o:spt="202" type="#_x0000_t202" style="position:absolute;left:0pt;margin-left:311.8pt;margin-top:4.7pt;height:21.65pt;width:72.5pt;z-index:251721728;mso-width-relative:page;mso-height-relative:page;" filled="f" stroked="f" coordsize="21600,21600" o:gfxdata="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BgxSudYAAAAIAQAADwAAAAAAAAABACAAAAAiAAAA&#10;ZHJzL2Rvd25yZXYueG1sUEsBAhQAFAAAAAgAh07iQHxSQHrQAQAAkQMAAA4AAAAAAAAAAQAgAAAA&#10;JQEAAGRycy9lMm9Eb2MueG1sUEsFBgAAAAAGAAYAWQEAAGcFAAAAAA==&#10;">
                      <v:fill on="f" focussize="0,0"/>
                      <v:stroke on="f"/>
                      <v:imagedata o:title=""/>
                      <o:lock v:ext="edit" aspectratio="f"/>
                      <v:textbox>
                        <w:txbxContent>
                          <w:p w14:paraId="3C0AAAE2">
                            <w:pPr>
                              <w:rPr>
                                <w:rFonts w:hint="default" w:eastAsia="宋体"/>
                                <w:lang w:val="en-US" w:eastAsia="zh-CN"/>
                              </w:rPr>
                            </w:pPr>
                            <w:r>
                              <w:rPr>
                                <w:rFonts w:hint="eastAsia"/>
                                <w:lang w:val="en-US" w:eastAsia="zh-CN"/>
                              </w:rPr>
                              <w:t>废气、噪声</w:t>
                            </w:r>
                          </w:p>
                        </w:txbxContent>
                      </v:textbox>
                    </v:shape>
                  </w:pict>
                </mc:Fallback>
              </mc:AlternateContent>
            </w:r>
            <w:r>
              <w:rPr>
                <w:color w:val="auto"/>
                <w:sz w:val="24"/>
              </w:rPr>
              <mc:AlternateContent>
                <mc:Choice Requires="wps">
                  <w:drawing>
                    <wp:anchor distT="0" distB="0" distL="114300" distR="114300" simplePos="0" relativeHeight="251720704" behindDoc="0" locked="0" layoutInCell="1" allowOverlap="1">
                      <wp:simplePos x="0" y="0"/>
                      <wp:positionH relativeFrom="column">
                        <wp:posOffset>2818765</wp:posOffset>
                      </wp:positionH>
                      <wp:positionV relativeFrom="paragraph">
                        <wp:posOffset>91440</wp:posOffset>
                      </wp:positionV>
                      <wp:extent cx="920750" cy="274955"/>
                      <wp:effectExtent l="0" t="0" r="0" b="0"/>
                      <wp:wrapNone/>
                      <wp:docPr id="18" name="文本框 170"/>
                      <wp:cNvGraphicFramePr/>
                      <a:graphic xmlns:a="http://schemas.openxmlformats.org/drawingml/2006/main">
                        <a:graphicData uri="http://schemas.microsoft.com/office/word/2010/wordprocessingShape">
                          <wps:wsp>
                            <wps:cNvSpPr txBox="1"/>
                            <wps:spPr>
                              <a:xfrm>
                                <a:off x="0" y="0"/>
                                <a:ext cx="920750" cy="274955"/>
                              </a:xfrm>
                              <a:prstGeom prst="rect">
                                <a:avLst/>
                              </a:prstGeom>
                              <a:noFill/>
                              <a:ln>
                                <a:noFill/>
                              </a:ln>
                              <a:effectLst/>
                            </wps:spPr>
                            <wps:txbx>
                              <w:txbxContent>
                                <w:p w14:paraId="4F4BE69C">
                                  <w:pPr>
                                    <w:rPr>
                                      <w:rFonts w:hint="default" w:eastAsia="宋体"/>
                                      <w:lang w:val="en-US" w:eastAsia="zh-CN"/>
                                    </w:rPr>
                                  </w:pPr>
                                  <w:r>
                                    <w:rPr>
                                      <w:rFonts w:hint="eastAsia"/>
                                      <w:lang w:val="en-US" w:eastAsia="zh-CN"/>
                                    </w:rPr>
                                    <w:t>废气、噪声</w:t>
                                  </w:r>
                                </w:p>
                              </w:txbxContent>
                            </wps:txbx>
                            <wps:bodyPr vert="horz" wrap="square" anchor="t" anchorCtr="0" upright="1"/>
                          </wps:wsp>
                        </a:graphicData>
                      </a:graphic>
                    </wp:anchor>
                  </w:drawing>
                </mc:Choice>
                <mc:Fallback>
                  <w:pict>
                    <v:shape id="文本框 170" o:spid="_x0000_s1026" o:spt="202" type="#_x0000_t202" style="position:absolute;left:0pt;margin-left:221.95pt;margin-top:7.2pt;height:21.65pt;width:72.5pt;z-index:251720704;mso-width-relative:page;mso-height-relative:page;" filled="f" stroked="f" coordsize="21600,21600" o:gfxdata="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iLQlrXAAAACQEAAA8AAAAAAAAAAQAgAAAAIgAA&#10;AGRycy9kb3ducmV2LnhtbFBLAQIUABQAAAAIAIdO4kAbQ/e/0AEAAJEDAAAOAAAAAAAAAAEAIAAA&#10;ACYBAABkcnMvZTJvRG9jLnhtbFBLBQYAAAAABgAGAFkBAABoBQAAAAA=&#10;">
                      <v:fill on="f" focussize="0,0"/>
                      <v:stroke on="f"/>
                      <v:imagedata o:title=""/>
                      <o:lock v:ext="edit" aspectratio="f"/>
                      <v:textbox>
                        <w:txbxContent>
                          <w:p w14:paraId="4F4BE69C">
                            <w:pPr>
                              <w:rPr>
                                <w:rFonts w:hint="default" w:eastAsia="宋体"/>
                                <w:lang w:val="en-US" w:eastAsia="zh-CN"/>
                              </w:rPr>
                            </w:pPr>
                            <w:r>
                              <w:rPr>
                                <w:rFonts w:hint="eastAsia"/>
                                <w:lang w:val="en-US" w:eastAsia="zh-CN"/>
                              </w:rPr>
                              <w:t>废气、噪声</w:t>
                            </w:r>
                          </w:p>
                        </w:txbxContent>
                      </v:textbox>
                    </v:shape>
                  </w:pict>
                </mc:Fallback>
              </mc:AlternateContent>
            </w:r>
            <w:r>
              <w:rPr>
                <w:color w:val="auto"/>
                <w:sz w:val="24"/>
              </w:rPr>
              <mc:AlternateContent>
                <mc:Choice Requires="wps">
                  <w:drawing>
                    <wp:anchor distT="0" distB="0" distL="114300" distR="114300" simplePos="0" relativeHeight="251719680" behindDoc="0" locked="0" layoutInCell="1" allowOverlap="1">
                      <wp:simplePos x="0" y="0"/>
                      <wp:positionH relativeFrom="column">
                        <wp:posOffset>1389380</wp:posOffset>
                      </wp:positionH>
                      <wp:positionV relativeFrom="paragraph">
                        <wp:posOffset>81915</wp:posOffset>
                      </wp:positionV>
                      <wp:extent cx="1198880" cy="274955"/>
                      <wp:effectExtent l="0" t="0" r="0" b="0"/>
                      <wp:wrapNone/>
                      <wp:docPr id="17" name="文本框 170"/>
                      <wp:cNvGraphicFramePr/>
                      <a:graphic xmlns:a="http://schemas.openxmlformats.org/drawingml/2006/main">
                        <a:graphicData uri="http://schemas.microsoft.com/office/word/2010/wordprocessingShape">
                          <wps:wsp>
                            <wps:cNvSpPr txBox="1"/>
                            <wps:spPr>
                              <a:xfrm>
                                <a:off x="0" y="0"/>
                                <a:ext cx="1198880" cy="274955"/>
                              </a:xfrm>
                              <a:prstGeom prst="rect">
                                <a:avLst/>
                              </a:prstGeom>
                              <a:noFill/>
                              <a:ln>
                                <a:noFill/>
                              </a:ln>
                              <a:effectLst/>
                            </wps:spPr>
                            <wps:txbx>
                              <w:txbxContent>
                                <w:p w14:paraId="226004A4">
                                  <w:pPr>
                                    <w:rPr>
                                      <w:rFonts w:hint="default" w:eastAsia="宋体"/>
                                      <w:lang w:val="en-US" w:eastAsia="zh-CN"/>
                                    </w:rPr>
                                  </w:pPr>
                                  <w:r>
                                    <w:rPr>
                                      <w:rFonts w:hint="eastAsia"/>
                                      <w:lang w:val="en-US" w:eastAsia="zh-CN"/>
                                    </w:rPr>
                                    <w:t>废气、噪声、固废</w:t>
                                  </w:r>
                                </w:p>
                              </w:txbxContent>
                            </wps:txbx>
                            <wps:bodyPr vert="horz" wrap="square" anchor="t" anchorCtr="0" upright="1"/>
                          </wps:wsp>
                        </a:graphicData>
                      </a:graphic>
                    </wp:anchor>
                  </w:drawing>
                </mc:Choice>
                <mc:Fallback>
                  <w:pict>
                    <v:shape id="文本框 170" o:spid="_x0000_s1026" o:spt="202" type="#_x0000_t202" style="position:absolute;left:0pt;margin-left:109.4pt;margin-top:6.45pt;height:21.65pt;width:94.4pt;z-index:251719680;mso-width-relative:page;mso-height-relative:page;" filled="f" stroked="f" coordsize="21600,21600" o:gfxdata="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EQKXB3XAAAACQEAAA8AAAAAAAAAAQAgAAAAIgAA&#10;AGRycy9kb3ducmV2LnhtbFBLAQIUABQAAAAIAIdO4kBoCbj30AEAAJIDAAAOAAAAAAAAAAEAIAAA&#10;ACYBAABkcnMvZTJvRG9jLnhtbFBLBQYAAAAABgAGAFkBAABoBQAAAAA=&#10;">
                      <v:fill on="f" focussize="0,0"/>
                      <v:stroke on="f"/>
                      <v:imagedata o:title=""/>
                      <o:lock v:ext="edit" aspectratio="f"/>
                      <v:textbox>
                        <w:txbxContent>
                          <w:p w14:paraId="226004A4">
                            <w:pPr>
                              <w:rPr>
                                <w:rFonts w:hint="default" w:eastAsia="宋体"/>
                                <w:lang w:val="en-US" w:eastAsia="zh-CN"/>
                              </w:rPr>
                            </w:pPr>
                            <w:r>
                              <w:rPr>
                                <w:rFonts w:hint="eastAsia"/>
                                <w:lang w:val="en-US" w:eastAsia="zh-CN"/>
                              </w:rPr>
                              <w:t>废气、噪声、固废</w:t>
                            </w:r>
                          </w:p>
                        </w:txbxContent>
                      </v:textbox>
                    </v:shape>
                  </w:pict>
                </mc:Fallback>
              </mc:AlternateContent>
            </w:r>
            <w:r>
              <w:rPr>
                <w:color w:val="auto"/>
                <w:sz w:val="24"/>
              </w:rPr>
              <mc:AlternateContent>
                <mc:Choice Requires="wps">
                  <w:drawing>
                    <wp:anchor distT="0" distB="0" distL="114300" distR="114300" simplePos="0" relativeHeight="251718656" behindDoc="0" locked="0" layoutInCell="1" allowOverlap="1">
                      <wp:simplePos x="0" y="0"/>
                      <wp:positionH relativeFrom="column">
                        <wp:posOffset>418465</wp:posOffset>
                      </wp:positionH>
                      <wp:positionV relativeFrom="paragraph">
                        <wp:posOffset>62230</wp:posOffset>
                      </wp:positionV>
                      <wp:extent cx="828040" cy="274955"/>
                      <wp:effectExtent l="0" t="0" r="0" b="0"/>
                      <wp:wrapNone/>
                      <wp:docPr id="16" name="文本框 171"/>
                      <wp:cNvGraphicFramePr/>
                      <a:graphic xmlns:a="http://schemas.openxmlformats.org/drawingml/2006/main">
                        <a:graphicData uri="http://schemas.microsoft.com/office/word/2010/wordprocessingShape">
                          <wps:wsp>
                            <wps:cNvSpPr txBox="1"/>
                            <wps:spPr>
                              <a:xfrm>
                                <a:off x="0" y="0"/>
                                <a:ext cx="828040" cy="274955"/>
                              </a:xfrm>
                              <a:prstGeom prst="rect">
                                <a:avLst/>
                              </a:prstGeom>
                              <a:noFill/>
                              <a:ln>
                                <a:noFill/>
                              </a:ln>
                              <a:effectLst/>
                            </wps:spPr>
                            <wps:txbx>
                              <w:txbxContent>
                                <w:p w14:paraId="78DBE7D0">
                                  <w:pPr>
                                    <w:rPr>
                                      <w:rFonts w:hint="default" w:eastAsia="宋体"/>
                                      <w:lang w:val="en-US" w:eastAsia="zh-CN"/>
                                    </w:rPr>
                                  </w:pPr>
                                  <w:r>
                                    <w:rPr>
                                      <w:rFonts w:hint="eastAsia"/>
                                      <w:lang w:val="en-US" w:eastAsia="zh-CN"/>
                                    </w:rPr>
                                    <w:t>废气、噪声</w:t>
                                  </w:r>
                                </w:p>
                              </w:txbxContent>
                            </wps:txbx>
                            <wps:bodyPr vert="horz" wrap="square" anchor="t" anchorCtr="0" upright="1"/>
                          </wps:wsp>
                        </a:graphicData>
                      </a:graphic>
                    </wp:anchor>
                  </w:drawing>
                </mc:Choice>
                <mc:Fallback>
                  <w:pict>
                    <v:shape id="文本框 171" o:spid="_x0000_s1026" o:spt="202" type="#_x0000_t202" style="position:absolute;left:0pt;margin-left:32.95pt;margin-top:4.9pt;height:21.65pt;width:65.2pt;z-index:251718656;mso-width-relative:page;mso-height-relative:page;" filled="f" stroked="f" coordsize="21600,21600" o:gfxdata="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&#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TQ5NvUAAAABwEAAA8AAAAAAAAAAQAgAAAAIgAAAGRy&#10;cy9kb3ducmV2LnhtbFBLAQIUABQAAAAIAIdO4kBlexCo0AEAAJEDAAAOAAAAAAAAAAEAIAAAACMB&#10;AABkcnMvZTJvRG9jLnhtbFBLBQYAAAAABgAGAFkBAABlBQAAAAA=&#10;">
                      <v:fill on="f" focussize="0,0"/>
                      <v:stroke on="f"/>
                      <v:imagedata o:title=""/>
                      <o:lock v:ext="edit" aspectratio="f"/>
                      <v:textbox>
                        <w:txbxContent>
                          <w:p w14:paraId="78DBE7D0">
                            <w:pPr>
                              <w:rPr>
                                <w:rFonts w:hint="default" w:eastAsia="宋体"/>
                                <w:lang w:val="en-US" w:eastAsia="zh-CN"/>
                              </w:rPr>
                            </w:pPr>
                            <w:r>
                              <w:rPr>
                                <w:rFonts w:hint="eastAsia"/>
                                <w:lang w:val="en-US" w:eastAsia="zh-CN"/>
                              </w:rPr>
                              <w:t>废气、噪声</w:t>
                            </w:r>
                          </w:p>
                        </w:txbxContent>
                      </v:textbox>
                    </v:shape>
                  </w:pict>
                </mc:Fallback>
              </mc:AlternateContent>
            </w:r>
          </w:p>
          <w:p w14:paraId="2E4B6737">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default"/>
                <w:color w:val="auto"/>
              </w:rPr>
            </w:pPr>
          </w:p>
          <w:p w14:paraId="13161BF4">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color w:val="auto"/>
                <w:highlight w:val="green"/>
                <w:lang w:val="en-US" w:eastAsia="zh-CN"/>
              </w:rPr>
            </w:pPr>
            <w:r>
              <w:rPr>
                <w:color w:val="auto"/>
                <w:sz w:val="21"/>
              </w:rPr>
              <mc:AlternateContent>
                <mc:Choice Requires="wps">
                  <w:drawing>
                    <wp:anchor distT="0" distB="0" distL="114300" distR="114300" simplePos="0" relativeHeight="251717632" behindDoc="0" locked="0" layoutInCell="1" allowOverlap="1">
                      <wp:simplePos x="0" y="0"/>
                      <wp:positionH relativeFrom="column">
                        <wp:posOffset>4421505</wp:posOffset>
                      </wp:positionH>
                      <wp:positionV relativeFrom="paragraph">
                        <wp:posOffset>1905</wp:posOffset>
                      </wp:positionV>
                      <wp:extent cx="635" cy="257175"/>
                      <wp:effectExtent l="50800" t="0" r="62865" b="9525"/>
                      <wp:wrapNone/>
                      <wp:docPr id="5" name="直线 175"/>
                      <wp:cNvGraphicFramePr/>
                      <a:graphic xmlns:a="http://schemas.openxmlformats.org/drawingml/2006/main">
                        <a:graphicData uri="http://schemas.microsoft.com/office/word/2010/wordprocessingShape">
                          <wps:wsp>
                            <wps:cNvCnPr/>
                            <wps:spPr>
                              <a:xfrm flipH="1" flipV="1">
                                <a:off x="0" y="0"/>
                                <a:ext cx="635" cy="257175"/>
                              </a:xfrm>
                              <a:prstGeom prst="line">
                                <a:avLst/>
                              </a:prstGeom>
                              <a:ln w="12700" cap="rnd" cmpd="sng">
                                <a:solidFill>
                                  <a:srgbClr val="000000"/>
                                </a:solidFill>
                                <a:prstDash val="sysDot"/>
                                <a:headEnd type="none" w="med" len="med"/>
                                <a:tailEnd type="arrow" w="med" len="med"/>
                              </a:ln>
                              <a:effectLst/>
                            </wps:spPr>
                            <wps:bodyPr upright="1"/>
                          </wps:wsp>
                        </a:graphicData>
                      </a:graphic>
                    </wp:anchor>
                  </w:drawing>
                </mc:Choice>
                <mc:Fallback>
                  <w:pict>
                    <v:line id="直线 175" o:spid="_x0000_s1026" o:spt="20" style="position:absolute;left:0pt;flip:x y;margin-left:348.15pt;margin-top:0.15pt;height:20.25pt;width:0.05pt;z-index:251717632;mso-width-relative:page;mso-height-relative:page;" filled="f" stroked="t" coordsize="21600,21600" o:gfxdata="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6KUjzVAAAABwEAAA8AAAAAAAAAAQAgAAAAIgAAAGRycy9kb3du&#10;cmV2LnhtbFBLAQIUABQAAAAIAIdO4kC43LPJAgIAAAIEAAAOAAAAAAAAAAEAIAAAACQBAABkcnMv&#10;ZTJvRG9jLnhtbFBLBQYAAAAABgAGAFkBAACYBQAAAAA=&#10;">
                      <v:fill on="f" focussize="0,0"/>
                      <v:stroke weight="1pt" color="#000000" joinstyle="round" dashstyle="1 1" endcap="round" endarrow="open"/>
                      <v:imagedata o:title=""/>
                      <o:lock v:ext="edit" aspectratio="f"/>
                    </v:line>
                  </w:pict>
                </mc:Fallback>
              </mc:AlternateContent>
            </w:r>
            <w:r>
              <w:rPr>
                <w:color w:val="auto"/>
                <w:sz w:val="21"/>
              </w:rPr>
              <mc:AlternateContent>
                <mc:Choice Requires="wps">
                  <w:drawing>
                    <wp:anchor distT="0" distB="0" distL="114300" distR="114300" simplePos="0" relativeHeight="251715584" behindDoc="0" locked="0" layoutInCell="1" allowOverlap="1">
                      <wp:simplePos x="0" y="0"/>
                      <wp:positionH relativeFrom="column">
                        <wp:posOffset>824230</wp:posOffset>
                      </wp:positionH>
                      <wp:positionV relativeFrom="paragraph">
                        <wp:posOffset>35560</wp:posOffset>
                      </wp:positionV>
                      <wp:extent cx="635" cy="257175"/>
                      <wp:effectExtent l="50800" t="0" r="62865" b="9525"/>
                      <wp:wrapNone/>
                      <wp:docPr id="6" name="直线 172"/>
                      <wp:cNvGraphicFramePr/>
                      <a:graphic xmlns:a="http://schemas.openxmlformats.org/drawingml/2006/main">
                        <a:graphicData uri="http://schemas.microsoft.com/office/word/2010/wordprocessingShape">
                          <wps:wsp>
                            <wps:cNvCnPr/>
                            <wps:spPr>
                              <a:xfrm flipH="1" flipV="1">
                                <a:off x="0" y="0"/>
                                <a:ext cx="635" cy="257175"/>
                              </a:xfrm>
                              <a:prstGeom prst="line">
                                <a:avLst/>
                              </a:prstGeom>
                              <a:ln w="12700" cap="rnd" cmpd="sng">
                                <a:solidFill>
                                  <a:srgbClr val="000000"/>
                                </a:solidFill>
                                <a:prstDash val="sysDot"/>
                                <a:headEnd type="none" w="med" len="med"/>
                                <a:tailEnd type="arrow" w="med" len="med"/>
                              </a:ln>
                              <a:effectLst/>
                            </wps:spPr>
                            <wps:bodyPr upright="1"/>
                          </wps:wsp>
                        </a:graphicData>
                      </a:graphic>
                    </wp:anchor>
                  </w:drawing>
                </mc:Choice>
                <mc:Fallback>
                  <w:pict>
                    <v:line id="直线 172" o:spid="_x0000_s1026" o:spt="20" style="position:absolute;left:0pt;flip:x y;margin-left:64.9pt;margin-top:2.8pt;height:20.25pt;width:0.05pt;z-index:251715584;mso-width-relative:page;mso-height-relative:page;" filled="f" stroked="t" coordsize="21600,21600" o:gfxdata="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R7kD91gAAAAgBAAAPAAAAAAAAAAEAIAAAACIAAABkcnMvZG93&#10;bnJldi54bWxQSwECFAAUAAAACACHTuJAHNXhMgICAAACBAAADgAAAAAAAAABACAAAAAlAQAAZHJz&#10;L2Uyb0RvYy54bWxQSwUGAAAAAAYABgBZAQAAmQUAAAAA&#10;">
                      <v:fill on="f" focussize="0,0"/>
                      <v:stroke weight="1pt" color="#000000" joinstyle="round" dashstyle="1 1" endcap="round" endarrow="open"/>
                      <v:imagedata o:title=""/>
                      <o:lock v:ext="edit" aspectratio="f"/>
                    </v:line>
                  </w:pict>
                </mc:Fallback>
              </mc:AlternateContent>
            </w:r>
            <w:r>
              <w:rPr>
                <w:color w:val="auto"/>
                <w:sz w:val="21"/>
              </w:rPr>
              <mc:AlternateContent>
                <mc:Choice Requires="wps">
                  <w:drawing>
                    <wp:anchor distT="0" distB="0" distL="114300" distR="114300" simplePos="0" relativeHeight="251716608" behindDoc="0" locked="0" layoutInCell="1" allowOverlap="1">
                      <wp:simplePos x="0" y="0"/>
                      <wp:positionH relativeFrom="column">
                        <wp:posOffset>3186430</wp:posOffset>
                      </wp:positionH>
                      <wp:positionV relativeFrom="paragraph">
                        <wp:posOffset>45085</wp:posOffset>
                      </wp:positionV>
                      <wp:extent cx="635" cy="257175"/>
                      <wp:effectExtent l="50800" t="0" r="62865" b="9525"/>
                      <wp:wrapNone/>
                      <wp:docPr id="7" name="直线 173"/>
                      <wp:cNvGraphicFramePr/>
                      <a:graphic xmlns:a="http://schemas.openxmlformats.org/drawingml/2006/main">
                        <a:graphicData uri="http://schemas.microsoft.com/office/word/2010/wordprocessingShape">
                          <wps:wsp>
                            <wps:cNvCnPr/>
                            <wps:spPr>
                              <a:xfrm flipH="1" flipV="1">
                                <a:off x="0" y="0"/>
                                <a:ext cx="635" cy="257175"/>
                              </a:xfrm>
                              <a:prstGeom prst="line">
                                <a:avLst/>
                              </a:prstGeom>
                              <a:ln w="12700" cap="rnd" cmpd="sng">
                                <a:solidFill>
                                  <a:srgbClr val="000000"/>
                                </a:solidFill>
                                <a:prstDash val="sysDot"/>
                                <a:headEnd type="none" w="med" len="med"/>
                                <a:tailEnd type="arrow" w="med" len="med"/>
                              </a:ln>
                              <a:effectLst/>
                            </wps:spPr>
                            <wps:bodyPr upright="1"/>
                          </wps:wsp>
                        </a:graphicData>
                      </a:graphic>
                    </wp:anchor>
                  </w:drawing>
                </mc:Choice>
                <mc:Fallback>
                  <w:pict>
                    <v:line id="直线 173" o:spid="_x0000_s1026" o:spt="20" style="position:absolute;left:0pt;flip:x y;margin-left:250.9pt;margin-top:3.55pt;height:20.25pt;width:0.05pt;z-index:251716608;mso-width-relative:page;mso-height-relative:page;" filled="f" stroked="t" coordsize="21600,21600" o:gfxdata="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3ghXNYAAAAIAQAADwAAAAAAAAABACAAAAAiAAAAZHJzL2Rv&#10;d25yZXYueG1sUEsBAhQAFAAAAAgAh07iQDVM8EYDAgAAAgQAAA4AAAAAAAAAAQAgAAAAJQEAAGRy&#10;cy9lMm9Eb2MueG1sUEsFBgAAAAAGAAYAWQEAAJoFAAAAAA==&#10;">
                      <v:fill on="f" focussize="0,0"/>
                      <v:stroke weight="1pt" color="#000000" joinstyle="round" dashstyle="1 1" endcap="round" endarrow="open"/>
                      <v:imagedata o:title=""/>
                      <o:lock v:ext="edit" aspectratio="f"/>
                    </v:line>
                  </w:pict>
                </mc:Fallback>
              </mc:AlternateContent>
            </w:r>
            <w:r>
              <w:rPr>
                <w:color w:val="auto"/>
                <w:sz w:val="21"/>
              </w:rPr>
              <mc:AlternateContent>
                <mc:Choice Requires="wps">
                  <w:drawing>
                    <wp:anchor distT="0" distB="0" distL="114300" distR="114300" simplePos="0" relativeHeight="251714560" behindDoc="0" locked="0" layoutInCell="1" allowOverlap="1">
                      <wp:simplePos x="0" y="0"/>
                      <wp:positionH relativeFrom="column">
                        <wp:posOffset>1938655</wp:posOffset>
                      </wp:positionH>
                      <wp:positionV relativeFrom="paragraph">
                        <wp:posOffset>64135</wp:posOffset>
                      </wp:positionV>
                      <wp:extent cx="635" cy="257175"/>
                      <wp:effectExtent l="50800" t="0" r="62865" b="9525"/>
                      <wp:wrapNone/>
                      <wp:docPr id="8" name="直线 174"/>
                      <wp:cNvGraphicFramePr/>
                      <a:graphic xmlns:a="http://schemas.openxmlformats.org/drawingml/2006/main">
                        <a:graphicData uri="http://schemas.microsoft.com/office/word/2010/wordprocessingShape">
                          <wps:wsp>
                            <wps:cNvCnPr/>
                            <wps:spPr>
                              <a:xfrm flipH="1" flipV="1">
                                <a:off x="0" y="0"/>
                                <a:ext cx="635" cy="257175"/>
                              </a:xfrm>
                              <a:prstGeom prst="line">
                                <a:avLst/>
                              </a:prstGeom>
                              <a:ln w="12700" cap="rnd" cmpd="sng">
                                <a:solidFill>
                                  <a:srgbClr val="000000"/>
                                </a:solidFill>
                                <a:prstDash val="sysDot"/>
                                <a:headEnd type="none" w="med" len="med"/>
                                <a:tailEnd type="arrow" w="med" len="med"/>
                              </a:ln>
                              <a:effectLst/>
                            </wps:spPr>
                            <wps:bodyPr upright="1"/>
                          </wps:wsp>
                        </a:graphicData>
                      </a:graphic>
                    </wp:anchor>
                  </w:drawing>
                </mc:Choice>
                <mc:Fallback>
                  <w:pict>
                    <v:line id="直线 174" o:spid="_x0000_s1026" o:spt="20" style="position:absolute;left:0pt;flip:x y;margin-left:152.65pt;margin-top:5.05pt;height:20.25pt;width:0.05pt;z-index:251714560;mso-width-relative:page;mso-height-relative:page;" filled="f" stroked="t" coordsize="21600,21600" o:gfxdata="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id2Iu1gAAAAkBAAAPAAAAAAAAAAEAIAAAACIAAABkcnMvZG93&#10;bnJldi54bWxQSwECFAAUAAAACACHTuJA3wVaCQICAAACBAAADgAAAAAAAAABACAAAAAlAQAAZHJz&#10;L2Uyb0RvYy54bWxQSwUGAAAAAAYABgBZAQAAmQUAAAAA&#10;">
                      <v:fill on="f" focussize="0,0"/>
                      <v:stroke weight="1pt" color="#000000" joinstyle="round" dashstyle="1 1" endcap="round" endarrow="open"/>
                      <v:imagedata o:title=""/>
                      <o:lock v:ext="edit" aspectratio="f"/>
                    </v:line>
                  </w:pict>
                </mc:Fallback>
              </mc:AlternateContent>
            </w:r>
          </w:p>
          <w:p w14:paraId="55792C68">
            <w:pPr>
              <w:pStyle w:val="16"/>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color w:val="auto"/>
              </w:rPr>
            </w:pPr>
            <w:r>
              <w:rPr>
                <w:color w:val="auto"/>
                <w:sz w:val="21"/>
              </w:rPr>
              <mc:AlternateContent>
                <mc:Choice Requires="wps">
                  <w:drawing>
                    <wp:anchor distT="0" distB="0" distL="114300" distR="114300" simplePos="0" relativeHeight="251710464" behindDoc="0" locked="0" layoutInCell="1" allowOverlap="1">
                      <wp:simplePos x="0" y="0"/>
                      <wp:positionH relativeFrom="column">
                        <wp:posOffset>4006850</wp:posOffset>
                      </wp:positionH>
                      <wp:positionV relativeFrom="paragraph">
                        <wp:posOffset>158750</wp:posOffset>
                      </wp:positionV>
                      <wp:extent cx="812800" cy="285750"/>
                      <wp:effectExtent l="4445" t="4445" r="20955" b="14605"/>
                      <wp:wrapNone/>
                      <wp:docPr id="9" name="文本框 176"/>
                      <wp:cNvGraphicFramePr/>
                      <a:graphic xmlns:a="http://schemas.openxmlformats.org/drawingml/2006/main">
                        <a:graphicData uri="http://schemas.microsoft.com/office/word/2010/wordprocessingShape">
                          <wps:wsp>
                            <wps:cNvSpPr txBox="1"/>
                            <wps:spPr>
                              <a:xfrm>
                                <a:off x="0" y="0"/>
                                <a:ext cx="812800" cy="2857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2A23A3E">
                                  <w:pPr>
                                    <w:jc w:val="center"/>
                                    <w:rPr>
                                      <w:rFonts w:hint="default" w:eastAsia="宋体"/>
                                      <w:lang w:val="en-US" w:eastAsia="zh-CN"/>
                                    </w:rPr>
                                  </w:pPr>
                                  <w:r>
                                    <w:rPr>
                                      <w:rFonts w:hint="eastAsia"/>
                                      <w:lang w:val="en-US" w:eastAsia="zh-CN"/>
                                    </w:rPr>
                                    <w:t>碾压</w:t>
                                  </w:r>
                                </w:p>
                              </w:txbxContent>
                            </wps:txbx>
                            <wps:bodyPr vert="horz" wrap="square" anchor="t" anchorCtr="0" upright="1"/>
                          </wps:wsp>
                        </a:graphicData>
                      </a:graphic>
                    </wp:anchor>
                  </w:drawing>
                </mc:Choice>
                <mc:Fallback>
                  <w:pict>
                    <v:shape id="文本框 176" o:spid="_x0000_s1026" o:spt="202" type="#_x0000_t202" style="position:absolute;left:0pt;margin-left:315.5pt;margin-top:12.5pt;height:22.5pt;width:64pt;z-index:251710464;mso-width-relative:page;mso-height-relative:page;" fillcolor="#FFFFFF" filled="t" stroked="t" coordsize="21600,21600" o:gfxdata="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371b9gAAAAJAQAADwAAAAAAAAABACAAAAAiAAAAZHJzL2Rvd25yZXYueG1s&#10;UEsBAhQAFAAAAAgAh07iQF3r814xAgAAeAQAAA4AAAAAAAAAAQAgAAAAJwEAAGRycy9lMm9Eb2Mu&#10;eG1sUEsFBgAAAAAGAAYAWQEAAMoFAAAAAA==&#10;">
                      <v:fill on="t" focussize="0,0"/>
                      <v:stroke color="#000000" joinstyle="miter"/>
                      <v:imagedata o:title=""/>
                      <o:lock v:ext="edit" aspectratio="f"/>
                      <v:textbox>
                        <w:txbxContent>
                          <w:p w14:paraId="32A23A3E">
                            <w:pPr>
                              <w:jc w:val="center"/>
                              <w:rPr>
                                <w:rFonts w:hint="default" w:eastAsia="宋体"/>
                                <w:lang w:val="en-US" w:eastAsia="zh-CN"/>
                              </w:rPr>
                            </w:pPr>
                            <w:r>
                              <w:rPr>
                                <w:rFonts w:hint="eastAsia"/>
                                <w:lang w:val="en-US" w:eastAsia="zh-CN"/>
                              </w:rPr>
                              <w:t>碾压</w:t>
                            </w:r>
                          </w:p>
                        </w:txbxContent>
                      </v:textbox>
                    </v:shape>
                  </w:pict>
                </mc:Fallback>
              </mc:AlternateContent>
            </w:r>
            <w:r>
              <w:rPr>
                <w:color w:val="auto"/>
                <w:sz w:val="21"/>
              </w:rPr>
              <mc:AlternateContent>
                <mc:Choice Requires="wps">
                  <w:drawing>
                    <wp:anchor distT="0" distB="0" distL="114300" distR="114300" simplePos="0" relativeHeight="251708416" behindDoc="0" locked="0" layoutInCell="1" allowOverlap="1">
                      <wp:simplePos x="0" y="0"/>
                      <wp:positionH relativeFrom="column">
                        <wp:posOffset>2726690</wp:posOffset>
                      </wp:positionH>
                      <wp:positionV relativeFrom="paragraph">
                        <wp:posOffset>168910</wp:posOffset>
                      </wp:positionV>
                      <wp:extent cx="886460" cy="285750"/>
                      <wp:effectExtent l="4445" t="4445" r="23495" b="14605"/>
                      <wp:wrapNone/>
                      <wp:docPr id="10" name="文本框 177"/>
                      <wp:cNvGraphicFramePr/>
                      <a:graphic xmlns:a="http://schemas.openxmlformats.org/drawingml/2006/main">
                        <a:graphicData uri="http://schemas.microsoft.com/office/word/2010/wordprocessingShape">
                          <wps:wsp>
                            <wps:cNvSpPr txBox="1"/>
                            <wps:spPr>
                              <a:xfrm>
                                <a:off x="0" y="0"/>
                                <a:ext cx="886460" cy="2857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679FB26">
                                  <w:pPr>
                                    <w:jc w:val="center"/>
                                    <w:rPr>
                                      <w:rFonts w:hint="default" w:eastAsia="宋体"/>
                                      <w:lang w:val="en-US" w:eastAsia="zh-CN"/>
                                    </w:rPr>
                                  </w:pPr>
                                  <w:r>
                                    <w:rPr>
                                      <w:rFonts w:hint="eastAsia"/>
                                      <w:lang w:val="en-US" w:eastAsia="zh-CN"/>
                                    </w:rPr>
                                    <w:t>路面平整</w:t>
                                  </w:r>
                                </w:p>
                              </w:txbxContent>
                            </wps:txbx>
                            <wps:bodyPr vert="horz" wrap="square" anchor="t" anchorCtr="0" upright="1"/>
                          </wps:wsp>
                        </a:graphicData>
                      </a:graphic>
                    </wp:anchor>
                  </w:drawing>
                </mc:Choice>
                <mc:Fallback>
                  <w:pict>
                    <v:shape id="文本框 177" o:spid="_x0000_s1026" o:spt="202" type="#_x0000_t202" style="position:absolute;left:0pt;margin-left:214.7pt;margin-top:13.3pt;height:22.5pt;width:69.8pt;z-index:251708416;mso-width-relative:page;mso-height-relative:page;" fillcolor="#FFFFFF" filled="t" stroked="t" coordsize="21600,21600" o:gfxdata="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MwWW8DZAAAACQEAAA8AAAAAAAAAAQAgAAAAIgAAAGRycy9kb3ducmV2Lnht&#10;bFBLAQIUABQAAAAIAIdO4kDyYUzqMQIAAHkEAAAOAAAAAAAAAAEAIAAAACgBAABkcnMvZTJvRG9j&#10;LnhtbFBLBQYAAAAABgAGAFkBAADLBQAAAAA=&#10;">
                      <v:fill on="t" focussize="0,0"/>
                      <v:stroke color="#000000" joinstyle="miter"/>
                      <v:imagedata o:title=""/>
                      <o:lock v:ext="edit" aspectratio="f"/>
                      <v:textbox>
                        <w:txbxContent>
                          <w:p w14:paraId="3679FB26">
                            <w:pPr>
                              <w:jc w:val="center"/>
                              <w:rPr>
                                <w:rFonts w:hint="default" w:eastAsia="宋体"/>
                                <w:lang w:val="en-US" w:eastAsia="zh-CN"/>
                              </w:rPr>
                            </w:pPr>
                            <w:r>
                              <w:rPr>
                                <w:rFonts w:hint="eastAsia"/>
                                <w:lang w:val="en-US" w:eastAsia="zh-CN"/>
                              </w:rPr>
                              <w:t>路面平整</w:t>
                            </w:r>
                          </w:p>
                        </w:txbxContent>
                      </v:textbox>
                    </v:shape>
                  </w:pict>
                </mc:Fallback>
              </mc:AlternateContent>
            </w:r>
            <w:r>
              <w:rPr>
                <w:color w:val="auto"/>
                <w:sz w:val="21"/>
              </w:rPr>
              <mc:AlternateContent>
                <mc:Choice Requires="wps">
                  <w:drawing>
                    <wp:anchor distT="0" distB="0" distL="114300" distR="114300" simplePos="0" relativeHeight="251707392" behindDoc="0" locked="0" layoutInCell="1" allowOverlap="1">
                      <wp:simplePos x="0" y="0"/>
                      <wp:positionH relativeFrom="column">
                        <wp:posOffset>1576705</wp:posOffset>
                      </wp:positionH>
                      <wp:positionV relativeFrom="paragraph">
                        <wp:posOffset>168910</wp:posOffset>
                      </wp:positionV>
                      <wp:extent cx="790575" cy="285750"/>
                      <wp:effectExtent l="4445" t="4445" r="5080" b="14605"/>
                      <wp:wrapNone/>
                      <wp:docPr id="11" name="文本框 178"/>
                      <wp:cNvGraphicFramePr/>
                      <a:graphic xmlns:a="http://schemas.openxmlformats.org/drawingml/2006/main">
                        <a:graphicData uri="http://schemas.microsoft.com/office/word/2010/wordprocessingShape">
                          <wps:wsp>
                            <wps:cNvSpPr txBox="1"/>
                            <wps:spPr>
                              <a:xfrm>
                                <a:off x="0" y="0"/>
                                <a:ext cx="790575" cy="2857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AE46526">
                                  <w:pPr>
                                    <w:jc w:val="center"/>
                                    <w:rPr>
                                      <w:rFonts w:hint="default" w:eastAsia="宋体"/>
                                      <w:lang w:val="en-US" w:eastAsia="zh-CN"/>
                                    </w:rPr>
                                  </w:pPr>
                                  <w:r>
                                    <w:rPr>
                                      <w:rFonts w:hint="eastAsia"/>
                                      <w:lang w:val="en-US" w:eastAsia="zh-CN"/>
                                    </w:rPr>
                                    <w:t>场地清理</w:t>
                                  </w:r>
                                </w:p>
                              </w:txbxContent>
                            </wps:txbx>
                            <wps:bodyPr vert="horz" wrap="square" anchor="t" anchorCtr="0" upright="1"/>
                          </wps:wsp>
                        </a:graphicData>
                      </a:graphic>
                    </wp:anchor>
                  </w:drawing>
                </mc:Choice>
                <mc:Fallback>
                  <w:pict>
                    <v:shape id="文本框 178" o:spid="_x0000_s1026" o:spt="202" type="#_x0000_t202" style="position:absolute;left:0pt;margin-left:124.15pt;margin-top:13.3pt;height:22.5pt;width:62.25pt;z-index:251707392;mso-width-relative:page;mso-height-relative:page;" fillcolor="#FFFFFF" filled="t" stroked="t" coordsize="21600,21600" o:gfxdata="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LXwDl2AAAAAkBAAAPAAAAAAAAAAEAIAAAACIAAABkcnMvZG93bnJldi54bWxQ&#10;SwECFAAUAAAACACHTuJAbYYUdTACAAB5BAAADgAAAAAAAAABACAAAAAnAQAAZHJzL2Uyb0RvYy54&#10;bWxQSwUGAAAAAAYABgBZAQAAyQUAAAAA&#10;">
                      <v:fill on="t" focussize="0,0"/>
                      <v:stroke color="#000000" joinstyle="miter"/>
                      <v:imagedata o:title=""/>
                      <o:lock v:ext="edit" aspectratio="f"/>
                      <v:textbox>
                        <w:txbxContent>
                          <w:p w14:paraId="2AE46526">
                            <w:pPr>
                              <w:jc w:val="center"/>
                              <w:rPr>
                                <w:rFonts w:hint="default" w:eastAsia="宋体"/>
                                <w:lang w:val="en-US" w:eastAsia="zh-CN"/>
                              </w:rPr>
                            </w:pPr>
                            <w:r>
                              <w:rPr>
                                <w:rFonts w:hint="eastAsia"/>
                                <w:lang w:val="en-US" w:eastAsia="zh-CN"/>
                              </w:rPr>
                              <w:t>场地清理</w:t>
                            </w:r>
                          </w:p>
                        </w:txbxContent>
                      </v:textbox>
                    </v:shape>
                  </w:pict>
                </mc:Fallback>
              </mc:AlternateContent>
            </w:r>
            <w:r>
              <w:rPr>
                <w:color w:val="auto"/>
                <w:sz w:val="21"/>
              </w:rPr>
              <mc:AlternateContent>
                <mc:Choice Requires="wps">
                  <w:drawing>
                    <wp:anchor distT="0" distB="0" distL="114300" distR="114300" simplePos="0" relativeHeight="251709440" behindDoc="0" locked="0" layoutInCell="1" allowOverlap="1">
                      <wp:simplePos x="0" y="0"/>
                      <wp:positionH relativeFrom="column">
                        <wp:posOffset>471805</wp:posOffset>
                      </wp:positionH>
                      <wp:positionV relativeFrom="paragraph">
                        <wp:posOffset>179070</wp:posOffset>
                      </wp:positionV>
                      <wp:extent cx="790575" cy="285750"/>
                      <wp:effectExtent l="4445" t="4445" r="5080" b="14605"/>
                      <wp:wrapNone/>
                      <wp:docPr id="12" name="文本框 179"/>
                      <wp:cNvGraphicFramePr/>
                      <a:graphic xmlns:a="http://schemas.openxmlformats.org/drawingml/2006/main">
                        <a:graphicData uri="http://schemas.microsoft.com/office/word/2010/wordprocessingShape">
                          <wps:wsp>
                            <wps:cNvSpPr txBox="1"/>
                            <wps:spPr>
                              <a:xfrm>
                                <a:off x="0" y="0"/>
                                <a:ext cx="790575" cy="2857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AE0976F">
                                  <w:pPr>
                                    <w:jc w:val="center"/>
                                    <w:rPr>
                                      <w:rFonts w:hint="default" w:eastAsia="宋体"/>
                                      <w:lang w:val="en-US" w:eastAsia="zh-CN"/>
                                    </w:rPr>
                                  </w:pPr>
                                  <w:r>
                                    <w:rPr>
                                      <w:rFonts w:hint="eastAsia"/>
                                      <w:lang w:val="en-US" w:eastAsia="zh-CN"/>
                                    </w:rPr>
                                    <w:t>前期准备</w:t>
                                  </w:r>
                                </w:p>
                              </w:txbxContent>
                            </wps:txbx>
                            <wps:bodyPr vert="horz" wrap="square" anchor="t" anchorCtr="0" upright="1"/>
                          </wps:wsp>
                        </a:graphicData>
                      </a:graphic>
                    </wp:anchor>
                  </w:drawing>
                </mc:Choice>
                <mc:Fallback>
                  <w:pict>
                    <v:shape id="文本框 179" o:spid="_x0000_s1026" o:spt="202" type="#_x0000_t202" style="position:absolute;left:0pt;margin-left:37.15pt;margin-top:14.1pt;height:22.5pt;width:62.25pt;z-index:251709440;mso-width-relative:page;mso-height-relative:page;" fillcolor="#FFFFFF" filled="t" stroked="t" coordsize="21600,21600" o:gfxdata="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EfHKDXAAAACAEAAA8AAAAAAAAAAQAgAAAAIgAAAGRycy9kb3ducmV2LnhtbFBL&#10;AQIUABQAAAAIAIdO4kA+orUgMAIAAHkEAAAOAAAAAAAAAAEAIAAAACYBAABkcnMvZTJvRG9jLnht&#10;bFBLBQYAAAAABgAGAFkBAADIBQAAAAA=&#10;">
                      <v:fill on="t" focussize="0,0"/>
                      <v:stroke color="#000000" joinstyle="miter"/>
                      <v:imagedata o:title=""/>
                      <o:lock v:ext="edit" aspectratio="f"/>
                      <v:textbox>
                        <w:txbxContent>
                          <w:p w14:paraId="1AE0976F">
                            <w:pPr>
                              <w:jc w:val="center"/>
                              <w:rPr>
                                <w:rFonts w:hint="default" w:eastAsia="宋体"/>
                                <w:lang w:val="en-US" w:eastAsia="zh-CN"/>
                              </w:rPr>
                            </w:pPr>
                            <w:r>
                              <w:rPr>
                                <w:rFonts w:hint="eastAsia"/>
                                <w:lang w:val="en-US" w:eastAsia="zh-CN"/>
                              </w:rPr>
                              <w:t>前期准备</w:t>
                            </w:r>
                          </w:p>
                        </w:txbxContent>
                      </v:textbox>
                    </v:shape>
                  </w:pict>
                </mc:Fallback>
              </mc:AlternateContent>
            </w:r>
          </w:p>
          <w:p w14:paraId="7EFB61FF">
            <w:pPr>
              <w:pStyle w:val="54"/>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b/>
                <w:bCs/>
                <w:color w:val="auto"/>
              </w:rPr>
            </w:pPr>
            <w:r>
              <w:rPr>
                <w:color w:val="auto"/>
                <w:sz w:val="24"/>
              </w:rPr>
              <mc:AlternateContent>
                <mc:Choice Requires="wps">
                  <w:drawing>
                    <wp:anchor distT="0" distB="0" distL="114300" distR="114300" simplePos="0" relativeHeight="251713536" behindDoc="0" locked="0" layoutInCell="1" allowOverlap="1">
                      <wp:simplePos x="0" y="0"/>
                      <wp:positionH relativeFrom="column">
                        <wp:posOffset>3620135</wp:posOffset>
                      </wp:positionH>
                      <wp:positionV relativeFrom="paragraph">
                        <wp:posOffset>146050</wp:posOffset>
                      </wp:positionV>
                      <wp:extent cx="408940" cy="635"/>
                      <wp:effectExtent l="0" t="50800" r="10160" b="62865"/>
                      <wp:wrapNone/>
                      <wp:docPr id="13" name="直线 180"/>
                      <wp:cNvGraphicFramePr/>
                      <a:graphic xmlns:a="http://schemas.openxmlformats.org/drawingml/2006/main">
                        <a:graphicData uri="http://schemas.microsoft.com/office/word/2010/wordprocessingShape">
                          <wps:wsp>
                            <wps:cNvCnPr/>
                            <wps:spPr>
                              <a:xfrm flipV="1">
                                <a:off x="0" y="0"/>
                                <a:ext cx="408940" cy="635"/>
                              </a:xfrm>
                              <a:prstGeom prst="line">
                                <a:avLst/>
                              </a:prstGeom>
                              <a:ln w="12700" cap="flat" cmpd="sng">
                                <a:solidFill>
                                  <a:srgbClr val="000000"/>
                                </a:solidFill>
                                <a:prstDash val="solid"/>
                                <a:headEnd type="none" w="med" len="med"/>
                                <a:tailEnd type="arrow" w="med" len="med"/>
                              </a:ln>
                              <a:effectLst/>
                            </wps:spPr>
                            <wps:bodyPr upright="1"/>
                          </wps:wsp>
                        </a:graphicData>
                      </a:graphic>
                    </wp:anchor>
                  </w:drawing>
                </mc:Choice>
                <mc:Fallback>
                  <w:pict>
                    <v:line id="直线 180" o:spid="_x0000_s1026" o:spt="20" style="position:absolute;left:0pt;flip:y;margin-left:285.05pt;margin-top:11.5pt;height:0.05pt;width:32.2pt;z-index:251713536;mso-width-relative:page;mso-height-relative:page;" filled="f" stroked="t" coordsize="21600,21600" o:gfxdata="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O6hE82gAAAAkBAAAPAAAAAAAAAAEAIAAAACIAAABkcnMvZG93bnJl&#10;di54bWxQSwECFAAUAAAACACHTuJAls8S2fsBAAD5AwAADgAAAAAAAAABACAAAAApAQAAZHJzL2Uy&#10;b0RvYy54bWxQSwUGAAAAAAYABgBZAQAAlgUAAAAA&#10;">
                      <v:fill on="f" focussize="0,0"/>
                      <v:stroke weight="1pt" color="#000000" joinstyle="round" endarrow="open"/>
                      <v:imagedata o:title=""/>
                      <o:lock v:ext="edit" aspectratio="f"/>
                    </v:line>
                  </w:pict>
                </mc:Fallback>
              </mc:AlternateContent>
            </w:r>
            <w:r>
              <w:rPr>
                <w:color w:val="auto"/>
                <w:sz w:val="24"/>
              </w:rPr>
              <mc:AlternateContent>
                <mc:Choice Requires="wps">
                  <w:drawing>
                    <wp:anchor distT="0" distB="0" distL="114300" distR="114300" simplePos="0" relativeHeight="251712512" behindDoc="0" locked="0" layoutInCell="1" allowOverlap="1">
                      <wp:simplePos x="0" y="0"/>
                      <wp:positionH relativeFrom="column">
                        <wp:posOffset>2360930</wp:posOffset>
                      </wp:positionH>
                      <wp:positionV relativeFrom="paragraph">
                        <wp:posOffset>134620</wp:posOffset>
                      </wp:positionV>
                      <wp:extent cx="323215" cy="635"/>
                      <wp:effectExtent l="0" t="50800" r="635" b="62865"/>
                      <wp:wrapNone/>
                      <wp:docPr id="14" name="直线 181"/>
                      <wp:cNvGraphicFramePr/>
                      <a:graphic xmlns:a="http://schemas.openxmlformats.org/drawingml/2006/main">
                        <a:graphicData uri="http://schemas.microsoft.com/office/word/2010/wordprocessingShape">
                          <wps:wsp>
                            <wps:cNvCnPr/>
                            <wps:spPr>
                              <a:xfrm flipV="1">
                                <a:off x="0" y="0"/>
                                <a:ext cx="323215" cy="635"/>
                              </a:xfrm>
                              <a:prstGeom prst="line">
                                <a:avLst/>
                              </a:prstGeom>
                              <a:ln w="12700" cap="flat" cmpd="sng">
                                <a:solidFill>
                                  <a:srgbClr val="000000"/>
                                </a:solidFill>
                                <a:prstDash val="solid"/>
                                <a:headEnd type="none" w="med" len="med"/>
                                <a:tailEnd type="arrow" w="med" len="med"/>
                              </a:ln>
                              <a:effectLst/>
                            </wps:spPr>
                            <wps:bodyPr upright="1"/>
                          </wps:wsp>
                        </a:graphicData>
                      </a:graphic>
                    </wp:anchor>
                  </w:drawing>
                </mc:Choice>
                <mc:Fallback>
                  <w:pict>
                    <v:line id="直线 181" o:spid="_x0000_s1026" o:spt="20" style="position:absolute;left:0pt;flip:y;margin-left:185.9pt;margin-top:10.6pt;height:0.05pt;width:25.45pt;z-index:251712512;mso-width-relative:page;mso-height-relative:page;" filled="f" stroked="t" coordsize="21600,21600" o:gfxdata="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S4cXaAAAACQEAAA8AAAAAAAAAAQAgAAAAIgAAAGRycy9kb3du&#10;cmV2LnhtbFBLAQIUABQAAAAIAIdO4kDRadKE/QEAAPkDAAAOAAAAAAAAAAEAIAAAACkBAABkcnMv&#10;ZTJvRG9jLnhtbFBLBQYAAAAABgAGAFkBAACYBQAAAAA=&#10;">
                      <v:fill on="f" focussize="0,0"/>
                      <v:stroke weight="1pt" color="#000000" joinstyle="round" endarrow="open"/>
                      <v:imagedata o:title=""/>
                      <o:lock v:ext="edit" aspectratio="f"/>
                    </v:line>
                  </w:pict>
                </mc:Fallback>
              </mc:AlternateContent>
            </w:r>
            <w:r>
              <w:rPr>
                <w:color w:val="auto"/>
                <w:sz w:val="24"/>
              </w:rPr>
              <mc:AlternateContent>
                <mc:Choice Requires="wps">
                  <w:drawing>
                    <wp:anchor distT="0" distB="0" distL="114300" distR="114300" simplePos="0" relativeHeight="251711488" behindDoc="0" locked="0" layoutInCell="1" allowOverlap="1">
                      <wp:simplePos x="0" y="0"/>
                      <wp:positionH relativeFrom="column">
                        <wp:posOffset>1299210</wp:posOffset>
                      </wp:positionH>
                      <wp:positionV relativeFrom="paragraph">
                        <wp:posOffset>139700</wp:posOffset>
                      </wp:positionV>
                      <wp:extent cx="266065" cy="635"/>
                      <wp:effectExtent l="0" t="50800" r="635" b="62865"/>
                      <wp:wrapNone/>
                      <wp:docPr id="15" name="直线 182"/>
                      <wp:cNvGraphicFramePr/>
                      <a:graphic xmlns:a="http://schemas.openxmlformats.org/drawingml/2006/main">
                        <a:graphicData uri="http://schemas.microsoft.com/office/word/2010/wordprocessingShape">
                          <wps:wsp>
                            <wps:cNvCnPr/>
                            <wps:spPr>
                              <a:xfrm flipV="1">
                                <a:off x="0" y="0"/>
                                <a:ext cx="266065" cy="635"/>
                              </a:xfrm>
                              <a:prstGeom prst="line">
                                <a:avLst/>
                              </a:prstGeom>
                              <a:ln w="12700" cap="flat" cmpd="sng">
                                <a:solidFill>
                                  <a:srgbClr val="000000"/>
                                </a:solidFill>
                                <a:prstDash val="solid"/>
                                <a:headEnd type="none" w="med" len="med"/>
                                <a:tailEnd type="arrow" w="med" len="med"/>
                              </a:ln>
                              <a:effectLst/>
                            </wps:spPr>
                            <wps:bodyPr upright="1"/>
                          </wps:wsp>
                        </a:graphicData>
                      </a:graphic>
                    </wp:anchor>
                  </w:drawing>
                </mc:Choice>
                <mc:Fallback>
                  <w:pict>
                    <v:line id="直线 182" o:spid="_x0000_s1026" o:spt="20" style="position:absolute;left:0pt;flip:y;margin-left:102.3pt;margin-top:11pt;height:0.05pt;width:20.95pt;z-index:251711488;mso-width-relative:page;mso-height-relative:page;" filled="f" stroked="t" coordsize="21600,21600" o:gfxdata="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9JCI3ZAAAACQEAAA8AAAAAAAAAAQAgAAAAIgAAAGRycy9kb3ducmV2&#10;LnhtbFBLAQIUABQAAAAIAIdO4kBsA+s0+wEAAPkDAAAOAAAAAAAAAAEAIAAAACgBAABkcnMvZTJv&#10;RG9jLnhtbFBLBQYAAAAABgAGAFkBAACVBQAAAAA=&#10;">
                      <v:fill on="f" focussize="0,0"/>
                      <v:stroke weight="1pt" color="#000000" joinstyle="round" endarrow="open"/>
                      <v:imagedata o:title=""/>
                      <o:lock v:ext="edit" aspectratio="f"/>
                    </v:line>
                  </w:pict>
                </mc:Fallback>
              </mc:AlternateContent>
            </w:r>
          </w:p>
          <w:p w14:paraId="39645F81">
            <w:pPr>
              <w:pStyle w:val="54"/>
              <w:keepNext w:val="0"/>
              <w:keepLines w:val="0"/>
              <w:pageBreakBefore w:val="0"/>
              <w:widowControl w:val="0"/>
              <w:kinsoku/>
              <w:wordWrap/>
              <w:overflowPunct/>
              <w:topLinePunct w:val="0"/>
              <w:bidi w:val="0"/>
              <w:snapToGrid/>
              <w:spacing w:line="480" w:lineRule="exact"/>
              <w:ind w:left="0" w:leftChars="0" w:firstLine="0" w:firstLineChars="0"/>
              <w:jc w:val="both"/>
              <w:textAlignment w:val="auto"/>
              <w:rPr>
                <w:rFonts w:hint="eastAsia"/>
                <w:b/>
                <w:bCs/>
                <w:color w:val="auto"/>
              </w:rPr>
            </w:pPr>
          </w:p>
          <w:p w14:paraId="6A1775A8">
            <w:pPr>
              <w:pStyle w:val="54"/>
              <w:keepNext w:val="0"/>
              <w:keepLines w:val="0"/>
              <w:pageBreakBefore w:val="0"/>
              <w:widowControl w:val="0"/>
              <w:kinsoku/>
              <w:wordWrap/>
              <w:overflowPunct/>
              <w:topLinePunct w:val="0"/>
              <w:bidi w:val="0"/>
              <w:snapToGrid/>
              <w:spacing w:line="480" w:lineRule="exact"/>
              <w:ind w:left="0" w:firstLine="482"/>
              <w:jc w:val="center"/>
              <w:textAlignment w:val="auto"/>
              <w:rPr>
                <w:b/>
                <w:bCs/>
                <w:color w:val="auto"/>
              </w:rPr>
            </w:pPr>
            <w:r>
              <w:rPr>
                <w:rFonts w:hint="eastAsia"/>
                <w:b/>
                <w:bCs/>
                <w:color w:val="auto"/>
              </w:rPr>
              <w:t>图</w:t>
            </w:r>
            <w:r>
              <w:rPr>
                <w:rFonts w:hint="eastAsia"/>
                <w:b/>
                <w:bCs/>
                <w:color w:val="auto"/>
                <w:lang w:val="en-US" w:eastAsia="zh-CN"/>
              </w:rPr>
              <w:t>2-2</w:t>
            </w:r>
            <w:r>
              <w:rPr>
                <w:rFonts w:hint="eastAsia"/>
                <w:b/>
                <w:bCs/>
                <w:color w:val="auto"/>
              </w:rPr>
              <w:t xml:space="preserve">   </w:t>
            </w:r>
            <w:r>
              <w:rPr>
                <w:rFonts w:hint="eastAsia"/>
                <w:b/>
                <w:color w:val="auto"/>
                <w:sz w:val="24"/>
                <w:lang w:val="en-US" w:eastAsia="zh-CN"/>
              </w:rPr>
              <w:t>临时进矿道路施工</w:t>
            </w:r>
            <w:r>
              <w:rPr>
                <w:rFonts w:hint="eastAsia"/>
                <w:b/>
                <w:bCs/>
                <w:color w:val="auto"/>
              </w:rPr>
              <w:t>工艺及产污环节图</w:t>
            </w:r>
          </w:p>
          <w:p w14:paraId="26256410">
            <w:pPr>
              <w:rPr>
                <w:rFonts w:hint="default"/>
                <w:color w:val="auto"/>
              </w:rPr>
            </w:pPr>
          </w:p>
          <w:p w14:paraId="5BBE7A92">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color w:val="auto"/>
              </w:rPr>
            </w:pPr>
            <w:r>
              <w:rPr>
                <w:color w:val="auto"/>
                <w:sz w:val="24"/>
              </w:rPr>
              <mc:AlternateContent>
                <mc:Choice Requires="wps">
                  <w:drawing>
                    <wp:anchor distT="0" distB="0" distL="114300" distR="114300" simplePos="0" relativeHeight="251688960" behindDoc="0" locked="0" layoutInCell="1" allowOverlap="1">
                      <wp:simplePos x="0" y="0"/>
                      <wp:positionH relativeFrom="column">
                        <wp:posOffset>4133850</wp:posOffset>
                      </wp:positionH>
                      <wp:positionV relativeFrom="paragraph">
                        <wp:posOffset>13970</wp:posOffset>
                      </wp:positionV>
                      <wp:extent cx="828040" cy="274955"/>
                      <wp:effectExtent l="0" t="0" r="0" b="0"/>
                      <wp:wrapNone/>
                      <wp:docPr id="42" name="文本框 168"/>
                      <wp:cNvGraphicFramePr/>
                      <a:graphic xmlns:a="http://schemas.openxmlformats.org/drawingml/2006/main">
                        <a:graphicData uri="http://schemas.microsoft.com/office/word/2010/wordprocessingShape">
                          <wps:wsp>
                            <wps:cNvSpPr txBox="1"/>
                            <wps:spPr>
                              <a:xfrm>
                                <a:off x="0" y="0"/>
                                <a:ext cx="828040" cy="274955"/>
                              </a:xfrm>
                              <a:prstGeom prst="rect">
                                <a:avLst/>
                              </a:prstGeom>
                              <a:noFill/>
                              <a:ln>
                                <a:noFill/>
                              </a:ln>
                              <a:effectLst/>
                            </wps:spPr>
                            <wps:txbx>
                              <w:txbxContent>
                                <w:p w14:paraId="7D89A91C">
                                  <w:pPr>
                                    <w:rPr>
                                      <w:rFonts w:hint="default" w:eastAsia="宋体"/>
                                      <w:lang w:val="en-US" w:eastAsia="zh-CN"/>
                                    </w:rPr>
                                  </w:pPr>
                                  <w:r>
                                    <w:rPr>
                                      <w:rFonts w:hint="eastAsia"/>
                                      <w:lang w:val="en-US" w:eastAsia="zh-CN"/>
                                    </w:rPr>
                                    <w:t>噪声</w:t>
                                  </w:r>
                                </w:p>
                              </w:txbxContent>
                            </wps:txbx>
                            <wps:bodyPr vert="horz" wrap="square" anchor="t" anchorCtr="0" upright="1"/>
                          </wps:wsp>
                        </a:graphicData>
                      </a:graphic>
                    </wp:anchor>
                  </w:drawing>
                </mc:Choice>
                <mc:Fallback>
                  <w:pict>
                    <v:shape id="文本框 168" o:spid="_x0000_s1026" o:spt="202" type="#_x0000_t202" style="position:absolute;left:0pt;margin-left:325.5pt;margin-top:1.1pt;height:21.65pt;width:65.2pt;z-index:251688960;mso-width-relative:page;mso-height-relative:page;" filled="f" stroked="f" coordsize="21600,21600" o:gfxdata="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3pidPWAAAACAEAAA8AAAAAAAAAAQAgAAAAIgAA&#10;AGRycy9kb3ducmV2LnhtbFBLAQIUABQAAAAIAIdO4kAolcek0QEAAJEDAAAOAAAAAAAAAAEAIAAA&#10;ACUBAABkcnMvZTJvRG9jLnhtbFBLBQYAAAAABgAGAFkBAABoBQAAAAA=&#10;">
                      <v:fill on="f" focussize="0,0"/>
                      <v:stroke on="f"/>
                      <v:imagedata o:title=""/>
                      <o:lock v:ext="edit" aspectratio="f"/>
                      <v:textbox>
                        <w:txbxContent>
                          <w:p w14:paraId="7D89A91C">
                            <w:pPr>
                              <w:rPr>
                                <w:rFonts w:hint="default" w:eastAsia="宋体"/>
                                <w:lang w:val="en-US" w:eastAsia="zh-CN"/>
                              </w:rPr>
                            </w:pPr>
                            <w:r>
                              <w:rPr>
                                <w:rFonts w:hint="eastAsia"/>
                                <w:lang w:val="en-US" w:eastAsia="zh-CN"/>
                              </w:rPr>
                              <w:t>噪声</w:t>
                            </w:r>
                          </w:p>
                        </w:txbxContent>
                      </v:textbox>
                    </v:shape>
                  </w:pict>
                </mc:Fallback>
              </mc:AlternateContent>
            </w:r>
            <w:r>
              <w:rPr>
                <w:color w:val="auto"/>
                <w:sz w:val="24"/>
              </w:rPr>
              <mc:AlternateContent>
                <mc:Choice Requires="wps">
                  <w:drawing>
                    <wp:anchor distT="0" distB="0" distL="114300" distR="114300" simplePos="0" relativeHeight="251687936" behindDoc="0" locked="0" layoutInCell="1" allowOverlap="1">
                      <wp:simplePos x="0" y="0"/>
                      <wp:positionH relativeFrom="column">
                        <wp:posOffset>2996565</wp:posOffset>
                      </wp:positionH>
                      <wp:positionV relativeFrom="paragraph">
                        <wp:posOffset>102870</wp:posOffset>
                      </wp:positionV>
                      <wp:extent cx="828040" cy="274955"/>
                      <wp:effectExtent l="0" t="0" r="0" b="0"/>
                      <wp:wrapNone/>
                      <wp:docPr id="43" name="文本框 169"/>
                      <wp:cNvGraphicFramePr/>
                      <a:graphic xmlns:a="http://schemas.openxmlformats.org/drawingml/2006/main">
                        <a:graphicData uri="http://schemas.microsoft.com/office/word/2010/wordprocessingShape">
                          <wps:wsp>
                            <wps:cNvSpPr txBox="1"/>
                            <wps:spPr>
                              <a:xfrm>
                                <a:off x="0" y="0"/>
                                <a:ext cx="828040" cy="274955"/>
                              </a:xfrm>
                              <a:prstGeom prst="rect">
                                <a:avLst/>
                              </a:prstGeom>
                              <a:noFill/>
                              <a:ln>
                                <a:noFill/>
                              </a:ln>
                              <a:effectLst/>
                            </wps:spPr>
                            <wps:txbx>
                              <w:txbxContent>
                                <w:p w14:paraId="044E3130">
                                  <w:pPr>
                                    <w:rPr>
                                      <w:rFonts w:hint="default" w:eastAsia="宋体"/>
                                      <w:lang w:val="en-US" w:eastAsia="zh-CN"/>
                                    </w:rPr>
                                  </w:pPr>
                                  <w:r>
                                    <w:rPr>
                                      <w:rFonts w:hint="eastAsia"/>
                                      <w:lang w:val="en-US" w:eastAsia="zh-CN"/>
                                    </w:rPr>
                                    <w:t>噪声</w:t>
                                  </w:r>
                                </w:p>
                              </w:txbxContent>
                            </wps:txbx>
                            <wps:bodyPr vert="horz" wrap="square" anchor="t" anchorCtr="0" upright="1"/>
                          </wps:wsp>
                        </a:graphicData>
                      </a:graphic>
                    </wp:anchor>
                  </w:drawing>
                </mc:Choice>
                <mc:Fallback>
                  <w:pict>
                    <v:shape id="文本框 169" o:spid="_x0000_s1026" o:spt="202" type="#_x0000_t202" style="position:absolute;left:0pt;margin-left:235.95pt;margin-top:8.1pt;height:21.65pt;width:65.2pt;z-index:251687936;mso-width-relative:page;mso-height-relative:page;" filled="f" stroked="f" coordsize="21600,21600" o:gfxdata="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IHxe8PWAAAACQEAAA8AAAAAAAAAAQAgAAAAIgAA&#10;AGRycy9kb3ducmV2LnhtbFBLAQIUABQAAAAIAIdO4kCFIyV90QEAAJEDAAAOAAAAAAAAAAEAIAAA&#10;ACUBAABkcnMvZTJvRG9jLnhtbFBLBQYAAAAABgAGAFkBAABoBQAAAAA=&#10;">
                      <v:fill on="f" focussize="0,0"/>
                      <v:stroke on="f"/>
                      <v:imagedata o:title=""/>
                      <o:lock v:ext="edit" aspectratio="f"/>
                      <v:textbox>
                        <w:txbxContent>
                          <w:p w14:paraId="044E3130">
                            <w:pPr>
                              <w:rPr>
                                <w:rFonts w:hint="default" w:eastAsia="宋体"/>
                                <w:lang w:val="en-US" w:eastAsia="zh-CN"/>
                              </w:rPr>
                            </w:pPr>
                            <w:r>
                              <w:rPr>
                                <w:rFonts w:hint="eastAsia"/>
                                <w:lang w:val="en-US" w:eastAsia="zh-CN"/>
                              </w:rPr>
                              <w:t>噪声</w:t>
                            </w:r>
                          </w:p>
                        </w:txbxContent>
                      </v:textbox>
                    </v:shape>
                  </w:pict>
                </mc:Fallback>
              </mc:AlternateContent>
            </w:r>
            <w:r>
              <w:rPr>
                <w:color w:val="auto"/>
                <w:sz w:val="24"/>
              </w:rPr>
              <mc:AlternateContent>
                <mc:Choice Requires="wps">
                  <w:drawing>
                    <wp:anchor distT="0" distB="0" distL="114300" distR="114300" simplePos="0" relativeHeight="251686912" behindDoc="0" locked="0" layoutInCell="1" allowOverlap="1">
                      <wp:simplePos x="0" y="0"/>
                      <wp:positionH relativeFrom="column">
                        <wp:posOffset>1405890</wp:posOffset>
                      </wp:positionH>
                      <wp:positionV relativeFrom="paragraph">
                        <wp:posOffset>93345</wp:posOffset>
                      </wp:positionV>
                      <wp:extent cx="1198880" cy="274955"/>
                      <wp:effectExtent l="0" t="0" r="0" b="0"/>
                      <wp:wrapNone/>
                      <wp:docPr id="45" name="文本框 170"/>
                      <wp:cNvGraphicFramePr/>
                      <a:graphic xmlns:a="http://schemas.openxmlformats.org/drawingml/2006/main">
                        <a:graphicData uri="http://schemas.microsoft.com/office/word/2010/wordprocessingShape">
                          <wps:wsp>
                            <wps:cNvSpPr txBox="1"/>
                            <wps:spPr>
                              <a:xfrm>
                                <a:off x="0" y="0"/>
                                <a:ext cx="1198880" cy="274955"/>
                              </a:xfrm>
                              <a:prstGeom prst="rect">
                                <a:avLst/>
                              </a:prstGeom>
                              <a:noFill/>
                              <a:ln>
                                <a:noFill/>
                              </a:ln>
                              <a:effectLst/>
                            </wps:spPr>
                            <wps:txbx>
                              <w:txbxContent>
                                <w:p w14:paraId="18BDD4B8">
                                  <w:pPr>
                                    <w:rPr>
                                      <w:rFonts w:hint="default" w:eastAsia="宋体"/>
                                      <w:lang w:val="en-US" w:eastAsia="zh-CN"/>
                                    </w:rPr>
                                  </w:pPr>
                                  <w:r>
                                    <w:rPr>
                                      <w:rFonts w:hint="eastAsia"/>
                                      <w:lang w:val="en-US" w:eastAsia="zh-CN"/>
                                    </w:rPr>
                                    <w:t>废气、噪声、固废</w:t>
                                  </w:r>
                                </w:p>
                              </w:txbxContent>
                            </wps:txbx>
                            <wps:bodyPr vert="horz" wrap="square" anchor="t" anchorCtr="0" upright="1"/>
                          </wps:wsp>
                        </a:graphicData>
                      </a:graphic>
                    </wp:anchor>
                  </w:drawing>
                </mc:Choice>
                <mc:Fallback>
                  <w:pict>
                    <v:shape id="文本框 170" o:spid="_x0000_s1026" o:spt="202" type="#_x0000_t202" style="position:absolute;left:0pt;margin-left:110.7pt;margin-top:7.35pt;height:21.65pt;width:94.4pt;z-index:251686912;mso-width-relative:page;mso-height-relative:page;" filled="f" stroked="f" coordsize="21600,21600" o:gfxdata="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XPR2bWAAAACQEAAA8AAAAAAAAAAQAgAAAAIgAA&#10;AGRycy9kb3ducmV2LnhtbFBLAQIUABQAAAAIAIdO4kAN9qIR0QEAAJIDAAAOAAAAAAAAAAEAIAAA&#10;ACUBAABkcnMvZTJvRG9jLnhtbFBLBQYAAAAABgAGAFkBAABoBQAAAAA=&#10;">
                      <v:fill on="f" focussize="0,0"/>
                      <v:stroke on="f"/>
                      <v:imagedata o:title=""/>
                      <o:lock v:ext="edit" aspectratio="f"/>
                      <v:textbox>
                        <w:txbxContent>
                          <w:p w14:paraId="18BDD4B8">
                            <w:pPr>
                              <w:rPr>
                                <w:rFonts w:hint="default" w:eastAsia="宋体"/>
                                <w:lang w:val="en-US" w:eastAsia="zh-CN"/>
                              </w:rPr>
                            </w:pPr>
                            <w:r>
                              <w:rPr>
                                <w:rFonts w:hint="eastAsia"/>
                                <w:lang w:val="en-US" w:eastAsia="zh-CN"/>
                              </w:rPr>
                              <w:t>废气、噪声、固废</w:t>
                            </w:r>
                          </w:p>
                        </w:txbxContent>
                      </v:textbox>
                    </v:shape>
                  </w:pict>
                </mc:Fallback>
              </mc:AlternateContent>
            </w:r>
            <w:r>
              <w:rPr>
                <w:color w:val="auto"/>
                <w:sz w:val="24"/>
              </w:rPr>
              <mc:AlternateContent>
                <mc:Choice Requires="wps">
                  <w:drawing>
                    <wp:anchor distT="0" distB="0" distL="114300" distR="114300" simplePos="0" relativeHeight="251685888" behindDoc="0" locked="0" layoutInCell="1" allowOverlap="1">
                      <wp:simplePos x="0" y="0"/>
                      <wp:positionH relativeFrom="column">
                        <wp:posOffset>424815</wp:posOffset>
                      </wp:positionH>
                      <wp:positionV relativeFrom="paragraph">
                        <wp:posOffset>93345</wp:posOffset>
                      </wp:positionV>
                      <wp:extent cx="828040" cy="274955"/>
                      <wp:effectExtent l="0" t="0" r="0" b="0"/>
                      <wp:wrapNone/>
                      <wp:docPr id="46" name="文本框 171"/>
                      <wp:cNvGraphicFramePr/>
                      <a:graphic xmlns:a="http://schemas.openxmlformats.org/drawingml/2006/main">
                        <a:graphicData uri="http://schemas.microsoft.com/office/word/2010/wordprocessingShape">
                          <wps:wsp>
                            <wps:cNvSpPr txBox="1"/>
                            <wps:spPr>
                              <a:xfrm>
                                <a:off x="0" y="0"/>
                                <a:ext cx="828040" cy="274955"/>
                              </a:xfrm>
                              <a:prstGeom prst="rect">
                                <a:avLst/>
                              </a:prstGeom>
                              <a:noFill/>
                              <a:ln>
                                <a:noFill/>
                              </a:ln>
                              <a:effectLst/>
                            </wps:spPr>
                            <wps:txbx>
                              <w:txbxContent>
                                <w:p w14:paraId="73A108F9">
                                  <w:pPr>
                                    <w:rPr>
                                      <w:rFonts w:hint="default" w:eastAsia="宋体"/>
                                      <w:lang w:val="en-US" w:eastAsia="zh-CN"/>
                                    </w:rPr>
                                  </w:pPr>
                                  <w:r>
                                    <w:rPr>
                                      <w:rFonts w:hint="eastAsia"/>
                                      <w:lang w:val="en-US" w:eastAsia="zh-CN"/>
                                    </w:rPr>
                                    <w:t>废气、噪声</w:t>
                                  </w:r>
                                </w:p>
                              </w:txbxContent>
                            </wps:txbx>
                            <wps:bodyPr vert="horz" wrap="square" anchor="t" anchorCtr="0" upright="1"/>
                          </wps:wsp>
                        </a:graphicData>
                      </a:graphic>
                    </wp:anchor>
                  </w:drawing>
                </mc:Choice>
                <mc:Fallback>
                  <w:pict>
                    <v:shape id="文本框 171" o:spid="_x0000_s1026" o:spt="202" type="#_x0000_t202" style="position:absolute;left:0pt;margin-left:33.45pt;margin-top:7.35pt;height:21.65pt;width:65.2pt;z-index:251685888;mso-width-relative:page;mso-height-relative:page;" filled="f" stroked="f" coordsize="21600,21600" o:gfxdata="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NdUyUTWAAAACAEAAA8AAAAAAAAAAQAgAAAAIgAA&#10;AGRycy9kb3ducmV2LnhtbFBLAQIUABQAAAAIAIdO4kClO6yB0QEAAJEDAAAOAAAAAAAAAAEAIAAA&#10;ACUBAABkcnMvZTJvRG9jLnhtbFBLBQYAAAAABgAGAFkBAABoBQAAAAA=&#10;">
                      <v:fill on="f" focussize="0,0"/>
                      <v:stroke on="f"/>
                      <v:imagedata o:title=""/>
                      <o:lock v:ext="edit" aspectratio="f"/>
                      <v:textbox>
                        <w:txbxContent>
                          <w:p w14:paraId="73A108F9">
                            <w:pPr>
                              <w:rPr>
                                <w:rFonts w:hint="default" w:eastAsia="宋体"/>
                                <w:lang w:val="en-US" w:eastAsia="zh-CN"/>
                              </w:rPr>
                            </w:pPr>
                            <w:r>
                              <w:rPr>
                                <w:rFonts w:hint="eastAsia"/>
                                <w:lang w:val="en-US" w:eastAsia="zh-CN"/>
                              </w:rPr>
                              <w:t>废气、噪声</w:t>
                            </w:r>
                          </w:p>
                        </w:txbxContent>
                      </v:textbox>
                    </v:shape>
                  </w:pict>
                </mc:Fallback>
              </mc:AlternateContent>
            </w:r>
          </w:p>
          <w:p w14:paraId="1425BCBA">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default"/>
                <w:color w:val="auto"/>
              </w:rPr>
            </w:pPr>
          </w:p>
          <w:p w14:paraId="0D004F71">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color w:val="auto"/>
                <w:highlight w:val="green"/>
                <w:lang w:val="en-US" w:eastAsia="zh-CN"/>
              </w:rPr>
            </w:pPr>
            <w:r>
              <w:rPr>
                <w:color w:val="auto"/>
                <w:sz w:val="21"/>
              </w:rPr>
              <mc:AlternateContent>
                <mc:Choice Requires="wps">
                  <w:drawing>
                    <wp:anchor distT="0" distB="0" distL="114300" distR="114300" simplePos="0" relativeHeight="251684864" behindDoc="0" locked="0" layoutInCell="1" allowOverlap="1">
                      <wp:simplePos x="0" y="0"/>
                      <wp:positionH relativeFrom="column">
                        <wp:posOffset>4421505</wp:posOffset>
                      </wp:positionH>
                      <wp:positionV relativeFrom="paragraph">
                        <wp:posOffset>1905</wp:posOffset>
                      </wp:positionV>
                      <wp:extent cx="635" cy="257175"/>
                      <wp:effectExtent l="50800" t="0" r="62865" b="9525"/>
                      <wp:wrapNone/>
                      <wp:docPr id="62" name="直线 175"/>
                      <wp:cNvGraphicFramePr/>
                      <a:graphic xmlns:a="http://schemas.openxmlformats.org/drawingml/2006/main">
                        <a:graphicData uri="http://schemas.microsoft.com/office/word/2010/wordprocessingShape">
                          <wps:wsp>
                            <wps:cNvCnPr/>
                            <wps:spPr>
                              <a:xfrm flipH="1" flipV="1">
                                <a:off x="0" y="0"/>
                                <a:ext cx="635" cy="257175"/>
                              </a:xfrm>
                              <a:prstGeom prst="line">
                                <a:avLst/>
                              </a:prstGeom>
                              <a:ln w="12700" cap="rnd" cmpd="sng">
                                <a:solidFill>
                                  <a:srgbClr val="000000"/>
                                </a:solidFill>
                                <a:prstDash val="sysDot"/>
                                <a:headEnd type="none" w="med" len="med"/>
                                <a:tailEnd type="arrow" w="med" len="med"/>
                              </a:ln>
                              <a:effectLst/>
                            </wps:spPr>
                            <wps:bodyPr upright="1"/>
                          </wps:wsp>
                        </a:graphicData>
                      </a:graphic>
                    </wp:anchor>
                  </w:drawing>
                </mc:Choice>
                <mc:Fallback>
                  <w:pict>
                    <v:line id="直线 175" o:spid="_x0000_s1026" o:spt="20" style="position:absolute;left:0pt;flip:x y;margin-left:348.15pt;margin-top:0.15pt;height:20.25pt;width:0.05pt;z-index:251684864;mso-width-relative:page;mso-height-relative:page;" filled="f" stroked="t" coordsize="21600,21600" o:gfxdata="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opSPNUAAAAHAQAADwAAAAAAAAABACAAAAAiAAAAZHJzL2Rv&#10;d25yZXYueG1sUEsBAhQAFAAAAAgAh07iQKC0zGMEAgAAAwQAAA4AAAAAAAAAAQAgAAAAJAEAAGRy&#10;cy9lMm9Eb2MueG1sUEsFBgAAAAAGAAYAWQEAAJoFAAAAAA==&#10;">
                      <v:fill on="f" focussize="0,0"/>
                      <v:stroke weight="1pt" color="#000000" joinstyle="round" dashstyle="1 1" endcap="round" endarrow="open"/>
                      <v:imagedata o:title=""/>
                      <o:lock v:ext="edit" aspectratio="f"/>
                    </v:line>
                  </w:pict>
                </mc:Fallback>
              </mc:AlternateContent>
            </w:r>
            <w:r>
              <w:rPr>
                <w:color w:val="auto"/>
                <w:sz w:val="21"/>
              </w:rPr>
              <mc:AlternateContent>
                <mc:Choice Requires="wps">
                  <w:drawing>
                    <wp:anchor distT="0" distB="0" distL="114300" distR="114300" simplePos="0" relativeHeight="251682816" behindDoc="0" locked="0" layoutInCell="1" allowOverlap="1">
                      <wp:simplePos x="0" y="0"/>
                      <wp:positionH relativeFrom="column">
                        <wp:posOffset>824230</wp:posOffset>
                      </wp:positionH>
                      <wp:positionV relativeFrom="paragraph">
                        <wp:posOffset>35560</wp:posOffset>
                      </wp:positionV>
                      <wp:extent cx="635" cy="257175"/>
                      <wp:effectExtent l="50800" t="0" r="62865" b="9525"/>
                      <wp:wrapNone/>
                      <wp:docPr id="63" name="直线 172"/>
                      <wp:cNvGraphicFramePr/>
                      <a:graphic xmlns:a="http://schemas.openxmlformats.org/drawingml/2006/main">
                        <a:graphicData uri="http://schemas.microsoft.com/office/word/2010/wordprocessingShape">
                          <wps:wsp>
                            <wps:cNvCnPr/>
                            <wps:spPr>
                              <a:xfrm flipH="1" flipV="1">
                                <a:off x="0" y="0"/>
                                <a:ext cx="635" cy="257175"/>
                              </a:xfrm>
                              <a:prstGeom prst="line">
                                <a:avLst/>
                              </a:prstGeom>
                              <a:ln w="12700" cap="rnd" cmpd="sng">
                                <a:solidFill>
                                  <a:srgbClr val="000000"/>
                                </a:solidFill>
                                <a:prstDash val="sysDot"/>
                                <a:headEnd type="none" w="med" len="med"/>
                                <a:tailEnd type="arrow" w="med" len="med"/>
                              </a:ln>
                              <a:effectLst/>
                            </wps:spPr>
                            <wps:bodyPr upright="1"/>
                          </wps:wsp>
                        </a:graphicData>
                      </a:graphic>
                    </wp:anchor>
                  </w:drawing>
                </mc:Choice>
                <mc:Fallback>
                  <w:pict>
                    <v:line id="直线 172" o:spid="_x0000_s1026" o:spt="20" style="position:absolute;left:0pt;flip:x y;margin-left:64.9pt;margin-top:2.8pt;height:20.25pt;width:0.05pt;z-index:251682816;mso-width-relative:page;mso-height-relative:page;" filled="f" stroked="t" coordsize="21600,21600" o:gfxdata="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HuQP3WAAAACAEAAA8AAAAAAAAAAQAgAAAAIgAAAGRycy9k&#10;b3ducmV2LnhtbFBLAQIUABQAAAAIAIdO4kAZXbWuBAIAAAMEAAAOAAAAAAAAAAEAIAAAACUBAABk&#10;cnMvZTJvRG9jLnhtbFBLBQYAAAAABgAGAFkBAACbBQAAAAA=&#10;">
                      <v:fill on="f" focussize="0,0"/>
                      <v:stroke weight="1pt" color="#000000" joinstyle="round" dashstyle="1 1" endcap="round" endarrow="open"/>
                      <v:imagedata o:title=""/>
                      <o:lock v:ext="edit" aspectratio="f"/>
                    </v:line>
                  </w:pict>
                </mc:Fallback>
              </mc:AlternateContent>
            </w:r>
            <w:r>
              <w:rPr>
                <w:color w:val="auto"/>
                <w:sz w:val="21"/>
              </w:rPr>
              <mc:AlternateContent>
                <mc:Choice Requires="wps">
                  <w:drawing>
                    <wp:anchor distT="0" distB="0" distL="114300" distR="114300" simplePos="0" relativeHeight="251683840" behindDoc="0" locked="0" layoutInCell="1" allowOverlap="1">
                      <wp:simplePos x="0" y="0"/>
                      <wp:positionH relativeFrom="column">
                        <wp:posOffset>3186430</wp:posOffset>
                      </wp:positionH>
                      <wp:positionV relativeFrom="paragraph">
                        <wp:posOffset>45085</wp:posOffset>
                      </wp:positionV>
                      <wp:extent cx="635" cy="257175"/>
                      <wp:effectExtent l="50800" t="0" r="62865" b="9525"/>
                      <wp:wrapNone/>
                      <wp:docPr id="64" name="直线 173"/>
                      <wp:cNvGraphicFramePr/>
                      <a:graphic xmlns:a="http://schemas.openxmlformats.org/drawingml/2006/main">
                        <a:graphicData uri="http://schemas.microsoft.com/office/word/2010/wordprocessingShape">
                          <wps:wsp>
                            <wps:cNvCnPr/>
                            <wps:spPr>
                              <a:xfrm flipH="1" flipV="1">
                                <a:off x="0" y="0"/>
                                <a:ext cx="635" cy="257175"/>
                              </a:xfrm>
                              <a:prstGeom prst="line">
                                <a:avLst/>
                              </a:prstGeom>
                              <a:ln w="12700" cap="rnd" cmpd="sng">
                                <a:solidFill>
                                  <a:srgbClr val="000000"/>
                                </a:solidFill>
                                <a:prstDash val="sysDot"/>
                                <a:headEnd type="none" w="med" len="med"/>
                                <a:tailEnd type="arrow" w="med" len="med"/>
                              </a:ln>
                              <a:effectLst/>
                            </wps:spPr>
                            <wps:bodyPr upright="1"/>
                          </wps:wsp>
                        </a:graphicData>
                      </a:graphic>
                    </wp:anchor>
                  </w:drawing>
                </mc:Choice>
                <mc:Fallback>
                  <w:pict>
                    <v:line id="直线 173" o:spid="_x0000_s1026" o:spt="20" style="position:absolute;left:0pt;flip:x y;margin-left:250.9pt;margin-top:3.55pt;height:20.25pt;width:0.05pt;z-index:251683840;mso-width-relative:page;mso-height-relative:page;" filled="f" stroked="t" coordsize="21600,21600" o:gfxdata="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94IVzWAAAACAEAAA8AAAAAAAAAAQAgAAAAIgAAAGRycy9k&#10;b3ducmV2LnhtbFBLAQIUABQAAAAIAIdO4kAX5NiABAIAAAMEAAAOAAAAAAAAAAEAIAAAACUBAABk&#10;cnMvZTJvRG9jLnhtbFBLBQYAAAAABgAGAFkBAACbBQAAAAA=&#10;">
                      <v:fill on="f" focussize="0,0"/>
                      <v:stroke weight="1pt" color="#000000" joinstyle="round" dashstyle="1 1" endcap="round" endarrow="open"/>
                      <v:imagedata o:title=""/>
                      <o:lock v:ext="edit" aspectratio="f"/>
                    </v:line>
                  </w:pict>
                </mc:Fallback>
              </mc:AlternateContent>
            </w:r>
            <w:r>
              <w:rPr>
                <w:color w:val="auto"/>
                <w:sz w:val="21"/>
              </w:rPr>
              <mc:AlternateContent>
                <mc:Choice Requires="wps">
                  <w:drawing>
                    <wp:anchor distT="0" distB="0" distL="114300" distR="114300" simplePos="0" relativeHeight="251681792" behindDoc="0" locked="0" layoutInCell="1" allowOverlap="1">
                      <wp:simplePos x="0" y="0"/>
                      <wp:positionH relativeFrom="column">
                        <wp:posOffset>1938655</wp:posOffset>
                      </wp:positionH>
                      <wp:positionV relativeFrom="paragraph">
                        <wp:posOffset>64135</wp:posOffset>
                      </wp:positionV>
                      <wp:extent cx="635" cy="257175"/>
                      <wp:effectExtent l="50800" t="0" r="62865" b="9525"/>
                      <wp:wrapNone/>
                      <wp:docPr id="65" name="直线 174"/>
                      <wp:cNvGraphicFramePr/>
                      <a:graphic xmlns:a="http://schemas.openxmlformats.org/drawingml/2006/main">
                        <a:graphicData uri="http://schemas.microsoft.com/office/word/2010/wordprocessingShape">
                          <wps:wsp>
                            <wps:cNvCnPr/>
                            <wps:spPr>
                              <a:xfrm flipH="1" flipV="1">
                                <a:off x="0" y="0"/>
                                <a:ext cx="635" cy="257175"/>
                              </a:xfrm>
                              <a:prstGeom prst="line">
                                <a:avLst/>
                              </a:prstGeom>
                              <a:ln w="12700" cap="rnd" cmpd="sng">
                                <a:solidFill>
                                  <a:srgbClr val="000000"/>
                                </a:solidFill>
                                <a:prstDash val="sysDot"/>
                                <a:headEnd type="none" w="med" len="med"/>
                                <a:tailEnd type="arrow" w="med" len="med"/>
                              </a:ln>
                              <a:effectLst/>
                            </wps:spPr>
                            <wps:bodyPr upright="1"/>
                          </wps:wsp>
                        </a:graphicData>
                      </a:graphic>
                    </wp:anchor>
                  </w:drawing>
                </mc:Choice>
                <mc:Fallback>
                  <w:pict>
                    <v:line id="直线 174" o:spid="_x0000_s1026" o:spt="20" style="position:absolute;left:0pt;flip:x y;margin-left:152.65pt;margin-top:5.05pt;height:20.25pt;width:0.05pt;z-index:251681792;mso-width-relative:page;mso-height-relative:page;" filled="f" stroked="t" coordsize="21600,21600" o:gfxdata="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ndiLtYAAAAJAQAADwAAAAAAAAABACAAAAAiAAAAZHJzL2Rv&#10;d25yZXYueG1sUEsBAhQAFAAAAAgAh07iQK4NoU0DAgAAAwQAAA4AAAAAAAAAAQAgAAAAJQEAAGRy&#10;cy9lMm9Eb2MueG1sUEsFBgAAAAAGAAYAWQEAAJoFAAAAAA==&#10;">
                      <v:fill on="f" focussize="0,0"/>
                      <v:stroke weight="1pt" color="#000000" joinstyle="round" dashstyle="1 1" endcap="round" endarrow="open"/>
                      <v:imagedata o:title=""/>
                      <o:lock v:ext="edit" aspectratio="f"/>
                    </v:line>
                  </w:pict>
                </mc:Fallback>
              </mc:AlternateContent>
            </w:r>
          </w:p>
          <w:p w14:paraId="71F382F5">
            <w:pPr>
              <w:pStyle w:val="16"/>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color w:val="auto"/>
              </w:rPr>
            </w:pPr>
            <w:r>
              <w:rPr>
                <w:color w:val="auto"/>
                <w:sz w:val="21"/>
              </w:rPr>
              <mc:AlternateContent>
                <mc:Choice Requires="wps">
                  <w:drawing>
                    <wp:anchor distT="0" distB="0" distL="114300" distR="114300" simplePos="0" relativeHeight="251677696" behindDoc="0" locked="0" layoutInCell="1" allowOverlap="1">
                      <wp:simplePos x="0" y="0"/>
                      <wp:positionH relativeFrom="column">
                        <wp:posOffset>4006850</wp:posOffset>
                      </wp:positionH>
                      <wp:positionV relativeFrom="paragraph">
                        <wp:posOffset>158750</wp:posOffset>
                      </wp:positionV>
                      <wp:extent cx="812800" cy="285750"/>
                      <wp:effectExtent l="4445" t="4445" r="20955" b="14605"/>
                      <wp:wrapNone/>
                      <wp:docPr id="66" name="文本框 176"/>
                      <wp:cNvGraphicFramePr/>
                      <a:graphic xmlns:a="http://schemas.openxmlformats.org/drawingml/2006/main">
                        <a:graphicData uri="http://schemas.microsoft.com/office/word/2010/wordprocessingShape">
                          <wps:wsp>
                            <wps:cNvSpPr txBox="1"/>
                            <wps:spPr>
                              <a:xfrm>
                                <a:off x="0" y="0"/>
                                <a:ext cx="812800" cy="2857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BCD3C96">
                                  <w:pPr>
                                    <w:jc w:val="center"/>
                                    <w:rPr>
                                      <w:rFonts w:hint="default" w:eastAsia="宋体"/>
                                      <w:lang w:val="en-US" w:eastAsia="zh-CN"/>
                                    </w:rPr>
                                  </w:pPr>
                                  <w:r>
                                    <w:rPr>
                                      <w:rFonts w:hint="eastAsia" w:eastAsia="宋体"/>
                                      <w:lang w:val="en-US" w:eastAsia="zh-CN"/>
                                    </w:rPr>
                                    <w:t>设备安装</w:t>
                                  </w:r>
                                </w:p>
                              </w:txbxContent>
                            </wps:txbx>
                            <wps:bodyPr vert="horz" wrap="square" anchor="t" anchorCtr="0" upright="1"/>
                          </wps:wsp>
                        </a:graphicData>
                      </a:graphic>
                    </wp:anchor>
                  </w:drawing>
                </mc:Choice>
                <mc:Fallback>
                  <w:pict>
                    <v:shape id="文本框 176" o:spid="_x0000_s1026" o:spt="202" type="#_x0000_t202" style="position:absolute;left:0pt;margin-left:315.5pt;margin-top:12.5pt;height:22.5pt;width:64pt;z-index:251677696;mso-width-relative:page;mso-height-relative:page;" fillcolor="#FFFFFF" filled="t" stroked="t" coordsize="21600,21600" o:gfxdata="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9+9W/YAAAACQEAAA8AAAAAAAAAAQAgAAAAIgAAAGRycy9kb3ducmV2Lnht&#10;bFBLAQIUABQAAAAIAIdO4kCpWui1MgIAAHkEAAAOAAAAAAAAAAEAIAAAACcBAABkcnMvZTJvRG9j&#10;LnhtbFBLBQYAAAAABgAGAFkBAADLBQAAAAA=&#10;">
                      <v:fill on="t" focussize="0,0"/>
                      <v:stroke color="#000000" joinstyle="miter"/>
                      <v:imagedata o:title=""/>
                      <o:lock v:ext="edit" aspectratio="f"/>
                      <v:textbox>
                        <w:txbxContent>
                          <w:p w14:paraId="6BCD3C96">
                            <w:pPr>
                              <w:jc w:val="center"/>
                              <w:rPr>
                                <w:rFonts w:hint="default" w:eastAsia="宋体"/>
                                <w:lang w:val="en-US" w:eastAsia="zh-CN"/>
                              </w:rPr>
                            </w:pPr>
                            <w:r>
                              <w:rPr>
                                <w:rFonts w:hint="eastAsia" w:eastAsia="宋体"/>
                                <w:lang w:val="en-US" w:eastAsia="zh-CN"/>
                              </w:rPr>
                              <w:t>设备安装</w:t>
                            </w:r>
                          </w:p>
                        </w:txbxContent>
                      </v:textbox>
                    </v:shape>
                  </w:pict>
                </mc:Fallback>
              </mc:AlternateContent>
            </w:r>
            <w:r>
              <w:rPr>
                <w:color w:val="auto"/>
                <w:sz w:val="21"/>
              </w:rPr>
              <mc:AlternateContent>
                <mc:Choice Requires="wps">
                  <w:drawing>
                    <wp:anchor distT="0" distB="0" distL="114300" distR="114300" simplePos="0" relativeHeight="251675648" behindDoc="0" locked="0" layoutInCell="1" allowOverlap="1">
                      <wp:simplePos x="0" y="0"/>
                      <wp:positionH relativeFrom="column">
                        <wp:posOffset>2726690</wp:posOffset>
                      </wp:positionH>
                      <wp:positionV relativeFrom="paragraph">
                        <wp:posOffset>168910</wp:posOffset>
                      </wp:positionV>
                      <wp:extent cx="886460" cy="285750"/>
                      <wp:effectExtent l="4445" t="4445" r="23495" b="14605"/>
                      <wp:wrapNone/>
                      <wp:docPr id="67" name="文本框 177"/>
                      <wp:cNvGraphicFramePr/>
                      <a:graphic xmlns:a="http://schemas.openxmlformats.org/drawingml/2006/main">
                        <a:graphicData uri="http://schemas.microsoft.com/office/word/2010/wordprocessingShape">
                          <wps:wsp>
                            <wps:cNvSpPr txBox="1"/>
                            <wps:spPr>
                              <a:xfrm>
                                <a:off x="0" y="0"/>
                                <a:ext cx="886460" cy="2857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9CBA67D">
                                  <w:pPr>
                                    <w:jc w:val="center"/>
                                    <w:rPr>
                                      <w:rFonts w:hint="default" w:eastAsia="宋体"/>
                                      <w:lang w:val="en-US" w:eastAsia="zh-CN"/>
                                    </w:rPr>
                                  </w:pPr>
                                  <w:r>
                                    <w:rPr>
                                      <w:rFonts w:hint="eastAsia" w:eastAsia="宋体"/>
                                      <w:lang w:val="en-US" w:eastAsia="zh-CN"/>
                                    </w:rPr>
                                    <w:t>搭建彩钢房</w:t>
                                  </w:r>
                                </w:p>
                              </w:txbxContent>
                            </wps:txbx>
                            <wps:bodyPr vert="horz" wrap="square" anchor="t" anchorCtr="0" upright="1"/>
                          </wps:wsp>
                        </a:graphicData>
                      </a:graphic>
                    </wp:anchor>
                  </w:drawing>
                </mc:Choice>
                <mc:Fallback>
                  <w:pict>
                    <v:shape id="文本框 177" o:spid="_x0000_s1026" o:spt="202" type="#_x0000_t202" style="position:absolute;left:0pt;margin-left:214.7pt;margin-top:13.3pt;height:22.5pt;width:69.8pt;z-index:251675648;mso-width-relative:page;mso-height-relative:page;" fillcolor="#FFFFFF" filled="t" stroked="t" coordsize="21600,21600" o:gfxdata="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zBZbwNkAAAAJAQAADwAAAAAAAAABACAAAAAiAAAAZHJzL2Rvd25yZXYu&#10;eG1sUEsBAhQAFAAAAAgAh07iQA5DXqczAgAAeQQAAA4AAAAAAAAAAQAgAAAAKAEAAGRycy9lMm9E&#10;b2MueG1sUEsFBgAAAAAGAAYAWQEAAM0FAAAAAA==&#10;">
                      <v:fill on="t" focussize="0,0"/>
                      <v:stroke color="#000000" joinstyle="miter"/>
                      <v:imagedata o:title=""/>
                      <o:lock v:ext="edit" aspectratio="f"/>
                      <v:textbox>
                        <w:txbxContent>
                          <w:p w14:paraId="09CBA67D">
                            <w:pPr>
                              <w:jc w:val="center"/>
                              <w:rPr>
                                <w:rFonts w:hint="default" w:eastAsia="宋体"/>
                                <w:lang w:val="en-US" w:eastAsia="zh-CN"/>
                              </w:rPr>
                            </w:pPr>
                            <w:r>
                              <w:rPr>
                                <w:rFonts w:hint="eastAsia" w:eastAsia="宋体"/>
                                <w:lang w:val="en-US" w:eastAsia="zh-CN"/>
                              </w:rPr>
                              <w:t>搭建彩钢房</w:t>
                            </w:r>
                          </w:p>
                        </w:txbxContent>
                      </v:textbox>
                    </v:shape>
                  </w:pict>
                </mc:Fallback>
              </mc:AlternateContent>
            </w:r>
            <w:r>
              <w:rPr>
                <w:color w:val="auto"/>
                <w:sz w:val="21"/>
              </w:rPr>
              <mc:AlternateContent>
                <mc:Choice Requires="wps">
                  <w:drawing>
                    <wp:anchor distT="0" distB="0" distL="114300" distR="114300" simplePos="0" relativeHeight="251674624" behindDoc="0" locked="0" layoutInCell="1" allowOverlap="1">
                      <wp:simplePos x="0" y="0"/>
                      <wp:positionH relativeFrom="column">
                        <wp:posOffset>1576705</wp:posOffset>
                      </wp:positionH>
                      <wp:positionV relativeFrom="paragraph">
                        <wp:posOffset>168910</wp:posOffset>
                      </wp:positionV>
                      <wp:extent cx="790575" cy="285750"/>
                      <wp:effectExtent l="4445" t="4445" r="5080" b="14605"/>
                      <wp:wrapNone/>
                      <wp:docPr id="68" name="文本框 178"/>
                      <wp:cNvGraphicFramePr/>
                      <a:graphic xmlns:a="http://schemas.openxmlformats.org/drawingml/2006/main">
                        <a:graphicData uri="http://schemas.microsoft.com/office/word/2010/wordprocessingShape">
                          <wps:wsp>
                            <wps:cNvSpPr txBox="1"/>
                            <wps:spPr>
                              <a:xfrm>
                                <a:off x="0" y="0"/>
                                <a:ext cx="790575" cy="2857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C67261D">
                                  <w:pPr>
                                    <w:jc w:val="center"/>
                                    <w:rPr>
                                      <w:rFonts w:hint="default" w:eastAsia="宋体"/>
                                      <w:lang w:val="en-US" w:eastAsia="zh-CN"/>
                                    </w:rPr>
                                  </w:pPr>
                                  <w:r>
                                    <w:rPr>
                                      <w:rFonts w:hint="eastAsia"/>
                                      <w:lang w:val="en-US" w:eastAsia="zh-CN"/>
                                    </w:rPr>
                                    <w:t>场地平整</w:t>
                                  </w:r>
                                </w:p>
                              </w:txbxContent>
                            </wps:txbx>
                            <wps:bodyPr vert="horz" wrap="square" anchor="t" anchorCtr="0" upright="1"/>
                          </wps:wsp>
                        </a:graphicData>
                      </a:graphic>
                    </wp:anchor>
                  </w:drawing>
                </mc:Choice>
                <mc:Fallback>
                  <w:pict>
                    <v:shape id="文本框 178" o:spid="_x0000_s1026" o:spt="202" type="#_x0000_t202" style="position:absolute;left:0pt;margin-left:124.15pt;margin-top:13.3pt;height:22.5pt;width:62.25pt;z-index:251674624;mso-width-relative:page;mso-height-relative:page;" fillcolor="#FFFFFF" filled="t" stroked="t" coordsize="21600,21600" o:gfxdata="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y18A5dgAAAAJAQAADwAAAAAAAAABACAAAAAiAAAAZHJzL2Rvd25yZXYueG1s&#10;UEsBAhQAFAAAAAgAh07iQJzsd9wxAgAAeQQAAA4AAAAAAAAAAQAgAAAAJwEAAGRycy9lMm9Eb2Mu&#10;eG1sUEsFBgAAAAAGAAYAWQEAAMoFAAAAAA==&#10;">
                      <v:fill on="t" focussize="0,0"/>
                      <v:stroke color="#000000" joinstyle="miter"/>
                      <v:imagedata o:title=""/>
                      <o:lock v:ext="edit" aspectratio="f"/>
                      <v:textbox>
                        <w:txbxContent>
                          <w:p w14:paraId="4C67261D">
                            <w:pPr>
                              <w:jc w:val="center"/>
                              <w:rPr>
                                <w:rFonts w:hint="default" w:eastAsia="宋体"/>
                                <w:lang w:val="en-US" w:eastAsia="zh-CN"/>
                              </w:rPr>
                            </w:pPr>
                            <w:r>
                              <w:rPr>
                                <w:rFonts w:hint="eastAsia"/>
                                <w:lang w:val="en-US" w:eastAsia="zh-CN"/>
                              </w:rPr>
                              <w:t>场地平整</w:t>
                            </w:r>
                          </w:p>
                        </w:txbxContent>
                      </v:textbox>
                    </v:shape>
                  </w:pict>
                </mc:Fallback>
              </mc:AlternateContent>
            </w:r>
            <w:r>
              <w:rPr>
                <w:color w:val="auto"/>
                <w:sz w:val="21"/>
              </w:rPr>
              <mc:AlternateContent>
                <mc:Choice Requires="wps">
                  <w:drawing>
                    <wp:anchor distT="0" distB="0" distL="114300" distR="114300" simplePos="0" relativeHeight="251676672" behindDoc="0" locked="0" layoutInCell="1" allowOverlap="1">
                      <wp:simplePos x="0" y="0"/>
                      <wp:positionH relativeFrom="column">
                        <wp:posOffset>471805</wp:posOffset>
                      </wp:positionH>
                      <wp:positionV relativeFrom="paragraph">
                        <wp:posOffset>179070</wp:posOffset>
                      </wp:positionV>
                      <wp:extent cx="790575" cy="285750"/>
                      <wp:effectExtent l="4445" t="4445" r="5080" b="14605"/>
                      <wp:wrapNone/>
                      <wp:docPr id="70" name="文本框 179"/>
                      <wp:cNvGraphicFramePr/>
                      <a:graphic xmlns:a="http://schemas.openxmlformats.org/drawingml/2006/main">
                        <a:graphicData uri="http://schemas.microsoft.com/office/word/2010/wordprocessingShape">
                          <wps:wsp>
                            <wps:cNvSpPr txBox="1"/>
                            <wps:spPr>
                              <a:xfrm>
                                <a:off x="0" y="0"/>
                                <a:ext cx="790575" cy="2857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9F39CE8">
                                  <w:pPr>
                                    <w:jc w:val="center"/>
                                    <w:rPr>
                                      <w:rFonts w:hint="default" w:eastAsia="宋体"/>
                                      <w:lang w:val="en-US" w:eastAsia="zh-CN"/>
                                    </w:rPr>
                                  </w:pPr>
                                  <w:r>
                                    <w:rPr>
                                      <w:rFonts w:hint="eastAsia"/>
                                      <w:lang w:val="en-US" w:eastAsia="zh-CN"/>
                                    </w:rPr>
                                    <w:t>物资运输</w:t>
                                  </w:r>
                                </w:p>
                              </w:txbxContent>
                            </wps:txbx>
                            <wps:bodyPr vert="horz" wrap="square" anchor="t" anchorCtr="0" upright="1"/>
                          </wps:wsp>
                        </a:graphicData>
                      </a:graphic>
                    </wp:anchor>
                  </w:drawing>
                </mc:Choice>
                <mc:Fallback>
                  <w:pict>
                    <v:shape id="文本框 179" o:spid="_x0000_s1026" o:spt="202" type="#_x0000_t202" style="position:absolute;left:0pt;margin-left:37.15pt;margin-top:14.1pt;height:22.5pt;width:62.25pt;z-index:251676672;mso-width-relative:page;mso-height-relative:page;" fillcolor="#FFFFFF" filled="t" stroked="t" coordsize="21600,21600" o:gfxdata="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EfHKDXAAAACAEAAA8AAAAAAAAAAQAgAAAAIgAAAGRycy9kb3ducmV2LnhtbFBL&#10;AQIUABQAAAAIAIdO4kAOZBe9MAIAAHkEAAAOAAAAAAAAAAEAIAAAACYBAABkcnMvZTJvRG9jLnht&#10;bFBLBQYAAAAABgAGAFkBAADIBQAAAAA=&#10;">
                      <v:fill on="t" focussize="0,0"/>
                      <v:stroke color="#000000" joinstyle="miter"/>
                      <v:imagedata o:title=""/>
                      <o:lock v:ext="edit" aspectratio="f"/>
                      <v:textbox>
                        <w:txbxContent>
                          <w:p w14:paraId="69F39CE8">
                            <w:pPr>
                              <w:jc w:val="center"/>
                              <w:rPr>
                                <w:rFonts w:hint="default" w:eastAsia="宋体"/>
                                <w:lang w:val="en-US" w:eastAsia="zh-CN"/>
                              </w:rPr>
                            </w:pPr>
                            <w:r>
                              <w:rPr>
                                <w:rFonts w:hint="eastAsia"/>
                                <w:lang w:val="en-US" w:eastAsia="zh-CN"/>
                              </w:rPr>
                              <w:t>物资运输</w:t>
                            </w:r>
                          </w:p>
                        </w:txbxContent>
                      </v:textbox>
                    </v:shape>
                  </w:pict>
                </mc:Fallback>
              </mc:AlternateContent>
            </w:r>
          </w:p>
          <w:p w14:paraId="3D72457E">
            <w:pPr>
              <w:pStyle w:val="54"/>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b/>
                <w:bCs/>
                <w:color w:val="auto"/>
              </w:rPr>
            </w:pPr>
            <w:r>
              <w:rPr>
                <w:color w:val="auto"/>
                <w:sz w:val="24"/>
              </w:rPr>
              <mc:AlternateContent>
                <mc:Choice Requires="wps">
                  <w:drawing>
                    <wp:anchor distT="0" distB="0" distL="114300" distR="114300" simplePos="0" relativeHeight="251680768" behindDoc="0" locked="0" layoutInCell="1" allowOverlap="1">
                      <wp:simplePos x="0" y="0"/>
                      <wp:positionH relativeFrom="column">
                        <wp:posOffset>3620135</wp:posOffset>
                      </wp:positionH>
                      <wp:positionV relativeFrom="paragraph">
                        <wp:posOffset>146050</wp:posOffset>
                      </wp:positionV>
                      <wp:extent cx="408940" cy="635"/>
                      <wp:effectExtent l="0" t="50800" r="10160" b="62865"/>
                      <wp:wrapNone/>
                      <wp:docPr id="71" name="直线 180"/>
                      <wp:cNvGraphicFramePr/>
                      <a:graphic xmlns:a="http://schemas.openxmlformats.org/drawingml/2006/main">
                        <a:graphicData uri="http://schemas.microsoft.com/office/word/2010/wordprocessingShape">
                          <wps:wsp>
                            <wps:cNvCnPr/>
                            <wps:spPr>
                              <a:xfrm flipV="1">
                                <a:off x="0" y="0"/>
                                <a:ext cx="408940" cy="635"/>
                              </a:xfrm>
                              <a:prstGeom prst="line">
                                <a:avLst/>
                              </a:prstGeom>
                              <a:ln w="12700" cap="flat" cmpd="sng">
                                <a:solidFill>
                                  <a:srgbClr val="000000"/>
                                </a:solidFill>
                                <a:prstDash val="solid"/>
                                <a:headEnd type="none" w="med" len="med"/>
                                <a:tailEnd type="arrow" w="med" len="med"/>
                              </a:ln>
                              <a:effectLst/>
                            </wps:spPr>
                            <wps:bodyPr upright="1"/>
                          </wps:wsp>
                        </a:graphicData>
                      </a:graphic>
                    </wp:anchor>
                  </w:drawing>
                </mc:Choice>
                <mc:Fallback>
                  <w:pict>
                    <v:line id="直线 180" o:spid="_x0000_s1026" o:spt="20" style="position:absolute;left:0pt;flip:y;margin-left:285.05pt;margin-top:11.5pt;height:0.05pt;width:32.2pt;z-index:251680768;mso-width-relative:page;mso-height-relative:page;" filled="f" stroked="t" coordsize="21600,21600" o:gfxdata="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DuoRPNoAAAAJAQAADwAAAAAAAAABACAAAAAiAAAAZHJzL2Rvd25y&#10;ZXYueG1sUEsBAhQAFAAAAAgAh07iQH/dPCz8AQAA+QMAAA4AAAAAAAAAAQAgAAAAKQEAAGRycy9l&#10;Mm9Eb2MueG1sUEsFBgAAAAAGAAYAWQEAAJcFAAAAAA==&#10;">
                      <v:fill on="f" focussize="0,0"/>
                      <v:stroke weight="1pt" color="#000000" joinstyle="round" endarrow="open"/>
                      <v:imagedata o:title=""/>
                      <o:lock v:ext="edit" aspectratio="f"/>
                    </v:line>
                  </w:pict>
                </mc:Fallback>
              </mc:AlternateContent>
            </w:r>
            <w:r>
              <w:rPr>
                <w:color w:val="auto"/>
                <w:sz w:val="24"/>
              </w:rPr>
              <mc:AlternateContent>
                <mc:Choice Requires="wps">
                  <w:drawing>
                    <wp:anchor distT="0" distB="0" distL="114300" distR="114300" simplePos="0" relativeHeight="251679744" behindDoc="0" locked="0" layoutInCell="1" allowOverlap="1">
                      <wp:simplePos x="0" y="0"/>
                      <wp:positionH relativeFrom="column">
                        <wp:posOffset>2360930</wp:posOffset>
                      </wp:positionH>
                      <wp:positionV relativeFrom="paragraph">
                        <wp:posOffset>134620</wp:posOffset>
                      </wp:positionV>
                      <wp:extent cx="323215" cy="635"/>
                      <wp:effectExtent l="0" t="50800" r="635" b="62865"/>
                      <wp:wrapNone/>
                      <wp:docPr id="72" name="直线 181"/>
                      <wp:cNvGraphicFramePr/>
                      <a:graphic xmlns:a="http://schemas.openxmlformats.org/drawingml/2006/main">
                        <a:graphicData uri="http://schemas.microsoft.com/office/word/2010/wordprocessingShape">
                          <wps:wsp>
                            <wps:cNvCnPr/>
                            <wps:spPr>
                              <a:xfrm flipV="1">
                                <a:off x="0" y="0"/>
                                <a:ext cx="323215" cy="635"/>
                              </a:xfrm>
                              <a:prstGeom prst="line">
                                <a:avLst/>
                              </a:prstGeom>
                              <a:ln w="12700" cap="flat" cmpd="sng">
                                <a:solidFill>
                                  <a:srgbClr val="000000"/>
                                </a:solidFill>
                                <a:prstDash val="solid"/>
                                <a:headEnd type="none" w="med" len="med"/>
                                <a:tailEnd type="arrow" w="med" len="med"/>
                              </a:ln>
                              <a:effectLst/>
                            </wps:spPr>
                            <wps:bodyPr upright="1"/>
                          </wps:wsp>
                        </a:graphicData>
                      </a:graphic>
                    </wp:anchor>
                  </w:drawing>
                </mc:Choice>
                <mc:Fallback>
                  <w:pict>
                    <v:line id="直线 181" o:spid="_x0000_s1026" o:spt="20" style="position:absolute;left:0pt;flip:y;margin-left:185.9pt;margin-top:10.6pt;height:0.05pt;width:25.45pt;z-index:251679744;mso-width-relative:page;mso-height-relative:page;" filled="f" stroked="t" coordsize="21600,21600" o:gfxdata="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S4cXaAAAACQEAAA8AAAAAAAAAAQAgAAAAIgAAAGRycy9kb3du&#10;cmV2LnhtbFBLAQIUABQAAAAIAIdO4kDIeRNd/QEAAPkDAAAOAAAAAAAAAAEAIAAAACkBAABkcnMv&#10;ZTJvRG9jLnhtbFBLBQYAAAAABgAGAFkBAACYBQAAAAA=&#10;">
                      <v:fill on="f" focussize="0,0"/>
                      <v:stroke weight="1pt" color="#000000" joinstyle="round" endarrow="open"/>
                      <v:imagedata o:title=""/>
                      <o:lock v:ext="edit" aspectratio="f"/>
                    </v:line>
                  </w:pict>
                </mc:Fallback>
              </mc:AlternateContent>
            </w:r>
            <w:r>
              <w:rPr>
                <w:color w:val="auto"/>
                <w:sz w:val="24"/>
              </w:rPr>
              <mc:AlternateContent>
                <mc:Choice Requires="wps">
                  <w:drawing>
                    <wp:anchor distT="0" distB="0" distL="114300" distR="114300" simplePos="0" relativeHeight="251678720" behindDoc="0" locked="0" layoutInCell="1" allowOverlap="1">
                      <wp:simplePos x="0" y="0"/>
                      <wp:positionH relativeFrom="column">
                        <wp:posOffset>1299210</wp:posOffset>
                      </wp:positionH>
                      <wp:positionV relativeFrom="paragraph">
                        <wp:posOffset>139700</wp:posOffset>
                      </wp:positionV>
                      <wp:extent cx="266065" cy="635"/>
                      <wp:effectExtent l="0" t="50800" r="635" b="62865"/>
                      <wp:wrapNone/>
                      <wp:docPr id="73" name="直线 182"/>
                      <wp:cNvGraphicFramePr/>
                      <a:graphic xmlns:a="http://schemas.openxmlformats.org/drawingml/2006/main">
                        <a:graphicData uri="http://schemas.microsoft.com/office/word/2010/wordprocessingShape">
                          <wps:wsp>
                            <wps:cNvCnPr/>
                            <wps:spPr>
                              <a:xfrm flipV="1">
                                <a:off x="0" y="0"/>
                                <a:ext cx="266065" cy="635"/>
                              </a:xfrm>
                              <a:prstGeom prst="line">
                                <a:avLst/>
                              </a:prstGeom>
                              <a:ln w="12700" cap="flat" cmpd="sng">
                                <a:solidFill>
                                  <a:srgbClr val="000000"/>
                                </a:solidFill>
                                <a:prstDash val="solid"/>
                                <a:headEnd type="none" w="med" len="med"/>
                                <a:tailEnd type="arrow" w="med" len="med"/>
                              </a:ln>
                              <a:effectLst/>
                            </wps:spPr>
                            <wps:bodyPr upright="1"/>
                          </wps:wsp>
                        </a:graphicData>
                      </a:graphic>
                    </wp:anchor>
                  </w:drawing>
                </mc:Choice>
                <mc:Fallback>
                  <w:pict>
                    <v:line id="直线 182" o:spid="_x0000_s1026" o:spt="20" style="position:absolute;left:0pt;flip:y;margin-left:102.3pt;margin-top:11pt;height:0.05pt;width:20.95pt;z-index:251678720;mso-width-relative:page;mso-height-relative:page;" filled="f" stroked="t" coordsize="21600,21600" o:gfxdata="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70kIjdkAAAAJAQAADwAAAAAAAAABACAAAAAiAAAAZHJzL2Rvd25y&#10;ZXYueG1sUEsBAhQAFAAAAAgAh07iQHUTKu39AQAA+QMAAA4AAAAAAAAAAQAgAAAAKAEAAGRycy9l&#10;Mm9Eb2MueG1sUEsFBgAAAAAGAAYAWQEAAJcFAAAAAA==&#10;">
                      <v:fill on="f" focussize="0,0"/>
                      <v:stroke weight="1pt" color="#000000" joinstyle="round" endarrow="open"/>
                      <v:imagedata o:title=""/>
                      <o:lock v:ext="edit" aspectratio="f"/>
                    </v:line>
                  </w:pict>
                </mc:Fallback>
              </mc:AlternateContent>
            </w:r>
          </w:p>
          <w:p w14:paraId="1A763E81">
            <w:pPr>
              <w:pStyle w:val="54"/>
              <w:keepNext w:val="0"/>
              <w:keepLines w:val="0"/>
              <w:pageBreakBefore w:val="0"/>
              <w:widowControl w:val="0"/>
              <w:kinsoku/>
              <w:wordWrap/>
              <w:overflowPunct/>
              <w:topLinePunct w:val="0"/>
              <w:bidi w:val="0"/>
              <w:snapToGrid/>
              <w:spacing w:line="480" w:lineRule="exact"/>
              <w:ind w:left="0" w:leftChars="0" w:firstLine="0" w:firstLineChars="0"/>
              <w:jc w:val="both"/>
              <w:textAlignment w:val="auto"/>
              <w:rPr>
                <w:rFonts w:hint="eastAsia"/>
                <w:b/>
                <w:bCs/>
                <w:color w:val="auto"/>
              </w:rPr>
            </w:pPr>
          </w:p>
          <w:p w14:paraId="5DCE0CBC">
            <w:pPr>
              <w:pStyle w:val="54"/>
              <w:keepNext w:val="0"/>
              <w:keepLines w:val="0"/>
              <w:pageBreakBefore w:val="0"/>
              <w:widowControl w:val="0"/>
              <w:kinsoku/>
              <w:wordWrap/>
              <w:overflowPunct/>
              <w:topLinePunct w:val="0"/>
              <w:bidi w:val="0"/>
              <w:snapToGrid/>
              <w:spacing w:line="480" w:lineRule="exact"/>
              <w:ind w:left="0" w:firstLine="482"/>
              <w:jc w:val="center"/>
              <w:textAlignment w:val="auto"/>
              <w:rPr>
                <w:b/>
                <w:bCs/>
                <w:color w:val="auto"/>
              </w:rPr>
            </w:pPr>
            <w:r>
              <w:rPr>
                <w:rFonts w:hint="eastAsia"/>
                <w:b/>
                <w:bCs/>
                <w:color w:val="auto"/>
              </w:rPr>
              <w:t>图</w:t>
            </w:r>
            <w:r>
              <w:rPr>
                <w:rFonts w:hint="eastAsia"/>
                <w:b/>
                <w:bCs/>
                <w:color w:val="auto"/>
                <w:lang w:val="en-US" w:eastAsia="zh-CN"/>
              </w:rPr>
              <w:t>2-3</w:t>
            </w:r>
            <w:r>
              <w:rPr>
                <w:rFonts w:hint="eastAsia"/>
                <w:b/>
                <w:bCs/>
                <w:color w:val="auto"/>
              </w:rPr>
              <w:t xml:space="preserve">   </w:t>
            </w:r>
            <w:r>
              <w:rPr>
                <w:rFonts w:hint="eastAsia"/>
                <w:b/>
                <w:color w:val="auto"/>
                <w:sz w:val="24"/>
                <w:lang w:val="en-US" w:eastAsia="zh-CN"/>
              </w:rPr>
              <w:t>营地施工</w:t>
            </w:r>
            <w:r>
              <w:rPr>
                <w:rFonts w:hint="eastAsia"/>
                <w:b/>
                <w:bCs/>
                <w:color w:val="auto"/>
              </w:rPr>
              <w:t>工艺及产污环节图</w:t>
            </w:r>
          </w:p>
          <w:p w14:paraId="12A3EA0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b/>
                <w:color w:val="auto"/>
                <w:sz w:val="24"/>
              </w:rPr>
            </w:pPr>
            <w:r>
              <w:rPr>
                <w:rFonts w:hint="eastAsia"/>
                <w:b/>
                <w:color w:val="auto"/>
                <w:sz w:val="24"/>
                <w:lang w:val="en-US" w:eastAsia="zh-CN"/>
              </w:rPr>
              <w:t>2.勘探工程</w:t>
            </w:r>
            <w:r>
              <w:rPr>
                <w:rFonts w:hint="eastAsia"/>
                <w:b/>
                <w:color w:val="auto"/>
                <w:sz w:val="24"/>
              </w:rPr>
              <w:t>流程简述（图示）</w:t>
            </w:r>
          </w:p>
          <w:p w14:paraId="02C2F29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color w:val="auto"/>
                <w:sz w:val="24"/>
              </w:rPr>
            </w:pPr>
            <w:r>
              <w:rPr>
                <w:color w:val="auto"/>
                <w:sz w:val="24"/>
              </w:rPr>
              <w:t>探矿工作主要包括地质填图</w:t>
            </w:r>
            <w:r>
              <w:rPr>
                <w:rFonts w:hint="eastAsia"/>
                <w:color w:val="auto"/>
                <w:sz w:val="24"/>
                <w:lang w:val="en-US" w:eastAsia="zh-CN"/>
              </w:rPr>
              <w:t>、</w:t>
            </w:r>
            <w:r>
              <w:rPr>
                <w:color w:val="auto"/>
                <w:sz w:val="24"/>
              </w:rPr>
              <w:t>槽探</w:t>
            </w:r>
            <w:r>
              <w:rPr>
                <w:rFonts w:hint="eastAsia"/>
                <w:color w:val="auto"/>
                <w:sz w:val="24"/>
                <w:lang w:val="en-US" w:eastAsia="zh-CN"/>
              </w:rPr>
              <w:t>和钻探工程</w:t>
            </w:r>
            <w:r>
              <w:rPr>
                <w:color w:val="auto"/>
                <w:sz w:val="24"/>
              </w:rPr>
              <w:t>，工程实施过程中主要的污染来自槽探</w:t>
            </w:r>
            <w:r>
              <w:rPr>
                <w:rFonts w:hint="eastAsia"/>
                <w:color w:val="auto"/>
                <w:sz w:val="24"/>
                <w:lang w:val="en-US" w:eastAsia="zh-CN"/>
              </w:rPr>
              <w:t>和钻探</w:t>
            </w:r>
            <w:r>
              <w:rPr>
                <w:color w:val="auto"/>
                <w:sz w:val="24"/>
              </w:rPr>
              <w:t>过程中扬尘、机械噪声、工程弃渣及工作人员在地质填图和生活过程中产生的生活污水和生活垃圾。</w:t>
            </w:r>
          </w:p>
          <w:p w14:paraId="343E093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color w:val="auto"/>
                <w:sz w:val="24"/>
              </w:rPr>
            </w:pPr>
            <w:r>
              <w:rPr>
                <w:color w:val="auto"/>
                <w:sz w:val="24"/>
              </w:rPr>
              <w:t>探矿期间对环境的影响集中在槽探</w:t>
            </w:r>
            <w:r>
              <w:rPr>
                <w:rFonts w:hint="eastAsia"/>
                <w:color w:val="auto"/>
                <w:sz w:val="24"/>
                <w:lang w:eastAsia="zh-CN"/>
              </w:rPr>
              <w:t>、</w:t>
            </w:r>
            <w:r>
              <w:rPr>
                <w:rFonts w:hint="eastAsia"/>
                <w:color w:val="auto"/>
                <w:sz w:val="24"/>
                <w:lang w:val="en-US" w:eastAsia="zh-CN"/>
              </w:rPr>
              <w:t>钻探</w:t>
            </w:r>
            <w:r>
              <w:rPr>
                <w:color w:val="auto"/>
                <w:sz w:val="24"/>
              </w:rPr>
              <w:t>工作中，工艺流程和产污环节分别见图</w:t>
            </w:r>
            <w:r>
              <w:rPr>
                <w:rFonts w:hint="eastAsia"/>
                <w:color w:val="auto"/>
                <w:sz w:val="24"/>
                <w:lang w:val="en-US" w:eastAsia="zh-CN"/>
              </w:rPr>
              <w:t>2-4、图2-5</w:t>
            </w:r>
            <w:r>
              <w:rPr>
                <w:color w:val="auto"/>
                <w:sz w:val="24"/>
              </w:rPr>
              <w:t>。</w:t>
            </w:r>
          </w:p>
          <w:p w14:paraId="20FE672C">
            <w:pPr>
              <w:spacing w:line="360" w:lineRule="auto"/>
              <w:ind w:firstLine="480"/>
              <w:rPr>
                <w:color w:val="auto"/>
                <w:sz w:val="24"/>
              </w:rPr>
            </w:pPr>
          </w:p>
          <w:p w14:paraId="4BC6EB32">
            <w:pPr>
              <w:pStyle w:val="2"/>
              <w:rPr>
                <w:color w:val="auto"/>
              </w:rPr>
            </w:pPr>
          </w:p>
          <w:p w14:paraId="28D94F56">
            <w:pPr>
              <w:spacing w:line="360" w:lineRule="auto"/>
              <w:ind w:firstLine="480"/>
              <w:rPr>
                <w:color w:val="auto"/>
                <w:sz w:val="24"/>
              </w:rPr>
            </w:pPr>
            <w:r>
              <w:rPr>
                <w:color w:val="auto"/>
                <w:sz w:val="24"/>
              </w:rPr>
              <mc:AlternateContent>
                <mc:Choice Requires="wps">
                  <w:drawing>
                    <wp:anchor distT="0" distB="0" distL="114300" distR="114300" simplePos="0" relativeHeight="251671552" behindDoc="0" locked="0" layoutInCell="1" allowOverlap="1">
                      <wp:simplePos x="0" y="0"/>
                      <wp:positionH relativeFrom="column">
                        <wp:posOffset>3820795</wp:posOffset>
                      </wp:positionH>
                      <wp:positionV relativeFrom="paragraph">
                        <wp:posOffset>67945</wp:posOffset>
                      </wp:positionV>
                      <wp:extent cx="943610" cy="304800"/>
                      <wp:effectExtent l="0" t="0" r="8890" b="0"/>
                      <wp:wrapNone/>
                      <wp:docPr id="74" name="文本框 69"/>
                      <wp:cNvGraphicFramePr/>
                      <a:graphic xmlns:a="http://schemas.openxmlformats.org/drawingml/2006/main">
                        <a:graphicData uri="http://schemas.microsoft.com/office/word/2010/wordprocessingShape">
                          <wps:wsp>
                            <wps:cNvSpPr txBox="1"/>
                            <wps:spPr>
                              <a:xfrm>
                                <a:off x="0" y="0"/>
                                <a:ext cx="943610" cy="304800"/>
                              </a:xfrm>
                              <a:prstGeom prst="rect">
                                <a:avLst/>
                              </a:prstGeom>
                              <a:solidFill>
                                <a:srgbClr val="FFFFFF"/>
                              </a:solidFill>
                              <a:ln>
                                <a:noFill/>
                              </a:ln>
                              <a:effectLst/>
                            </wps:spPr>
                            <wps:txbx>
                              <w:txbxContent>
                                <w:p w14:paraId="409CC00C">
                                  <w:pPr>
                                    <w:rPr>
                                      <w:szCs w:val="21"/>
                                    </w:rPr>
                                  </w:pPr>
                                  <w:r>
                                    <w:rPr>
                                      <w:rFonts w:hint="eastAsia"/>
                                      <w:szCs w:val="21"/>
                                    </w:rPr>
                                    <w:t>扬尘、噪声</w:t>
                                  </w:r>
                                </w:p>
                              </w:txbxContent>
                            </wps:txbx>
                            <wps:bodyPr vert="horz" wrap="square" anchor="t" anchorCtr="0" upright="1"/>
                          </wps:wsp>
                        </a:graphicData>
                      </a:graphic>
                    </wp:anchor>
                  </w:drawing>
                </mc:Choice>
                <mc:Fallback>
                  <w:pict>
                    <v:shape id="文本框 69" o:spid="_x0000_s1026" o:spt="202" type="#_x0000_t202" style="position:absolute;left:0pt;margin-left:300.85pt;margin-top:5.35pt;height:24pt;width:74.3pt;z-index:251671552;mso-width-relative:page;mso-height-relative:page;" fillcolor="#FFFFFF" filled="t" stroked="f" coordsize="21600,21600" o:gfxdata="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XFLbR1gAA&#10;AAkBAAAPAAAAAAAAAAEAIAAAACIAAABkcnMvZG93bnJldi54bWxQSwECFAAUAAAACACHTuJAMUZF&#10;KucBAAC5AwAADgAAAAAAAAABACAAAAAlAQAAZHJzL2Uyb0RvYy54bWxQSwUGAAAAAAYABgBZAQAA&#10;fgUAAAAA&#10;">
                      <v:fill on="t" focussize="0,0"/>
                      <v:stroke on="f"/>
                      <v:imagedata o:title=""/>
                      <o:lock v:ext="edit" aspectratio="f"/>
                      <v:textbox>
                        <w:txbxContent>
                          <w:p w14:paraId="409CC00C">
                            <w:pPr>
                              <w:rPr>
                                <w:szCs w:val="21"/>
                              </w:rPr>
                            </w:pPr>
                            <w:r>
                              <w:rPr>
                                <w:rFonts w:hint="eastAsia"/>
                                <w:szCs w:val="21"/>
                              </w:rPr>
                              <w:t>扬尘、噪声</w:t>
                            </w:r>
                          </w:p>
                        </w:txbxContent>
                      </v:textbox>
                    </v:shape>
                  </w:pict>
                </mc:Fallback>
              </mc:AlternateContent>
            </w:r>
            <w:r>
              <w:rPr>
                <w:color w:val="auto"/>
                <w:sz w:val="24"/>
              </w:rPr>
              <mc:AlternateContent>
                <mc:Choice Requires="wps">
                  <w:drawing>
                    <wp:anchor distT="0" distB="0" distL="114300" distR="114300" simplePos="0" relativeHeight="251669504" behindDoc="0" locked="0" layoutInCell="1" allowOverlap="1">
                      <wp:simplePos x="0" y="0"/>
                      <wp:positionH relativeFrom="column">
                        <wp:posOffset>1690370</wp:posOffset>
                      </wp:positionH>
                      <wp:positionV relativeFrom="paragraph">
                        <wp:posOffset>55880</wp:posOffset>
                      </wp:positionV>
                      <wp:extent cx="943610" cy="304800"/>
                      <wp:effectExtent l="0" t="0" r="8890" b="0"/>
                      <wp:wrapNone/>
                      <wp:docPr id="75" name="文本框 70"/>
                      <wp:cNvGraphicFramePr/>
                      <a:graphic xmlns:a="http://schemas.openxmlformats.org/drawingml/2006/main">
                        <a:graphicData uri="http://schemas.microsoft.com/office/word/2010/wordprocessingShape">
                          <wps:wsp>
                            <wps:cNvSpPr txBox="1"/>
                            <wps:spPr>
                              <a:xfrm>
                                <a:off x="0" y="0"/>
                                <a:ext cx="943610" cy="304800"/>
                              </a:xfrm>
                              <a:prstGeom prst="rect">
                                <a:avLst/>
                              </a:prstGeom>
                              <a:solidFill>
                                <a:srgbClr val="FFFFFF"/>
                              </a:solidFill>
                              <a:ln>
                                <a:noFill/>
                              </a:ln>
                              <a:effectLst/>
                            </wps:spPr>
                            <wps:txbx>
                              <w:txbxContent>
                                <w:p w14:paraId="5B22771F">
                                  <w:pPr>
                                    <w:rPr>
                                      <w:szCs w:val="21"/>
                                    </w:rPr>
                                  </w:pPr>
                                  <w:r>
                                    <w:rPr>
                                      <w:rFonts w:hint="eastAsia"/>
                                      <w:szCs w:val="21"/>
                                    </w:rPr>
                                    <w:t>扬尘、噪声</w:t>
                                  </w:r>
                                </w:p>
                              </w:txbxContent>
                            </wps:txbx>
                            <wps:bodyPr vert="horz" wrap="square" anchor="t" anchorCtr="0" upright="1"/>
                          </wps:wsp>
                        </a:graphicData>
                      </a:graphic>
                    </wp:anchor>
                  </w:drawing>
                </mc:Choice>
                <mc:Fallback>
                  <w:pict>
                    <v:shape id="文本框 70" o:spid="_x0000_s1026" o:spt="202" type="#_x0000_t202" style="position:absolute;left:0pt;margin-left:133.1pt;margin-top:4.4pt;height:24pt;width:74.3pt;z-index:251669504;mso-width-relative:page;mso-height-relative:page;" fillcolor="#FFFFFF" filled="t" stroked="f" coordsize="21600,21600" o:gfxdata="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Gka53WAAAA&#10;CAEAAA8AAAAAAAAAAQAgAAAAIgAAAGRycy9kb3ducmV2LnhtbFBLAQIUABQAAAAIAIdO4kDNo3ET&#10;5gEAALkDAAAOAAAAAAAAAAEAIAAAACUBAABkcnMvZTJvRG9jLnhtbFBLBQYAAAAABgAGAFkBAAB9&#10;BQAAAAA=&#10;">
                      <v:fill on="t" focussize="0,0"/>
                      <v:stroke on="f"/>
                      <v:imagedata o:title=""/>
                      <o:lock v:ext="edit" aspectratio="f"/>
                      <v:textbox>
                        <w:txbxContent>
                          <w:p w14:paraId="5B22771F">
                            <w:pPr>
                              <w:rPr>
                                <w:szCs w:val="21"/>
                              </w:rPr>
                            </w:pPr>
                            <w:r>
                              <w:rPr>
                                <w:rFonts w:hint="eastAsia"/>
                                <w:szCs w:val="21"/>
                              </w:rPr>
                              <w:t>扬尘、噪声</w:t>
                            </w:r>
                          </w:p>
                        </w:txbxContent>
                      </v:textbox>
                    </v:shape>
                  </w:pict>
                </mc:Fallback>
              </mc:AlternateContent>
            </w:r>
            <w:r>
              <w:rPr>
                <w:color w:val="auto"/>
                <w:sz w:val="24"/>
              </w:rPr>
              <mc:AlternateContent>
                <mc:Choice Requires="wps">
                  <w:drawing>
                    <wp:anchor distT="0" distB="0" distL="114300" distR="114300" simplePos="0" relativeHeight="251670528" behindDoc="0" locked="0" layoutInCell="1" allowOverlap="1">
                      <wp:simplePos x="0" y="0"/>
                      <wp:positionH relativeFrom="column">
                        <wp:posOffset>257175</wp:posOffset>
                      </wp:positionH>
                      <wp:positionV relativeFrom="paragraph">
                        <wp:posOffset>60325</wp:posOffset>
                      </wp:positionV>
                      <wp:extent cx="943610" cy="304800"/>
                      <wp:effectExtent l="0" t="0" r="8890" b="0"/>
                      <wp:wrapNone/>
                      <wp:docPr id="76" name="文本框 74"/>
                      <wp:cNvGraphicFramePr/>
                      <a:graphic xmlns:a="http://schemas.openxmlformats.org/drawingml/2006/main">
                        <a:graphicData uri="http://schemas.microsoft.com/office/word/2010/wordprocessingShape">
                          <wps:wsp>
                            <wps:cNvSpPr txBox="1"/>
                            <wps:spPr>
                              <a:xfrm>
                                <a:off x="0" y="0"/>
                                <a:ext cx="943610" cy="304800"/>
                              </a:xfrm>
                              <a:prstGeom prst="rect">
                                <a:avLst/>
                              </a:prstGeom>
                              <a:noFill/>
                              <a:ln>
                                <a:noFill/>
                              </a:ln>
                              <a:effectLst/>
                            </wps:spPr>
                            <wps:txbx>
                              <w:txbxContent>
                                <w:p w14:paraId="6B71195D">
                                  <w:pPr>
                                    <w:rPr>
                                      <w:szCs w:val="21"/>
                                    </w:rPr>
                                  </w:pPr>
                                  <w:r>
                                    <w:rPr>
                                      <w:rFonts w:hint="eastAsia"/>
                                      <w:szCs w:val="21"/>
                                    </w:rPr>
                                    <w:t>扬尘、噪声</w:t>
                                  </w:r>
                                </w:p>
                              </w:txbxContent>
                            </wps:txbx>
                            <wps:bodyPr vert="horz" wrap="square" anchor="t" anchorCtr="0" upright="1"/>
                          </wps:wsp>
                        </a:graphicData>
                      </a:graphic>
                    </wp:anchor>
                  </w:drawing>
                </mc:Choice>
                <mc:Fallback>
                  <w:pict>
                    <v:shape id="文本框 74" o:spid="_x0000_s1026" o:spt="202" type="#_x0000_t202" style="position:absolute;left:0pt;margin-left:20.25pt;margin-top:4.75pt;height:24pt;width:74.3pt;z-index:251670528;mso-width-relative:page;mso-height-relative:page;" filled="f" stroked="f" coordsize="21600,21600" o:gfxdata="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SxC/mtQAAAAHAQAADwAAAAAAAAABACAAAAAiAAAA&#10;ZHJzL2Rvd25yZXYueG1sUEsBAhQAFAAAAAgAh07iQGLANNPSAQAAkAMAAA4AAAAAAAAAAQAgAAAA&#10;IwEAAGRycy9lMm9Eb2MueG1sUEsFBgAAAAAGAAYAWQEAAGcFAAAAAA==&#10;">
                      <v:fill on="f" focussize="0,0"/>
                      <v:stroke on="f"/>
                      <v:imagedata o:title=""/>
                      <o:lock v:ext="edit" aspectratio="f"/>
                      <v:textbox>
                        <w:txbxContent>
                          <w:p w14:paraId="6B71195D">
                            <w:pPr>
                              <w:rPr>
                                <w:szCs w:val="21"/>
                              </w:rPr>
                            </w:pPr>
                            <w:r>
                              <w:rPr>
                                <w:rFonts w:hint="eastAsia"/>
                                <w:szCs w:val="21"/>
                              </w:rPr>
                              <w:t>扬尘、噪声</w:t>
                            </w:r>
                          </w:p>
                        </w:txbxContent>
                      </v:textbox>
                    </v:shape>
                  </w:pict>
                </mc:Fallback>
              </mc:AlternateContent>
            </w:r>
          </w:p>
          <w:p w14:paraId="1A791B89">
            <w:pPr>
              <w:spacing w:line="360" w:lineRule="auto"/>
              <w:ind w:firstLine="480"/>
              <w:rPr>
                <w:color w:val="auto"/>
                <w:sz w:val="24"/>
              </w:rPr>
            </w:pPr>
            <w:r>
              <w:rPr>
                <w:color w:val="auto"/>
                <w:sz w:val="24"/>
              </w:rPr>
              <mc:AlternateContent>
                <mc:Choice Requires="wps">
                  <w:drawing>
                    <wp:anchor distT="0" distB="0" distL="114300" distR="114300" simplePos="0" relativeHeight="251667456" behindDoc="0" locked="0" layoutInCell="1" allowOverlap="1">
                      <wp:simplePos x="0" y="0"/>
                      <wp:positionH relativeFrom="column">
                        <wp:posOffset>2101215</wp:posOffset>
                      </wp:positionH>
                      <wp:positionV relativeFrom="paragraph">
                        <wp:posOffset>73025</wp:posOffset>
                      </wp:positionV>
                      <wp:extent cx="635" cy="257175"/>
                      <wp:effectExtent l="37465" t="0" r="38100" b="9525"/>
                      <wp:wrapNone/>
                      <wp:docPr id="78" name="自选图形 76"/>
                      <wp:cNvGraphicFramePr/>
                      <a:graphic xmlns:a="http://schemas.openxmlformats.org/drawingml/2006/main">
                        <a:graphicData uri="http://schemas.microsoft.com/office/word/2010/wordprocessingShape">
                          <wps:wsp>
                            <wps:cNvCnPr/>
                            <wps:spPr>
                              <a:xfrm flipV="1">
                                <a:off x="0" y="0"/>
                                <a:ext cx="635" cy="257175"/>
                              </a:xfrm>
                              <a:prstGeom prst="straightConnector1">
                                <a:avLst/>
                              </a:prstGeom>
                              <a:ln w="9525" cap="flat" cmpd="sng">
                                <a:solidFill>
                                  <a:srgbClr val="000000"/>
                                </a:solidFill>
                                <a:prstDash val="dash"/>
                                <a:headEnd type="none" w="med" len="med"/>
                                <a:tailEnd type="triangle" w="med" len="med"/>
                              </a:ln>
                              <a:effectLst/>
                            </wps:spPr>
                            <wps:bodyPr/>
                          </wps:wsp>
                        </a:graphicData>
                      </a:graphic>
                    </wp:anchor>
                  </w:drawing>
                </mc:Choice>
                <mc:Fallback>
                  <w:pict>
                    <v:shape id="自选图形 76" o:spid="_x0000_s1026" o:spt="32" type="#_x0000_t32" style="position:absolute;left:0pt;flip:y;margin-left:165.45pt;margin-top:5.75pt;height:20.25pt;width:0.05pt;z-index:251667456;mso-width-relative:page;mso-height-relative:page;" filled="f" stroked="t" coordsize="21600,21600" o:gfxdata="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&#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UH48bUAAAACQEAAA8AAAAAAAAAAQAgAAAAIgAAAGRy&#10;cy9kb3ducmV2LnhtbFBLAQIUABQAAAAIAIdO4kDr8afrCQIAAAEEAAAOAAAAAAAAAAEAIAAAACMB&#10;AABkcnMvZTJvRG9jLnhtbFBLBQYAAAAABgAGAFkBAACeBQAAAAA=&#10;">
                      <v:fill on="f" focussize="0,0"/>
                      <v:stroke color="#000000" joinstyle="round" dashstyle="dash" endarrow="block"/>
                      <v:imagedata o:title=""/>
                      <o:lock v:ext="edit" aspectratio="f"/>
                    </v:shape>
                  </w:pict>
                </mc:Fallback>
              </mc:AlternateContent>
            </w:r>
            <w:r>
              <w:rPr>
                <w:color w:val="auto"/>
                <w:sz w:val="24"/>
              </w:rPr>
              <mc:AlternateContent>
                <mc:Choice Requires="wps">
                  <w:drawing>
                    <wp:anchor distT="0" distB="0" distL="114300" distR="114300" simplePos="0" relativeHeight="251668480" behindDoc="0" locked="0" layoutInCell="1" allowOverlap="1">
                      <wp:simplePos x="0" y="0"/>
                      <wp:positionH relativeFrom="column">
                        <wp:posOffset>721995</wp:posOffset>
                      </wp:positionH>
                      <wp:positionV relativeFrom="paragraph">
                        <wp:posOffset>64770</wp:posOffset>
                      </wp:positionV>
                      <wp:extent cx="635" cy="257175"/>
                      <wp:effectExtent l="37465" t="0" r="38100" b="9525"/>
                      <wp:wrapNone/>
                      <wp:docPr id="79" name="自选图形 83"/>
                      <wp:cNvGraphicFramePr/>
                      <a:graphic xmlns:a="http://schemas.openxmlformats.org/drawingml/2006/main">
                        <a:graphicData uri="http://schemas.microsoft.com/office/word/2010/wordprocessingShape">
                          <wps:wsp>
                            <wps:cNvCnPr/>
                            <wps:spPr>
                              <a:xfrm flipV="1">
                                <a:off x="0" y="0"/>
                                <a:ext cx="635" cy="257175"/>
                              </a:xfrm>
                              <a:prstGeom prst="straightConnector1">
                                <a:avLst/>
                              </a:prstGeom>
                              <a:ln w="9525" cap="flat" cmpd="sng">
                                <a:solidFill>
                                  <a:srgbClr val="000000"/>
                                </a:solidFill>
                                <a:prstDash val="dash"/>
                                <a:headEnd type="none" w="med" len="med"/>
                                <a:tailEnd type="triangle" w="med" len="med"/>
                              </a:ln>
                              <a:effectLst/>
                            </wps:spPr>
                            <wps:bodyPr/>
                          </wps:wsp>
                        </a:graphicData>
                      </a:graphic>
                    </wp:anchor>
                  </w:drawing>
                </mc:Choice>
                <mc:Fallback>
                  <w:pict>
                    <v:shape id="自选图形 83" o:spid="_x0000_s1026" o:spt="32" type="#_x0000_t32" style="position:absolute;left:0pt;flip:y;margin-left:56.85pt;margin-top:5.1pt;height:20.25pt;width:0.05pt;z-index:251668480;mso-width-relative:page;mso-height-relative:page;" filled="f" stroked="t" coordsize="21600,21600" o:gfxdata="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YnR6B0wAAAAkBAAAPAAAAAAAAAAEAIAAAACIAAABk&#10;cnMvZG93bnJldi54bWxQSwECFAAUAAAACACHTuJAmIaAlQsCAAABBAAADgAAAAAAAAABACAAAAAi&#10;AQAAZHJzL2Uyb0RvYy54bWxQSwUGAAAAAAYABgBZAQAAnwUAAAAA&#10;">
                      <v:fill on="f" focussize="0,0"/>
                      <v:stroke color="#000000" joinstyle="round" dashstyle="dash" endarrow="block"/>
                      <v:imagedata o:title=""/>
                      <o:lock v:ext="edit" aspectratio="f"/>
                    </v:shape>
                  </w:pict>
                </mc:Fallback>
              </mc:AlternateContent>
            </w:r>
            <w:r>
              <w:rPr>
                <w:color w:val="auto"/>
                <w:sz w:val="24"/>
              </w:rPr>
              <mc:AlternateContent>
                <mc:Choice Requires="wps">
                  <w:drawing>
                    <wp:anchor distT="0" distB="0" distL="114300" distR="114300" simplePos="0" relativeHeight="251672576" behindDoc="0" locked="0" layoutInCell="1" allowOverlap="1">
                      <wp:simplePos x="0" y="0"/>
                      <wp:positionH relativeFrom="column">
                        <wp:posOffset>4300220</wp:posOffset>
                      </wp:positionH>
                      <wp:positionV relativeFrom="paragraph">
                        <wp:posOffset>115570</wp:posOffset>
                      </wp:positionV>
                      <wp:extent cx="635" cy="257175"/>
                      <wp:effectExtent l="37465" t="0" r="38100" b="9525"/>
                      <wp:wrapNone/>
                      <wp:docPr id="77" name="自选图形 75"/>
                      <wp:cNvGraphicFramePr/>
                      <a:graphic xmlns:a="http://schemas.openxmlformats.org/drawingml/2006/main">
                        <a:graphicData uri="http://schemas.microsoft.com/office/word/2010/wordprocessingShape">
                          <wps:wsp>
                            <wps:cNvCnPr/>
                            <wps:spPr>
                              <a:xfrm flipV="1">
                                <a:off x="0" y="0"/>
                                <a:ext cx="635" cy="257175"/>
                              </a:xfrm>
                              <a:prstGeom prst="straightConnector1">
                                <a:avLst/>
                              </a:prstGeom>
                              <a:ln w="9525" cap="flat" cmpd="sng">
                                <a:solidFill>
                                  <a:srgbClr val="000000"/>
                                </a:solidFill>
                                <a:prstDash val="dash"/>
                                <a:headEnd type="none" w="med" len="med"/>
                                <a:tailEnd type="triangle" w="med" len="med"/>
                              </a:ln>
                              <a:effectLst/>
                            </wps:spPr>
                            <wps:bodyPr/>
                          </wps:wsp>
                        </a:graphicData>
                      </a:graphic>
                    </wp:anchor>
                  </w:drawing>
                </mc:Choice>
                <mc:Fallback>
                  <w:pict>
                    <v:shape id="自选图形 75" o:spid="_x0000_s1026" o:spt="32" type="#_x0000_t32" style="position:absolute;left:0pt;flip:y;margin-left:338.6pt;margin-top:9.1pt;height:20.25pt;width:0.05pt;z-index:251672576;mso-width-relative:page;mso-height-relative:page;" filled="f" stroked="t" coordsize="21600,21600" o:gfxdata="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It47NQAAAAJAQAADwAAAAAAAAABACAAAAAiAAAA&#10;ZHJzL2Rvd25yZXYueG1sUEsBAhQAFAAAAAgAh07iQOlRfisLAgAAAQQAAA4AAAAAAAAAAQAgAAAA&#10;IwEAAGRycy9lMm9Eb2MueG1sUEsFBgAAAAAGAAYAWQEAAKAFAAAAAA==&#10;">
                      <v:fill on="f" focussize="0,0"/>
                      <v:stroke color="#000000" joinstyle="round" dashstyle="dash" endarrow="block"/>
                      <v:imagedata o:title=""/>
                      <o:lock v:ext="edit" aspectratio="f"/>
                    </v:shape>
                  </w:pict>
                </mc:Fallback>
              </mc:AlternateContent>
            </w:r>
          </w:p>
          <w:p w14:paraId="51E930E7">
            <w:pPr>
              <w:spacing w:line="360" w:lineRule="auto"/>
              <w:ind w:firstLine="482"/>
              <w:rPr>
                <w:b/>
                <w:color w:val="auto"/>
                <w:sz w:val="24"/>
              </w:rPr>
            </w:pPr>
            <w:r>
              <w:rPr>
                <w:b/>
                <w:color w:val="auto"/>
                <w:sz w:val="24"/>
              </w:rPr>
              <mc:AlternateContent>
                <mc:Choice Requires="wps">
                  <w:drawing>
                    <wp:anchor distT="0" distB="0" distL="114300" distR="114300" simplePos="0" relativeHeight="251661312" behindDoc="0" locked="0" layoutInCell="1" allowOverlap="1">
                      <wp:simplePos x="0" y="0"/>
                      <wp:positionH relativeFrom="column">
                        <wp:posOffset>2977515</wp:posOffset>
                      </wp:positionH>
                      <wp:positionV relativeFrom="paragraph">
                        <wp:posOffset>73025</wp:posOffset>
                      </wp:positionV>
                      <wp:extent cx="622300" cy="429260"/>
                      <wp:effectExtent l="4445" t="4445" r="20955" b="23495"/>
                      <wp:wrapNone/>
                      <wp:docPr id="83" name="文本框 89"/>
                      <wp:cNvGraphicFramePr/>
                      <a:graphic xmlns:a="http://schemas.openxmlformats.org/drawingml/2006/main">
                        <a:graphicData uri="http://schemas.microsoft.com/office/word/2010/wordprocessingShape">
                          <wps:wsp>
                            <wps:cNvSpPr txBox="1"/>
                            <wps:spPr>
                              <a:xfrm>
                                <a:off x="0" y="0"/>
                                <a:ext cx="622300" cy="4292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470F60B">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取样、</w:t>
                                  </w:r>
                                </w:p>
                                <w:p w14:paraId="5AF26B28">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编录</w:t>
                                  </w:r>
                                </w:p>
                              </w:txbxContent>
                            </wps:txbx>
                            <wps:bodyPr vert="horz" wrap="square" lIns="18000" tIns="10800" rIns="18000" bIns="10800" anchor="t" anchorCtr="0" upright="1"/>
                          </wps:wsp>
                        </a:graphicData>
                      </a:graphic>
                    </wp:anchor>
                  </w:drawing>
                </mc:Choice>
                <mc:Fallback>
                  <w:pict>
                    <v:shape id="文本框 89" o:spid="_x0000_s1026" o:spt="202" type="#_x0000_t202" style="position:absolute;left:0pt;margin-left:234.45pt;margin-top:5.75pt;height:33.8pt;width:49pt;z-index:251661312;mso-width-relative:page;mso-height-relative:page;" fillcolor="#FFFFFF" filled="t" stroked="t" coordsize="21600,21600" o:gfxdata="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n/28HYAAAACQEAAA8AAAAAAAAAAQAg&#10;AAAAIgAAAGRycy9kb3ducmV2LnhtbFBLAQIUABQAAAAIAIdO4kD1EnD0RwIAAKwEAAAOAAAAAAAA&#10;AAEAIAAAACcBAABkcnMvZTJvRG9jLnhtbFBLBQYAAAAABgAGAFkBAADgBQAAAAA=&#10;">
                      <v:fill on="t" focussize="0,0"/>
                      <v:stroke color="#000000" joinstyle="miter"/>
                      <v:imagedata o:title=""/>
                      <o:lock v:ext="edit" aspectratio="f"/>
                      <v:textbox inset="0.5mm,0.3mm,0.5mm,0.3mm">
                        <w:txbxContent>
                          <w:p w14:paraId="6470F60B">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取样、</w:t>
                            </w:r>
                          </w:p>
                          <w:p w14:paraId="5AF26B28">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编录</w:t>
                            </w:r>
                          </w:p>
                        </w:txbxContent>
                      </v:textbox>
                    </v:shape>
                  </w:pict>
                </mc:Fallback>
              </mc:AlternateContent>
            </w:r>
            <w:r>
              <w:rPr>
                <w:b/>
                <w:color w:val="auto"/>
                <w:sz w:val="24"/>
              </w:rPr>
              <mc:AlternateContent>
                <mc:Choice Requires="wps">
                  <w:drawing>
                    <wp:anchor distT="0" distB="0" distL="114300" distR="114300" simplePos="0" relativeHeight="251664384" behindDoc="0" locked="0" layoutInCell="1" allowOverlap="1">
                      <wp:simplePos x="0" y="0"/>
                      <wp:positionH relativeFrom="column">
                        <wp:posOffset>2567305</wp:posOffset>
                      </wp:positionH>
                      <wp:positionV relativeFrom="paragraph">
                        <wp:posOffset>243840</wp:posOffset>
                      </wp:positionV>
                      <wp:extent cx="387350" cy="0"/>
                      <wp:effectExtent l="0" t="38100" r="12700" b="38100"/>
                      <wp:wrapNone/>
                      <wp:docPr id="88" name="直线 94"/>
                      <wp:cNvGraphicFramePr/>
                      <a:graphic xmlns:a="http://schemas.openxmlformats.org/drawingml/2006/main">
                        <a:graphicData uri="http://schemas.microsoft.com/office/word/2010/wordprocessingShape">
                          <wps:wsp>
                            <wps:cNvCnPr/>
                            <wps:spPr>
                              <a:xfrm>
                                <a:off x="0" y="0"/>
                                <a:ext cx="387350"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直线 94" o:spid="_x0000_s1026" o:spt="20" style="position:absolute;left:0pt;margin-left:202.15pt;margin-top:19.2pt;height:0pt;width:30.5pt;z-index:251664384;mso-width-relative:page;mso-height-relative:page;" filled="f" stroked="t" coordsize="21600,21600" o:gfxdata="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JNQotgAAAAJAQAADwAAAAAAAAABACAAAAAiAAAAZHJzL2Rvd25yZXYueG1sUEsB&#10;AhQAFAAAAAgAh07iQAkI1Hz1AQAA7gMAAA4AAAAAAAAAAQAgAAAAJwEAAGRycy9lMm9Eb2MueG1s&#10;UEsFBgAAAAAGAAYAWQEAAI4FAAAAAA==&#10;">
                      <v:fill on="f" focussize="0,0"/>
                      <v:stroke color="#000000" joinstyle="round" endarrow="block"/>
                      <v:imagedata o:title=""/>
                      <o:lock v:ext="edit" aspectratio="f"/>
                    </v:line>
                  </w:pict>
                </mc:Fallback>
              </mc:AlternateContent>
            </w:r>
            <w:r>
              <w:rPr>
                <w:b/>
                <w:color w:val="auto"/>
                <w:sz w:val="24"/>
              </w:rPr>
              <mc:AlternateContent>
                <mc:Choice Requires="wps">
                  <w:drawing>
                    <wp:anchor distT="0" distB="0" distL="114300" distR="114300" simplePos="0" relativeHeight="251663360" behindDoc="0" locked="0" layoutInCell="1" allowOverlap="1">
                      <wp:simplePos x="0" y="0"/>
                      <wp:positionH relativeFrom="column">
                        <wp:posOffset>1221105</wp:posOffset>
                      </wp:positionH>
                      <wp:positionV relativeFrom="paragraph">
                        <wp:posOffset>228600</wp:posOffset>
                      </wp:positionV>
                      <wp:extent cx="400050" cy="4445"/>
                      <wp:effectExtent l="0" t="34290" r="0" b="37465"/>
                      <wp:wrapNone/>
                      <wp:docPr id="84" name="直线 90"/>
                      <wp:cNvGraphicFramePr/>
                      <a:graphic xmlns:a="http://schemas.openxmlformats.org/drawingml/2006/main">
                        <a:graphicData uri="http://schemas.microsoft.com/office/word/2010/wordprocessingShape">
                          <wps:wsp>
                            <wps:cNvCnPr/>
                            <wps:spPr>
                              <a:xfrm>
                                <a:off x="0" y="0"/>
                                <a:ext cx="400050" cy="444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直线 90" o:spid="_x0000_s1026" o:spt="20" style="position:absolute;left:0pt;margin-left:96.15pt;margin-top:18pt;height:0.35pt;width:31.5pt;z-index:251663360;mso-width-relative:page;mso-height-relative:page;" filled="f" stroked="t" coordsize="21600,21600" o:gfxdata="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RinTvZAAAACQEAAA8AAAAAAAAAAQAgAAAAIgAAAGRycy9kb3ducmV2LnhtbFBL&#10;AQIUABQAAAAIAIdO4kBcvrgO9QEAAPEDAAAOAAAAAAAAAAEAIAAAACgBAABkcnMvZTJvRG9jLnht&#10;bFBLBQYAAAAABgAGAFkBAACPBQAAAAA=&#10;">
                      <v:fill on="f" focussize="0,0"/>
                      <v:stroke color="#000000" joinstyle="round" endarrow="block"/>
                      <v:imagedata o:title=""/>
                      <o:lock v:ext="edit" aspectratio="f"/>
                    </v:line>
                  </w:pict>
                </mc:Fallback>
              </mc:AlternateContent>
            </w:r>
            <w:r>
              <w:rPr>
                <w:b/>
                <w:color w:val="auto"/>
                <w:sz w:val="24"/>
              </w:rPr>
              <mc:AlternateContent>
                <mc:Choice Requires="wps">
                  <w:drawing>
                    <wp:anchor distT="0" distB="0" distL="114300" distR="114300" simplePos="0" relativeHeight="251662336" behindDoc="0" locked="0" layoutInCell="1" allowOverlap="1">
                      <wp:simplePos x="0" y="0"/>
                      <wp:positionH relativeFrom="column">
                        <wp:posOffset>3949700</wp:posOffset>
                      </wp:positionH>
                      <wp:positionV relativeFrom="paragraph">
                        <wp:posOffset>125730</wp:posOffset>
                      </wp:positionV>
                      <wp:extent cx="737235" cy="364490"/>
                      <wp:effectExtent l="4445" t="4445" r="20320" b="12065"/>
                      <wp:wrapNone/>
                      <wp:docPr id="80" name="文本框 86"/>
                      <wp:cNvGraphicFramePr/>
                      <a:graphic xmlns:a="http://schemas.openxmlformats.org/drawingml/2006/main">
                        <a:graphicData uri="http://schemas.microsoft.com/office/word/2010/wordprocessingShape">
                          <wps:wsp>
                            <wps:cNvSpPr txBox="1"/>
                            <wps:spPr>
                              <a:xfrm>
                                <a:off x="0" y="0"/>
                                <a:ext cx="737235" cy="3644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8396B66">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回填</w:t>
                                  </w:r>
                                </w:p>
                              </w:txbxContent>
                            </wps:txbx>
                            <wps:bodyPr vert="horz" wrap="square" anchor="t" anchorCtr="0" upright="1"/>
                          </wps:wsp>
                        </a:graphicData>
                      </a:graphic>
                    </wp:anchor>
                  </w:drawing>
                </mc:Choice>
                <mc:Fallback>
                  <w:pict>
                    <v:shape id="文本框 86" o:spid="_x0000_s1026" o:spt="202" type="#_x0000_t202" style="position:absolute;left:0pt;margin-left:311pt;margin-top:9.9pt;height:28.7pt;width:58.05pt;z-index:251662336;mso-width-relative:page;mso-height-relative:page;" fillcolor="#FFFFFF" filled="t" stroked="t" coordsize="21600,21600" o:gfxdata="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mR+LL2AAAAAkBAAAPAAAAAAAAAAEAIAAAACIAAABkcnMvZG93bnJldi54&#10;bWxQSwECFAAUAAAACACHTuJAlel8OzMCAAB4BAAADgAAAAAAAAABACAAAAAnAQAAZHJzL2Uyb0Rv&#10;Yy54bWxQSwUGAAAAAAYABgBZAQAAzAUAAAAA&#10;">
                      <v:fill on="t" focussize="0,0"/>
                      <v:stroke color="#000000" joinstyle="miter"/>
                      <v:imagedata o:title=""/>
                      <o:lock v:ext="edit" aspectratio="f"/>
                      <v:textbox>
                        <w:txbxContent>
                          <w:p w14:paraId="38396B66">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回填</w:t>
                            </w:r>
                          </w:p>
                        </w:txbxContent>
                      </v:textbox>
                    </v:shape>
                  </w:pict>
                </mc:Fallback>
              </mc:AlternateContent>
            </w:r>
            <w:r>
              <w:rPr>
                <w:b/>
                <w:color w:val="auto"/>
                <w:sz w:val="24"/>
              </w:rPr>
              <mc:AlternateContent>
                <mc:Choice Requires="wps">
                  <w:drawing>
                    <wp:anchor distT="0" distB="0" distL="114300" distR="114300" simplePos="0" relativeHeight="251659264" behindDoc="0" locked="0" layoutInCell="1" allowOverlap="1">
                      <wp:simplePos x="0" y="0"/>
                      <wp:positionH relativeFrom="column">
                        <wp:posOffset>347345</wp:posOffset>
                      </wp:positionH>
                      <wp:positionV relativeFrom="paragraph">
                        <wp:posOffset>46355</wp:posOffset>
                      </wp:positionV>
                      <wp:extent cx="850900" cy="314325"/>
                      <wp:effectExtent l="5080" t="4445" r="20320" b="5080"/>
                      <wp:wrapNone/>
                      <wp:docPr id="81" name="文本框 87"/>
                      <wp:cNvGraphicFramePr/>
                      <a:graphic xmlns:a="http://schemas.openxmlformats.org/drawingml/2006/main">
                        <a:graphicData uri="http://schemas.microsoft.com/office/word/2010/wordprocessingShape">
                          <wps:wsp>
                            <wps:cNvSpPr txBox="1"/>
                            <wps:spPr>
                              <a:xfrm>
                                <a:off x="0" y="0"/>
                                <a:ext cx="850900" cy="3143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9A8E531">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施工准备</w:t>
                                  </w:r>
                                </w:p>
                              </w:txbxContent>
                            </wps:txbx>
                            <wps:bodyPr vert="horz" wrap="square" anchor="t" anchorCtr="0" upright="1"/>
                          </wps:wsp>
                        </a:graphicData>
                      </a:graphic>
                    </wp:anchor>
                  </w:drawing>
                </mc:Choice>
                <mc:Fallback>
                  <w:pict>
                    <v:shape id="文本框 87" o:spid="_x0000_s1026" o:spt="202" type="#_x0000_t202" style="position:absolute;left:0pt;margin-left:27.35pt;margin-top:3.65pt;height:24.75pt;width:67pt;z-index:251659264;mso-width-relative:page;mso-height-relative:page;" fillcolor="#FFFFFF" filled="t" stroked="t" coordsize="21600,21600" o:gfxdata="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k6kiHVAAAABwEAAA8AAAAAAAAAAQAgAAAAIgAAAGRycy9kb3ducmV2LnhtbFBLAQIU&#10;ABQAAAAIAIdO4kAJrEJ2LwIAAHgEAAAOAAAAAAAAAAEAIAAAACQBAABkcnMvZTJvRG9jLnhtbFBL&#10;BQYAAAAABgAGAFkBAADFBQAAAAA=&#10;">
                      <v:fill on="t" focussize="0,0"/>
                      <v:stroke color="#000000" joinstyle="miter"/>
                      <v:imagedata o:title=""/>
                      <o:lock v:ext="edit" aspectratio="f"/>
                      <v:textbox>
                        <w:txbxContent>
                          <w:p w14:paraId="69A8E531">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施工准备</w:t>
                            </w:r>
                          </w:p>
                        </w:txbxContent>
                      </v:textbox>
                    </v:shape>
                  </w:pict>
                </mc:Fallback>
              </mc:AlternateContent>
            </w:r>
            <w:r>
              <w:rPr>
                <w:b/>
                <w:color w:val="auto"/>
                <w:sz w:val="24"/>
              </w:rPr>
              <mc:AlternateContent>
                <mc:Choice Requires="wps">
                  <w:drawing>
                    <wp:anchor distT="0" distB="0" distL="114300" distR="114300" simplePos="0" relativeHeight="251660288" behindDoc="0" locked="0" layoutInCell="1" allowOverlap="1">
                      <wp:simplePos x="0" y="0"/>
                      <wp:positionH relativeFrom="column">
                        <wp:posOffset>1641475</wp:posOffset>
                      </wp:positionH>
                      <wp:positionV relativeFrom="paragraph">
                        <wp:posOffset>50800</wp:posOffset>
                      </wp:positionV>
                      <wp:extent cx="917575" cy="429895"/>
                      <wp:effectExtent l="4445" t="4445" r="11430" b="22860"/>
                      <wp:wrapNone/>
                      <wp:docPr id="82" name="文本框 88"/>
                      <wp:cNvGraphicFramePr/>
                      <a:graphic xmlns:a="http://schemas.openxmlformats.org/drawingml/2006/main">
                        <a:graphicData uri="http://schemas.microsoft.com/office/word/2010/wordprocessingShape">
                          <wps:wsp>
                            <wps:cNvSpPr txBox="1"/>
                            <wps:spPr>
                              <a:xfrm>
                                <a:off x="0" y="0"/>
                                <a:ext cx="917575" cy="4298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8498DFA">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槽探开挖、</w:t>
                                  </w:r>
                                </w:p>
                                <w:p w14:paraId="76E1CA11">
                                  <w:pPr>
                                    <w:jc w:val="center"/>
                                    <w:rPr>
                                      <w:color w:val="FF0000"/>
                                      <w:sz w:val="22"/>
                                      <w:szCs w:val="22"/>
                                    </w:rPr>
                                  </w:pPr>
                                  <w:r>
                                    <w:rPr>
                                      <w:rFonts w:hint="eastAsia" w:ascii="Times New Roman" w:hAnsi="Times New Roman" w:eastAsia="宋体" w:cs="Times New Roman"/>
                                      <w:lang w:val="en-US" w:eastAsia="zh-CN"/>
                                    </w:rPr>
                                    <w:t>土石堆放</w:t>
                                  </w:r>
                                </w:p>
                              </w:txbxContent>
                            </wps:txbx>
                            <wps:bodyPr vert="horz" wrap="square" lIns="18000" tIns="10800" rIns="18000" bIns="10800" anchor="t" anchorCtr="0" upright="1"/>
                          </wps:wsp>
                        </a:graphicData>
                      </a:graphic>
                    </wp:anchor>
                  </w:drawing>
                </mc:Choice>
                <mc:Fallback>
                  <w:pict>
                    <v:shape id="文本框 88" o:spid="_x0000_s1026" o:spt="202" type="#_x0000_t202" style="position:absolute;left:0pt;margin-left:129.25pt;margin-top:4pt;height:33.85pt;width:72.25pt;z-index:251660288;mso-width-relative:page;mso-height-relative:page;" fillcolor="#FFFFFF" filled="t" stroked="t" coordsize="21600,21600" o:gfxdata="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KEirdtcAAAAIAQAADwAAAAAAAAABACAAAAAi&#10;AAAAZHJzL2Rvd25yZXYueG1sUEsBAhQAFAAAAAgAh07iQOhPe81EAgAArAQAAA4AAAAAAAAAAQAg&#10;AAAAJgEAAGRycy9lMm9Eb2MueG1sUEsFBgAAAAAGAAYAWQEAANwFAAAAAA==&#10;">
                      <v:fill on="t" focussize="0,0"/>
                      <v:stroke color="#000000" joinstyle="miter"/>
                      <v:imagedata o:title=""/>
                      <o:lock v:ext="edit" aspectratio="f"/>
                      <v:textbox inset="0.5mm,0.3mm,0.5mm,0.3mm">
                        <w:txbxContent>
                          <w:p w14:paraId="68498DFA">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槽探开挖、</w:t>
                            </w:r>
                          </w:p>
                          <w:p w14:paraId="76E1CA11">
                            <w:pPr>
                              <w:jc w:val="center"/>
                              <w:rPr>
                                <w:color w:val="FF0000"/>
                                <w:sz w:val="22"/>
                                <w:szCs w:val="22"/>
                              </w:rPr>
                            </w:pPr>
                            <w:r>
                              <w:rPr>
                                <w:rFonts w:hint="eastAsia" w:ascii="Times New Roman" w:hAnsi="Times New Roman" w:eastAsia="宋体" w:cs="Times New Roman"/>
                                <w:lang w:val="en-US" w:eastAsia="zh-CN"/>
                              </w:rPr>
                              <w:t>土石堆放</w:t>
                            </w:r>
                          </w:p>
                        </w:txbxContent>
                      </v:textbox>
                    </v:shape>
                  </w:pict>
                </mc:Fallback>
              </mc:AlternateContent>
            </w:r>
          </w:p>
          <w:p w14:paraId="0FABC28D">
            <w:pPr>
              <w:adjustRightInd w:val="0"/>
              <w:snapToGrid w:val="0"/>
              <w:spacing w:line="360" w:lineRule="auto"/>
              <w:ind w:right="260" w:rightChars="124" w:firstLine="480"/>
              <w:rPr>
                <w:b/>
                <w:color w:val="auto"/>
                <w:sz w:val="24"/>
              </w:rPr>
            </w:pPr>
            <w:r>
              <w:rPr>
                <w:color w:val="auto"/>
                <w:sz w:val="24"/>
              </w:rPr>
              <mc:AlternateContent>
                <mc:Choice Requires="wps">
                  <w:drawing>
                    <wp:anchor distT="0" distB="0" distL="114300" distR="114300" simplePos="0" relativeHeight="251673600" behindDoc="0" locked="0" layoutInCell="1" allowOverlap="1">
                      <wp:simplePos x="0" y="0"/>
                      <wp:positionH relativeFrom="column">
                        <wp:posOffset>2119630</wp:posOffset>
                      </wp:positionH>
                      <wp:positionV relativeFrom="paragraph">
                        <wp:posOffset>240665</wp:posOffset>
                      </wp:positionV>
                      <wp:extent cx="635" cy="266700"/>
                      <wp:effectExtent l="37465" t="0" r="38100" b="0"/>
                      <wp:wrapNone/>
                      <wp:docPr id="86" name="自选图形 92"/>
                      <wp:cNvGraphicFramePr/>
                      <a:graphic xmlns:a="http://schemas.openxmlformats.org/drawingml/2006/main">
                        <a:graphicData uri="http://schemas.microsoft.com/office/word/2010/wordprocessingShape">
                          <wps:wsp>
                            <wps:cNvCnPr/>
                            <wps:spPr>
                              <a:xfrm>
                                <a:off x="0" y="0"/>
                                <a:ext cx="635" cy="266700"/>
                              </a:xfrm>
                              <a:prstGeom prst="straightConnector1">
                                <a:avLst/>
                              </a:prstGeom>
                              <a:ln w="9525" cap="flat" cmpd="sng">
                                <a:solidFill>
                                  <a:srgbClr val="000000"/>
                                </a:solidFill>
                                <a:prstDash val="dash"/>
                                <a:headEnd type="none" w="med" len="med"/>
                                <a:tailEnd type="triangle" w="med" len="med"/>
                              </a:ln>
                              <a:effectLst/>
                            </wps:spPr>
                            <wps:bodyPr/>
                          </wps:wsp>
                        </a:graphicData>
                      </a:graphic>
                    </wp:anchor>
                  </w:drawing>
                </mc:Choice>
                <mc:Fallback>
                  <w:pict>
                    <v:shape id="自选图形 92" o:spid="_x0000_s1026" o:spt="32" type="#_x0000_t32" style="position:absolute;left:0pt;margin-left:166.9pt;margin-top:18.95pt;height:21pt;width:0.05pt;z-index:251673600;mso-width-relative:page;mso-height-relative:page;" filled="f" stroked="t" coordsize="21600,21600" o:gfxdata="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mqUstQAAAAJAQAADwAAAAAAAAABACAAAAAiAAAAZHJzL2Rv&#10;d25yZXYueG1sUEsBAhQAFAAAAAgAh07iQN4+tGwFAgAA9wMAAA4AAAAAAAAAAQAgAAAAIwEAAGRy&#10;cy9lMm9Eb2MueG1sUEsFBgAAAAAGAAYAWQEAAJoFAAAAAA==&#10;">
                      <v:fill on="f" focussize="0,0"/>
                      <v:stroke color="#000000" joinstyle="round" dashstyle="dash" endarrow="block"/>
                      <v:imagedata o:title=""/>
                      <o:lock v:ext="edit" aspectratio="f"/>
                    </v:shape>
                  </w:pict>
                </mc:Fallback>
              </mc:AlternateContent>
            </w:r>
            <w:r>
              <w:rPr>
                <w:b/>
                <w:color w:val="auto"/>
                <w:sz w:val="24"/>
              </w:rPr>
              <mc:AlternateContent>
                <mc:Choice Requires="wps">
                  <w:drawing>
                    <wp:anchor distT="0" distB="0" distL="114300" distR="114300" simplePos="0" relativeHeight="251665408" behindDoc="0" locked="0" layoutInCell="1" allowOverlap="1">
                      <wp:simplePos x="0" y="0"/>
                      <wp:positionH relativeFrom="column">
                        <wp:posOffset>3606165</wp:posOffset>
                      </wp:positionH>
                      <wp:positionV relativeFrom="paragraph">
                        <wp:posOffset>29845</wp:posOffset>
                      </wp:positionV>
                      <wp:extent cx="328930" cy="2540"/>
                      <wp:effectExtent l="0" t="37465" r="13970" b="36195"/>
                      <wp:wrapNone/>
                      <wp:docPr id="85" name="直线 91"/>
                      <wp:cNvGraphicFramePr/>
                      <a:graphic xmlns:a="http://schemas.openxmlformats.org/drawingml/2006/main">
                        <a:graphicData uri="http://schemas.microsoft.com/office/word/2010/wordprocessingShape">
                          <wps:wsp>
                            <wps:cNvCnPr/>
                            <wps:spPr>
                              <a:xfrm flipV="1">
                                <a:off x="0" y="0"/>
                                <a:ext cx="328930" cy="254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直线 91" o:spid="_x0000_s1026" o:spt="20" style="position:absolute;left:0pt;flip:y;margin-left:283.95pt;margin-top:2.35pt;height:0.2pt;width:25.9pt;z-index:251665408;mso-width-relative:page;mso-height-relative:page;" filled="f" stroked="t" coordsize="21600,21600" o:gfxdata="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XYnNTWAAAABwEAAA8AAAAAAAAAAQAgAAAAIgAAAGRycy9kb3du&#10;cmV2LnhtbFBLAQIUABQAAAAIAIdO4kADjZ/0AQIAAPsDAAAOAAAAAAAAAAEAIAAAACUBAABkcnMv&#10;ZTJvRG9jLnhtbFBLBQYAAAAABgAGAFkBAACYBQAAAAA=&#10;">
                      <v:fill on="f" focussize="0,0"/>
                      <v:stroke color="#000000" joinstyle="round" endarrow="block"/>
                      <v:imagedata o:title=""/>
                      <o:lock v:ext="edit" aspectratio="f"/>
                    </v:line>
                  </w:pict>
                </mc:Fallback>
              </mc:AlternateContent>
            </w:r>
          </w:p>
          <w:p w14:paraId="0B6540C8">
            <w:pPr>
              <w:adjustRightInd w:val="0"/>
              <w:snapToGrid w:val="0"/>
              <w:spacing w:line="240" w:lineRule="auto"/>
              <w:ind w:right="260" w:rightChars="124" w:firstLine="480"/>
              <w:jc w:val="center"/>
              <w:rPr>
                <w:color w:val="auto"/>
                <w:sz w:val="24"/>
              </w:rPr>
            </w:pPr>
          </w:p>
          <w:p w14:paraId="4A1A82D4">
            <w:pPr>
              <w:adjustRightInd w:val="0"/>
              <w:snapToGrid w:val="0"/>
              <w:spacing w:line="240" w:lineRule="auto"/>
              <w:ind w:right="260" w:rightChars="124" w:firstLine="480"/>
              <w:jc w:val="center"/>
              <w:rPr>
                <w:color w:val="auto"/>
                <w:sz w:val="24"/>
              </w:rPr>
            </w:pPr>
            <w:r>
              <w:rPr>
                <w:color w:val="auto"/>
                <w:sz w:val="24"/>
              </w:rPr>
              <mc:AlternateContent>
                <mc:Choice Requires="wps">
                  <w:drawing>
                    <wp:anchor distT="0" distB="0" distL="114300" distR="114300" simplePos="0" relativeHeight="251666432" behindDoc="0" locked="0" layoutInCell="1" allowOverlap="1">
                      <wp:simplePos x="0" y="0"/>
                      <wp:positionH relativeFrom="column">
                        <wp:posOffset>1409065</wp:posOffset>
                      </wp:positionH>
                      <wp:positionV relativeFrom="paragraph">
                        <wp:posOffset>10795</wp:posOffset>
                      </wp:positionV>
                      <wp:extent cx="1468120" cy="243840"/>
                      <wp:effectExtent l="0" t="0" r="17780" b="3810"/>
                      <wp:wrapNone/>
                      <wp:docPr id="89" name="文本框 95"/>
                      <wp:cNvGraphicFramePr/>
                      <a:graphic xmlns:a="http://schemas.openxmlformats.org/drawingml/2006/main">
                        <a:graphicData uri="http://schemas.microsoft.com/office/word/2010/wordprocessingShape">
                          <wps:wsp>
                            <wps:cNvSpPr txBox="1"/>
                            <wps:spPr>
                              <a:xfrm>
                                <a:off x="0" y="0"/>
                                <a:ext cx="1468120" cy="243840"/>
                              </a:xfrm>
                              <a:prstGeom prst="rect">
                                <a:avLst/>
                              </a:prstGeom>
                              <a:noFill/>
                              <a:ln>
                                <a:noFill/>
                              </a:ln>
                              <a:effectLst/>
                            </wps:spPr>
                            <wps:txbx>
                              <w:txbxContent>
                                <w:p w14:paraId="7D848F14">
                                  <w:r>
                                    <w:rPr>
                                      <w:rFonts w:hint="eastAsia" w:hAnsi="宋体"/>
                                      <w:sz w:val="22"/>
                                      <w:szCs w:val="22"/>
                                    </w:rPr>
                                    <w:t>弃土、</w:t>
                                  </w:r>
                                  <w:r>
                                    <w:rPr>
                                      <w:rFonts w:hAnsi="宋体"/>
                                      <w:sz w:val="22"/>
                                      <w:szCs w:val="22"/>
                                    </w:rPr>
                                    <w:t>景观、</w:t>
                                  </w:r>
                                  <w:r>
                                    <w:rPr>
                                      <w:rFonts w:hint="eastAsia" w:hAnsi="宋体"/>
                                      <w:sz w:val="22"/>
                                      <w:szCs w:val="22"/>
                                    </w:rPr>
                                    <w:t>植被</w:t>
                                  </w:r>
                                  <w:r>
                                    <w:rPr>
                                      <w:rFonts w:hAnsi="宋体"/>
                                      <w:sz w:val="22"/>
                                      <w:szCs w:val="22"/>
                                    </w:rPr>
                                    <w:t>破坏</w:t>
                                  </w:r>
                                </w:p>
                              </w:txbxContent>
                            </wps:txbx>
                            <wps:bodyPr vert="horz" wrap="square" lIns="18000" tIns="10800" rIns="18000" bIns="10800" anchor="t" anchorCtr="0" upright="1"/>
                          </wps:wsp>
                        </a:graphicData>
                      </a:graphic>
                    </wp:anchor>
                  </w:drawing>
                </mc:Choice>
                <mc:Fallback>
                  <w:pict>
                    <v:shape id="文本框 95" o:spid="_x0000_s1026" o:spt="202" type="#_x0000_t202" style="position:absolute;left:0pt;margin-left:110.95pt;margin-top:0.85pt;height:19.2pt;width:115.6pt;z-index:251666432;mso-width-relative:page;mso-height-relative:page;" filled="f" stroked="f" coordsize="21600,21600" o:gfxdata="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q2LmtUAAAAI&#10;AQAADwAAAAAAAAABACAAAAAiAAAAZHJzL2Rvd25yZXYueG1sUEsBAhQAFAAAAAgAh07iQIOTxzvm&#10;AQAAxQMAAA4AAAAAAAAAAQAgAAAAJAEAAGRycy9lMm9Eb2MueG1sUEsFBgAAAAAGAAYAWQEAAHwF&#10;AAAAAA==&#10;">
                      <v:fill on="f" focussize="0,0"/>
                      <v:stroke on="f"/>
                      <v:imagedata o:title=""/>
                      <o:lock v:ext="edit" aspectratio="f"/>
                      <v:textbox inset="0.5mm,0.3mm,0.5mm,0.3mm">
                        <w:txbxContent>
                          <w:p w14:paraId="7D848F14">
                            <w:r>
                              <w:rPr>
                                <w:rFonts w:hint="eastAsia" w:hAnsi="宋体"/>
                                <w:sz w:val="22"/>
                                <w:szCs w:val="22"/>
                              </w:rPr>
                              <w:t>弃土、</w:t>
                            </w:r>
                            <w:r>
                              <w:rPr>
                                <w:rFonts w:hAnsi="宋体"/>
                                <w:sz w:val="22"/>
                                <w:szCs w:val="22"/>
                              </w:rPr>
                              <w:t>景观、</w:t>
                            </w:r>
                            <w:r>
                              <w:rPr>
                                <w:rFonts w:hint="eastAsia" w:hAnsi="宋体"/>
                                <w:sz w:val="22"/>
                                <w:szCs w:val="22"/>
                              </w:rPr>
                              <w:t>植被</w:t>
                            </w:r>
                            <w:r>
                              <w:rPr>
                                <w:rFonts w:hAnsi="宋体"/>
                                <w:sz w:val="22"/>
                                <w:szCs w:val="22"/>
                              </w:rPr>
                              <w:t>破坏</w:t>
                            </w:r>
                          </w:p>
                        </w:txbxContent>
                      </v:textbox>
                    </v:shape>
                  </w:pict>
                </mc:Fallback>
              </mc:AlternateContent>
            </w:r>
          </w:p>
          <w:p w14:paraId="5DD91F19">
            <w:pPr>
              <w:adjustRightInd w:val="0"/>
              <w:snapToGrid w:val="0"/>
              <w:spacing w:line="520" w:lineRule="exact"/>
              <w:ind w:right="260" w:rightChars="124"/>
              <w:jc w:val="center"/>
              <w:rPr>
                <w:b/>
                <w:color w:val="auto"/>
                <w:sz w:val="24"/>
              </w:rPr>
            </w:pPr>
            <w:r>
              <w:rPr>
                <w:b/>
                <w:color w:val="auto"/>
                <w:sz w:val="24"/>
              </w:rPr>
              <w:t>图</w:t>
            </w:r>
            <w:r>
              <w:rPr>
                <w:rFonts w:hint="eastAsia"/>
                <w:b/>
                <w:color w:val="auto"/>
                <w:sz w:val="24"/>
                <w:lang w:val="en-US" w:eastAsia="zh-CN"/>
              </w:rPr>
              <w:t>2-4</w:t>
            </w:r>
            <w:r>
              <w:rPr>
                <w:b/>
                <w:color w:val="auto"/>
                <w:sz w:val="24"/>
              </w:rPr>
              <w:t xml:space="preserve">  槽探施工流程及产污环节示意图</w:t>
            </w:r>
          </w:p>
          <w:p w14:paraId="7F76B201">
            <w:pPr>
              <w:adjustRightInd w:val="0"/>
              <w:snapToGrid w:val="0"/>
              <w:spacing w:line="360" w:lineRule="auto"/>
              <w:ind w:right="260" w:rightChars="124"/>
              <w:jc w:val="center"/>
              <w:rPr>
                <w:b/>
                <w:color w:val="auto"/>
                <w:sz w:val="24"/>
              </w:rPr>
            </w:pPr>
            <w:r>
              <w:rPr>
                <w:color w:val="auto"/>
                <w:sz w:val="24"/>
              </w:rPr>
              <mc:AlternateContent>
                <mc:Choice Requires="wps">
                  <w:drawing>
                    <wp:anchor distT="0" distB="0" distL="114300" distR="114300" simplePos="0" relativeHeight="251702272" behindDoc="0" locked="0" layoutInCell="1" allowOverlap="1">
                      <wp:simplePos x="0" y="0"/>
                      <wp:positionH relativeFrom="column">
                        <wp:posOffset>306705</wp:posOffset>
                      </wp:positionH>
                      <wp:positionV relativeFrom="paragraph">
                        <wp:posOffset>200025</wp:posOffset>
                      </wp:positionV>
                      <wp:extent cx="884555" cy="304800"/>
                      <wp:effectExtent l="0" t="0" r="0" b="0"/>
                      <wp:wrapNone/>
                      <wp:docPr id="90" name="文本框 96"/>
                      <wp:cNvGraphicFramePr/>
                      <a:graphic xmlns:a="http://schemas.openxmlformats.org/drawingml/2006/main">
                        <a:graphicData uri="http://schemas.microsoft.com/office/word/2010/wordprocessingShape">
                          <wps:wsp>
                            <wps:cNvSpPr txBox="1"/>
                            <wps:spPr>
                              <a:xfrm>
                                <a:off x="0" y="0"/>
                                <a:ext cx="884555" cy="304800"/>
                              </a:xfrm>
                              <a:prstGeom prst="rect">
                                <a:avLst/>
                              </a:prstGeom>
                              <a:noFill/>
                              <a:ln>
                                <a:noFill/>
                              </a:ln>
                            </wps:spPr>
                            <wps:txbx>
                              <w:txbxContent>
                                <w:p w14:paraId="1FD3F288">
                                  <w:pPr>
                                    <w:rPr>
                                      <w:szCs w:val="21"/>
                                    </w:rPr>
                                  </w:pPr>
                                  <w:r>
                                    <w:rPr>
                                      <w:rFonts w:hint="eastAsia"/>
                                      <w:szCs w:val="21"/>
                                    </w:rPr>
                                    <w:t>扬尘、噪声</w:t>
                                  </w:r>
                                </w:p>
                              </w:txbxContent>
                            </wps:txbx>
                            <wps:bodyPr wrap="square" upright="1"/>
                          </wps:wsp>
                        </a:graphicData>
                      </a:graphic>
                    </wp:anchor>
                  </w:drawing>
                </mc:Choice>
                <mc:Fallback>
                  <w:pict>
                    <v:shape id="文本框 96" o:spid="_x0000_s1026" o:spt="202" type="#_x0000_t202" style="position:absolute;left:0pt;margin-left:24.15pt;margin-top:15.75pt;height:24pt;width:69.65pt;z-index:251702272;mso-width-relative:page;mso-height-relative:page;" filled="f" stroked="f" coordsize="21600,21600" o:gfxdata="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Gd/oK1wAAAAgBAAAPAAAAAAAAAAEAIAAAACIAAABkcnMvZG93bnJldi54bWxQSwECFAAU&#10;AAAACACHTuJAKjvgP7kBAABdAwAADgAAAAAAAAABACAAAAAmAQAAZHJzL2Uyb0RvYy54bWxQSwUG&#10;AAAAAAYABgBZAQAAUQUAAAAA&#10;">
                      <v:fill on="f" focussize="0,0"/>
                      <v:stroke on="f"/>
                      <v:imagedata o:title=""/>
                      <o:lock v:ext="edit" aspectratio="f"/>
                      <v:textbox>
                        <w:txbxContent>
                          <w:p w14:paraId="1FD3F288">
                            <w:pPr>
                              <w:rPr>
                                <w:szCs w:val="21"/>
                              </w:rPr>
                            </w:pPr>
                            <w:r>
                              <w:rPr>
                                <w:rFonts w:hint="eastAsia"/>
                                <w:szCs w:val="21"/>
                              </w:rPr>
                              <w:t>扬尘、噪声</w:t>
                            </w:r>
                          </w:p>
                        </w:txbxContent>
                      </v:textbox>
                    </v:shape>
                  </w:pict>
                </mc:Fallback>
              </mc:AlternateContent>
            </w:r>
            <w:r>
              <w:rPr>
                <w:color w:val="auto"/>
                <w:sz w:val="24"/>
              </w:rPr>
              <mc:AlternateContent>
                <mc:Choice Requires="wps">
                  <w:drawing>
                    <wp:anchor distT="0" distB="0" distL="114300" distR="114300" simplePos="0" relativeHeight="251703296" behindDoc="0" locked="0" layoutInCell="1" allowOverlap="1">
                      <wp:simplePos x="0" y="0"/>
                      <wp:positionH relativeFrom="column">
                        <wp:posOffset>1685290</wp:posOffset>
                      </wp:positionH>
                      <wp:positionV relativeFrom="paragraph">
                        <wp:posOffset>112395</wp:posOffset>
                      </wp:positionV>
                      <wp:extent cx="1251585" cy="304800"/>
                      <wp:effectExtent l="0" t="0" r="0" b="0"/>
                      <wp:wrapNone/>
                      <wp:docPr id="91" name="文本框 97"/>
                      <wp:cNvGraphicFramePr/>
                      <a:graphic xmlns:a="http://schemas.openxmlformats.org/drawingml/2006/main">
                        <a:graphicData uri="http://schemas.microsoft.com/office/word/2010/wordprocessingShape">
                          <wps:wsp>
                            <wps:cNvSpPr txBox="1"/>
                            <wps:spPr>
                              <a:xfrm>
                                <a:off x="0" y="0"/>
                                <a:ext cx="1251585" cy="304800"/>
                              </a:xfrm>
                              <a:prstGeom prst="rect">
                                <a:avLst/>
                              </a:prstGeom>
                              <a:noFill/>
                              <a:ln>
                                <a:noFill/>
                              </a:ln>
                            </wps:spPr>
                            <wps:txbx>
                              <w:txbxContent>
                                <w:p w14:paraId="33F1EC2D">
                                  <w:pPr>
                                    <w:rPr>
                                      <w:szCs w:val="21"/>
                                    </w:rPr>
                                  </w:pPr>
                                  <w:r>
                                    <w:rPr>
                                      <w:rFonts w:hint="eastAsia"/>
                                      <w:szCs w:val="21"/>
                                    </w:rPr>
                                    <w:t>扬尘、噪声、振动</w:t>
                                  </w:r>
                                </w:p>
                              </w:txbxContent>
                            </wps:txbx>
                            <wps:bodyPr wrap="square" upright="1"/>
                          </wps:wsp>
                        </a:graphicData>
                      </a:graphic>
                    </wp:anchor>
                  </w:drawing>
                </mc:Choice>
                <mc:Fallback>
                  <w:pict>
                    <v:shape id="文本框 97" o:spid="_x0000_s1026" o:spt="202" type="#_x0000_t202" style="position:absolute;left:0pt;margin-left:132.7pt;margin-top:8.85pt;height:24pt;width:98.55pt;z-index:251703296;mso-width-relative:page;mso-height-relative:page;" filled="f" stroked="f" coordsize="21600,21600" o:gfxdata="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JE1/WAAAACQEAAA8AAAAAAAAAAQAgAAAAIgAAAGRycy9kb3ducmV2LnhtbFBLAQIUABQA&#10;AAAIAIdO4kAvivq5uQEAAF4DAAAOAAAAAAAAAAEAIAAAACUBAABkcnMvZTJvRG9jLnhtbFBLBQYA&#10;AAAABgAGAFkBAABQBQAAAAA=&#10;">
                      <v:fill on="f" focussize="0,0"/>
                      <v:stroke on="f"/>
                      <v:imagedata o:title=""/>
                      <o:lock v:ext="edit" aspectratio="f"/>
                      <v:textbox>
                        <w:txbxContent>
                          <w:p w14:paraId="33F1EC2D">
                            <w:pPr>
                              <w:rPr>
                                <w:szCs w:val="21"/>
                              </w:rPr>
                            </w:pPr>
                            <w:r>
                              <w:rPr>
                                <w:rFonts w:hint="eastAsia"/>
                                <w:szCs w:val="21"/>
                              </w:rPr>
                              <w:t>扬尘、噪声、振动</w:t>
                            </w:r>
                          </w:p>
                        </w:txbxContent>
                      </v:textbox>
                    </v:shape>
                  </w:pict>
                </mc:Fallback>
              </mc:AlternateContent>
            </w:r>
          </w:p>
          <w:p w14:paraId="122633B0">
            <w:pPr>
              <w:adjustRightInd w:val="0"/>
              <w:snapToGrid w:val="0"/>
              <w:spacing w:line="360" w:lineRule="auto"/>
              <w:ind w:right="260" w:rightChars="124"/>
              <w:jc w:val="center"/>
              <w:rPr>
                <w:b/>
                <w:color w:val="auto"/>
                <w:sz w:val="24"/>
              </w:rPr>
            </w:pPr>
            <w:r>
              <w:rPr>
                <w:color w:val="auto"/>
                <w:sz w:val="24"/>
              </w:rPr>
              <mc:AlternateContent>
                <mc:Choice Requires="wps">
                  <w:drawing>
                    <wp:anchor distT="0" distB="0" distL="114300" distR="114300" simplePos="0" relativeHeight="251698176" behindDoc="0" locked="0" layoutInCell="1" allowOverlap="1">
                      <wp:simplePos x="0" y="0"/>
                      <wp:positionH relativeFrom="column">
                        <wp:posOffset>2284730</wp:posOffset>
                      </wp:positionH>
                      <wp:positionV relativeFrom="paragraph">
                        <wp:posOffset>166370</wp:posOffset>
                      </wp:positionV>
                      <wp:extent cx="635" cy="257175"/>
                      <wp:effectExtent l="37465" t="0" r="38100" b="9525"/>
                      <wp:wrapNone/>
                      <wp:docPr id="92" name="自选图形 98"/>
                      <wp:cNvGraphicFramePr/>
                      <a:graphic xmlns:a="http://schemas.openxmlformats.org/drawingml/2006/main">
                        <a:graphicData uri="http://schemas.microsoft.com/office/word/2010/wordprocessingShape">
                          <wps:wsp>
                            <wps:cNvCnPr/>
                            <wps:spPr>
                              <a:xfrm flipV="1">
                                <a:off x="0" y="0"/>
                                <a:ext cx="635" cy="257175"/>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自选图形 98" o:spid="_x0000_s1026" o:spt="32" type="#_x0000_t32" style="position:absolute;left:0pt;flip:y;margin-left:179.9pt;margin-top:13.1pt;height:20.25pt;width:0.05pt;z-index:251698176;mso-width-relative:page;mso-height-relative:page;" filled="f" stroked="t" coordsize="21600,21600" o:gfxdata="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XUQY4tUAAAAJAQAADwAAAAAAAAABACAAAAAiAAAAZHJzL2Rv&#10;d25yZXYueG1sUEsBAhQAFAAAAAgAh07iQMU5OTEEAgAA8wMAAA4AAAAAAAAAAQAgAAAAJAEAAGRy&#10;cy9lMm9Eb2MueG1sUEsFBgAAAAAGAAYAWQEAAJoFAAAAAA==&#10;">
                      <v:fill on="f" focussize="0,0"/>
                      <v:stroke color="#000000" joinstyle="round" dashstyle="dash" endarrow="block"/>
                      <v:imagedata o:title=""/>
                      <o:lock v:ext="edit" aspectratio="f"/>
                    </v:shape>
                  </w:pict>
                </mc:Fallback>
              </mc:AlternateContent>
            </w:r>
            <w:r>
              <w:rPr>
                <w:color w:val="auto"/>
                <w:sz w:val="24"/>
              </w:rPr>
              <mc:AlternateContent>
                <mc:Choice Requires="wps">
                  <w:drawing>
                    <wp:anchor distT="0" distB="0" distL="114300" distR="114300" simplePos="0" relativeHeight="251699200" behindDoc="0" locked="0" layoutInCell="1" allowOverlap="1">
                      <wp:simplePos x="0" y="0"/>
                      <wp:positionH relativeFrom="column">
                        <wp:posOffset>4423410</wp:posOffset>
                      </wp:positionH>
                      <wp:positionV relativeFrom="paragraph">
                        <wp:posOffset>229235</wp:posOffset>
                      </wp:positionV>
                      <wp:extent cx="635" cy="257175"/>
                      <wp:effectExtent l="37465" t="0" r="38100" b="9525"/>
                      <wp:wrapNone/>
                      <wp:docPr id="93" name="自选图形 99"/>
                      <wp:cNvGraphicFramePr/>
                      <a:graphic xmlns:a="http://schemas.openxmlformats.org/drawingml/2006/main">
                        <a:graphicData uri="http://schemas.microsoft.com/office/word/2010/wordprocessingShape">
                          <wps:wsp>
                            <wps:cNvCnPr/>
                            <wps:spPr>
                              <a:xfrm flipV="1">
                                <a:off x="0" y="0"/>
                                <a:ext cx="635" cy="257175"/>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自选图形 99" o:spid="_x0000_s1026" o:spt="32" type="#_x0000_t32" style="position:absolute;left:0pt;flip:y;margin-left:348.3pt;margin-top:18.05pt;height:20.25pt;width:0.05pt;z-index:251699200;mso-width-relative:page;mso-height-relative:page;" filled="f" stroked="t" coordsize="21600,21600" o:gfxdata="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HRV83TAAAACQEAAA8AAAAAAAAAAQAgAAAAIgAAAGRycy9kb3du&#10;cmV2LnhtbFBLAQIUABQAAAAIAIdO4kCvvuhEBAIAAPMDAAAOAAAAAAAAAAEAIAAAACIBAABkcnMv&#10;ZTJvRG9jLnhtbFBLBQYAAAAABgAGAFkBAACYBQAAAAA=&#10;">
                      <v:fill on="f" focussize="0,0"/>
                      <v:stroke color="#000000" joinstyle="round" dashstyle="dash" endarrow="block"/>
                      <v:imagedata o:title=""/>
                      <o:lock v:ext="edit" aspectratio="f"/>
                    </v:shape>
                  </w:pict>
                </mc:Fallback>
              </mc:AlternateContent>
            </w:r>
            <w:r>
              <w:rPr>
                <w:color w:val="auto"/>
                <w:sz w:val="24"/>
              </w:rPr>
              <mc:AlternateContent>
                <mc:Choice Requires="wps">
                  <w:drawing>
                    <wp:anchor distT="0" distB="0" distL="114300" distR="114300" simplePos="0" relativeHeight="251697152" behindDoc="0" locked="0" layoutInCell="1" allowOverlap="1">
                      <wp:simplePos x="0" y="0"/>
                      <wp:positionH relativeFrom="column">
                        <wp:posOffset>753110</wp:posOffset>
                      </wp:positionH>
                      <wp:positionV relativeFrom="paragraph">
                        <wp:posOffset>212090</wp:posOffset>
                      </wp:positionV>
                      <wp:extent cx="635" cy="257175"/>
                      <wp:effectExtent l="37465" t="0" r="38100" b="9525"/>
                      <wp:wrapNone/>
                      <wp:docPr id="94" name="自选图形 100"/>
                      <wp:cNvGraphicFramePr/>
                      <a:graphic xmlns:a="http://schemas.openxmlformats.org/drawingml/2006/main">
                        <a:graphicData uri="http://schemas.microsoft.com/office/word/2010/wordprocessingShape">
                          <wps:wsp>
                            <wps:cNvCnPr/>
                            <wps:spPr>
                              <a:xfrm flipV="1">
                                <a:off x="0" y="0"/>
                                <a:ext cx="635" cy="257175"/>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自选图形 100" o:spid="_x0000_s1026" o:spt="32" type="#_x0000_t32" style="position:absolute;left:0pt;flip:y;margin-left:59.3pt;margin-top:16.7pt;height:20.25pt;width:0.05pt;z-index:251697152;mso-width-relative:page;mso-height-relative:page;" filled="f" stroked="t" coordsize="21600,21600" o:gfxdata="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zmuwb1AAAAAkBAAAPAAAAAAAAAAEAIAAAACIAAABkcnMvZG93&#10;bnJldi54bWxQSwECFAAUAAAACACHTuJACsCp6wQCAAD0AwAADgAAAAAAAAABACAAAAAjAQAAZHJz&#10;L2Uyb0RvYy54bWxQSwUGAAAAAAYABgBZAQAAmQUAAAAA&#10;">
                      <v:fill on="f" focussize="0,0"/>
                      <v:stroke color="#000000" joinstyle="round" dashstyle="dash" endarrow="block"/>
                      <v:imagedata o:title=""/>
                      <o:lock v:ext="edit" aspectratio="f"/>
                    </v:shape>
                  </w:pict>
                </mc:Fallback>
              </mc:AlternateContent>
            </w:r>
            <w:r>
              <w:rPr>
                <w:color w:val="auto"/>
                <w:sz w:val="24"/>
              </w:rPr>
              <mc:AlternateContent>
                <mc:Choice Requires="wps">
                  <w:drawing>
                    <wp:anchor distT="0" distB="0" distL="114300" distR="114300" simplePos="0" relativeHeight="251704320" behindDoc="0" locked="0" layoutInCell="1" allowOverlap="1">
                      <wp:simplePos x="0" y="0"/>
                      <wp:positionH relativeFrom="column">
                        <wp:posOffset>4047490</wp:posOffset>
                      </wp:positionH>
                      <wp:positionV relativeFrom="paragraph">
                        <wp:posOffset>27305</wp:posOffset>
                      </wp:positionV>
                      <wp:extent cx="955675" cy="287655"/>
                      <wp:effectExtent l="0" t="0" r="0" b="0"/>
                      <wp:wrapNone/>
                      <wp:docPr id="95" name="文本框 101"/>
                      <wp:cNvGraphicFramePr/>
                      <a:graphic xmlns:a="http://schemas.openxmlformats.org/drawingml/2006/main">
                        <a:graphicData uri="http://schemas.microsoft.com/office/word/2010/wordprocessingShape">
                          <wps:wsp>
                            <wps:cNvSpPr txBox="1"/>
                            <wps:spPr>
                              <a:xfrm>
                                <a:off x="0" y="0"/>
                                <a:ext cx="955675" cy="287655"/>
                              </a:xfrm>
                              <a:prstGeom prst="rect">
                                <a:avLst/>
                              </a:prstGeom>
                              <a:noFill/>
                              <a:ln>
                                <a:noFill/>
                              </a:ln>
                            </wps:spPr>
                            <wps:txbx>
                              <w:txbxContent>
                                <w:p w14:paraId="6BBDEC1C">
                                  <w:pPr>
                                    <w:rPr>
                                      <w:rFonts w:hint="default" w:eastAsia="宋体"/>
                                      <w:szCs w:val="21"/>
                                      <w:lang w:val="en-US" w:eastAsia="zh-CN"/>
                                    </w:rPr>
                                  </w:pPr>
                                  <w:r>
                                    <w:rPr>
                                      <w:rFonts w:hint="eastAsia"/>
                                      <w:szCs w:val="21"/>
                                    </w:rPr>
                                    <w:t>扬尘</w:t>
                                  </w:r>
                                  <w:r>
                                    <w:rPr>
                                      <w:rFonts w:hint="eastAsia"/>
                                      <w:szCs w:val="21"/>
                                      <w:lang w:eastAsia="zh-CN"/>
                                    </w:rPr>
                                    <w:t>、</w:t>
                                  </w:r>
                                  <w:r>
                                    <w:rPr>
                                      <w:rFonts w:hint="eastAsia"/>
                                      <w:szCs w:val="21"/>
                                      <w:lang w:val="en-US" w:eastAsia="zh-CN"/>
                                    </w:rPr>
                                    <w:t>噪声</w:t>
                                  </w:r>
                                </w:p>
                              </w:txbxContent>
                            </wps:txbx>
                            <wps:bodyPr wrap="square" upright="1"/>
                          </wps:wsp>
                        </a:graphicData>
                      </a:graphic>
                    </wp:anchor>
                  </w:drawing>
                </mc:Choice>
                <mc:Fallback>
                  <w:pict>
                    <v:shape id="文本框 101" o:spid="_x0000_s1026" o:spt="202" type="#_x0000_t202" style="position:absolute;left:0pt;margin-left:318.7pt;margin-top:2.15pt;height:22.65pt;width:75.25pt;z-index:251704320;mso-width-relative:page;mso-height-relative:page;" filled="f" stroked="f" coordsize="21600,21600" o:gfxdata="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Hh8A7WAAAACAEAAA8AAAAAAAAAAQAgAAAAIgAAAGRycy9kb3ducmV2LnhtbFBLAQIUABQA&#10;AAAIAIdO4kAZPGkNuQEAAF4DAAAOAAAAAAAAAAEAIAAAACUBAABkcnMvZTJvRG9jLnhtbFBLBQYA&#10;AAAABgAGAFkBAABQBQAAAAA=&#10;">
                      <v:fill on="f" focussize="0,0"/>
                      <v:stroke on="f"/>
                      <v:imagedata o:title=""/>
                      <o:lock v:ext="edit" aspectratio="f"/>
                      <v:textbox>
                        <w:txbxContent>
                          <w:p w14:paraId="6BBDEC1C">
                            <w:pPr>
                              <w:rPr>
                                <w:rFonts w:hint="default" w:eastAsia="宋体"/>
                                <w:szCs w:val="21"/>
                                <w:lang w:val="en-US" w:eastAsia="zh-CN"/>
                              </w:rPr>
                            </w:pPr>
                            <w:r>
                              <w:rPr>
                                <w:rFonts w:hint="eastAsia"/>
                                <w:szCs w:val="21"/>
                              </w:rPr>
                              <w:t>扬尘</w:t>
                            </w:r>
                            <w:r>
                              <w:rPr>
                                <w:rFonts w:hint="eastAsia"/>
                                <w:szCs w:val="21"/>
                                <w:lang w:eastAsia="zh-CN"/>
                              </w:rPr>
                              <w:t>、</w:t>
                            </w:r>
                            <w:r>
                              <w:rPr>
                                <w:rFonts w:hint="eastAsia"/>
                                <w:szCs w:val="21"/>
                                <w:lang w:val="en-US" w:eastAsia="zh-CN"/>
                              </w:rPr>
                              <w:t>噪声</w:t>
                            </w:r>
                          </w:p>
                        </w:txbxContent>
                      </v:textbox>
                    </v:shape>
                  </w:pict>
                </mc:Fallback>
              </mc:AlternateContent>
            </w:r>
          </w:p>
          <w:p w14:paraId="3B99D0BB">
            <w:pPr>
              <w:pStyle w:val="4"/>
              <w:spacing w:line="360" w:lineRule="auto"/>
              <w:ind w:firstLine="482" w:firstLineChars="200"/>
              <w:outlineLvl w:val="1"/>
              <w:rPr>
                <w:color w:val="auto"/>
                <w:sz w:val="24"/>
                <w:szCs w:val="24"/>
              </w:rPr>
            </w:pPr>
            <w:r>
              <w:rPr>
                <w:color w:val="auto"/>
                <w:sz w:val="24"/>
              </w:rPr>
              <mc:AlternateContent>
                <mc:Choice Requires="wps">
                  <w:drawing>
                    <wp:anchor distT="0" distB="0" distL="114300" distR="114300" simplePos="0" relativeHeight="251691008" behindDoc="0" locked="0" layoutInCell="1" allowOverlap="1">
                      <wp:simplePos x="0" y="0"/>
                      <wp:positionH relativeFrom="column">
                        <wp:posOffset>1238885</wp:posOffset>
                      </wp:positionH>
                      <wp:positionV relativeFrom="paragraph">
                        <wp:posOffset>361315</wp:posOffset>
                      </wp:positionV>
                      <wp:extent cx="377825" cy="0"/>
                      <wp:effectExtent l="0" t="38100" r="3175" b="38100"/>
                      <wp:wrapNone/>
                      <wp:docPr id="101" name="直线 107"/>
                      <wp:cNvGraphicFramePr/>
                      <a:graphic xmlns:a="http://schemas.openxmlformats.org/drawingml/2006/main">
                        <a:graphicData uri="http://schemas.microsoft.com/office/word/2010/wordprocessingShape">
                          <wps:wsp>
                            <wps:cNvCnPr/>
                            <wps:spPr>
                              <a:xfrm>
                                <a:off x="0" y="0"/>
                                <a:ext cx="37782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07" o:spid="_x0000_s1026" o:spt="20" style="position:absolute;left:0pt;margin-left:97.55pt;margin-top:28.45pt;height:0pt;width:29.75pt;z-index:251691008;mso-width-relative:page;mso-height-relative:page;" filled="f" stroked="t" coordsize="21600,21600" o:gfxdata="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Wjz1odkAAAAJAQAADwAAAAAAAAABACAAAAAiAAAAZHJzL2Rvd25yZXYueG1sUEsBAhQA&#10;FAAAAAgAh07iQPQToArxAQAA4gMAAA4AAAAAAAAAAQAgAAAAKAEAAGRycy9lMm9Eb2MueG1sUEsF&#10;BgAAAAAGAAYAWQEAAIsFAAAAAA==&#10;">
                      <v:fill on="f" focussize="0,0"/>
                      <v:stroke color="#000000" joinstyle="round" endarrow="block"/>
                      <v:imagedata o:title=""/>
                      <o:lock v:ext="edit" aspectratio="f"/>
                    </v:line>
                  </w:pict>
                </mc:Fallback>
              </mc:AlternateContent>
            </w:r>
            <w:r>
              <w:rPr>
                <w:color w:val="auto"/>
                <w:sz w:val="24"/>
              </w:rPr>
              <mc:AlternateContent>
                <mc:Choice Requires="wps">
                  <w:drawing>
                    <wp:anchor distT="0" distB="0" distL="114300" distR="114300" simplePos="0" relativeHeight="251694080" behindDoc="0" locked="0" layoutInCell="1" allowOverlap="1">
                      <wp:simplePos x="0" y="0"/>
                      <wp:positionH relativeFrom="column">
                        <wp:posOffset>3718560</wp:posOffset>
                      </wp:positionH>
                      <wp:positionV relativeFrom="paragraph">
                        <wp:posOffset>394335</wp:posOffset>
                      </wp:positionV>
                      <wp:extent cx="362585" cy="0"/>
                      <wp:effectExtent l="0" t="38100" r="18415" b="38100"/>
                      <wp:wrapNone/>
                      <wp:docPr id="102" name="直线 108"/>
                      <wp:cNvGraphicFramePr/>
                      <a:graphic xmlns:a="http://schemas.openxmlformats.org/drawingml/2006/main">
                        <a:graphicData uri="http://schemas.microsoft.com/office/word/2010/wordprocessingShape">
                          <wps:wsp>
                            <wps:cNvCnPr/>
                            <wps:spPr>
                              <a:xfrm>
                                <a:off x="0" y="0"/>
                                <a:ext cx="36258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08" o:spid="_x0000_s1026" o:spt="20" style="position:absolute;left:0pt;margin-left:292.8pt;margin-top:31.05pt;height:0pt;width:28.55pt;z-index:251694080;mso-width-relative:page;mso-height-relative:page;" filled="f" stroked="t" coordsize="21600,21600" o:gfxdata="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D2jODaAAAACQEAAA8AAAAAAAAAAQAgAAAAIgAAAGRycy9kb3ducmV2LnhtbFBLAQIU&#10;ABQAAAAIAIdO4kAXx/1Y8QEAAOIDAAAOAAAAAAAAAAEAIAAAACkBAABkcnMvZTJvRG9jLnhtbFBL&#10;BQYAAAAABgAGAFkBAACMBQAAAAA=&#10;">
                      <v:fill on="f" focussize="0,0"/>
                      <v:stroke color="#000000" joinstyle="round" endarrow="block"/>
                      <v:imagedata o:title=""/>
                      <o:lock v:ext="edit" aspectratio="f"/>
                    </v:line>
                  </w:pict>
                </mc:Fallback>
              </mc:AlternateContent>
            </w:r>
            <w:r>
              <w:rPr>
                <w:color w:val="auto"/>
                <w:sz w:val="24"/>
              </w:rPr>
              <mc:AlternateContent>
                <mc:Choice Requires="wps">
                  <w:drawing>
                    <wp:anchor distT="0" distB="0" distL="114300" distR="114300" simplePos="0" relativeHeight="251696128" behindDoc="0" locked="0" layoutInCell="1" allowOverlap="1">
                      <wp:simplePos x="0" y="0"/>
                      <wp:positionH relativeFrom="column">
                        <wp:posOffset>2785110</wp:posOffset>
                      </wp:positionH>
                      <wp:positionV relativeFrom="paragraph">
                        <wp:posOffset>366395</wp:posOffset>
                      </wp:positionV>
                      <wp:extent cx="350520" cy="635"/>
                      <wp:effectExtent l="0" t="37465" r="11430" b="38100"/>
                      <wp:wrapNone/>
                      <wp:docPr id="103" name="直线 109"/>
                      <wp:cNvGraphicFramePr/>
                      <a:graphic xmlns:a="http://schemas.openxmlformats.org/drawingml/2006/main">
                        <a:graphicData uri="http://schemas.microsoft.com/office/word/2010/wordprocessingShape">
                          <wps:wsp>
                            <wps:cNvCnPr/>
                            <wps:spPr>
                              <a:xfrm>
                                <a:off x="0" y="0"/>
                                <a:ext cx="35052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09" o:spid="_x0000_s1026" o:spt="20" style="position:absolute;left:0pt;margin-left:219.3pt;margin-top:28.85pt;height:0.05pt;width:27.6pt;z-index:251696128;mso-width-relative:page;mso-height-relative:page;" filled="f" stroked="t" coordsize="21600,21600" o:gfxdata="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u/3AK2gAAAAkBAAAPAAAAAAAAAAEAIAAAACIAAABkcnMvZG93bnJldi54bWxQSwEC&#10;FAAUAAAACACHTuJASeiorPIBAADkAwAADgAAAAAAAAABACAAAAApAQAAZHJzL2Uyb0RvYy54bWxQ&#10;SwUGAAAAAAYABgBZAQAAjQUAAAAA&#10;">
                      <v:fill on="f" focussize="0,0"/>
                      <v:stroke color="#000000" joinstyle="round" endarrow="block"/>
                      <v:imagedata o:title=""/>
                      <o:lock v:ext="edit" aspectratio="f"/>
                    </v:line>
                  </w:pict>
                </mc:Fallback>
              </mc:AlternateContent>
            </w:r>
            <w:r>
              <w:rPr>
                <w:color w:val="auto"/>
                <w:sz w:val="24"/>
              </w:rPr>
              <mc:AlternateContent>
                <mc:Choice Requires="wps">
                  <w:drawing>
                    <wp:anchor distT="0" distB="0" distL="114300" distR="114300" simplePos="0" relativeHeight="251693056" behindDoc="0" locked="0" layoutInCell="1" allowOverlap="1">
                      <wp:simplePos x="0" y="0"/>
                      <wp:positionH relativeFrom="column">
                        <wp:posOffset>3129915</wp:posOffset>
                      </wp:positionH>
                      <wp:positionV relativeFrom="paragraph">
                        <wp:posOffset>207010</wp:posOffset>
                      </wp:positionV>
                      <wp:extent cx="571500" cy="301625"/>
                      <wp:effectExtent l="4445" t="4445" r="14605" b="17780"/>
                      <wp:wrapNone/>
                      <wp:docPr id="96" name="文本框 102"/>
                      <wp:cNvGraphicFramePr/>
                      <a:graphic xmlns:a="http://schemas.openxmlformats.org/drawingml/2006/main">
                        <a:graphicData uri="http://schemas.microsoft.com/office/word/2010/wordprocessingShape">
                          <wps:wsp>
                            <wps:cNvSpPr txBox="1"/>
                            <wps:spPr>
                              <a:xfrm>
                                <a:off x="0" y="0"/>
                                <a:ext cx="571500" cy="3016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721755">
                                  <w:pPr>
                                    <w:jc w:val="center"/>
                                    <w:rPr>
                                      <w:sz w:val="22"/>
                                    </w:rPr>
                                  </w:pPr>
                                  <w:r>
                                    <w:rPr>
                                      <w:rFonts w:hint="eastAsia"/>
                                      <w:sz w:val="22"/>
                                    </w:rPr>
                                    <w:t>取样</w:t>
                                  </w:r>
                                </w:p>
                              </w:txbxContent>
                            </wps:txbx>
                            <wps:bodyPr wrap="square" upright="1"/>
                          </wps:wsp>
                        </a:graphicData>
                      </a:graphic>
                    </wp:anchor>
                  </w:drawing>
                </mc:Choice>
                <mc:Fallback>
                  <w:pict>
                    <v:shape id="文本框 102" o:spid="_x0000_s1026" o:spt="202" type="#_x0000_t202" style="position:absolute;left:0pt;margin-left:246.45pt;margin-top:16.3pt;height:23.75pt;width:45pt;z-index:251693056;mso-width-relative:page;mso-height-relative:page;" fillcolor="#FFFFFF" filled="t" stroked="t" coordsize="21600,21600" o:gfxdata="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q/pvP9gAAAAJAQAADwAAAAAA&#10;AAABACAAAAAiAAAAZHJzL2Rvd25yZXYueG1sUEsBAhQAFAAAAAgAh07iQBZhJPsTAgAARgQAAA4A&#10;AAAAAAAAAQAgAAAAJwEAAGRycy9lMm9Eb2MueG1sUEsFBgAAAAAGAAYAWQEAAKwFAAAAAA==&#10;">
                      <v:fill on="t" focussize="0,0"/>
                      <v:stroke color="#000000" joinstyle="miter"/>
                      <v:imagedata o:title=""/>
                      <o:lock v:ext="edit" aspectratio="f"/>
                      <v:textbox>
                        <w:txbxContent>
                          <w:p w14:paraId="61721755">
                            <w:pPr>
                              <w:jc w:val="center"/>
                              <w:rPr>
                                <w:sz w:val="22"/>
                              </w:rPr>
                            </w:pPr>
                            <w:r>
                              <w:rPr>
                                <w:rFonts w:hint="eastAsia"/>
                                <w:sz w:val="22"/>
                              </w:rPr>
                              <w:t>取样</w:t>
                            </w:r>
                          </w:p>
                        </w:txbxContent>
                      </v:textbox>
                    </v:shape>
                  </w:pict>
                </mc:Fallback>
              </mc:AlternateContent>
            </w:r>
            <w:r>
              <w:rPr>
                <w:color w:val="auto"/>
                <w:sz w:val="24"/>
                <w:szCs w:val="24"/>
              </w:rPr>
              <mc:AlternateContent>
                <mc:Choice Requires="wps">
                  <w:drawing>
                    <wp:anchor distT="0" distB="0" distL="114300" distR="114300" simplePos="0" relativeHeight="251689984" behindDoc="0" locked="0" layoutInCell="1" allowOverlap="1">
                      <wp:simplePos x="0" y="0"/>
                      <wp:positionH relativeFrom="column">
                        <wp:posOffset>315595</wp:posOffset>
                      </wp:positionH>
                      <wp:positionV relativeFrom="paragraph">
                        <wp:posOffset>210820</wp:posOffset>
                      </wp:positionV>
                      <wp:extent cx="914400" cy="301625"/>
                      <wp:effectExtent l="4445" t="4445" r="14605" b="17780"/>
                      <wp:wrapNone/>
                      <wp:docPr id="97" name="文本框 103"/>
                      <wp:cNvGraphicFramePr/>
                      <a:graphic xmlns:a="http://schemas.openxmlformats.org/drawingml/2006/main">
                        <a:graphicData uri="http://schemas.microsoft.com/office/word/2010/wordprocessingShape">
                          <wps:wsp>
                            <wps:cNvSpPr txBox="1"/>
                            <wps:spPr>
                              <a:xfrm>
                                <a:off x="0" y="0"/>
                                <a:ext cx="914400" cy="3016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1ECA4EE">
                                  <w:pPr>
                                    <w:jc w:val="center"/>
                                    <w:rPr>
                                      <w:color w:val="FF0000"/>
                                      <w:sz w:val="22"/>
                                    </w:rPr>
                                  </w:pPr>
                                  <w:r>
                                    <w:rPr>
                                      <w:rFonts w:hint="eastAsia"/>
                                      <w:color w:val="000000"/>
                                      <w:sz w:val="22"/>
                                    </w:rPr>
                                    <w:t>表</w:t>
                                  </w:r>
                                  <w:r>
                                    <w:rPr>
                                      <w:rFonts w:hint="eastAsia"/>
                                      <w:color w:val="000000"/>
                                      <w:sz w:val="22"/>
                                      <w:lang w:val="en-US" w:eastAsia="zh-CN"/>
                                    </w:rPr>
                                    <w:t>层</w:t>
                                  </w:r>
                                  <w:r>
                                    <w:rPr>
                                      <w:rFonts w:hint="eastAsia"/>
                                      <w:color w:val="000000"/>
                                      <w:sz w:val="22"/>
                                    </w:rPr>
                                    <w:t>剥离</w:t>
                                  </w:r>
                                </w:p>
                              </w:txbxContent>
                            </wps:txbx>
                            <wps:bodyPr wrap="square" upright="1"/>
                          </wps:wsp>
                        </a:graphicData>
                      </a:graphic>
                    </wp:anchor>
                  </w:drawing>
                </mc:Choice>
                <mc:Fallback>
                  <w:pict>
                    <v:shape id="文本框 103" o:spid="_x0000_s1026" o:spt="202" type="#_x0000_t202" style="position:absolute;left:0pt;margin-left:24.85pt;margin-top:16.6pt;height:23.75pt;width:72pt;z-index:251689984;mso-width-relative:page;mso-height-relative:page;" fillcolor="#FFFFFF" filled="t" stroked="t" coordsize="21600,21600" o:gfxdata="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9d8CHdcAAAAIAQAADwAAAAAA&#10;AAABACAAAAAiAAAAZHJzL2Rvd25yZXYueG1sUEsBAhQAFAAAAAgAh07iQCtlhJ0UAgAARgQAAA4A&#10;AAAAAAAAAQAgAAAAJgEAAGRycy9lMm9Eb2MueG1sUEsFBgAAAAAGAAYAWQEAAKwFAAAAAA==&#10;">
                      <v:fill on="t" focussize="0,0"/>
                      <v:stroke color="#000000" joinstyle="miter"/>
                      <v:imagedata o:title=""/>
                      <o:lock v:ext="edit" aspectratio="f"/>
                      <v:textbox>
                        <w:txbxContent>
                          <w:p w14:paraId="41ECA4EE">
                            <w:pPr>
                              <w:jc w:val="center"/>
                              <w:rPr>
                                <w:color w:val="FF0000"/>
                                <w:sz w:val="22"/>
                              </w:rPr>
                            </w:pPr>
                            <w:r>
                              <w:rPr>
                                <w:rFonts w:hint="eastAsia"/>
                                <w:color w:val="000000"/>
                                <w:sz w:val="22"/>
                              </w:rPr>
                              <w:t>表</w:t>
                            </w:r>
                            <w:r>
                              <w:rPr>
                                <w:rFonts w:hint="eastAsia"/>
                                <w:color w:val="000000"/>
                                <w:sz w:val="22"/>
                                <w:lang w:val="en-US" w:eastAsia="zh-CN"/>
                              </w:rPr>
                              <w:t>层</w:t>
                            </w:r>
                            <w:r>
                              <w:rPr>
                                <w:rFonts w:hint="eastAsia"/>
                                <w:color w:val="000000"/>
                                <w:sz w:val="22"/>
                              </w:rPr>
                              <w:t>剥离</w:t>
                            </w:r>
                          </w:p>
                        </w:txbxContent>
                      </v:textbox>
                    </v:shape>
                  </w:pict>
                </mc:Fallback>
              </mc:AlternateContent>
            </w:r>
            <w:r>
              <w:rPr>
                <w:color w:val="auto"/>
                <w:sz w:val="24"/>
                <w:szCs w:val="24"/>
              </w:rPr>
              <mc:AlternateContent>
                <mc:Choice Requires="wps">
                  <w:drawing>
                    <wp:anchor distT="0" distB="0" distL="114300" distR="114300" simplePos="0" relativeHeight="251692032" behindDoc="0" locked="0" layoutInCell="1" allowOverlap="1">
                      <wp:simplePos x="0" y="0"/>
                      <wp:positionH relativeFrom="column">
                        <wp:posOffset>1607820</wp:posOffset>
                      </wp:positionH>
                      <wp:positionV relativeFrom="paragraph">
                        <wp:posOffset>206375</wp:posOffset>
                      </wp:positionV>
                      <wp:extent cx="1146810" cy="301625"/>
                      <wp:effectExtent l="4445" t="5080" r="10795" b="17145"/>
                      <wp:wrapNone/>
                      <wp:docPr id="98" name="文本框 104"/>
                      <wp:cNvGraphicFramePr/>
                      <a:graphic xmlns:a="http://schemas.openxmlformats.org/drawingml/2006/main">
                        <a:graphicData uri="http://schemas.microsoft.com/office/word/2010/wordprocessingShape">
                          <wps:wsp>
                            <wps:cNvSpPr txBox="1"/>
                            <wps:spPr>
                              <a:xfrm>
                                <a:off x="0" y="0"/>
                                <a:ext cx="1146810" cy="3016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D8ED635">
                                  <w:pPr>
                                    <w:jc w:val="center"/>
                                    <w:rPr>
                                      <w:color w:val="FF0000"/>
                                      <w:sz w:val="22"/>
                                    </w:rPr>
                                  </w:pPr>
                                  <w:r>
                                    <w:rPr>
                                      <w:rFonts w:hint="eastAsia"/>
                                      <w:color w:val="000000"/>
                                      <w:sz w:val="22"/>
                                    </w:rPr>
                                    <w:t>钻探开挖</w:t>
                                  </w:r>
                                </w:p>
                              </w:txbxContent>
                            </wps:txbx>
                            <wps:bodyPr wrap="square" upright="1"/>
                          </wps:wsp>
                        </a:graphicData>
                      </a:graphic>
                    </wp:anchor>
                  </w:drawing>
                </mc:Choice>
                <mc:Fallback>
                  <w:pict>
                    <v:shape id="文本框 104" o:spid="_x0000_s1026" o:spt="202" type="#_x0000_t202" style="position:absolute;left:0pt;margin-left:126.6pt;margin-top:16.25pt;height:23.75pt;width:90.3pt;z-index:251692032;mso-width-relative:page;mso-height-relative:page;" fillcolor="#FFFFFF" filled="t" stroked="t" coordsize="21600,21600" o:gfxdata="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kiqBD2AAAAAkBAAAPAAAA&#10;AAAAAAEAIAAAACIAAABkcnMvZG93bnJldi54bWxQSwECFAAUAAAACACHTuJAAPg4YhUCAABHBAAA&#10;DgAAAAAAAAABACAAAAAnAQAAZHJzL2Uyb0RvYy54bWxQSwUGAAAAAAYABgBZAQAArgUAAAAA&#10;">
                      <v:fill on="t" focussize="0,0"/>
                      <v:stroke color="#000000" joinstyle="miter"/>
                      <v:imagedata o:title=""/>
                      <o:lock v:ext="edit" aspectratio="f"/>
                      <v:textbox>
                        <w:txbxContent>
                          <w:p w14:paraId="0D8ED635">
                            <w:pPr>
                              <w:jc w:val="center"/>
                              <w:rPr>
                                <w:color w:val="FF0000"/>
                                <w:sz w:val="22"/>
                              </w:rPr>
                            </w:pPr>
                            <w:r>
                              <w:rPr>
                                <w:rFonts w:hint="eastAsia"/>
                                <w:color w:val="000000"/>
                                <w:sz w:val="22"/>
                              </w:rPr>
                              <w:t>钻探开挖</w:t>
                            </w:r>
                          </w:p>
                        </w:txbxContent>
                      </v:textbox>
                    </v:shape>
                  </w:pict>
                </mc:Fallback>
              </mc:AlternateContent>
            </w:r>
            <w:r>
              <w:rPr>
                <w:color w:val="auto"/>
                <w:sz w:val="24"/>
              </w:rPr>
              <mc:AlternateContent>
                <mc:Choice Requires="wps">
                  <w:drawing>
                    <wp:anchor distT="0" distB="0" distL="114300" distR="114300" simplePos="0" relativeHeight="251695104" behindDoc="0" locked="0" layoutInCell="1" allowOverlap="1">
                      <wp:simplePos x="0" y="0"/>
                      <wp:positionH relativeFrom="column">
                        <wp:posOffset>4132580</wp:posOffset>
                      </wp:positionH>
                      <wp:positionV relativeFrom="paragraph">
                        <wp:posOffset>215265</wp:posOffset>
                      </wp:positionV>
                      <wp:extent cx="571500" cy="337185"/>
                      <wp:effectExtent l="4445" t="4445" r="14605" b="20320"/>
                      <wp:wrapNone/>
                      <wp:docPr id="99" name="文本框 105"/>
                      <wp:cNvGraphicFramePr/>
                      <a:graphic xmlns:a="http://schemas.openxmlformats.org/drawingml/2006/main">
                        <a:graphicData uri="http://schemas.microsoft.com/office/word/2010/wordprocessingShape">
                          <wps:wsp>
                            <wps:cNvSpPr txBox="1"/>
                            <wps:spPr>
                              <a:xfrm>
                                <a:off x="0" y="0"/>
                                <a:ext cx="571500" cy="3371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6C4947F">
                                  <w:pPr>
                                    <w:jc w:val="center"/>
                                    <w:rPr>
                                      <w:color w:val="FF0000"/>
                                      <w:sz w:val="22"/>
                                    </w:rPr>
                                  </w:pPr>
                                  <w:r>
                                    <w:rPr>
                                      <w:rFonts w:hint="eastAsia"/>
                                      <w:color w:val="000000"/>
                                      <w:sz w:val="22"/>
                                    </w:rPr>
                                    <w:t>填坑</w:t>
                                  </w:r>
                                </w:p>
                              </w:txbxContent>
                            </wps:txbx>
                            <wps:bodyPr wrap="square" upright="1"/>
                          </wps:wsp>
                        </a:graphicData>
                      </a:graphic>
                    </wp:anchor>
                  </w:drawing>
                </mc:Choice>
                <mc:Fallback>
                  <w:pict>
                    <v:shape id="文本框 105" o:spid="_x0000_s1026" o:spt="202" type="#_x0000_t202" style="position:absolute;left:0pt;margin-left:325.4pt;margin-top:16.95pt;height:26.55pt;width:45pt;z-index:251695104;mso-width-relative:page;mso-height-relative:page;" fillcolor="#FFFFFF" filled="t" stroked="t" coordsize="21600,21600" o:gfxdata="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GGcNB2AAAAAkBAAAP&#10;AAAAAAAAAAEAIAAAACIAAABkcnMvZG93bnJldi54bWxQSwECFAAUAAAACACHTuJAMNO1lBgCAABG&#10;BAAADgAAAAAAAAABACAAAAAnAQAAZHJzL2Uyb0RvYy54bWxQSwUGAAAAAAYABgBZAQAAsQUAAAAA&#10;">
                      <v:fill on="t" focussize="0,0"/>
                      <v:stroke color="#000000" joinstyle="miter"/>
                      <v:imagedata o:title=""/>
                      <o:lock v:ext="edit" aspectratio="f"/>
                      <v:textbox>
                        <w:txbxContent>
                          <w:p w14:paraId="26C4947F">
                            <w:pPr>
                              <w:jc w:val="center"/>
                              <w:rPr>
                                <w:color w:val="FF0000"/>
                                <w:sz w:val="22"/>
                              </w:rPr>
                            </w:pPr>
                            <w:r>
                              <w:rPr>
                                <w:rFonts w:hint="eastAsia"/>
                                <w:color w:val="000000"/>
                                <w:sz w:val="22"/>
                              </w:rPr>
                              <w:t>填坑</w:t>
                            </w:r>
                          </w:p>
                        </w:txbxContent>
                      </v:textbox>
                    </v:shape>
                  </w:pict>
                </mc:Fallback>
              </mc:AlternateContent>
            </w:r>
          </w:p>
          <w:p w14:paraId="1498B9FF">
            <w:pPr>
              <w:spacing w:line="360" w:lineRule="auto"/>
              <w:ind w:firstLine="480"/>
              <w:rPr>
                <w:color w:val="auto"/>
                <w:sz w:val="24"/>
              </w:rPr>
            </w:pPr>
            <w:r>
              <w:rPr>
                <w:color w:val="auto"/>
                <w:sz w:val="24"/>
              </w:rPr>
              <mc:AlternateContent>
                <mc:Choice Requires="wps">
                  <w:drawing>
                    <wp:anchor distT="0" distB="0" distL="114300" distR="114300" simplePos="0" relativeHeight="251700224" behindDoc="0" locked="0" layoutInCell="1" allowOverlap="1">
                      <wp:simplePos x="0" y="0"/>
                      <wp:positionH relativeFrom="column">
                        <wp:posOffset>2252980</wp:posOffset>
                      </wp:positionH>
                      <wp:positionV relativeFrom="paragraph">
                        <wp:posOffset>59055</wp:posOffset>
                      </wp:positionV>
                      <wp:extent cx="635" cy="266700"/>
                      <wp:effectExtent l="37465" t="0" r="38100" b="0"/>
                      <wp:wrapNone/>
                      <wp:docPr id="100" name="自选图形 106"/>
                      <wp:cNvGraphicFramePr/>
                      <a:graphic xmlns:a="http://schemas.openxmlformats.org/drawingml/2006/main">
                        <a:graphicData uri="http://schemas.microsoft.com/office/word/2010/wordprocessingShape">
                          <wps:wsp>
                            <wps:cNvCnPr/>
                            <wps:spPr>
                              <a:xfrm>
                                <a:off x="0" y="0"/>
                                <a:ext cx="635" cy="266700"/>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自选图形 106" o:spid="_x0000_s1026" o:spt="32" type="#_x0000_t32" style="position:absolute;left:0pt;margin-left:177.4pt;margin-top:4.65pt;height:21pt;width:0.05pt;z-index:251700224;mso-width-relative:page;mso-height-relative:page;" filled="f" stroked="t" coordsize="21600,21600" o:gfxdata="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NSFdr1AAAAAgBAAAPAAAAAAAAAAEAIAAAACIAAABkcnMvZG93bnJldi54&#10;bWxQSwECFAAUAAAACACHTuJAq8uBcP4BAADrAwAADgAAAAAAAAABACAAAAAjAQAAZHJzL2Uyb0Rv&#10;Yy54bWxQSwUGAAAAAAYABgBZAQAAkwUAAAAA&#10;">
                      <v:fill on="f" focussize="0,0"/>
                      <v:stroke color="#000000" joinstyle="round" dashstyle="dash" endarrow="block"/>
                      <v:imagedata o:title=""/>
                      <o:lock v:ext="edit" aspectratio="f"/>
                    </v:shape>
                  </w:pict>
                </mc:Fallback>
              </mc:AlternateContent>
            </w:r>
            <w:r>
              <w:rPr>
                <w:color w:val="auto"/>
                <w:sz w:val="24"/>
              </w:rPr>
              <mc:AlternateContent>
                <mc:Choice Requires="wps">
                  <w:drawing>
                    <wp:anchor distT="0" distB="0" distL="114300" distR="114300" simplePos="0" relativeHeight="251701248" behindDoc="0" locked="0" layoutInCell="1" allowOverlap="1">
                      <wp:simplePos x="0" y="0"/>
                      <wp:positionH relativeFrom="column">
                        <wp:posOffset>770890</wp:posOffset>
                      </wp:positionH>
                      <wp:positionV relativeFrom="paragraph">
                        <wp:posOffset>74295</wp:posOffset>
                      </wp:positionV>
                      <wp:extent cx="635" cy="266700"/>
                      <wp:effectExtent l="37465" t="0" r="38100" b="0"/>
                      <wp:wrapNone/>
                      <wp:docPr id="104" name="自选图形 110"/>
                      <wp:cNvGraphicFramePr/>
                      <a:graphic xmlns:a="http://schemas.openxmlformats.org/drawingml/2006/main">
                        <a:graphicData uri="http://schemas.microsoft.com/office/word/2010/wordprocessingShape">
                          <wps:wsp>
                            <wps:cNvCnPr/>
                            <wps:spPr>
                              <a:xfrm>
                                <a:off x="0" y="0"/>
                                <a:ext cx="635" cy="266700"/>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自选图形 110" o:spid="_x0000_s1026" o:spt="32" type="#_x0000_t32" style="position:absolute;left:0pt;margin-left:60.7pt;margin-top:5.85pt;height:21pt;width:0.05pt;z-index:251701248;mso-width-relative:page;mso-height-relative:page;" filled="f" stroked="t" coordsize="21600,21600" o:gfxdata="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i/YvDVAAAACQEAAA8AAAAAAAAAAQAgAAAAIgAAAGRycy9kb3ducmV2&#10;LnhtbFBLAQIUABQAAAAIAIdO4kBtHh7X/wEAAOsDAAAOAAAAAAAAAAEAIAAAACQBAABkcnMvZTJv&#10;RG9jLnhtbFBLBQYAAAAABgAGAFkBAACVBQAAAAA=&#10;">
                      <v:fill on="f" focussize="0,0"/>
                      <v:stroke color="#000000" joinstyle="round" dashstyle="dash" endarrow="block"/>
                      <v:imagedata o:title=""/>
                      <o:lock v:ext="edit" aspectratio="f"/>
                    </v:shape>
                  </w:pict>
                </mc:Fallback>
              </mc:AlternateContent>
            </w:r>
          </w:p>
          <w:p w14:paraId="61AADD8B">
            <w:pPr>
              <w:spacing w:line="360" w:lineRule="auto"/>
              <w:ind w:firstLine="480"/>
              <w:rPr>
                <w:b/>
                <w:color w:val="auto"/>
                <w:sz w:val="24"/>
              </w:rPr>
            </w:pPr>
            <w:r>
              <w:rPr>
                <w:color w:val="auto"/>
                <w:sz w:val="24"/>
              </w:rPr>
              <mc:AlternateContent>
                <mc:Choice Requires="wps">
                  <w:drawing>
                    <wp:anchor distT="0" distB="0" distL="114300" distR="114300" simplePos="0" relativeHeight="251705344" behindDoc="0" locked="0" layoutInCell="1" allowOverlap="1">
                      <wp:simplePos x="0" y="0"/>
                      <wp:positionH relativeFrom="column">
                        <wp:posOffset>202565</wp:posOffset>
                      </wp:positionH>
                      <wp:positionV relativeFrom="paragraph">
                        <wp:posOffset>93980</wp:posOffset>
                      </wp:positionV>
                      <wp:extent cx="1495425" cy="243840"/>
                      <wp:effectExtent l="0" t="0" r="0" b="0"/>
                      <wp:wrapNone/>
                      <wp:docPr id="105" name="文本框 111"/>
                      <wp:cNvGraphicFramePr/>
                      <a:graphic xmlns:a="http://schemas.openxmlformats.org/drawingml/2006/main">
                        <a:graphicData uri="http://schemas.microsoft.com/office/word/2010/wordprocessingShape">
                          <wps:wsp>
                            <wps:cNvSpPr txBox="1"/>
                            <wps:spPr>
                              <a:xfrm>
                                <a:off x="0" y="0"/>
                                <a:ext cx="1495425" cy="243840"/>
                              </a:xfrm>
                              <a:prstGeom prst="rect">
                                <a:avLst/>
                              </a:prstGeom>
                              <a:noFill/>
                              <a:ln>
                                <a:noFill/>
                              </a:ln>
                            </wps:spPr>
                            <wps:txbx>
                              <w:txbxContent>
                                <w:p w14:paraId="1C76B057">
                                  <w:r>
                                    <w:rPr>
                                      <w:rFonts w:hint="eastAsia" w:hAnsi="宋体"/>
                                      <w:sz w:val="22"/>
                                      <w:szCs w:val="22"/>
                                    </w:rPr>
                                    <w:t>弃土、</w:t>
                                  </w:r>
                                  <w:r>
                                    <w:rPr>
                                      <w:rFonts w:hAnsi="宋体"/>
                                      <w:sz w:val="22"/>
                                      <w:szCs w:val="22"/>
                                    </w:rPr>
                                    <w:t>景观、</w:t>
                                  </w:r>
                                  <w:r>
                                    <w:rPr>
                                      <w:rFonts w:hint="eastAsia" w:hAnsi="宋体"/>
                                      <w:sz w:val="22"/>
                                      <w:szCs w:val="22"/>
                                    </w:rPr>
                                    <w:t>植被</w:t>
                                  </w:r>
                                  <w:r>
                                    <w:rPr>
                                      <w:rFonts w:hAnsi="宋体"/>
                                      <w:sz w:val="22"/>
                                      <w:szCs w:val="22"/>
                                    </w:rPr>
                                    <w:t>破坏</w:t>
                                  </w:r>
                                </w:p>
                              </w:txbxContent>
                            </wps:txbx>
                            <wps:bodyPr wrap="square" lIns="18000" tIns="10800" rIns="18000" bIns="10800" upright="1"/>
                          </wps:wsp>
                        </a:graphicData>
                      </a:graphic>
                    </wp:anchor>
                  </w:drawing>
                </mc:Choice>
                <mc:Fallback>
                  <w:pict>
                    <v:shape id="文本框 111" o:spid="_x0000_s1026" o:spt="202" type="#_x0000_t202" style="position:absolute;left:0pt;margin-left:15.95pt;margin-top:7.4pt;height:19.2pt;width:117.75pt;z-index:251705344;mso-width-relative:page;mso-height-relative:page;" filled="f" stroked="f" coordsize="21600,21600" o:gfxdata="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1t8UJ9cAAAAIAQAADwAAAAAAAAABACAAAAAiAAAA&#10;ZHJzL2Rvd25yZXYueG1sUEsBAhQAFAAAAAgAh07iQPnvdp3PAQAAlAMAAA4AAAAAAAAAAQAgAAAA&#10;JgEAAGRycy9lMm9Eb2MueG1sUEsFBgAAAAAGAAYAWQEAAGcFAAAAAA==&#10;">
                      <v:fill on="f" focussize="0,0"/>
                      <v:stroke on="f"/>
                      <v:imagedata o:title=""/>
                      <o:lock v:ext="edit" aspectratio="f"/>
                      <v:textbox inset="0.5mm,0.3mm,0.5mm,0.3mm">
                        <w:txbxContent>
                          <w:p w14:paraId="1C76B057">
                            <w:r>
                              <w:rPr>
                                <w:rFonts w:hint="eastAsia" w:hAnsi="宋体"/>
                                <w:sz w:val="22"/>
                                <w:szCs w:val="22"/>
                              </w:rPr>
                              <w:t>弃土、</w:t>
                            </w:r>
                            <w:r>
                              <w:rPr>
                                <w:rFonts w:hAnsi="宋体"/>
                                <w:sz w:val="22"/>
                                <w:szCs w:val="22"/>
                              </w:rPr>
                              <w:t>景观、</w:t>
                            </w:r>
                            <w:r>
                              <w:rPr>
                                <w:rFonts w:hint="eastAsia" w:hAnsi="宋体"/>
                                <w:sz w:val="22"/>
                                <w:szCs w:val="22"/>
                              </w:rPr>
                              <w:t>植被</w:t>
                            </w:r>
                            <w:r>
                              <w:rPr>
                                <w:rFonts w:hAnsi="宋体"/>
                                <w:sz w:val="22"/>
                                <w:szCs w:val="22"/>
                              </w:rPr>
                              <w:t>破坏</w:t>
                            </w:r>
                          </w:p>
                        </w:txbxContent>
                      </v:textbox>
                    </v:shape>
                  </w:pict>
                </mc:Fallback>
              </mc:AlternateContent>
            </w:r>
            <w:r>
              <w:rPr>
                <w:color w:val="auto"/>
                <w:sz w:val="24"/>
              </w:rPr>
              <mc:AlternateContent>
                <mc:Choice Requires="wps">
                  <w:drawing>
                    <wp:anchor distT="0" distB="0" distL="114300" distR="114300" simplePos="0" relativeHeight="251706368" behindDoc="0" locked="0" layoutInCell="1" allowOverlap="1">
                      <wp:simplePos x="0" y="0"/>
                      <wp:positionH relativeFrom="column">
                        <wp:posOffset>1838325</wp:posOffset>
                      </wp:positionH>
                      <wp:positionV relativeFrom="paragraph">
                        <wp:posOffset>90170</wp:posOffset>
                      </wp:positionV>
                      <wp:extent cx="2025650" cy="243840"/>
                      <wp:effectExtent l="0" t="0" r="0" b="0"/>
                      <wp:wrapNone/>
                      <wp:docPr id="106" name="文本框 112"/>
                      <wp:cNvGraphicFramePr/>
                      <a:graphic xmlns:a="http://schemas.openxmlformats.org/drawingml/2006/main">
                        <a:graphicData uri="http://schemas.microsoft.com/office/word/2010/wordprocessingShape">
                          <wps:wsp>
                            <wps:cNvSpPr txBox="1"/>
                            <wps:spPr>
                              <a:xfrm>
                                <a:off x="0" y="0"/>
                                <a:ext cx="2025650" cy="243840"/>
                              </a:xfrm>
                              <a:prstGeom prst="rect">
                                <a:avLst/>
                              </a:prstGeom>
                              <a:noFill/>
                              <a:ln>
                                <a:noFill/>
                              </a:ln>
                            </wps:spPr>
                            <wps:txbx>
                              <w:txbxContent>
                                <w:p w14:paraId="7375F8A7">
                                  <w:pPr>
                                    <w:rPr>
                                      <w:rFonts w:hint="default" w:eastAsia="宋体"/>
                                      <w:lang w:val="en-US" w:eastAsia="zh-CN"/>
                                    </w:rPr>
                                  </w:pPr>
                                  <w:r>
                                    <w:rPr>
                                      <w:rFonts w:hint="eastAsia" w:hAnsi="宋体"/>
                                      <w:sz w:val="22"/>
                                      <w:szCs w:val="22"/>
                                    </w:rPr>
                                    <w:t>弃土</w:t>
                                  </w:r>
                                  <w:r>
                                    <w:rPr>
                                      <w:rFonts w:hint="eastAsia" w:hAnsi="宋体"/>
                                      <w:sz w:val="22"/>
                                      <w:szCs w:val="22"/>
                                      <w:lang w:eastAsia="zh-CN"/>
                                    </w:rPr>
                                    <w:t>、</w:t>
                                  </w:r>
                                  <w:r>
                                    <w:rPr>
                                      <w:rFonts w:hint="eastAsia" w:hAnsi="宋体"/>
                                      <w:sz w:val="22"/>
                                      <w:szCs w:val="22"/>
                                      <w:lang w:val="en-US" w:eastAsia="zh-CN"/>
                                    </w:rPr>
                                    <w:t>钻探泥浆、设备冲洗水</w:t>
                                  </w:r>
                                </w:p>
                              </w:txbxContent>
                            </wps:txbx>
                            <wps:bodyPr vert="horz" wrap="square" lIns="18000" tIns="10800" rIns="18000" bIns="10800" anchor="t" anchorCtr="0" upright="1"/>
                          </wps:wsp>
                        </a:graphicData>
                      </a:graphic>
                    </wp:anchor>
                  </w:drawing>
                </mc:Choice>
                <mc:Fallback>
                  <w:pict>
                    <v:shape id="文本框 112" o:spid="_x0000_s1026" o:spt="202" type="#_x0000_t202" style="position:absolute;left:0pt;margin-left:144.75pt;margin-top:7.1pt;height:19.2pt;width:159.5pt;z-index:251706368;mso-width-relative:page;mso-height-relative:page;" filled="f" stroked="f" coordsize="21600,21600" o:gfxdata="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2ap2bWAAAACQEA&#10;AA8AAAAAAAAAAQAgAAAAIgAAAGRycy9kb3ducmV2LnhtbFBLAQIUABQAAAAIAIdO4kCi29Ow4wEA&#10;ALkDAAAOAAAAAAAAAAEAIAAAACUBAABkcnMvZTJvRG9jLnhtbFBLBQYAAAAABgAGAFkBAAB6BQAA&#10;AAA=&#10;">
                      <v:fill on="f" focussize="0,0"/>
                      <v:stroke on="f"/>
                      <v:imagedata o:title=""/>
                      <o:lock v:ext="edit" aspectratio="f"/>
                      <v:textbox inset="0.5mm,0.3mm,0.5mm,0.3mm">
                        <w:txbxContent>
                          <w:p w14:paraId="7375F8A7">
                            <w:pPr>
                              <w:rPr>
                                <w:rFonts w:hint="default" w:eastAsia="宋体"/>
                                <w:lang w:val="en-US" w:eastAsia="zh-CN"/>
                              </w:rPr>
                            </w:pPr>
                            <w:r>
                              <w:rPr>
                                <w:rFonts w:hint="eastAsia" w:hAnsi="宋体"/>
                                <w:sz w:val="22"/>
                                <w:szCs w:val="22"/>
                              </w:rPr>
                              <w:t>弃土</w:t>
                            </w:r>
                            <w:r>
                              <w:rPr>
                                <w:rFonts w:hint="eastAsia" w:hAnsi="宋体"/>
                                <w:sz w:val="22"/>
                                <w:szCs w:val="22"/>
                                <w:lang w:eastAsia="zh-CN"/>
                              </w:rPr>
                              <w:t>、</w:t>
                            </w:r>
                            <w:r>
                              <w:rPr>
                                <w:rFonts w:hint="eastAsia" w:hAnsi="宋体"/>
                                <w:sz w:val="22"/>
                                <w:szCs w:val="22"/>
                                <w:lang w:val="en-US" w:eastAsia="zh-CN"/>
                              </w:rPr>
                              <w:t>钻探泥浆、设备冲洗水</w:t>
                            </w:r>
                          </w:p>
                        </w:txbxContent>
                      </v:textbox>
                    </v:shape>
                  </w:pict>
                </mc:Fallback>
              </mc:AlternateContent>
            </w:r>
          </w:p>
          <w:p w14:paraId="03A6D732">
            <w:pPr>
              <w:adjustRightInd w:val="0"/>
              <w:snapToGrid w:val="0"/>
              <w:spacing w:line="520" w:lineRule="exact"/>
              <w:ind w:right="260" w:rightChars="124"/>
              <w:jc w:val="center"/>
              <w:rPr>
                <w:b/>
                <w:color w:val="auto"/>
                <w:sz w:val="24"/>
              </w:rPr>
            </w:pPr>
            <w:r>
              <w:rPr>
                <w:b/>
                <w:color w:val="auto"/>
                <w:sz w:val="24"/>
              </w:rPr>
              <w:t>图</w:t>
            </w:r>
            <w:r>
              <w:rPr>
                <w:rFonts w:hint="eastAsia"/>
                <w:b/>
                <w:color w:val="auto"/>
                <w:sz w:val="24"/>
                <w:lang w:val="en-US" w:eastAsia="zh-CN"/>
              </w:rPr>
              <w:t>2-5</w:t>
            </w:r>
            <w:r>
              <w:rPr>
                <w:b/>
                <w:color w:val="auto"/>
                <w:sz w:val="24"/>
              </w:rPr>
              <w:t xml:space="preserve"> </w:t>
            </w:r>
            <w:r>
              <w:rPr>
                <w:rFonts w:hint="eastAsia"/>
                <w:b/>
                <w:color w:val="auto"/>
                <w:sz w:val="24"/>
                <w:lang w:val="en-US" w:eastAsia="zh-CN"/>
              </w:rPr>
              <w:t xml:space="preserve"> </w:t>
            </w:r>
            <w:r>
              <w:rPr>
                <w:b/>
                <w:color w:val="auto"/>
                <w:sz w:val="24"/>
              </w:rPr>
              <w:t xml:space="preserve"> </w:t>
            </w:r>
            <w:r>
              <w:rPr>
                <w:rFonts w:hint="eastAsia"/>
                <w:b/>
                <w:color w:val="auto"/>
                <w:sz w:val="24"/>
              </w:rPr>
              <w:t>钻</w:t>
            </w:r>
            <w:r>
              <w:rPr>
                <w:b/>
                <w:color w:val="auto"/>
                <w:sz w:val="24"/>
              </w:rPr>
              <w:t>探施工流程及产污环节示意图</w:t>
            </w:r>
          </w:p>
          <w:p w14:paraId="0A45C36E">
            <w:pPr>
              <w:pStyle w:val="46"/>
              <w:bidi w:val="0"/>
              <w:rPr>
                <w:rFonts w:hint="default"/>
                <w:color w:val="auto"/>
                <w:lang w:val="en-US" w:eastAsia="zh-CN"/>
              </w:rPr>
            </w:pPr>
            <w:r>
              <w:rPr>
                <w:rFonts w:hint="eastAsia"/>
                <w:color w:val="auto"/>
                <w:lang w:val="en-US" w:eastAsia="zh-CN"/>
              </w:rPr>
              <w:t>槽探设备到达预设的槽探区后，即可开展开挖工作。探槽</w:t>
            </w:r>
            <w:r>
              <w:rPr>
                <w:rFonts w:hint="default"/>
                <w:color w:val="auto"/>
                <w:lang w:val="en-US" w:eastAsia="zh-CN"/>
              </w:rPr>
              <w:t>施工开挖废石分层堆存在探槽</w:t>
            </w:r>
            <w:r>
              <w:rPr>
                <w:rFonts w:hint="eastAsia"/>
                <w:color w:val="auto"/>
                <w:lang w:val="en-US" w:eastAsia="zh-CN"/>
              </w:rPr>
              <w:t>一</w:t>
            </w:r>
            <w:r>
              <w:rPr>
                <w:rFonts w:hint="default"/>
                <w:color w:val="auto"/>
                <w:lang w:val="en-US" w:eastAsia="zh-CN"/>
              </w:rPr>
              <w:t>侧，使用彩条布苫盖。施工结束后开挖废石全部回填探槽。探槽开挖</w:t>
            </w:r>
            <w:r>
              <w:rPr>
                <w:rFonts w:hint="eastAsia"/>
                <w:color w:val="auto"/>
                <w:lang w:val="en-US" w:eastAsia="zh-CN"/>
              </w:rPr>
              <w:t>、钻探</w:t>
            </w:r>
            <w:r>
              <w:rPr>
                <w:rFonts w:hint="default"/>
                <w:color w:val="auto"/>
                <w:lang w:val="en-US" w:eastAsia="zh-CN"/>
              </w:rPr>
              <w:t>及回填过程中都会产生扬尘和噪声，破坏区域景观，造成水土流失等生态问题。</w:t>
            </w:r>
          </w:p>
          <w:p w14:paraId="05547CE2">
            <w:pPr>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宋体" w:cs="Times New Roman"/>
                <w:color w:val="auto"/>
                <w:sz w:val="24"/>
              </w:rPr>
            </w:pPr>
            <w:r>
              <w:rPr>
                <w:rFonts w:hint="eastAsia"/>
                <w:b/>
                <w:color w:val="auto"/>
                <w:sz w:val="24"/>
                <w:lang w:val="en-US" w:eastAsia="zh-CN"/>
              </w:rPr>
              <w:t>3.</w:t>
            </w:r>
            <w:r>
              <w:rPr>
                <w:rFonts w:hint="eastAsia"/>
                <w:b/>
                <w:color w:val="auto"/>
                <w:sz w:val="24"/>
                <w:lang w:eastAsia="zh-CN"/>
              </w:rPr>
              <w:t>施工时序及建设周期</w:t>
            </w:r>
          </w:p>
          <w:p w14:paraId="681C881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项目</w:t>
            </w:r>
            <w:r>
              <w:rPr>
                <w:rFonts w:hint="eastAsia" w:cs="Times New Roman"/>
                <w:color w:val="auto"/>
                <w:sz w:val="24"/>
                <w:lang w:val="en-US" w:eastAsia="zh-CN"/>
              </w:rPr>
              <w:t>地处山区，海拔较高，冬季无法开展勘探活动，具体工作计划与进度安排见下表</w:t>
            </w:r>
            <w:r>
              <w:rPr>
                <w:rFonts w:hint="default" w:ascii="Times New Roman" w:hAnsi="Times New Roman" w:eastAsia="宋体" w:cs="Times New Roman"/>
                <w:color w:val="auto"/>
                <w:sz w:val="24"/>
              </w:rPr>
              <w:t>。</w:t>
            </w:r>
          </w:p>
          <w:p w14:paraId="3BED45BD">
            <w:pPr>
              <w:pStyle w:val="47"/>
              <w:keepNext w:val="0"/>
              <w:keepLines w:val="0"/>
              <w:pageBreakBefore w:val="0"/>
              <w:widowControl w:val="0"/>
              <w:kinsoku/>
              <w:wordWrap/>
              <w:overflowPunct/>
              <w:topLinePunct w:val="0"/>
              <w:autoSpaceDE/>
              <w:autoSpaceDN/>
              <w:bidi w:val="0"/>
              <w:spacing w:line="520" w:lineRule="exact"/>
              <w:textAlignment w:val="auto"/>
              <w:rPr>
                <w:rFonts w:hint="default"/>
                <w:color w:val="auto"/>
                <w:sz w:val="24"/>
                <w:szCs w:val="24"/>
                <w:lang w:val="en-US" w:eastAsia="zh-CN"/>
              </w:rPr>
            </w:pPr>
            <w:r>
              <w:rPr>
                <w:rFonts w:hint="eastAsia"/>
                <w:color w:val="auto"/>
                <w:sz w:val="24"/>
                <w:szCs w:val="24"/>
                <w:lang w:val="en-US" w:eastAsia="zh-CN"/>
              </w:rPr>
              <w:t>表2-6    工作计划与时间安排表</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2362"/>
              <w:gridCol w:w="4684"/>
            </w:tblGrid>
            <w:tr w14:paraId="07481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48" w:type="pct"/>
                  <w:noWrap w:val="0"/>
                  <w:vAlign w:val="center"/>
                </w:tcPr>
                <w:p w14:paraId="7CB372DE">
                  <w:pPr>
                    <w:pStyle w:val="43"/>
                    <w:bidi w:val="0"/>
                    <w:rPr>
                      <w:rFonts w:hint="eastAsia" w:eastAsia="宋体"/>
                      <w:color w:val="auto"/>
                      <w:lang w:eastAsia="zh-CN"/>
                    </w:rPr>
                  </w:pPr>
                  <w:r>
                    <w:rPr>
                      <w:rFonts w:hint="eastAsia"/>
                      <w:color w:val="auto"/>
                      <w:lang w:val="en-US" w:eastAsia="zh-CN"/>
                    </w:rPr>
                    <w:t>时段</w:t>
                  </w:r>
                </w:p>
              </w:tc>
              <w:tc>
                <w:tcPr>
                  <w:tcW w:w="1458" w:type="pct"/>
                  <w:noWrap w:val="0"/>
                  <w:vAlign w:val="center"/>
                </w:tcPr>
                <w:p w14:paraId="34EFFDE2">
                  <w:pPr>
                    <w:pStyle w:val="43"/>
                    <w:bidi w:val="0"/>
                    <w:rPr>
                      <w:rFonts w:hint="default"/>
                      <w:color w:val="auto"/>
                    </w:rPr>
                  </w:pPr>
                  <w:r>
                    <w:rPr>
                      <w:rFonts w:hint="default"/>
                      <w:color w:val="auto"/>
                    </w:rPr>
                    <w:t>具体时间安排</w:t>
                  </w:r>
                </w:p>
              </w:tc>
              <w:tc>
                <w:tcPr>
                  <w:tcW w:w="2892" w:type="pct"/>
                  <w:noWrap w:val="0"/>
                  <w:vAlign w:val="center"/>
                </w:tcPr>
                <w:p w14:paraId="619FEFBA">
                  <w:pPr>
                    <w:pStyle w:val="43"/>
                    <w:bidi w:val="0"/>
                    <w:rPr>
                      <w:rFonts w:hint="default"/>
                      <w:color w:val="auto"/>
                    </w:rPr>
                  </w:pPr>
                  <w:r>
                    <w:rPr>
                      <w:rFonts w:hint="default"/>
                      <w:color w:val="auto"/>
                    </w:rPr>
                    <w:t>工作进度及目标</w:t>
                  </w:r>
                </w:p>
              </w:tc>
            </w:tr>
            <w:tr w14:paraId="5004A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48" w:type="pct"/>
                  <w:noWrap w:val="0"/>
                  <w:vAlign w:val="center"/>
                </w:tcPr>
                <w:p w14:paraId="307E7003">
                  <w:pPr>
                    <w:pStyle w:val="43"/>
                    <w:bidi w:val="0"/>
                    <w:rPr>
                      <w:rFonts w:hint="eastAsia" w:eastAsia="宋体"/>
                      <w:color w:val="auto"/>
                      <w:lang w:eastAsia="zh-CN"/>
                    </w:rPr>
                  </w:pPr>
                  <w:r>
                    <w:rPr>
                      <w:rFonts w:hint="eastAsia"/>
                      <w:color w:val="auto"/>
                      <w:lang w:val="en-US" w:eastAsia="zh-CN"/>
                    </w:rPr>
                    <w:t>施工期</w:t>
                  </w:r>
                </w:p>
              </w:tc>
              <w:tc>
                <w:tcPr>
                  <w:tcW w:w="1458" w:type="pct"/>
                  <w:noWrap w:val="0"/>
                  <w:vAlign w:val="center"/>
                </w:tcPr>
                <w:p w14:paraId="7230073F">
                  <w:pPr>
                    <w:pStyle w:val="43"/>
                    <w:bidi w:val="0"/>
                    <w:jc w:val="center"/>
                    <w:rPr>
                      <w:rFonts w:hint="default" w:eastAsia="宋体"/>
                      <w:color w:val="auto"/>
                      <w:lang w:val="en-US" w:eastAsia="zh-CN"/>
                    </w:rPr>
                  </w:pPr>
                  <w:r>
                    <w:rPr>
                      <w:rFonts w:hint="eastAsia"/>
                      <w:color w:val="auto"/>
                      <w:lang w:val="en-US" w:eastAsia="zh-CN"/>
                    </w:rPr>
                    <w:t>5</w:t>
                  </w:r>
                  <w:r>
                    <w:rPr>
                      <w:color w:val="auto"/>
                    </w:rPr>
                    <w:t>月</w:t>
                  </w:r>
                  <w:r>
                    <w:rPr>
                      <w:rFonts w:hint="eastAsia"/>
                      <w:color w:val="auto"/>
                      <w:lang w:val="en-US" w:eastAsia="zh-CN"/>
                    </w:rPr>
                    <w:t>1日—5月30日</w:t>
                  </w:r>
                </w:p>
              </w:tc>
              <w:tc>
                <w:tcPr>
                  <w:tcW w:w="2892" w:type="pct"/>
                  <w:noWrap w:val="0"/>
                  <w:vAlign w:val="center"/>
                </w:tcPr>
                <w:p w14:paraId="678DEF06">
                  <w:pPr>
                    <w:pStyle w:val="43"/>
                    <w:bidi w:val="0"/>
                    <w:rPr>
                      <w:rFonts w:hint="eastAsia" w:eastAsia="宋体"/>
                      <w:color w:val="auto"/>
                      <w:lang w:val="en-US" w:eastAsia="zh-CN"/>
                    </w:rPr>
                  </w:pPr>
                  <w:r>
                    <w:rPr>
                      <w:rFonts w:hint="eastAsia"/>
                      <w:color w:val="auto"/>
                    </w:rPr>
                    <w:t>项目资料收集</w:t>
                  </w:r>
                  <w:r>
                    <w:rPr>
                      <w:rFonts w:hint="eastAsia"/>
                      <w:color w:val="auto"/>
                      <w:lang w:eastAsia="zh-CN"/>
                    </w:rPr>
                    <w:t>，</w:t>
                  </w:r>
                  <w:r>
                    <w:rPr>
                      <w:rFonts w:hint="eastAsia"/>
                      <w:color w:val="auto"/>
                    </w:rPr>
                    <w:t>做好出队准备</w:t>
                  </w:r>
                  <w:r>
                    <w:rPr>
                      <w:rFonts w:hint="eastAsia"/>
                      <w:color w:val="auto"/>
                      <w:lang w:eastAsia="zh-CN"/>
                    </w:rPr>
                    <w:t>，开展野外踏勘，完成</w:t>
                  </w:r>
                  <w:r>
                    <w:rPr>
                      <w:rFonts w:hint="eastAsia"/>
                      <w:color w:val="auto"/>
                      <w:lang w:val="en-US" w:eastAsia="zh-CN"/>
                    </w:rPr>
                    <w:t>营地建设。</w:t>
                  </w:r>
                </w:p>
              </w:tc>
            </w:tr>
            <w:tr w14:paraId="2A3D1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48" w:type="pct"/>
                  <w:vMerge w:val="restart"/>
                  <w:noWrap w:val="0"/>
                  <w:vAlign w:val="center"/>
                </w:tcPr>
                <w:p w14:paraId="177F4092">
                  <w:pPr>
                    <w:pStyle w:val="43"/>
                    <w:bidi w:val="0"/>
                    <w:rPr>
                      <w:rFonts w:hint="eastAsia"/>
                      <w:color w:val="auto"/>
                      <w:lang w:val="en-US" w:eastAsia="zh-CN"/>
                    </w:rPr>
                  </w:pPr>
                  <w:r>
                    <w:rPr>
                      <w:rFonts w:hint="eastAsia" w:cs="Times New Roman"/>
                      <w:color w:val="auto"/>
                      <w:sz w:val="21"/>
                      <w:szCs w:val="21"/>
                      <w:lang w:val="en-US" w:eastAsia="zh-CN"/>
                    </w:rPr>
                    <w:t>勘探期</w:t>
                  </w:r>
                </w:p>
              </w:tc>
              <w:tc>
                <w:tcPr>
                  <w:tcW w:w="1458" w:type="pct"/>
                  <w:noWrap w:val="0"/>
                  <w:vAlign w:val="center"/>
                </w:tcPr>
                <w:p w14:paraId="47BB37D3">
                  <w:pPr>
                    <w:pStyle w:val="43"/>
                    <w:bidi w:val="0"/>
                    <w:jc w:val="center"/>
                    <w:rPr>
                      <w:rFonts w:hint="default" w:eastAsia="宋体"/>
                      <w:color w:val="auto"/>
                      <w:lang w:val="en-US" w:eastAsia="zh-CN"/>
                    </w:rPr>
                  </w:pPr>
                  <w:r>
                    <w:rPr>
                      <w:rFonts w:hint="eastAsia"/>
                      <w:color w:val="auto"/>
                      <w:lang w:val="en-US" w:eastAsia="zh-CN"/>
                    </w:rPr>
                    <w:t>6</w:t>
                  </w:r>
                  <w:r>
                    <w:rPr>
                      <w:rFonts w:hint="eastAsia"/>
                      <w:color w:val="auto"/>
                    </w:rPr>
                    <w:t>月</w:t>
                  </w:r>
                  <w:r>
                    <w:rPr>
                      <w:rFonts w:hint="eastAsia"/>
                      <w:color w:val="auto"/>
                      <w:lang w:val="en-US" w:eastAsia="zh-CN"/>
                    </w:rPr>
                    <w:t>1日—7</w:t>
                  </w:r>
                  <w:r>
                    <w:rPr>
                      <w:rFonts w:hint="eastAsia"/>
                      <w:color w:val="auto"/>
                    </w:rPr>
                    <w:t>月</w:t>
                  </w:r>
                  <w:r>
                    <w:rPr>
                      <w:rFonts w:hint="eastAsia"/>
                      <w:color w:val="auto"/>
                      <w:lang w:val="en-US" w:eastAsia="zh-CN"/>
                    </w:rPr>
                    <w:t>10日</w:t>
                  </w:r>
                </w:p>
              </w:tc>
              <w:tc>
                <w:tcPr>
                  <w:tcW w:w="2892" w:type="pct"/>
                  <w:noWrap w:val="0"/>
                  <w:vAlign w:val="center"/>
                </w:tcPr>
                <w:p w14:paraId="1FE007C3">
                  <w:pPr>
                    <w:pStyle w:val="43"/>
                    <w:bidi w:val="0"/>
                    <w:rPr>
                      <w:rFonts w:hint="default"/>
                      <w:color w:val="auto"/>
                    </w:rPr>
                  </w:pPr>
                  <w:r>
                    <w:rPr>
                      <w:rFonts w:hint="eastAsia"/>
                      <w:color w:val="auto"/>
                    </w:rPr>
                    <w:t>完成</w:t>
                  </w:r>
                  <w:r>
                    <w:rPr>
                      <w:rFonts w:hint="eastAsia"/>
                      <w:color w:val="auto"/>
                      <w:lang w:eastAsia="zh-CN"/>
                    </w:rPr>
                    <w:t>地形测绘、地质测量</w:t>
                  </w:r>
                  <w:r>
                    <w:rPr>
                      <w:rFonts w:hint="eastAsia"/>
                      <w:color w:val="auto"/>
                      <w:lang w:val="en-US" w:eastAsia="zh-CN"/>
                    </w:rPr>
                    <w:t>等</w:t>
                  </w:r>
                  <w:r>
                    <w:rPr>
                      <w:rFonts w:hint="eastAsia"/>
                      <w:color w:val="auto"/>
                      <w:lang w:eastAsia="zh-CN"/>
                    </w:rPr>
                    <w:t>工作。</w:t>
                  </w:r>
                </w:p>
              </w:tc>
            </w:tr>
            <w:tr w14:paraId="08550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48" w:type="pct"/>
                  <w:vMerge w:val="continue"/>
                  <w:noWrap w:val="0"/>
                  <w:vAlign w:val="center"/>
                </w:tcPr>
                <w:p w14:paraId="77EBCB6E">
                  <w:pPr>
                    <w:pStyle w:val="43"/>
                    <w:bidi w:val="0"/>
                    <w:rPr>
                      <w:rFonts w:hint="default" w:eastAsia="宋体"/>
                      <w:color w:val="auto"/>
                      <w:lang w:val="en-US" w:eastAsia="zh-CN"/>
                    </w:rPr>
                  </w:pPr>
                </w:p>
              </w:tc>
              <w:tc>
                <w:tcPr>
                  <w:tcW w:w="1458" w:type="pct"/>
                  <w:noWrap w:val="0"/>
                  <w:vAlign w:val="center"/>
                </w:tcPr>
                <w:p w14:paraId="57708C38">
                  <w:pPr>
                    <w:pStyle w:val="43"/>
                    <w:bidi w:val="0"/>
                    <w:jc w:val="center"/>
                    <w:rPr>
                      <w:rFonts w:hint="eastAsia"/>
                      <w:color w:val="auto"/>
                      <w:lang w:val="en-US" w:eastAsia="zh-CN"/>
                    </w:rPr>
                  </w:pPr>
                  <w:r>
                    <w:rPr>
                      <w:rFonts w:hint="eastAsia"/>
                      <w:color w:val="auto"/>
                      <w:lang w:val="en-US" w:eastAsia="zh-CN"/>
                    </w:rPr>
                    <w:t>7</w:t>
                  </w:r>
                  <w:r>
                    <w:rPr>
                      <w:rFonts w:hint="eastAsia"/>
                      <w:color w:val="auto"/>
                    </w:rPr>
                    <w:t>月</w:t>
                  </w:r>
                  <w:r>
                    <w:rPr>
                      <w:rFonts w:hint="eastAsia"/>
                      <w:color w:val="auto"/>
                      <w:lang w:val="en-US" w:eastAsia="zh-CN"/>
                    </w:rPr>
                    <w:t>10日—10</w:t>
                  </w:r>
                  <w:r>
                    <w:rPr>
                      <w:rFonts w:hint="eastAsia"/>
                      <w:color w:val="auto"/>
                    </w:rPr>
                    <w:t>月</w:t>
                  </w:r>
                  <w:r>
                    <w:rPr>
                      <w:rFonts w:hint="eastAsia"/>
                      <w:color w:val="auto"/>
                      <w:lang w:val="en-US" w:eastAsia="zh-CN"/>
                    </w:rPr>
                    <w:t>30日</w:t>
                  </w:r>
                </w:p>
              </w:tc>
              <w:tc>
                <w:tcPr>
                  <w:tcW w:w="2892" w:type="pct"/>
                  <w:noWrap w:val="0"/>
                  <w:vAlign w:val="center"/>
                </w:tcPr>
                <w:p w14:paraId="1DCBE09B">
                  <w:pPr>
                    <w:pStyle w:val="43"/>
                    <w:bidi w:val="0"/>
                    <w:rPr>
                      <w:rFonts w:hint="eastAsia"/>
                      <w:color w:val="auto"/>
                      <w:lang w:val="en-US" w:eastAsia="zh-CN"/>
                    </w:rPr>
                  </w:pPr>
                  <w:r>
                    <w:rPr>
                      <w:rFonts w:hint="eastAsia"/>
                      <w:color w:val="auto"/>
                      <w:lang w:val="en-US" w:eastAsia="zh-CN"/>
                    </w:rPr>
                    <w:t>完成槽探、钻探工作，拆除临时营地。</w:t>
                  </w:r>
                </w:p>
              </w:tc>
            </w:tr>
          </w:tbl>
          <w:p w14:paraId="052525CF">
            <w:pPr>
              <w:keepNext w:val="0"/>
              <w:keepLines w:val="0"/>
              <w:pageBreakBefore w:val="0"/>
              <w:widowControl w:val="0"/>
              <w:kinsoku/>
              <w:wordWrap/>
              <w:overflowPunct/>
              <w:topLinePunct w:val="0"/>
              <w:autoSpaceDE/>
              <w:autoSpaceDN/>
              <w:bidi w:val="0"/>
              <w:adjustRightInd/>
              <w:snapToGrid/>
              <w:spacing w:line="520" w:lineRule="exact"/>
              <w:textAlignment w:val="auto"/>
              <w:rPr>
                <w:b/>
                <w:bCs/>
                <w:color w:val="auto"/>
                <w:sz w:val="24"/>
                <w:highlight w:val="none"/>
              </w:rPr>
            </w:pPr>
            <w:r>
              <w:rPr>
                <w:rFonts w:hint="eastAsia"/>
                <w:b/>
                <w:bCs/>
                <w:color w:val="auto"/>
                <w:sz w:val="24"/>
                <w:highlight w:val="none"/>
                <w:lang w:val="en-US" w:eastAsia="zh-CN"/>
              </w:rPr>
              <w:t>4</w:t>
            </w:r>
            <w:r>
              <w:rPr>
                <w:b/>
                <w:bCs/>
                <w:color w:val="auto"/>
                <w:sz w:val="24"/>
                <w:highlight w:val="none"/>
              </w:rPr>
              <w:t>土石方平衡分析</w:t>
            </w:r>
          </w:p>
          <w:p w14:paraId="24D917B9">
            <w:pPr>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color w:val="auto"/>
                <w:sz w:val="24"/>
                <w:highlight w:val="none"/>
              </w:rPr>
            </w:pPr>
            <w:r>
              <w:rPr>
                <w:color w:val="auto"/>
                <w:sz w:val="24"/>
                <w:highlight w:val="none"/>
              </w:rPr>
              <w:t>本项目主要的土石方工</w:t>
            </w:r>
            <w:r>
              <w:rPr>
                <w:color w:val="auto"/>
                <w:sz w:val="24"/>
              </w:rPr>
              <w:t>程即为槽探期间</w:t>
            </w:r>
            <w:r>
              <w:rPr>
                <w:rFonts w:hint="eastAsia"/>
                <w:color w:val="auto"/>
                <w:sz w:val="24"/>
                <w:lang w:eastAsia="zh-CN"/>
              </w:rPr>
              <w:t>开挖的</w:t>
            </w:r>
            <w:r>
              <w:rPr>
                <w:color w:val="auto"/>
                <w:sz w:val="24"/>
              </w:rPr>
              <w:t>土壤与风化岩石剥离、</w:t>
            </w:r>
            <w:r>
              <w:rPr>
                <w:color w:val="auto"/>
                <w:sz w:val="24"/>
                <w:highlight w:val="none"/>
              </w:rPr>
              <w:t>回填产生的土石方</w:t>
            </w:r>
            <w:r>
              <w:rPr>
                <w:rFonts w:hint="eastAsia"/>
                <w:color w:val="auto"/>
                <w:sz w:val="24"/>
                <w:highlight w:val="none"/>
                <w:lang w:val="en-US" w:eastAsia="zh-CN"/>
              </w:rPr>
              <w:t>及进矿道路平整产生的土石方</w:t>
            </w:r>
            <w:r>
              <w:rPr>
                <w:rFonts w:hint="eastAsia"/>
                <w:color w:val="auto"/>
                <w:sz w:val="24"/>
                <w:highlight w:val="none"/>
                <w:lang w:eastAsia="zh-CN"/>
              </w:rPr>
              <w:t>，项目所在地植被盖度较低，无表土和腐殖土</w:t>
            </w:r>
            <w:r>
              <w:rPr>
                <w:color w:val="auto"/>
                <w:sz w:val="24"/>
                <w:highlight w:val="none"/>
              </w:rPr>
              <w:t>。</w:t>
            </w:r>
          </w:p>
          <w:p w14:paraId="27DD13C3">
            <w:pPr>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color w:val="auto"/>
                <w:sz w:val="24"/>
                <w:highlight w:val="none"/>
              </w:rPr>
            </w:pPr>
            <w:r>
              <w:rPr>
                <w:color w:val="auto"/>
                <w:sz w:val="24"/>
                <w:highlight w:val="none"/>
              </w:rPr>
              <w:t>槽探期间将开挖的土石方量为</w:t>
            </w:r>
            <w:r>
              <w:rPr>
                <w:rFonts w:hint="eastAsia"/>
                <w:color w:val="auto"/>
                <w:sz w:val="24"/>
                <w:highlight w:val="none"/>
                <w:lang w:val="en-US" w:eastAsia="zh-CN"/>
              </w:rPr>
              <w:t>800</w:t>
            </w:r>
            <w:r>
              <w:rPr>
                <w:color w:val="auto"/>
                <w:sz w:val="24"/>
                <w:highlight w:val="none"/>
              </w:rPr>
              <w:t>m</w:t>
            </w:r>
            <w:r>
              <w:rPr>
                <w:color w:val="auto"/>
                <w:sz w:val="24"/>
                <w:highlight w:val="none"/>
                <w:vertAlign w:val="superscript"/>
              </w:rPr>
              <w:t>3</w:t>
            </w:r>
            <w:r>
              <w:rPr>
                <w:color w:val="auto"/>
                <w:sz w:val="24"/>
                <w:highlight w:val="none"/>
              </w:rPr>
              <w:t>，合松散方约</w:t>
            </w:r>
            <w:r>
              <w:rPr>
                <w:rFonts w:hint="eastAsia"/>
                <w:color w:val="auto"/>
                <w:sz w:val="24"/>
                <w:highlight w:val="none"/>
                <w:lang w:val="en-US" w:eastAsia="zh-CN"/>
              </w:rPr>
              <w:t>1160</w:t>
            </w:r>
            <w:r>
              <w:rPr>
                <w:color w:val="auto"/>
                <w:sz w:val="24"/>
                <w:highlight w:val="none"/>
              </w:rPr>
              <w:t>m</w:t>
            </w:r>
            <w:r>
              <w:rPr>
                <w:color w:val="auto"/>
                <w:sz w:val="24"/>
                <w:highlight w:val="none"/>
                <w:vertAlign w:val="superscript"/>
              </w:rPr>
              <w:t>3</w:t>
            </w:r>
            <w:r>
              <w:rPr>
                <w:color w:val="auto"/>
                <w:sz w:val="24"/>
                <w:highlight w:val="none"/>
              </w:rPr>
              <w:t>（松散系数以1.45计）。</w:t>
            </w:r>
          </w:p>
          <w:p w14:paraId="2329929A">
            <w:pPr>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color w:val="auto"/>
                <w:sz w:val="24"/>
              </w:rPr>
            </w:pPr>
            <w:r>
              <w:rPr>
                <w:rFonts w:hint="eastAsia"/>
                <w:color w:val="auto"/>
                <w:sz w:val="24"/>
              </w:rPr>
              <w:t>施工营地</w:t>
            </w:r>
            <w:r>
              <w:rPr>
                <w:rFonts w:hint="eastAsia"/>
                <w:color w:val="auto"/>
                <w:sz w:val="24"/>
                <w:lang w:eastAsia="zh-CN"/>
              </w:rPr>
              <w:t>土地平整产生的土石方</w:t>
            </w:r>
            <w:r>
              <w:rPr>
                <w:color w:val="auto"/>
                <w:sz w:val="24"/>
              </w:rPr>
              <w:t>约</w:t>
            </w:r>
            <w:r>
              <w:rPr>
                <w:rFonts w:hint="eastAsia"/>
                <w:color w:val="auto"/>
                <w:sz w:val="24"/>
                <w:lang w:val="en-US" w:eastAsia="zh-CN"/>
              </w:rPr>
              <w:t>20</w:t>
            </w:r>
            <w:r>
              <w:rPr>
                <w:color w:val="auto"/>
                <w:sz w:val="24"/>
              </w:rPr>
              <w:t>m</w:t>
            </w:r>
            <w:r>
              <w:rPr>
                <w:color w:val="auto"/>
                <w:sz w:val="24"/>
                <w:vertAlign w:val="superscript"/>
              </w:rPr>
              <w:t>3</w:t>
            </w:r>
            <w:r>
              <w:rPr>
                <w:color w:val="auto"/>
                <w:sz w:val="24"/>
              </w:rPr>
              <w:t>。</w:t>
            </w:r>
          </w:p>
          <w:p w14:paraId="280D59AC">
            <w:pPr>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color w:val="auto"/>
                <w:sz w:val="24"/>
              </w:rPr>
            </w:pPr>
            <w:r>
              <w:rPr>
                <w:color w:val="auto"/>
                <w:sz w:val="24"/>
                <w:szCs w:val="24"/>
                <w:highlight w:val="none"/>
              </w:rPr>
              <w:t>本项目</w:t>
            </w:r>
            <w:r>
              <w:rPr>
                <w:rFonts w:hint="eastAsia"/>
                <w:color w:val="auto"/>
                <w:sz w:val="24"/>
                <w:szCs w:val="24"/>
                <w:highlight w:val="none"/>
              </w:rPr>
              <w:t>钻探</w:t>
            </w:r>
            <w:r>
              <w:rPr>
                <w:color w:val="auto"/>
                <w:sz w:val="24"/>
                <w:szCs w:val="24"/>
                <w:highlight w:val="none"/>
              </w:rPr>
              <w:t>总工程量为</w:t>
            </w:r>
            <w:r>
              <w:rPr>
                <w:rFonts w:hint="eastAsia"/>
                <w:color w:val="auto"/>
                <w:sz w:val="24"/>
                <w:szCs w:val="24"/>
                <w:highlight w:val="none"/>
                <w:lang w:val="en-US" w:eastAsia="zh-CN"/>
              </w:rPr>
              <w:t>550</w:t>
            </w:r>
            <w:r>
              <w:rPr>
                <w:color w:val="auto"/>
                <w:sz w:val="24"/>
                <w:szCs w:val="24"/>
                <w:highlight w:val="none"/>
              </w:rPr>
              <w:t>m</w:t>
            </w:r>
            <w:r>
              <w:rPr>
                <w:rFonts w:hint="eastAsia"/>
                <w:color w:val="auto"/>
                <w:sz w:val="24"/>
                <w:szCs w:val="24"/>
                <w:highlight w:val="none"/>
                <w:lang w:eastAsia="zh-CN"/>
              </w:rPr>
              <w:t>（</w:t>
            </w:r>
            <w:r>
              <w:rPr>
                <w:rFonts w:hint="eastAsia"/>
                <w:color w:val="auto"/>
                <w:sz w:val="24"/>
                <w:szCs w:val="24"/>
                <w:highlight w:val="none"/>
                <w:lang w:val="en-US" w:eastAsia="zh-CN"/>
              </w:rPr>
              <w:t>包括水文孔</w:t>
            </w:r>
            <w:r>
              <w:rPr>
                <w:rFonts w:hint="eastAsia"/>
                <w:color w:val="auto"/>
                <w:sz w:val="24"/>
                <w:szCs w:val="24"/>
                <w:highlight w:val="none"/>
                <w:lang w:eastAsia="zh-CN"/>
              </w:rPr>
              <w:t>）</w:t>
            </w:r>
            <w:r>
              <w:rPr>
                <w:rFonts w:hint="eastAsia"/>
                <w:color w:val="auto"/>
                <w:sz w:val="24"/>
                <w:szCs w:val="24"/>
                <w:highlight w:val="none"/>
              </w:rPr>
              <w:t>，钻探探头</w:t>
            </w:r>
            <w:r>
              <w:rPr>
                <w:rFonts w:hint="eastAsia"/>
                <w:color w:val="auto"/>
                <w:sz w:val="24"/>
                <w:szCs w:val="24"/>
                <w:highlight w:val="none"/>
                <w:lang w:val="en-US" w:eastAsia="zh-CN"/>
              </w:rPr>
              <w:t>直径在150~</w:t>
            </w:r>
            <w:r>
              <w:rPr>
                <w:rFonts w:hint="eastAsia"/>
                <w:color w:val="auto"/>
                <w:sz w:val="24"/>
                <w:szCs w:val="24"/>
                <w:highlight w:val="none"/>
              </w:rPr>
              <w:t>75mm</w:t>
            </w:r>
            <w:r>
              <w:rPr>
                <w:rFonts w:hint="eastAsia"/>
                <w:color w:val="auto"/>
                <w:sz w:val="24"/>
                <w:szCs w:val="24"/>
                <w:highlight w:val="none"/>
                <w:lang w:val="en-US" w:eastAsia="zh-CN"/>
              </w:rPr>
              <w:t>之间</w:t>
            </w:r>
            <w:r>
              <w:rPr>
                <w:color w:val="auto"/>
                <w:sz w:val="24"/>
                <w:szCs w:val="24"/>
                <w:highlight w:val="none"/>
              </w:rPr>
              <w:t>，</w:t>
            </w:r>
            <w:r>
              <w:rPr>
                <w:rFonts w:hint="eastAsia"/>
                <w:color w:val="auto"/>
                <w:sz w:val="24"/>
                <w:szCs w:val="24"/>
                <w:highlight w:val="none"/>
                <w:lang w:val="en-US" w:eastAsia="zh-CN"/>
              </w:rPr>
              <w:t>本项目按照最大直径150mm计算，</w:t>
            </w:r>
            <w:r>
              <w:rPr>
                <w:color w:val="auto"/>
                <w:sz w:val="24"/>
                <w:szCs w:val="24"/>
                <w:highlight w:val="none"/>
              </w:rPr>
              <w:t>则产生的土方量</w:t>
            </w:r>
            <w:r>
              <w:rPr>
                <w:rFonts w:hint="eastAsia"/>
                <w:color w:val="auto"/>
                <w:sz w:val="24"/>
                <w:szCs w:val="24"/>
                <w:highlight w:val="none"/>
                <w:lang w:val="en-US" w:eastAsia="zh-CN"/>
              </w:rPr>
              <w:t>约</w:t>
            </w:r>
            <w:r>
              <w:rPr>
                <w:color w:val="auto"/>
                <w:sz w:val="24"/>
                <w:szCs w:val="24"/>
                <w:highlight w:val="none"/>
              </w:rPr>
              <w:t>为</w:t>
            </w:r>
            <w:r>
              <w:rPr>
                <w:rFonts w:hint="eastAsia"/>
                <w:color w:val="auto"/>
                <w:sz w:val="24"/>
                <w:szCs w:val="24"/>
                <w:highlight w:val="none"/>
                <w:lang w:val="en-US" w:eastAsia="zh-CN"/>
              </w:rPr>
              <w:t>10</w:t>
            </w:r>
            <w:r>
              <w:rPr>
                <w:color w:val="auto"/>
                <w:sz w:val="24"/>
                <w:szCs w:val="24"/>
                <w:highlight w:val="none"/>
              </w:rPr>
              <w:t>m</w:t>
            </w:r>
            <w:r>
              <w:rPr>
                <w:color w:val="auto"/>
                <w:sz w:val="24"/>
                <w:szCs w:val="24"/>
                <w:highlight w:val="none"/>
                <w:vertAlign w:val="superscript"/>
              </w:rPr>
              <w:t>3</w:t>
            </w:r>
            <w:r>
              <w:rPr>
                <w:color w:val="auto"/>
                <w:sz w:val="24"/>
                <w:szCs w:val="24"/>
                <w:highlight w:val="none"/>
              </w:rPr>
              <w:t>，合松散方</w:t>
            </w:r>
            <w:r>
              <w:rPr>
                <w:rFonts w:hint="eastAsia"/>
                <w:color w:val="auto"/>
                <w:sz w:val="24"/>
                <w:szCs w:val="24"/>
                <w:highlight w:val="none"/>
                <w:lang w:eastAsia="zh-CN"/>
              </w:rPr>
              <w:t>约</w:t>
            </w:r>
            <w:r>
              <w:rPr>
                <w:rFonts w:hint="eastAsia"/>
                <w:color w:val="auto"/>
                <w:sz w:val="24"/>
                <w:szCs w:val="24"/>
                <w:highlight w:val="none"/>
                <w:lang w:val="en-US" w:eastAsia="zh-CN"/>
              </w:rPr>
              <w:t>14.5</w:t>
            </w:r>
            <w:r>
              <w:rPr>
                <w:color w:val="auto"/>
                <w:sz w:val="24"/>
                <w:szCs w:val="24"/>
                <w:highlight w:val="none"/>
              </w:rPr>
              <w:t>m</w:t>
            </w:r>
            <w:r>
              <w:rPr>
                <w:color w:val="auto"/>
                <w:sz w:val="24"/>
                <w:szCs w:val="24"/>
                <w:highlight w:val="none"/>
                <w:vertAlign w:val="superscript"/>
              </w:rPr>
              <w:t>3</w:t>
            </w:r>
            <w:r>
              <w:rPr>
                <w:color w:val="auto"/>
                <w:sz w:val="24"/>
                <w:szCs w:val="24"/>
                <w:highlight w:val="none"/>
              </w:rPr>
              <w:t>（松散系数以1.45计）</w:t>
            </w:r>
            <w:r>
              <w:rPr>
                <w:rFonts w:hint="eastAsia"/>
                <w:color w:val="auto"/>
                <w:sz w:val="24"/>
                <w:szCs w:val="24"/>
                <w:highlight w:val="none"/>
                <w:lang w:eastAsia="zh-CN"/>
              </w:rPr>
              <w:t>，</w:t>
            </w:r>
            <w:r>
              <w:rPr>
                <w:rFonts w:hint="eastAsia"/>
                <w:color w:val="auto"/>
                <w:sz w:val="24"/>
                <w:highlight w:val="none"/>
              </w:rPr>
              <w:t>钻探口设置</w:t>
            </w:r>
            <w:r>
              <w:rPr>
                <w:rFonts w:hint="eastAsia"/>
                <w:color w:val="auto"/>
                <w:sz w:val="24"/>
                <w:highlight w:val="none"/>
                <w:lang w:val="en-US" w:eastAsia="zh-CN"/>
              </w:rPr>
              <w:t>在</w:t>
            </w:r>
            <w:r>
              <w:rPr>
                <w:rFonts w:hint="eastAsia"/>
                <w:color w:val="auto"/>
                <w:sz w:val="24"/>
                <w:highlight w:val="none"/>
              </w:rPr>
              <w:t>槽探的坡面上</w:t>
            </w:r>
            <w:r>
              <w:rPr>
                <w:rFonts w:hint="eastAsia"/>
                <w:color w:val="auto"/>
                <w:sz w:val="24"/>
                <w:highlight w:val="none"/>
                <w:lang w:eastAsia="zh-CN"/>
              </w:rPr>
              <w:t>，</w:t>
            </w:r>
            <w:r>
              <w:rPr>
                <w:rFonts w:hint="eastAsia"/>
                <w:color w:val="auto"/>
                <w:sz w:val="24"/>
                <w:highlight w:val="none"/>
              </w:rPr>
              <w:t>无须进行表土剥离工作</w:t>
            </w:r>
            <w:r>
              <w:rPr>
                <w:color w:val="auto"/>
                <w:sz w:val="24"/>
                <w:szCs w:val="24"/>
                <w:highlight w:val="none"/>
              </w:rPr>
              <w:t>。</w:t>
            </w:r>
          </w:p>
          <w:p w14:paraId="292ADBED">
            <w:pPr>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color w:val="auto"/>
                <w:sz w:val="24"/>
              </w:rPr>
            </w:pPr>
            <w:r>
              <w:rPr>
                <w:color w:val="auto"/>
                <w:sz w:val="24"/>
              </w:rPr>
              <w:t>本工程</w:t>
            </w:r>
            <w:r>
              <w:rPr>
                <w:rFonts w:hint="eastAsia"/>
                <w:color w:val="auto"/>
                <w:sz w:val="24"/>
              </w:rPr>
              <w:t>不单独设置堆</w:t>
            </w:r>
            <w:r>
              <w:rPr>
                <w:color w:val="auto"/>
                <w:sz w:val="24"/>
              </w:rPr>
              <w:t>渣场</w:t>
            </w:r>
            <w:r>
              <w:rPr>
                <w:rFonts w:hint="eastAsia"/>
                <w:color w:val="auto"/>
                <w:sz w:val="24"/>
              </w:rPr>
              <w:t>，</w:t>
            </w:r>
            <w:r>
              <w:rPr>
                <w:rFonts w:hint="eastAsia"/>
                <w:color w:val="auto"/>
                <w:sz w:val="24"/>
                <w:lang w:val="en-US" w:eastAsia="zh-CN"/>
              </w:rPr>
              <w:t>探矿过程中产生的土石方</w:t>
            </w:r>
            <w:r>
              <w:rPr>
                <w:rFonts w:hint="eastAsia"/>
                <w:color w:val="auto"/>
                <w:sz w:val="24"/>
              </w:rPr>
              <w:t>分布在槽探一侧空地上，使用彩条布覆盖，</w:t>
            </w:r>
            <w:r>
              <w:rPr>
                <w:rFonts w:hint="eastAsia"/>
                <w:color w:val="auto"/>
                <w:sz w:val="24"/>
                <w:lang w:eastAsia="zh-CN"/>
              </w:rPr>
              <w:t>槽探完成后立即回填至槽坑内</w:t>
            </w:r>
            <w:r>
              <w:rPr>
                <w:rFonts w:hint="eastAsia"/>
                <w:color w:val="auto"/>
                <w:sz w:val="24"/>
              </w:rPr>
              <w:t>。</w:t>
            </w:r>
            <w:r>
              <w:rPr>
                <w:bCs/>
                <w:color w:val="auto"/>
                <w:sz w:val="24"/>
              </w:rPr>
              <w:t>详见</w:t>
            </w:r>
            <w:r>
              <w:rPr>
                <w:rFonts w:hint="eastAsia"/>
                <w:bCs/>
                <w:color w:val="auto"/>
                <w:sz w:val="24"/>
              </w:rPr>
              <w:t>表</w:t>
            </w:r>
            <w:r>
              <w:rPr>
                <w:rFonts w:hint="eastAsia"/>
                <w:bCs/>
                <w:color w:val="auto"/>
                <w:sz w:val="24"/>
                <w:lang w:val="en-US" w:eastAsia="zh-CN"/>
              </w:rPr>
              <w:t>2-7</w:t>
            </w:r>
            <w:r>
              <w:rPr>
                <w:bCs/>
                <w:color w:val="auto"/>
                <w:sz w:val="24"/>
              </w:rPr>
              <w:t>。</w:t>
            </w:r>
          </w:p>
          <w:p w14:paraId="16F015A0">
            <w:pPr>
              <w:pStyle w:val="7"/>
              <w:keepNext/>
              <w:keepLines w:val="0"/>
              <w:pageBreakBefore w:val="0"/>
              <w:widowControl w:val="0"/>
              <w:kinsoku/>
              <w:wordWrap/>
              <w:overflowPunct/>
              <w:topLinePunct w:val="0"/>
              <w:autoSpaceDE/>
              <w:autoSpaceDN/>
              <w:bidi w:val="0"/>
              <w:adjustRightInd/>
              <w:snapToGrid/>
              <w:spacing w:before="0" w:after="0" w:line="520" w:lineRule="exact"/>
              <w:textAlignment w:val="auto"/>
              <w:rPr>
                <w:b/>
                <w:color w:val="auto"/>
                <w:sz w:val="24"/>
                <w:szCs w:val="24"/>
              </w:rPr>
            </w:pPr>
            <w:r>
              <w:rPr>
                <w:b/>
                <w:color w:val="auto"/>
                <w:sz w:val="24"/>
                <w:szCs w:val="24"/>
              </w:rPr>
              <w:t>表</w:t>
            </w:r>
            <w:r>
              <w:rPr>
                <w:rFonts w:hint="eastAsia"/>
                <w:b/>
                <w:color w:val="auto"/>
                <w:sz w:val="24"/>
                <w:szCs w:val="24"/>
                <w:lang w:val="en-US" w:eastAsia="zh-CN"/>
              </w:rPr>
              <w:t>2-7</w:t>
            </w:r>
            <w:r>
              <w:rPr>
                <w:rFonts w:hint="eastAsia"/>
                <w:b/>
                <w:color w:val="auto"/>
                <w:sz w:val="24"/>
                <w:szCs w:val="24"/>
              </w:rPr>
              <w:t xml:space="preserve">    </w:t>
            </w:r>
            <w:r>
              <w:rPr>
                <w:b/>
                <w:color w:val="auto"/>
                <w:sz w:val="24"/>
                <w:szCs w:val="24"/>
              </w:rPr>
              <w:t>工程土石方平衡分析表</w:t>
            </w:r>
            <w:r>
              <w:rPr>
                <w:rFonts w:hint="eastAsia"/>
                <w:b/>
                <w:color w:val="auto"/>
                <w:sz w:val="24"/>
                <w:szCs w:val="24"/>
              </w:rPr>
              <w:t xml:space="preserve">    </w:t>
            </w:r>
            <w:r>
              <w:rPr>
                <w:b/>
                <w:color w:val="auto"/>
                <w:sz w:val="24"/>
                <w:szCs w:val="24"/>
              </w:rPr>
              <w:t>单位：m</w:t>
            </w:r>
            <w:r>
              <w:rPr>
                <w:b/>
                <w:color w:val="auto"/>
                <w:sz w:val="24"/>
                <w:szCs w:val="24"/>
                <w:vertAlign w:val="superscript"/>
              </w:rPr>
              <w:t>3</w:t>
            </w:r>
          </w:p>
          <w:tbl>
            <w:tblPr>
              <w:tblStyle w:val="20"/>
              <w:tblW w:w="8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2"/>
              <w:gridCol w:w="1117"/>
              <w:gridCol w:w="1063"/>
              <w:gridCol w:w="960"/>
              <w:gridCol w:w="994"/>
              <w:gridCol w:w="872"/>
              <w:gridCol w:w="1777"/>
            </w:tblGrid>
            <w:tr w14:paraId="53A21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462" w:type="dxa"/>
                  <w:vMerge w:val="restart"/>
                  <w:noWrap w:val="0"/>
                  <w:vAlign w:val="center"/>
                </w:tcPr>
                <w:p w14:paraId="0E92B393">
                  <w:pPr>
                    <w:spacing w:line="240" w:lineRule="auto"/>
                    <w:jc w:val="center"/>
                    <w:rPr>
                      <w:rFonts w:hint="eastAsia"/>
                      <w:color w:val="auto"/>
                      <w:szCs w:val="21"/>
                    </w:rPr>
                  </w:pPr>
                  <w:r>
                    <w:rPr>
                      <w:rFonts w:hint="eastAsia"/>
                      <w:color w:val="auto"/>
                      <w:szCs w:val="21"/>
                    </w:rPr>
                    <w:t>工程分区</w:t>
                  </w:r>
                </w:p>
              </w:tc>
              <w:tc>
                <w:tcPr>
                  <w:tcW w:w="2180" w:type="dxa"/>
                  <w:gridSpan w:val="2"/>
                  <w:noWrap w:val="0"/>
                  <w:vAlign w:val="center"/>
                </w:tcPr>
                <w:p w14:paraId="31C2D81A">
                  <w:pPr>
                    <w:spacing w:line="240" w:lineRule="auto"/>
                    <w:jc w:val="center"/>
                    <w:rPr>
                      <w:rFonts w:hint="eastAsia"/>
                      <w:color w:val="auto"/>
                      <w:szCs w:val="21"/>
                    </w:rPr>
                  </w:pPr>
                  <w:r>
                    <w:rPr>
                      <w:rFonts w:hint="eastAsia"/>
                      <w:color w:val="auto"/>
                      <w:szCs w:val="21"/>
                    </w:rPr>
                    <w:t>开挖</w:t>
                  </w:r>
                </w:p>
              </w:tc>
              <w:tc>
                <w:tcPr>
                  <w:tcW w:w="960" w:type="dxa"/>
                  <w:vMerge w:val="restart"/>
                  <w:noWrap w:val="0"/>
                  <w:vAlign w:val="center"/>
                </w:tcPr>
                <w:p w14:paraId="1B35933C">
                  <w:pPr>
                    <w:spacing w:line="240" w:lineRule="auto"/>
                    <w:jc w:val="center"/>
                    <w:rPr>
                      <w:rFonts w:hint="default" w:eastAsia="宋体"/>
                      <w:color w:val="auto"/>
                      <w:szCs w:val="21"/>
                      <w:lang w:val="en-US" w:eastAsia="zh-CN"/>
                    </w:rPr>
                  </w:pPr>
                  <w:r>
                    <w:rPr>
                      <w:rFonts w:hint="eastAsia"/>
                      <w:color w:val="auto"/>
                      <w:szCs w:val="21"/>
                      <w:lang w:val="en-US" w:eastAsia="zh-CN"/>
                    </w:rPr>
                    <w:t>取样</w:t>
                  </w:r>
                </w:p>
              </w:tc>
              <w:tc>
                <w:tcPr>
                  <w:tcW w:w="994" w:type="dxa"/>
                  <w:vMerge w:val="restart"/>
                  <w:noWrap w:val="0"/>
                  <w:vAlign w:val="center"/>
                </w:tcPr>
                <w:p w14:paraId="671419BC">
                  <w:pPr>
                    <w:spacing w:line="240" w:lineRule="auto"/>
                    <w:jc w:val="center"/>
                    <w:rPr>
                      <w:rFonts w:hint="eastAsia"/>
                      <w:color w:val="auto"/>
                      <w:szCs w:val="21"/>
                    </w:rPr>
                  </w:pPr>
                  <w:r>
                    <w:rPr>
                      <w:rFonts w:hint="eastAsia"/>
                      <w:color w:val="auto"/>
                      <w:szCs w:val="21"/>
                    </w:rPr>
                    <w:t>回填</w:t>
                  </w:r>
                </w:p>
              </w:tc>
              <w:tc>
                <w:tcPr>
                  <w:tcW w:w="872" w:type="dxa"/>
                  <w:vMerge w:val="restart"/>
                  <w:noWrap w:val="0"/>
                  <w:vAlign w:val="center"/>
                </w:tcPr>
                <w:p w14:paraId="10392EFF">
                  <w:pPr>
                    <w:spacing w:line="240" w:lineRule="auto"/>
                    <w:jc w:val="center"/>
                    <w:rPr>
                      <w:rFonts w:hint="eastAsia"/>
                      <w:color w:val="auto"/>
                      <w:szCs w:val="21"/>
                    </w:rPr>
                  </w:pPr>
                  <w:r>
                    <w:rPr>
                      <w:rFonts w:hint="eastAsia"/>
                      <w:color w:val="auto"/>
                      <w:szCs w:val="21"/>
                    </w:rPr>
                    <w:t>废弃</w:t>
                  </w:r>
                </w:p>
              </w:tc>
              <w:tc>
                <w:tcPr>
                  <w:tcW w:w="1777" w:type="dxa"/>
                  <w:vMerge w:val="restart"/>
                  <w:noWrap w:val="0"/>
                  <w:vAlign w:val="center"/>
                </w:tcPr>
                <w:p w14:paraId="0E015681">
                  <w:pPr>
                    <w:spacing w:line="240" w:lineRule="auto"/>
                    <w:jc w:val="center"/>
                    <w:rPr>
                      <w:color w:val="auto"/>
                      <w:szCs w:val="21"/>
                    </w:rPr>
                  </w:pPr>
                  <w:r>
                    <w:rPr>
                      <w:color w:val="auto"/>
                      <w:szCs w:val="21"/>
                    </w:rPr>
                    <w:t>备注</w:t>
                  </w:r>
                </w:p>
              </w:tc>
            </w:tr>
            <w:tr w14:paraId="005A2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462" w:type="dxa"/>
                  <w:vMerge w:val="continue"/>
                  <w:noWrap w:val="0"/>
                  <w:vAlign w:val="center"/>
                </w:tcPr>
                <w:p w14:paraId="2844166C">
                  <w:pPr>
                    <w:spacing w:line="240" w:lineRule="auto"/>
                    <w:jc w:val="center"/>
                    <w:rPr>
                      <w:rFonts w:hint="eastAsia"/>
                      <w:color w:val="auto"/>
                      <w:szCs w:val="21"/>
                    </w:rPr>
                  </w:pPr>
                </w:p>
              </w:tc>
              <w:tc>
                <w:tcPr>
                  <w:tcW w:w="1117" w:type="dxa"/>
                  <w:noWrap w:val="0"/>
                  <w:vAlign w:val="center"/>
                </w:tcPr>
                <w:p w14:paraId="72242630">
                  <w:pPr>
                    <w:spacing w:line="240" w:lineRule="auto"/>
                    <w:jc w:val="center"/>
                    <w:rPr>
                      <w:rFonts w:hint="eastAsia"/>
                      <w:color w:val="auto"/>
                      <w:szCs w:val="21"/>
                    </w:rPr>
                  </w:pPr>
                  <w:r>
                    <w:rPr>
                      <w:rFonts w:hint="eastAsia"/>
                      <w:color w:val="auto"/>
                      <w:szCs w:val="21"/>
                    </w:rPr>
                    <w:t>剥离表土</w:t>
                  </w:r>
                </w:p>
              </w:tc>
              <w:tc>
                <w:tcPr>
                  <w:tcW w:w="1063" w:type="dxa"/>
                  <w:noWrap w:val="0"/>
                  <w:vAlign w:val="center"/>
                </w:tcPr>
                <w:p w14:paraId="3E70B069">
                  <w:pPr>
                    <w:spacing w:line="240" w:lineRule="auto"/>
                    <w:jc w:val="center"/>
                    <w:rPr>
                      <w:rFonts w:hint="eastAsia"/>
                      <w:color w:val="auto"/>
                      <w:szCs w:val="21"/>
                    </w:rPr>
                  </w:pPr>
                  <w:r>
                    <w:rPr>
                      <w:rFonts w:hint="eastAsia"/>
                      <w:color w:val="auto"/>
                      <w:szCs w:val="21"/>
                    </w:rPr>
                    <w:t>土石方</w:t>
                  </w:r>
                </w:p>
              </w:tc>
              <w:tc>
                <w:tcPr>
                  <w:tcW w:w="960" w:type="dxa"/>
                  <w:vMerge w:val="continue"/>
                  <w:noWrap w:val="0"/>
                  <w:vAlign w:val="center"/>
                </w:tcPr>
                <w:p w14:paraId="3716A804">
                  <w:pPr>
                    <w:spacing w:line="240" w:lineRule="auto"/>
                    <w:jc w:val="center"/>
                    <w:rPr>
                      <w:rFonts w:hint="eastAsia"/>
                      <w:color w:val="auto"/>
                      <w:szCs w:val="21"/>
                    </w:rPr>
                  </w:pPr>
                </w:p>
              </w:tc>
              <w:tc>
                <w:tcPr>
                  <w:tcW w:w="994" w:type="dxa"/>
                  <w:vMerge w:val="continue"/>
                  <w:noWrap w:val="0"/>
                  <w:vAlign w:val="center"/>
                </w:tcPr>
                <w:p w14:paraId="60531DBE">
                  <w:pPr>
                    <w:spacing w:line="240" w:lineRule="auto"/>
                    <w:jc w:val="center"/>
                    <w:rPr>
                      <w:rFonts w:hint="eastAsia"/>
                      <w:color w:val="auto"/>
                      <w:szCs w:val="21"/>
                    </w:rPr>
                  </w:pPr>
                </w:p>
              </w:tc>
              <w:tc>
                <w:tcPr>
                  <w:tcW w:w="872" w:type="dxa"/>
                  <w:vMerge w:val="continue"/>
                  <w:noWrap w:val="0"/>
                  <w:vAlign w:val="center"/>
                </w:tcPr>
                <w:p w14:paraId="1255424B">
                  <w:pPr>
                    <w:spacing w:line="240" w:lineRule="auto"/>
                    <w:jc w:val="center"/>
                    <w:rPr>
                      <w:rFonts w:hint="eastAsia"/>
                      <w:color w:val="auto"/>
                      <w:szCs w:val="21"/>
                    </w:rPr>
                  </w:pPr>
                </w:p>
              </w:tc>
              <w:tc>
                <w:tcPr>
                  <w:tcW w:w="1777" w:type="dxa"/>
                  <w:vMerge w:val="continue"/>
                  <w:noWrap w:val="0"/>
                  <w:vAlign w:val="center"/>
                </w:tcPr>
                <w:p w14:paraId="76E9DEA3">
                  <w:pPr>
                    <w:spacing w:line="240" w:lineRule="auto"/>
                    <w:jc w:val="center"/>
                    <w:rPr>
                      <w:color w:val="auto"/>
                      <w:szCs w:val="21"/>
                    </w:rPr>
                  </w:pPr>
                </w:p>
              </w:tc>
            </w:tr>
            <w:tr w14:paraId="1E260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jc w:val="center"/>
              </w:trPr>
              <w:tc>
                <w:tcPr>
                  <w:tcW w:w="1462" w:type="dxa"/>
                  <w:noWrap w:val="0"/>
                  <w:vAlign w:val="center"/>
                </w:tcPr>
                <w:p w14:paraId="31F9E43E">
                  <w:pPr>
                    <w:spacing w:line="240" w:lineRule="auto"/>
                    <w:jc w:val="center"/>
                    <w:rPr>
                      <w:color w:val="auto"/>
                      <w:szCs w:val="21"/>
                    </w:rPr>
                  </w:pPr>
                  <w:r>
                    <w:rPr>
                      <w:color w:val="auto"/>
                      <w:szCs w:val="21"/>
                    </w:rPr>
                    <w:t>槽探</w:t>
                  </w:r>
                  <w:r>
                    <w:rPr>
                      <w:rFonts w:hint="eastAsia"/>
                      <w:color w:val="auto"/>
                      <w:szCs w:val="21"/>
                    </w:rPr>
                    <w:t>区</w:t>
                  </w:r>
                </w:p>
              </w:tc>
              <w:tc>
                <w:tcPr>
                  <w:tcW w:w="1117" w:type="dxa"/>
                  <w:noWrap w:val="0"/>
                  <w:vAlign w:val="center"/>
                </w:tcPr>
                <w:p w14:paraId="06BBA6B1">
                  <w:pPr>
                    <w:spacing w:line="240" w:lineRule="auto"/>
                    <w:jc w:val="center"/>
                    <w:rPr>
                      <w:rFonts w:hint="default"/>
                      <w:color w:val="auto"/>
                      <w:lang w:val="en-US" w:eastAsia="zh-CN"/>
                    </w:rPr>
                  </w:pPr>
                  <w:r>
                    <w:rPr>
                      <w:rFonts w:hint="eastAsia"/>
                      <w:color w:val="auto"/>
                      <w:lang w:val="en-US" w:eastAsia="zh-CN"/>
                    </w:rPr>
                    <w:t>/</w:t>
                  </w:r>
                </w:p>
              </w:tc>
              <w:tc>
                <w:tcPr>
                  <w:tcW w:w="1063" w:type="dxa"/>
                  <w:noWrap w:val="0"/>
                  <w:vAlign w:val="center"/>
                </w:tcPr>
                <w:p w14:paraId="3DD98A2B">
                  <w:pPr>
                    <w:spacing w:line="240" w:lineRule="auto"/>
                    <w:jc w:val="center"/>
                    <w:rPr>
                      <w:rFonts w:hint="default" w:eastAsia="宋体"/>
                      <w:color w:val="auto"/>
                      <w:sz w:val="21"/>
                      <w:szCs w:val="21"/>
                      <w:lang w:val="en-US" w:eastAsia="zh-CN"/>
                    </w:rPr>
                  </w:pPr>
                  <w:r>
                    <w:rPr>
                      <w:rFonts w:hint="eastAsia"/>
                      <w:color w:val="auto"/>
                      <w:sz w:val="21"/>
                      <w:szCs w:val="21"/>
                      <w:lang w:val="en-US" w:eastAsia="zh-CN"/>
                    </w:rPr>
                    <w:t>1160</w:t>
                  </w:r>
                </w:p>
              </w:tc>
              <w:tc>
                <w:tcPr>
                  <w:tcW w:w="960" w:type="dxa"/>
                  <w:noWrap w:val="0"/>
                  <w:vAlign w:val="center"/>
                </w:tcPr>
                <w:p w14:paraId="3B2B5DEC">
                  <w:pPr>
                    <w:spacing w:line="240" w:lineRule="auto"/>
                    <w:jc w:val="center"/>
                    <w:rPr>
                      <w:rFonts w:hint="default"/>
                      <w:color w:val="auto"/>
                      <w:sz w:val="21"/>
                      <w:szCs w:val="21"/>
                      <w:lang w:val="en-US" w:eastAsia="zh-CN"/>
                    </w:rPr>
                  </w:pPr>
                  <w:r>
                    <w:rPr>
                      <w:rFonts w:hint="eastAsia"/>
                      <w:color w:val="auto"/>
                      <w:sz w:val="21"/>
                      <w:szCs w:val="21"/>
                      <w:lang w:val="en-US" w:eastAsia="zh-CN"/>
                    </w:rPr>
                    <w:t>2.5</w:t>
                  </w:r>
                </w:p>
              </w:tc>
              <w:tc>
                <w:tcPr>
                  <w:tcW w:w="994" w:type="dxa"/>
                  <w:shd w:val="clear" w:color="auto" w:fill="auto"/>
                  <w:noWrap w:val="0"/>
                  <w:vAlign w:val="center"/>
                </w:tcPr>
                <w:p w14:paraId="21E7BE25">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1157.5</w:t>
                  </w:r>
                </w:p>
              </w:tc>
              <w:tc>
                <w:tcPr>
                  <w:tcW w:w="872" w:type="dxa"/>
                  <w:noWrap w:val="0"/>
                  <w:vAlign w:val="center"/>
                </w:tcPr>
                <w:p w14:paraId="613576C9">
                  <w:pPr>
                    <w:spacing w:line="240" w:lineRule="auto"/>
                    <w:jc w:val="center"/>
                    <w:rPr>
                      <w:rFonts w:hint="eastAsia"/>
                      <w:color w:val="auto"/>
                      <w:sz w:val="21"/>
                      <w:szCs w:val="21"/>
                    </w:rPr>
                  </w:pPr>
                  <w:r>
                    <w:rPr>
                      <w:rFonts w:hint="eastAsia"/>
                      <w:color w:val="auto"/>
                      <w:sz w:val="21"/>
                      <w:szCs w:val="21"/>
                    </w:rPr>
                    <w:t>0</w:t>
                  </w:r>
                </w:p>
              </w:tc>
              <w:tc>
                <w:tcPr>
                  <w:tcW w:w="1777" w:type="dxa"/>
                  <w:vMerge w:val="restart"/>
                  <w:noWrap w:val="0"/>
                  <w:vAlign w:val="center"/>
                </w:tcPr>
                <w:p w14:paraId="47739CAA">
                  <w:pPr>
                    <w:spacing w:line="240" w:lineRule="auto"/>
                    <w:jc w:val="center"/>
                    <w:rPr>
                      <w:rFonts w:hint="default" w:eastAsia="宋体"/>
                      <w:color w:val="auto"/>
                      <w:szCs w:val="21"/>
                      <w:lang w:val="en-US" w:eastAsia="zh-CN"/>
                    </w:rPr>
                  </w:pPr>
                  <w:r>
                    <w:rPr>
                      <w:rFonts w:hint="eastAsia"/>
                      <w:color w:val="auto"/>
                      <w:szCs w:val="21"/>
                      <w:lang w:eastAsia="zh-CN"/>
                    </w:rPr>
                    <w:t>槽探</w:t>
                  </w:r>
                  <w:r>
                    <w:rPr>
                      <w:rFonts w:hint="eastAsia"/>
                      <w:color w:val="auto"/>
                      <w:szCs w:val="21"/>
                      <w:lang w:val="en-US" w:eastAsia="zh-CN"/>
                    </w:rPr>
                    <w:t>开挖土石放置于探坑</w:t>
                  </w:r>
                  <w:r>
                    <w:rPr>
                      <w:rFonts w:hint="eastAsia"/>
                      <w:color w:val="auto"/>
                      <w:szCs w:val="21"/>
                      <w:lang w:eastAsia="zh-CN"/>
                    </w:rPr>
                    <w:t>一侧空地上，</w:t>
                  </w:r>
                  <w:r>
                    <w:rPr>
                      <w:rFonts w:hint="eastAsia"/>
                      <w:color w:val="auto"/>
                      <w:szCs w:val="21"/>
                      <w:lang w:val="en-US" w:eastAsia="zh-CN"/>
                    </w:rPr>
                    <w:t>勘探工作</w:t>
                  </w:r>
                  <w:r>
                    <w:rPr>
                      <w:rFonts w:hint="eastAsia"/>
                      <w:color w:val="auto"/>
                      <w:szCs w:val="21"/>
                      <w:lang w:eastAsia="zh-CN"/>
                    </w:rPr>
                    <w:t>完成后立即回填，</w:t>
                  </w:r>
                  <w:r>
                    <w:rPr>
                      <w:rFonts w:hint="eastAsia"/>
                      <w:color w:val="auto"/>
                      <w:szCs w:val="21"/>
                      <w:lang w:val="en-US" w:eastAsia="zh-CN"/>
                    </w:rPr>
                    <w:t>临时道路修筑弃土放置临时堆放在道路一侧，全部用于项目区周边土地平整</w:t>
                  </w:r>
                </w:p>
              </w:tc>
            </w:tr>
            <w:tr w14:paraId="2491C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462" w:type="dxa"/>
                  <w:noWrap w:val="0"/>
                  <w:vAlign w:val="center"/>
                </w:tcPr>
                <w:p w14:paraId="493D83A2">
                  <w:pPr>
                    <w:spacing w:line="240" w:lineRule="auto"/>
                    <w:jc w:val="center"/>
                    <w:rPr>
                      <w:color w:val="auto"/>
                      <w:szCs w:val="21"/>
                    </w:rPr>
                  </w:pPr>
                  <w:r>
                    <w:rPr>
                      <w:rFonts w:hint="eastAsia"/>
                      <w:color w:val="auto"/>
                      <w:szCs w:val="21"/>
                      <w:lang w:val="en-US" w:eastAsia="zh-CN"/>
                    </w:rPr>
                    <w:t>钻探</w:t>
                  </w:r>
                  <w:r>
                    <w:rPr>
                      <w:rFonts w:hint="eastAsia"/>
                      <w:color w:val="auto"/>
                      <w:szCs w:val="21"/>
                    </w:rPr>
                    <w:t>区</w:t>
                  </w:r>
                </w:p>
              </w:tc>
              <w:tc>
                <w:tcPr>
                  <w:tcW w:w="1117" w:type="dxa"/>
                  <w:noWrap w:val="0"/>
                  <w:vAlign w:val="center"/>
                </w:tcPr>
                <w:p w14:paraId="1650D482">
                  <w:pPr>
                    <w:spacing w:line="240" w:lineRule="auto"/>
                    <w:jc w:val="center"/>
                    <w:rPr>
                      <w:rFonts w:hint="default"/>
                      <w:color w:val="auto"/>
                      <w:lang w:val="en-US" w:eastAsia="zh-CN"/>
                    </w:rPr>
                  </w:pPr>
                  <w:r>
                    <w:rPr>
                      <w:rFonts w:hint="eastAsia"/>
                      <w:color w:val="auto"/>
                      <w:lang w:val="en-US" w:eastAsia="zh-CN"/>
                    </w:rPr>
                    <w:t>/</w:t>
                  </w:r>
                </w:p>
              </w:tc>
              <w:tc>
                <w:tcPr>
                  <w:tcW w:w="1063" w:type="dxa"/>
                  <w:noWrap w:val="0"/>
                  <w:vAlign w:val="center"/>
                </w:tcPr>
                <w:p w14:paraId="564BA94D">
                  <w:pPr>
                    <w:spacing w:line="240" w:lineRule="auto"/>
                    <w:jc w:val="center"/>
                    <w:rPr>
                      <w:rFonts w:hint="default"/>
                      <w:color w:val="auto"/>
                      <w:sz w:val="21"/>
                      <w:szCs w:val="21"/>
                      <w:lang w:val="en-US" w:eastAsia="zh-CN"/>
                    </w:rPr>
                  </w:pPr>
                  <w:r>
                    <w:rPr>
                      <w:rFonts w:hint="eastAsia"/>
                      <w:color w:val="auto"/>
                      <w:sz w:val="21"/>
                      <w:szCs w:val="21"/>
                      <w:lang w:val="en-US" w:eastAsia="zh-CN"/>
                    </w:rPr>
                    <w:t>14.5</w:t>
                  </w:r>
                </w:p>
              </w:tc>
              <w:tc>
                <w:tcPr>
                  <w:tcW w:w="960" w:type="dxa"/>
                  <w:noWrap w:val="0"/>
                  <w:vAlign w:val="center"/>
                </w:tcPr>
                <w:p w14:paraId="5DE517CA">
                  <w:pPr>
                    <w:spacing w:line="240" w:lineRule="auto"/>
                    <w:jc w:val="center"/>
                    <w:rPr>
                      <w:rFonts w:hint="default"/>
                      <w:color w:val="auto"/>
                      <w:sz w:val="21"/>
                      <w:szCs w:val="21"/>
                      <w:lang w:val="en-US" w:eastAsia="zh-CN"/>
                    </w:rPr>
                  </w:pPr>
                  <w:r>
                    <w:rPr>
                      <w:rFonts w:hint="eastAsia"/>
                      <w:color w:val="auto"/>
                      <w:sz w:val="21"/>
                      <w:szCs w:val="21"/>
                      <w:lang w:val="en-US" w:eastAsia="zh-CN"/>
                    </w:rPr>
                    <w:t>2</w:t>
                  </w:r>
                </w:p>
              </w:tc>
              <w:tc>
                <w:tcPr>
                  <w:tcW w:w="994" w:type="dxa"/>
                  <w:shd w:val="clear" w:color="auto" w:fill="auto"/>
                  <w:noWrap w:val="0"/>
                  <w:vAlign w:val="center"/>
                </w:tcPr>
                <w:p w14:paraId="4658F008">
                  <w:pPr>
                    <w:spacing w:line="240" w:lineRule="auto"/>
                    <w:jc w:val="center"/>
                    <w:rPr>
                      <w:rFonts w:hint="default"/>
                      <w:color w:val="auto"/>
                      <w:sz w:val="21"/>
                      <w:szCs w:val="21"/>
                      <w:lang w:val="en-US" w:eastAsia="zh-CN"/>
                    </w:rPr>
                  </w:pPr>
                  <w:r>
                    <w:rPr>
                      <w:rFonts w:hint="eastAsia"/>
                      <w:color w:val="auto"/>
                      <w:sz w:val="21"/>
                      <w:szCs w:val="21"/>
                      <w:lang w:val="en-US" w:eastAsia="zh-CN"/>
                    </w:rPr>
                    <w:t>12.5</w:t>
                  </w:r>
                </w:p>
              </w:tc>
              <w:tc>
                <w:tcPr>
                  <w:tcW w:w="872" w:type="dxa"/>
                  <w:noWrap w:val="0"/>
                  <w:vAlign w:val="center"/>
                </w:tcPr>
                <w:p w14:paraId="264353E0">
                  <w:pPr>
                    <w:spacing w:line="240" w:lineRule="auto"/>
                    <w:jc w:val="center"/>
                    <w:rPr>
                      <w:rFonts w:hint="eastAsia" w:eastAsia="宋体"/>
                      <w:color w:val="auto"/>
                      <w:sz w:val="21"/>
                      <w:szCs w:val="21"/>
                      <w:lang w:val="en-US" w:eastAsia="zh-CN"/>
                    </w:rPr>
                  </w:pPr>
                  <w:r>
                    <w:rPr>
                      <w:rFonts w:hint="eastAsia"/>
                      <w:color w:val="auto"/>
                      <w:sz w:val="21"/>
                      <w:szCs w:val="21"/>
                      <w:lang w:val="en-US" w:eastAsia="zh-CN"/>
                    </w:rPr>
                    <w:t>0</w:t>
                  </w:r>
                </w:p>
              </w:tc>
              <w:tc>
                <w:tcPr>
                  <w:tcW w:w="1777" w:type="dxa"/>
                  <w:vMerge w:val="continue"/>
                  <w:noWrap w:val="0"/>
                  <w:vAlign w:val="center"/>
                </w:tcPr>
                <w:p w14:paraId="4E6856A5">
                  <w:pPr>
                    <w:spacing w:line="240" w:lineRule="auto"/>
                    <w:jc w:val="center"/>
                    <w:rPr>
                      <w:rFonts w:hint="eastAsia"/>
                      <w:color w:val="auto"/>
                      <w:szCs w:val="21"/>
                      <w:lang w:eastAsia="zh-CN"/>
                    </w:rPr>
                  </w:pPr>
                </w:p>
              </w:tc>
            </w:tr>
            <w:tr w14:paraId="221A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462" w:type="dxa"/>
                  <w:noWrap w:val="0"/>
                  <w:vAlign w:val="center"/>
                </w:tcPr>
                <w:p w14:paraId="4ADA87A1">
                  <w:pPr>
                    <w:spacing w:line="240" w:lineRule="auto"/>
                    <w:jc w:val="center"/>
                    <w:rPr>
                      <w:rFonts w:hint="default" w:eastAsia="宋体"/>
                      <w:color w:val="auto"/>
                      <w:szCs w:val="21"/>
                      <w:lang w:val="en-US" w:eastAsia="zh-CN"/>
                    </w:rPr>
                  </w:pPr>
                  <w:r>
                    <w:rPr>
                      <w:rFonts w:hint="eastAsia"/>
                      <w:color w:val="auto"/>
                      <w:szCs w:val="21"/>
                    </w:rPr>
                    <w:t>生活营地</w:t>
                  </w:r>
                  <w:r>
                    <w:rPr>
                      <w:rFonts w:hint="eastAsia"/>
                      <w:color w:val="auto"/>
                      <w:szCs w:val="21"/>
                      <w:lang w:eastAsia="zh-CN"/>
                    </w:rPr>
                    <w:t>、</w:t>
                  </w:r>
                  <w:r>
                    <w:rPr>
                      <w:rFonts w:hint="eastAsia"/>
                      <w:color w:val="auto"/>
                      <w:szCs w:val="21"/>
                      <w:lang w:val="en-US" w:eastAsia="zh-CN"/>
                    </w:rPr>
                    <w:t>施工营地</w:t>
                  </w:r>
                </w:p>
              </w:tc>
              <w:tc>
                <w:tcPr>
                  <w:tcW w:w="1117" w:type="dxa"/>
                  <w:noWrap w:val="0"/>
                  <w:vAlign w:val="center"/>
                </w:tcPr>
                <w:p w14:paraId="23A424F9">
                  <w:pPr>
                    <w:spacing w:line="240" w:lineRule="auto"/>
                    <w:jc w:val="center"/>
                    <w:rPr>
                      <w:rFonts w:hint="default" w:eastAsia="宋体"/>
                      <w:color w:val="auto"/>
                      <w:szCs w:val="21"/>
                      <w:lang w:val="en-US" w:eastAsia="zh-CN"/>
                    </w:rPr>
                  </w:pPr>
                  <w:r>
                    <w:rPr>
                      <w:rFonts w:hint="eastAsia"/>
                      <w:color w:val="auto"/>
                      <w:szCs w:val="21"/>
                      <w:lang w:val="en-US" w:eastAsia="zh-CN"/>
                    </w:rPr>
                    <w:t>/</w:t>
                  </w:r>
                </w:p>
              </w:tc>
              <w:tc>
                <w:tcPr>
                  <w:tcW w:w="1063" w:type="dxa"/>
                  <w:noWrap w:val="0"/>
                  <w:vAlign w:val="center"/>
                </w:tcPr>
                <w:p w14:paraId="5260D6A3">
                  <w:pPr>
                    <w:spacing w:line="240" w:lineRule="auto"/>
                    <w:jc w:val="center"/>
                    <w:rPr>
                      <w:rFonts w:hint="default"/>
                      <w:color w:val="auto"/>
                      <w:sz w:val="21"/>
                      <w:szCs w:val="21"/>
                      <w:lang w:val="en-US"/>
                    </w:rPr>
                  </w:pPr>
                  <w:r>
                    <w:rPr>
                      <w:rFonts w:hint="eastAsia"/>
                      <w:color w:val="auto"/>
                      <w:sz w:val="21"/>
                      <w:szCs w:val="21"/>
                      <w:lang w:val="en-US" w:eastAsia="zh-CN"/>
                    </w:rPr>
                    <w:t>20</w:t>
                  </w:r>
                </w:p>
              </w:tc>
              <w:tc>
                <w:tcPr>
                  <w:tcW w:w="960" w:type="dxa"/>
                  <w:noWrap w:val="0"/>
                  <w:vAlign w:val="center"/>
                </w:tcPr>
                <w:p w14:paraId="41550CF6">
                  <w:pPr>
                    <w:spacing w:line="240" w:lineRule="auto"/>
                    <w:jc w:val="center"/>
                    <w:rPr>
                      <w:rFonts w:hint="default"/>
                      <w:color w:val="auto"/>
                      <w:sz w:val="21"/>
                      <w:szCs w:val="21"/>
                      <w:lang w:val="en-US" w:eastAsia="zh-CN"/>
                    </w:rPr>
                  </w:pPr>
                  <w:r>
                    <w:rPr>
                      <w:rFonts w:hint="eastAsia"/>
                      <w:color w:val="auto"/>
                      <w:sz w:val="21"/>
                      <w:szCs w:val="21"/>
                      <w:lang w:val="en-US" w:eastAsia="zh-CN"/>
                    </w:rPr>
                    <w:t>/</w:t>
                  </w:r>
                </w:p>
              </w:tc>
              <w:tc>
                <w:tcPr>
                  <w:tcW w:w="994" w:type="dxa"/>
                  <w:shd w:val="clear" w:color="auto" w:fill="auto"/>
                  <w:noWrap w:val="0"/>
                  <w:vAlign w:val="center"/>
                </w:tcPr>
                <w:p w14:paraId="7FE3EEDF">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20</w:t>
                  </w:r>
                </w:p>
              </w:tc>
              <w:tc>
                <w:tcPr>
                  <w:tcW w:w="872" w:type="dxa"/>
                  <w:noWrap w:val="0"/>
                  <w:vAlign w:val="center"/>
                </w:tcPr>
                <w:p w14:paraId="22F1ADA5">
                  <w:pPr>
                    <w:spacing w:line="240" w:lineRule="auto"/>
                    <w:jc w:val="center"/>
                    <w:rPr>
                      <w:rFonts w:hint="eastAsia"/>
                      <w:color w:val="auto"/>
                      <w:sz w:val="21"/>
                      <w:szCs w:val="21"/>
                    </w:rPr>
                  </w:pPr>
                  <w:r>
                    <w:rPr>
                      <w:rFonts w:hint="eastAsia"/>
                      <w:color w:val="auto"/>
                      <w:sz w:val="21"/>
                      <w:szCs w:val="21"/>
                    </w:rPr>
                    <w:t>0</w:t>
                  </w:r>
                </w:p>
              </w:tc>
              <w:tc>
                <w:tcPr>
                  <w:tcW w:w="1777" w:type="dxa"/>
                  <w:vMerge w:val="continue"/>
                  <w:noWrap w:val="0"/>
                  <w:vAlign w:val="center"/>
                </w:tcPr>
                <w:p w14:paraId="4AA2AC6C">
                  <w:pPr>
                    <w:spacing w:line="240" w:lineRule="auto"/>
                    <w:jc w:val="center"/>
                    <w:rPr>
                      <w:color w:val="auto"/>
                      <w:szCs w:val="21"/>
                    </w:rPr>
                  </w:pPr>
                </w:p>
              </w:tc>
            </w:tr>
            <w:tr w14:paraId="7C60C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462" w:type="dxa"/>
                  <w:shd w:val="clear" w:color="auto" w:fill="auto"/>
                  <w:noWrap w:val="0"/>
                  <w:vAlign w:val="center"/>
                </w:tcPr>
                <w:p w14:paraId="7C534F2D">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进矿道路</w:t>
                  </w:r>
                </w:p>
              </w:tc>
              <w:tc>
                <w:tcPr>
                  <w:tcW w:w="1117" w:type="dxa"/>
                  <w:shd w:val="clear" w:color="auto" w:fill="auto"/>
                  <w:noWrap w:val="0"/>
                  <w:vAlign w:val="center"/>
                </w:tcPr>
                <w:p w14:paraId="0915AD8E">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w:t>
                  </w:r>
                </w:p>
              </w:tc>
              <w:tc>
                <w:tcPr>
                  <w:tcW w:w="1063" w:type="dxa"/>
                  <w:shd w:val="clear" w:color="auto" w:fill="auto"/>
                  <w:noWrap w:val="0"/>
                  <w:vAlign w:val="center"/>
                </w:tcPr>
                <w:p w14:paraId="49E9F0B1">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3000</w:t>
                  </w:r>
                </w:p>
              </w:tc>
              <w:tc>
                <w:tcPr>
                  <w:tcW w:w="960" w:type="dxa"/>
                  <w:shd w:val="clear" w:color="auto" w:fill="auto"/>
                  <w:noWrap w:val="0"/>
                  <w:vAlign w:val="center"/>
                </w:tcPr>
                <w:p w14:paraId="3A641C62">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w:t>
                  </w:r>
                </w:p>
              </w:tc>
              <w:tc>
                <w:tcPr>
                  <w:tcW w:w="994" w:type="dxa"/>
                  <w:shd w:val="clear" w:color="auto" w:fill="auto"/>
                  <w:noWrap w:val="0"/>
                  <w:vAlign w:val="center"/>
                </w:tcPr>
                <w:p w14:paraId="0F57445C">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3000</w:t>
                  </w:r>
                </w:p>
              </w:tc>
              <w:tc>
                <w:tcPr>
                  <w:tcW w:w="872" w:type="dxa"/>
                  <w:noWrap w:val="0"/>
                  <w:vAlign w:val="center"/>
                </w:tcPr>
                <w:p w14:paraId="0A498FF5">
                  <w:pPr>
                    <w:spacing w:line="240" w:lineRule="auto"/>
                    <w:jc w:val="center"/>
                    <w:rPr>
                      <w:rFonts w:hint="eastAsia" w:eastAsia="宋体"/>
                      <w:color w:val="auto"/>
                      <w:sz w:val="21"/>
                      <w:szCs w:val="21"/>
                      <w:lang w:val="en-US" w:eastAsia="zh-CN"/>
                    </w:rPr>
                  </w:pPr>
                  <w:r>
                    <w:rPr>
                      <w:rFonts w:hint="eastAsia"/>
                      <w:color w:val="auto"/>
                      <w:sz w:val="21"/>
                      <w:szCs w:val="21"/>
                      <w:lang w:val="en-US" w:eastAsia="zh-CN"/>
                    </w:rPr>
                    <w:t>0</w:t>
                  </w:r>
                </w:p>
              </w:tc>
              <w:tc>
                <w:tcPr>
                  <w:tcW w:w="1777" w:type="dxa"/>
                  <w:vMerge w:val="continue"/>
                  <w:noWrap w:val="0"/>
                  <w:vAlign w:val="center"/>
                </w:tcPr>
                <w:p w14:paraId="70E6F2A9">
                  <w:pPr>
                    <w:spacing w:line="240" w:lineRule="auto"/>
                    <w:jc w:val="center"/>
                    <w:rPr>
                      <w:color w:val="auto"/>
                      <w:szCs w:val="21"/>
                    </w:rPr>
                  </w:pPr>
                </w:p>
              </w:tc>
            </w:tr>
            <w:tr w14:paraId="51B4D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6" w:hRule="atLeast"/>
                <w:jc w:val="center"/>
              </w:trPr>
              <w:tc>
                <w:tcPr>
                  <w:tcW w:w="1462" w:type="dxa"/>
                  <w:noWrap w:val="0"/>
                  <w:vAlign w:val="center"/>
                </w:tcPr>
                <w:p w14:paraId="3B71F5A5">
                  <w:pPr>
                    <w:spacing w:line="240" w:lineRule="auto"/>
                    <w:jc w:val="center"/>
                    <w:rPr>
                      <w:color w:val="auto"/>
                      <w:szCs w:val="21"/>
                    </w:rPr>
                  </w:pPr>
                  <w:r>
                    <w:rPr>
                      <w:color w:val="auto"/>
                      <w:szCs w:val="21"/>
                    </w:rPr>
                    <w:t>总计</w:t>
                  </w:r>
                </w:p>
              </w:tc>
              <w:tc>
                <w:tcPr>
                  <w:tcW w:w="1117" w:type="dxa"/>
                  <w:noWrap w:val="0"/>
                  <w:vAlign w:val="center"/>
                </w:tcPr>
                <w:p w14:paraId="0A63A125">
                  <w:pPr>
                    <w:spacing w:line="240" w:lineRule="auto"/>
                    <w:jc w:val="center"/>
                    <w:rPr>
                      <w:rFonts w:hint="default" w:eastAsia="宋体"/>
                      <w:color w:val="auto"/>
                      <w:szCs w:val="21"/>
                      <w:lang w:val="en-US" w:eastAsia="zh-CN"/>
                    </w:rPr>
                  </w:pPr>
                  <w:r>
                    <w:rPr>
                      <w:rFonts w:hint="eastAsia"/>
                      <w:color w:val="auto"/>
                      <w:szCs w:val="21"/>
                      <w:lang w:val="en-US" w:eastAsia="zh-CN"/>
                    </w:rPr>
                    <w:t>/</w:t>
                  </w:r>
                </w:p>
              </w:tc>
              <w:tc>
                <w:tcPr>
                  <w:tcW w:w="1063" w:type="dxa"/>
                  <w:noWrap w:val="0"/>
                  <w:vAlign w:val="center"/>
                </w:tcPr>
                <w:p w14:paraId="769D05E0">
                  <w:pPr>
                    <w:spacing w:line="240" w:lineRule="auto"/>
                    <w:jc w:val="center"/>
                    <w:rPr>
                      <w:rFonts w:hint="default" w:eastAsia="宋体"/>
                      <w:color w:val="auto"/>
                      <w:sz w:val="21"/>
                      <w:szCs w:val="21"/>
                      <w:lang w:val="en-US" w:eastAsia="zh-CN"/>
                    </w:rPr>
                  </w:pPr>
                  <w:r>
                    <w:rPr>
                      <w:rFonts w:hint="eastAsia"/>
                      <w:color w:val="auto"/>
                      <w:sz w:val="21"/>
                      <w:szCs w:val="21"/>
                      <w:lang w:val="en-US" w:eastAsia="zh-CN"/>
                    </w:rPr>
                    <w:t>4194.5</w:t>
                  </w:r>
                </w:p>
              </w:tc>
              <w:tc>
                <w:tcPr>
                  <w:tcW w:w="960" w:type="dxa"/>
                  <w:noWrap w:val="0"/>
                  <w:vAlign w:val="center"/>
                </w:tcPr>
                <w:p w14:paraId="0461BC3B">
                  <w:pPr>
                    <w:spacing w:line="240" w:lineRule="auto"/>
                    <w:jc w:val="center"/>
                    <w:rPr>
                      <w:rFonts w:hint="default"/>
                      <w:color w:val="auto"/>
                      <w:sz w:val="21"/>
                      <w:szCs w:val="21"/>
                      <w:lang w:val="en-US" w:eastAsia="zh-CN"/>
                    </w:rPr>
                  </w:pPr>
                  <w:r>
                    <w:rPr>
                      <w:rFonts w:hint="eastAsia"/>
                      <w:color w:val="auto"/>
                      <w:sz w:val="21"/>
                      <w:szCs w:val="21"/>
                      <w:lang w:val="en-US" w:eastAsia="zh-CN"/>
                    </w:rPr>
                    <w:t>4.5</w:t>
                  </w:r>
                </w:p>
              </w:tc>
              <w:tc>
                <w:tcPr>
                  <w:tcW w:w="994" w:type="dxa"/>
                  <w:shd w:val="clear" w:color="auto" w:fill="auto"/>
                  <w:noWrap w:val="0"/>
                  <w:vAlign w:val="center"/>
                </w:tcPr>
                <w:p w14:paraId="0C6025CD">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4190</w:t>
                  </w:r>
                </w:p>
              </w:tc>
              <w:tc>
                <w:tcPr>
                  <w:tcW w:w="872" w:type="dxa"/>
                  <w:noWrap w:val="0"/>
                  <w:vAlign w:val="center"/>
                </w:tcPr>
                <w:p w14:paraId="24B9B287">
                  <w:pPr>
                    <w:spacing w:line="240" w:lineRule="auto"/>
                    <w:jc w:val="center"/>
                    <w:rPr>
                      <w:color w:val="auto"/>
                      <w:sz w:val="21"/>
                      <w:szCs w:val="21"/>
                    </w:rPr>
                  </w:pPr>
                  <w:r>
                    <w:rPr>
                      <w:rFonts w:hint="eastAsia"/>
                      <w:color w:val="auto"/>
                      <w:sz w:val="21"/>
                      <w:szCs w:val="21"/>
                    </w:rPr>
                    <w:t>0</w:t>
                  </w:r>
                </w:p>
              </w:tc>
              <w:tc>
                <w:tcPr>
                  <w:tcW w:w="1777" w:type="dxa"/>
                  <w:vMerge w:val="continue"/>
                  <w:noWrap w:val="0"/>
                  <w:vAlign w:val="center"/>
                </w:tcPr>
                <w:p w14:paraId="66B0A4EA">
                  <w:pPr>
                    <w:spacing w:line="240" w:lineRule="auto"/>
                    <w:jc w:val="center"/>
                    <w:rPr>
                      <w:color w:val="auto"/>
                      <w:szCs w:val="21"/>
                    </w:rPr>
                  </w:pPr>
                </w:p>
              </w:tc>
            </w:tr>
          </w:tbl>
          <w:p w14:paraId="3775EF77">
            <w:pPr>
              <w:rPr>
                <w:b/>
                <w:color w:val="auto"/>
                <w:sz w:val="18"/>
                <w:szCs w:val="18"/>
              </w:rPr>
            </w:pPr>
            <w:r>
              <w:rPr>
                <w:b/>
                <w:bCs/>
                <w:color w:val="auto"/>
                <w:sz w:val="18"/>
                <w:szCs w:val="18"/>
              </w:rPr>
              <w:t>*注：</w:t>
            </w:r>
            <w:r>
              <w:rPr>
                <w:rFonts w:hint="eastAsia"/>
                <w:b/>
                <w:bCs/>
                <w:color w:val="auto"/>
                <w:sz w:val="18"/>
                <w:szCs w:val="18"/>
              </w:rPr>
              <w:t>表中均为松散方，</w:t>
            </w:r>
            <w:r>
              <w:rPr>
                <w:b/>
                <w:bCs/>
                <w:color w:val="auto"/>
                <w:sz w:val="18"/>
                <w:szCs w:val="18"/>
              </w:rPr>
              <w:t>松散系数以1.45计</w:t>
            </w:r>
          </w:p>
          <w:p w14:paraId="118D4CAF">
            <w:pPr>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color w:val="auto"/>
              </w:rPr>
            </w:pPr>
            <w:r>
              <w:rPr>
                <w:rFonts w:hint="eastAsia" w:ascii="Times New Roman" w:hAnsi="Times New Roman" w:eastAsia="宋体" w:cs="Times New Roman"/>
                <w:color w:val="auto"/>
                <w:sz w:val="24"/>
              </w:rPr>
              <w:t>根据上表可知，本工程开挖</w:t>
            </w:r>
            <w:r>
              <w:rPr>
                <w:rFonts w:hint="eastAsia" w:cs="Times New Roman"/>
                <w:color w:val="auto"/>
                <w:sz w:val="24"/>
                <w:lang w:val="en-US" w:eastAsia="zh-CN"/>
              </w:rPr>
              <w:t>土石</w:t>
            </w:r>
            <w:r>
              <w:rPr>
                <w:rFonts w:hint="eastAsia" w:ascii="Times New Roman" w:hAnsi="Times New Roman" w:eastAsia="宋体" w:cs="Times New Roman"/>
                <w:color w:val="auto"/>
                <w:sz w:val="24"/>
              </w:rPr>
              <w:t>共</w:t>
            </w:r>
            <w:r>
              <w:rPr>
                <w:rFonts w:hint="eastAsia" w:cs="Times New Roman"/>
                <w:color w:val="auto"/>
                <w:sz w:val="24"/>
                <w:lang w:val="en-US" w:eastAsia="zh-CN"/>
              </w:rPr>
              <w:t>1194.5</w:t>
            </w:r>
            <w:r>
              <w:rPr>
                <w:rFonts w:hint="eastAsia" w:ascii="Times New Roman" w:hAnsi="Times New Roman" w:eastAsia="宋体" w:cs="Times New Roman"/>
                <w:color w:val="auto"/>
                <w:sz w:val="24"/>
              </w:rPr>
              <w:t>m</w:t>
            </w:r>
            <w:r>
              <w:rPr>
                <w:rFonts w:hint="eastAsia" w:ascii="Times New Roman" w:hAnsi="Times New Roman" w:eastAsia="宋体" w:cs="Times New Roman"/>
                <w:color w:val="auto"/>
                <w:sz w:val="24"/>
                <w:vertAlign w:val="superscript"/>
              </w:rPr>
              <w:t>3</w:t>
            </w:r>
            <w:r>
              <w:rPr>
                <w:rFonts w:hint="eastAsia" w:ascii="Times New Roman" w:hAnsi="Times New Roman" w:eastAsia="宋体" w:cs="Times New Roman"/>
                <w:color w:val="auto"/>
                <w:sz w:val="24"/>
              </w:rPr>
              <w:t>，</w:t>
            </w:r>
            <w:r>
              <w:rPr>
                <w:rFonts w:hint="eastAsia" w:ascii="Times New Roman" w:hAnsi="Times New Roman" w:eastAsia="宋体" w:cs="Times New Roman"/>
                <w:color w:val="auto"/>
                <w:sz w:val="24"/>
                <w:lang w:val="en-US" w:eastAsia="zh-CN"/>
              </w:rPr>
              <w:t>探槽取样</w:t>
            </w:r>
            <w:r>
              <w:rPr>
                <w:rFonts w:hint="eastAsia" w:cs="Times New Roman"/>
                <w:color w:val="auto"/>
                <w:sz w:val="24"/>
                <w:lang w:val="en-US" w:eastAsia="zh-CN"/>
              </w:rPr>
              <w:t>量约2.5</w:t>
            </w:r>
            <w:r>
              <w:rPr>
                <w:rFonts w:hint="eastAsia" w:ascii="Times New Roman" w:hAnsi="Times New Roman" w:eastAsia="宋体" w:cs="Times New Roman"/>
                <w:color w:val="auto"/>
                <w:sz w:val="24"/>
              </w:rPr>
              <w:t>m</w:t>
            </w:r>
            <w:r>
              <w:rPr>
                <w:rFonts w:hint="eastAsia" w:ascii="Times New Roman" w:hAnsi="Times New Roman" w:eastAsia="宋体" w:cs="Times New Roman"/>
                <w:color w:val="auto"/>
                <w:sz w:val="24"/>
                <w:vertAlign w:val="superscript"/>
              </w:rPr>
              <w:t>3</w:t>
            </w:r>
            <w:r>
              <w:rPr>
                <w:rFonts w:hint="eastAsia" w:cs="Times New Roman"/>
                <w:color w:val="auto"/>
                <w:sz w:val="24"/>
                <w:vertAlign w:val="baseline"/>
                <w:lang w:eastAsia="zh-CN"/>
              </w:rPr>
              <w:t>，</w:t>
            </w:r>
            <w:r>
              <w:rPr>
                <w:rFonts w:hint="eastAsia" w:cs="Times New Roman"/>
                <w:color w:val="auto"/>
                <w:sz w:val="24"/>
                <w:vertAlign w:val="baseline"/>
                <w:lang w:val="en-US" w:eastAsia="zh-CN"/>
              </w:rPr>
              <w:t>钻探取样量约2</w:t>
            </w:r>
            <w:r>
              <w:rPr>
                <w:rFonts w:hint="eastAsia" w:ascii="Times New Roman" w:hAnsi="Times New Roman" w:eastAsia="宋体" w:cs="Times New Roman"/>
                <w:color w:val="auto"/>
                <w:sz w:val="24"/>
              </w:rPr>
              <w:t>m</w:t>
            </w:r>
            <w:r>
              <w:rPr>
                <w:rFonts w:hint="eastAsia" w:ascii="Times New Roman" w:hAnsi="Times New Roman" w:eastAsia="宋体" w:cs="Times New Roman"/>
                <w:color w:val="auto"/>
                <w:sz w:val="24"/>
                <w:vertAlign w:val="superscript"/>
              </w:rPr>
              <w:t>3</w:t>
            </w:r>
            <w:r>
              <w:rPr>
                <w:rFonts w:hint="eastAsia" w:ascii="Times New Roman" w:hAnsi="Times New Roman" w:eastAsia="宋体" w:cs="Times New Roman"/>
                <w:color w:val="auto"/>
                <w:sz w:val="24"/>
                <w:vertAlign w:val="baseline"/>
                <w:lang w:eastAsia="zh-CN"/>
              </w:rPr>
              <w:t>，</w:t>
            </w:r>
            <w:r>
              <w:rPr>
                <w:rFonts w:hint="eastAsia" w:ascii="Times New Roman" w:hAnsi="Times New Roman" w:eastAsia="宋体" w:cs="Times New Roman"/>
                <w:color w:val="auto"/>
                <w:sz w:val="24"/>
              </w:rPr>
              <w:t>填</w:t>
            </w:r>
            <w:r>
              <w:rPr>
                <w:rFonts w:hint="eastAsia" w:ascii="Times New Roman" w:hAnsi="Times New Roman" w:eastAsia="宋体" w:cs="Times New Roman"/>
                <w:color w:val="auto"/>
                <w:sz w:val="24"/>
                <w:lang w:val="en-US" w:eastAsia="zh-CN"/>
              </w:rPr>
              <w:t>方共</w:t>
            </w:r>
            <w:r>
              <w:rPr>
                <w:rFonts w:hint="eastAsia" w:cs="Times New Roman"/>
                <w:color w:val="auto"/>
                <w:sz w:val="24"/>
                <w:lang w:val="en-US" w:eastAsia="zh-CN"/>
              </w:rPr>
              <w:t>4190</w:t>
            </w:r>
            <w:r>
              <w:rPr>
                <w:rFonts w:hint="eastAsia" w:ascii="Times New Roman" w:hAnsi="Times New Roman" w:eastAsia="宋体" w:cs="Times New Roman"/>
                <w:color w:val="auto"/>
                <w:sz w:val="24"/>
              </w:rPr>
              <w:t>m</w:t>
            </w:r>
            <w:r>
              <w:rPr>
                <w:rFonts w:hint="eastAsia" w:ascii="Times New Roman" w:hAnsi="Times New Roman" w:eastAsia="宋体" w:cs="Times New Roman"/>
                <w:color w:val="auto"/>
                <w:sz w:val="24"/>
                <w:vertAlign w:val="superscript"/>
              </w:rPr>
              <w:t>3</w:t>
            </w:r>
            <w:r>
              <w:rPr>
                <w:rFonts w:hint="eastAsia" w:ascii="Times New Roman" w:hAnsi="Times New Roman" w:eastAsia="宋体" w:cs="Times New Roman"/>
                <w:color w:val="auto"/>
                <w:sz w:val="24"/>
              </w:rPr>
              <w:t>，</w:t>
            </w:r>
            <w:r>
              <w:rPr>
                <w:rFonts w:hint="eastAsia" w:ascii="Times New Roman" w:hAnsi="Times New Roman" w:eastAsia="宋体" w:cs="Times New Roman"/>
                <w:color w:val="auto"/>
                <w:sz w:val="24"/>
                <w:lang w:val="en-US" w:eastAsia="zh-CN"/>
              </w:rPr>
              <w:t>临时堆土区</w:t>
            </w:r>
            <w:r>
              <w:rPr>
                <w:rFonts w:hint="eastAsia" w:ascii="Times New Roman" w:hAnsi="Times New Roman" w:eastAsia="宋体" w:cs="Times New Roman"/>
                <w:color w:val="auto"/>
                <w:sz w:val="24"/>
              </w:rPr>
              <w:t>总占地面积约为</w:t>
            </w:r>
            <w:r>
              <w:rPr>
                <w:rFonts w:hint="eastAsia" w:cs="Times New Roman"/>
                <w:color w:val="auto"/>
                <w:sz w:val="24"/>
                <w:lang w:val="en-US" w:eastAsia="zh-CN"/>
              </w:rPr>
              <w:t>2500</w:t>
            </w:r>
            <w:r>
              <w:rPr>
                <w:rFonts w:hint="eastAsia" w:ascii="Times New Roman" w:hAnsi="Times New Roman" w:eastAsia="宋体" w:cs="Times New Roman"/>
                <w:color w:val="auto"/>
                <w:sz w:val="24"/>
              </w:rPr>
              <w:t>m</w:t>
            </w:r>
            <w:r>
              <w:rPr>
                <w:rFonts w:hint="eastAsia" w:ascii="Times New Roman" w:hAnsi="Times New Roman" w:eastAsia="宋体" w:cs="Times New Roman"/>
                <w:color w:val="auto"/>
                <w:sz w:val="24"/>
                <w:vertAlign w:val="superscript"/>
              </w:rPr>
              <w:t>2</w:t>
            </w:r>
            <w:r>
              <w:rPr>
                <w:rFonts w:hint="eastAsia" w:ascii="Times New Roman" w:hAnsi="Times New Roman" w:eastAsia="宋体" w:cs="Times New Roman"/>
                <w:color w:val="auto"/>
                <w:sz w:val="24"/>
              </w:rPr>
              <w:t>，设计平均堆高约</w:t>
            </w:r>
            <w:r>
              <w:rPr>
                <w:rFonts w:hint="eastAsia" w:ascii="Times New Roman" w:hAnsi="Times New Roman" w:eastAsia="宋体" w:cs="Times New Roman"/>
                <w:color w:val="auto"/>
                <w:sz w:val="24"/>
                <w:lang w:val="en-US" w:eastAsia="zh-CN"/>
              </w:rPr>
              <w:t>2</w:t>
            </w:r>
            <w:r>
              <w:rPr>
                <w:rFonts w:hint="eastAsia" w:ascii="Times New Roman" w:hAnsi="Times New Roman" w:eastAsia="宋体" w:cs="Times New Roman"/>
                <w:color w:val="auto"/>
                <w:sz w:val="24"/>
              </w:rPr>
              <w:t>m</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则</w:t>
            </w:r>
            <w:r>
              <w:rPr>
                <w:rFonts w:hint="eastAsia" w:ascii="Times New Roman" w:hAnsi="Times New Roman" w:eastAsia="宋体" w:cs="Times New Roman"/>
                <w:color w:val="auto"/>
                <w:sz w:val="24"/>
              </w:rPr>
              <w:t>设计堆渣量</w:t>
            </w:r>
            <w:r>
              <w:rPr>
                <w:rFonts w:hint="eastAsia" w:cs="Times New Roman"/>
                <w:color w:val="auto"/>
                <w:sz w:val="24"/>
                <w:lang w:val="en-US" w:eastAsia="zh-CN"/>
              </w:rPr>
              <w:t>5000</w:t>
            </w:r>
            <w:r>
              <w:rPr>
                <w:rFonts w:hint="eastAsia" w:ascii="Times New Roman" w:hAnsi="Times New Roman" w:eastAsia="宋体" w:cs="Times New Roman"/>
                <w:color w:val="auto"/>
                <w:sz w:val="24"/>
              </w:rPr>
              <w:t>m</w:t>
            </w:r>
            <w:r>
              <w:rPr>
                <w:rFonts w:hint="eastAsia" w:ascii="Times New Roman" w:hAnsi="Times New Roman" w:eastAsia="宋体" w:cs="Times New Roman"/>
                <w:color w:val="auto"/>
                <w:sz w:val="24"/>
                <w:vertAlign w:val="superscript"/>
              </w:rPr>
              <w:t>3</w:t>
            </w:r>
            <w:r>
              <w:rPr>
                <w:rFonts w:hint="eastAsia" w:ascii="Times New Roman" w:hAnsi="Times New Roman" w:eastAsia="宋体" w:cs="Times New Roman"/>
                <w:color w:val="auto"/>
                <w:sz w:val="24"/>
              </w:rPr>
              <w:t>，满足本项目探矿期间产生的临时堆土。本次探矿槽探产生的临时弃土堆放</w:t>
            </w:r>
            <w:r>
              <w:rPr>
                <w:rFonts w:hint="eastAsia" w:ascii="Times New Roman" w:hAnsi="Times New Roman" w:eastAsia="宋体" w:cs="Times New Roman"/>
                <w:color w:val="auto"/>
                <w:sz w:val="24"/>
                <w:lang w:eastAsia="zh-CN"/>
              </w:rPr>
              <w:t>在</w:t>
            </w:r>
            <w:r>
              <w:rPr>
                <w:rFonts w:hint="eastAsia" w:ascii="Times New Roman" w:hAnsi="Times New Roman" w:eastAsia="宋体" w:cs="Times New Roman"/>
                <w:color w:val="auto"/>
                <w:sz w:val="24"/>
              </w:rPr>
              <w:t>槽探一侧空地上，待采样结束后立即回填</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临时道路修筑弃土放置临时堆放在道路一侧，全部用于项目区周边土地平整。</w:t>
            </w:r>
            <w:r>
              <w:rPr>
                <w:rFonts w:hint="eastAsia" w:ascii="Times New Roman" w:hAnsi="Times New Roman" w:eastAsia="宋体" w:cs="Times New Roman"/>
                <w:color w:val="auto"/>
                <w:sz w:val="24"/>
              </w:rPr>
              <w:t>勘探期内严禁将开挖土石方堆放在山间冲沟内，阻塞冲沟，确保冲沟的通畅性。</w:t>
            </w:r>
          </w:p>
        </w:tc>
      </w:tr>
      <w:tr w14:paraId="2F1961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05" w:type="dxa"/>
            <w:noWrap w:val="0"/>
            <w:vAlign w:val="center"/>
          </w:tcPr>
          <w:p w14:paraId="371FE94D">
            <w:pPr>
              <w:adjustRightInd w:val="0"/>
              <w:snapToGrid w:val="0"/>
              <w:jc w:val="center"/>
              <w:rPr>
                <w:rFonts w:ascii="宋体" w:hAnsi="宋体" w:cs="宋体"/>
                <w:color w:val="auto"/>
                <w:kern w:val="0"/>
                <w:szCs w:val="21"/>
              </w:rPr>
            </w:pPr>
            <w:r>
              <w:rPr>
                <w:rFonts w:hint="eastAsia" w:ascii="宋体" w:hAnsi="宋体" w:cs="宋体"/>
                <w:color w:val="auto"/>
                <w:kern w:val="0"/>
                <w:szCs w:val="21"/>
              </w:rPr>
              <w:t>其他</w:t>
            </w:r>
          </w:p>
        </w:tc>
        <w:tc>
          <w:tcPr>
            <w:tcW w:w="8325" w:type="dxa"/>
            <w:noWrap w:val="0"/>
            <w:vAlign w:val="center"/>
          </w:tcPr>
          <w:p w14:paraId="4F0FD526">
            <w:pPr>
              <w:adjustRightInd w:val="0"/>
              <w:snapToGrid w:val="0"/>
              <w:jc w:val="center"/>
              <w:rPr>
                <w:rFonts w:hint="eastAsia" w:ascii="宋体" w:hAnsi="宋体" w:eastAsia="宋体" w:cs="宋体"/>
                <w:color w:val="auto"/>
                <w:kern w:val="0"/>
                <w:szCs w:val="21"/>
                <w:lang w:val="en-US" w:eastAsia="zh-CN"/>
              </w:rPr>
            </w:pPr>
            <w:r>
              <w:rPr>
                <w:rFonts w:hint="eastAsia" w:ascii="Times New Roman" w:hAnsi="Times New Roman" w:eastAsia="宋体" w:cs="Times New Roman"/>
                <w:color w:val="auto"/>
                <w:sz w:val="24"/>
                <w:lang w:val="en-US" w:eastAsia="zh-CN"/>
              </w:rPr>
              <w:t>无</w:t>
            </w:r>
          </w:p>
        </w:tc>
      </w:tr>
    </w:tbl>
    <w:p w14:paraId="2AE51021">
      <w:pPr>
        <w:pStyle w:val="17"/>
        <w:jc w:val="center"/>
        <w:outlineLvl w:val="0"/>
        <w:rPr>
          <w:rFonts w:ascii="黑体" w:hAnsi="黑体" w:eastAsia="黑体"/>
          <w:snapToGrid w:val="0"/>
          <w:color w:val="auto"/>
          <w:sz w:val="30"/>
          <w:szCs w:val="30"/>
        </w:rPr>
      </w:pPr>
      <w:r>
        <w:rPr>
          <w:rFonts w:eastAsia="仿宋_GB2312"/>
          <w:b/>
          <w:bCs/>
          <w:color w:val="auto"/>
        </w:rPr>
        <w:br w:type="page"/>
      </w:r>
      <w:r>
        <w:rPr>
          <w:rFonts w:hint="eastAsia" w:ascii="黑体" w:hAnsi="黑体" w:eastAsia="黑体"/>
          <w:snapToGrid w:val="0"/>
          <w:color w:val="auto"/>
          <w:sz w:val="30"/>
          <w:szCs w:val="30"/>
        </w:rPr>
        <w:t>三、生态环境现状、保护目标及评价标准</w:t>
      </w:r>
    </w:p>
    <w:tbl>
      <w:tblPr>
        <w:tblStyle w:val="20"/>
        <w:tblW w:w="90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4"/>
        <w:gridCol w:w="8115"/>
      </w:tblGrid>
      <w:tr w14:paraId="640817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04" w:type="dxa"/>
            <w:noWrap w:val="0"/>
            <w:vAlign w:val="center"/>
          </w:tcPr>
          <w:p w14:paraId="4F7C532E">
            <w:pPr>
              <w:adjustRightInd w:val="0"/>
              <w:snapToGrid w:val="0"/>
              <w:jc w:val="center"/>
              <w:rPr>
                <w:rFonts w:ascii="宋体" w:hAnsi="宋体" w:cs="宋体"/>
                <w:color w:val="auto"/>
                <w:kern w:val="0"/>
                <w:szCs w:val="21"/>
              </w:rPr>
            </w:pPr>
            <w:r>
              <w:rPr>
                <w:rFonts w:hint="eastAsia" w:ascii="宋体" w:hAnsi="宋体" w:cs="宋体"/>
                <w:color w:val="auto"/>
                <w:kern w:val="0"/>
                <w:szCs w:val="21"/>
              </w:rPr>
              <w:t>生态环境现状</w:t>
            </w:r>
          </w:p>
        </w:tc>
        <w:tc>
          <w:tcPr>
            <w:tcW w:w="8115" w:type="dxa"/>
            <w:noWrap w:val="0"/>
            <w:vAlign w:val="center"/>
          </w:tcPr>
          <w:p w14:paraId="7F5BD634">
            <w:pPr>
              <w:keepNext w:val="0"/>
              <w:keepLines w:val="0"/>
              <w:pageBreakBefore w:val="0"/>
              <w:widowControl/>
              <w:numPr>
                <w:ilvl w:val="0"/>
                <w:numId w:val="0"/>
              </w:numPr>
              <w:kinsoku/>
              <w:wordWrap/>
              <w:overflowPunct/>
              <w:topLinePunct w:val="0"/>
              <w:autoSpaceDE/>
              <w:autoSpaceDN/>
              <w:bidi w:val="0"/>
              <w:spacing w:line="520" w:lineRule="exact"/>
              <w:ind w:right="0" w:rightChars="0"/>
              <w:textAlignment w:val="auto"/>
              <w:rPr>
                <w:rFonts w:hint="eastAsia" w:ascii="Times New Roman" w:hAnsi="Times New Roman" w:eastAsia="宋体" w:cs="Times New Roman"/>
                <w:b/>
                <w:color w:val="auto"/>
                <w:kern w:val="0"/>
                <w:sz w:val="24"/>
                <w:szCs w:val="24"/>
              </w:rPr>
            </w:pPr>
            <w:r>
              <w:rPr>
                <w:rFonts w:hint="eastAsia" w:ascii="Times New Roman" w:hAnsi="Times New Roman" w:eastAsia="宋体" w:cs="Times New Roman"/>
                <w:b/>
                <w:color w:val="auto"/>
                <w:kern w:val="0"/>
                <w:sz w:val="24"/>
                <w:szCs w:val="24"/>
                <w:lang w:val="en-US" w:eastAsia="zh-CN"/>
              </w:rPr>
              <w:t>1生态环境</w:t>
            </w:r>
          </w:p>
          <w:p w14:paraId="67739526">
            <w:pPr>
              <w:keepNext w:val="0"/>
              <w:keepLines w:val="0"/>
              <w:pageBreakBefore w:val="0"/>
              <w:widowControl w:val="0"/>
              <w:kinsoku/>
              <w:wordWrap/>
              <w:overflowPunct/>
              <w:topLinePunct w:val="0"/>
              <w:bidi w:val="0"/>
              <w:spacing w:line="520" w:lineRule="exact"/>
              <w:ind w:firstLine="480" w:firstLineChars="200"/>
              <w:jc w:val="both"/>
              <w:textAlignment w:val="auto"/>
              <w:rPr>
                <w:rFonts w:hint="eastAsia" w:ascii="Times New Roman" w:hAnsi="Times New Roman" w:eastAsia="宋体" w:cs="宋体"/>
                <w:color w:val="auto"/>
                <w:kern w:val="0"/>
                <w:sz w:val="24"/>
                <w:szCs w:val="24"/>
                <w:lang w:val="en-US" w:eastAsia="zh-CN"/>
              </w:rPr>
            </w:pPr>
            <w:r>
              <w:rPr>
                <w:rFonts w:hint="eastAsia" w:ascii="Times New Roman" w:hAnsi="Times New Roman" w:eastAsia="宋体" w:cs="宋体"/>
                <w:color w:val="auto"/>
                <w:kern w:val="0"/>
                <w:sz w:val="24"/>
                <w:szCs w:val="24"/>
                <w:lang w:eastAsia="zh-CN"/>
              </w:rPr>
              <w:t>（</w:t>
            </w:r>
            <w:r>
              <w:rPr>
                <w:rFonts w:hint="eastAsia" w:ascii="Times New Roman" w:hAnsi="Times New Roman" w:eastAsia="宋体" w:cs="宋体"/>
                <w:color w:val="auto"/>
                <w:kern w:val="0"/>
                <w:sz w:val="24"/>
                <w:szCs w:val="24"/>
                <w:lang w:val="en-US" w:eastAsia="zh-CN"/>
              </w:rPr>
              <w:t>1）</w:t>
            </w:r>
            <w:r>
              <w:rPr>
                <w:rFonts w:hint="default" w:ascii="Times New Roman" w:hAnsi="Times New Roman" w:eastAsia="宋体" w:cs="Times New Roman"/>
                <w:bCs/>
                <w:color w:val="auto"/>
                <w:sz w:val="24"/>
                <w:szCs w:val="24"/>
              </w:rPr>
              <w:t>主体功能区规划</w:t>
            </w:r>
          </w:p>
          <w:p w14:paraId="32CFE433">
            <w:pPr>
              <w:keepNext w:val="0"/>
              <w:keepLines w:val="0"/>
              <w:pageBreakBefore w:val="0"/>
              <w:widowControl w:val="0"/>
              <w:kinsoku/>
              <w:wordWrap/>
              <w:overflowPunct/>
              <w:topLinePunct w:val="0"/>
              <w:bidi w:val="0"/>
              <w:spacing w:line="520" w:lineRule="exact"/>
              <w:ind w:firstLine="480" w:firstLineChars="200"/>
              <w:jc w:val="both"/>
              <w:textAlignment w:val="auto"/>
              <w:rPr>
                <w:rFonts w:hint="default" w:ascii="Times New Roman" w:hAnsi="Times New Roman" w:eastAsia="宋体" w:cs="Times New Roman"/>
                <w:bCs/>
                <w:color w:val="auto"/>
                <w:sz w:val="24"/>
                <w:szCs w:val="24"/>
                <w:lang w:val="en-US" w:eastAsia="zh-CN"/>
              </w:rPr>
            </w:pPr>
            <w:r>
              <w:rPr>
                <w:rFonts w:hint="eastAsia" w:ascii="Times New Roman" w:hAnsi="Times New Roman" w:eastAsia="宋体" w:cs="宋体"/>
                <w:color w:val="auto"/>
                <w:kern w:val="0"/>
                <w:sz w:val="24"/>
                <w:szCs w:val="24"/>
                <w:lang w:val="en-US" w:eastAsia="zh-CN"/>
              </w:rPr>
              <w:t>根据</w:t>
            </w:r>
            <w:r>
              <w:rPr>
                <w:rFonts w:hint="default" w:ascii="Times New Roman" w:hAnsi="Times New Roman" w:cs="Times New Roman"/>
                <w:bCs/>
                <w:color w:val="auto"/>
                <w:sz w:val="24"/>
                <w:szCs w:val="24"/>
              </w:rPr>
              <w:t>《</w:t>
            </w:r>
            <w:r>
              <w:rPr>
                <w:rFonts w:hint="default" w:ascii="Times New Roman" w:hAnsi="Times New Roman" w:eastAsia="宋体" w:cs="Times New Roman"/>
                <w:bCs/>
                <w:color w:val="auto"/>
                <w:sz w:val="24"/>
                <w:szCs w:val="24"/>
              </w:rPr>
              <w:t>新疆维吾尔自治区主体功能区规划》</w:t>
            </w:r>
            <w:r>
              <w:rPr>
                <w:rFonts w:hint="eastAsia"/>
                <w:color w:val="auto"/>
                <w:lang w:eastAsia="zh-CN"/>
              </w:rPr>
              <w:t>，</w:t>
            </w:r>
            <w:r>
              <w:rPr>
                <w:rFonts w:hint="default" w:ascii="Times New Roman" w:hAnsi="Times New Roman" w:eastAsia="宋体" w:cs="Times New Roman"/>
                <w:bCs/>
                <w:color w:val="auto"/>
                <w:sz w:val="24"/>
                <w:szCs w:val="24"/>
              </w:rPr>
              <w:t>评价区属</w:t>
            </w:r>
            <w:r>
              <w:rPr>
                <w:rFonts w:hint="default" w:ascii="Times New Roman" w:hAnsi="Times New Roman" w:eastAsia="宋体" w:cs="Times New Roman"/>
                <w:bCs/>
                <w:color w:val="auto"/>
                <w:sz w:val="24"/>
                <w:szCs w:val="24"/>
                <w:lang w:val="en-US" w:eastAsia="zh-CN"/>
              </w:rPr>
              <w:t>“阿尔金草原荒漠化防治生态功能区”</w:t>
            </w:r>
            <w:r>
              <w:rPr>
                <w:rFonts w:hint="default" w:ascii="Times New Roman" w:hAnsi="Times New Roman" w:eastAsia="宋体" w:cs="Times New Roman"/>
                <w:bCs/>
                <w:color w:val="auto"/>
                <w:sz w:val="24"/>
                <w:szCs w:val="24"/>
              </w:rPr>
              <w:t>，</w:t>
            </w:r>
            <w:r>
              <w:rPr>
                <w:rFonts w:hint="default" w:ascii="Times New Roman" w:hAnsi="Times New Roman" w:eastAsia="宋体" w:cs="Times New Roman"/>
                <w:bCs/>
                <w:color w:val="auto"/>
                <w:sz w:val="24"/>
                <w:szCs w:val="24"/>
                <w:lang w:val="en-US" w:eastAsia="zh-CN"/>
              </w:rPr>
              <w:t>该功能区发展方向见下表。</w:t>
            </w:r>
          </w:p>
          <w:p w14:paraId="3496E5B0">
            <w:pPr>
              <w:keepNext w:val="0"/>
              <w:keepLines w:val="0"/>
              <w:pageBreakBefore w:val="0"/>
              <w:widowControl w:val="0"/>
              <w:kinsoku/>
              <w:wordWrap/>
              <w:overflowPunct/>
              <w:topLinePunct w:val="0"/>
              <w:bidi w:val="0"/>
              <w:spacing w:line="520" w:lineRule="exact"/>
              <w:jc w:val="center"/>
              <w:textAlignment w:val="auto"/>
              <w:rPr>
                <w:rFonts w:hint="default" w:ascii="Times New Roman" w:hAnsi="Times New Roman" w:eastAsia="宋体" w:cs="Times New Roman"/>
                <w:b/>
                <w:bCs w:val="0"/>
                <w:color w:val="auto"/>
                <w:sz w:val="24"/>
                <w:szCs w:val="24"/>
              </w:rPr>
            </w:pPr>
            <w:r>
              <w:rPr>
                <w:rFonts w:hint="eastAsia" w:ascii="Times New Roman" w:hAnsi="Times New Roman" w:eastAsia="宋体" w:cs="Times New Roman"/>
                <w:b/>
                <w:bCs w:val="0"/>
                <w:color w:val="auto"/>
                <w:sz w:val="24"/>
                <w:szCs w:val="24"/>
                <w:lang w:val="en-US" w:eastAsia="zh-CN"/>
              </w:rPr>
              <w:t xml:space="preserve">表3-1  </w:t>
            </w:r>
            <w:r>
              <w:rPr>
                <w:rFonts w:hint="default" w:ascii="Times New Roman" w:hAnsi="Times New Roman" w:eastAsia="宋体" w:cs="Times New Roman"/>
                <w:b/>
                <w:bCs w:val="0"/>
                <w:color w:val="auto"/>
                <w:sz w:val="24"/>
                <w:szCs w:val="24"/>
                <w:lang w:val="en-US" w:eastAsia="zh-CN"/>
              </w:rPr>
              <w:t>新疆重点生态功能区的类型和发展方向</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3862"/>
              <w:gridCol w:w="1429"/>
            </w:tblGrid>
            <w:tr w14:paraId="4BCD6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27" w:type="pct"/>
                  <w:noWrap w:val="0"/>
                  <w:vAlign w:val="center"/>
                </w:tcPr>
                <w:p w14:paraId="44959DBC">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bCs/>
                      <w:color w:val="auto"/>
                      <w:sz w:val="21"/>
                      <w:szCs w:val="21"/>
                      <w:vertAlign w:val="baseline"/>
                      <w:lang w:eastAsia="zh-CN"/>
                    </w:rPr>
                  </w:pPr>
                  <w:r>
                    <w:rPr>
                      <w:rFonts w:hint="default" w:ascii="Times New Roman" w:hAnsi="Times New Roman" w:eastAsia="宋体" w:cs="Times New Roman"/>
                      <w:bCs/>
                      <w:color w:val="auto"/>
                      <w:sz w:val="21"/>
                      <w:szCs w:val="21"/>
                      <w:vertAlign w:val="baseline"/>
                      <w:lang w:eastAsia="zh-CN"/>
                    </w:rPr>
                    <w:t>名称</w:t>
                  </w:r>
                </w:p>
              </w:tc>
              <w:tc>
                <w:tcPr>
                  <w:tcW w:w="617" w:type="pct"/>
                  <w:noWrap w:val="0"/>
                  <w:vAlign w:val="center"/>
                </w:tcPr>
                <w:p w14:paraId="1425E2C6">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bCs/>
                      <w:color w:val="auto"/>
                      <w:sz w:val="21"/>
                      <w:szCs w:val="21"/>
                      <w:vertAlign w:val="baseline"/>
                      <w:lang w:eastAsia="zh-CN"/>
                    </w:rPr>
                  </w:pPr>
                  <w:r>
                    <w:rPr>
                      <w:rFonts w:hint="default" w:ascii="Times New Roman" w:hAnsi="Times New Roman" w:eastAsia="宋体" w:cs="Times New Roman"/>
                      <w:bCs/>
                      <w:color w:val="auto"/>
                      <w:sz w:val="21"/>
                      <w:szCs w:val="21"/>
                      <w:vertAlign w:val="baseline"/>
                      <w:lang w:eastAsia="zh-CN"/>
                    </w:rPr>
                    <w:t>类型</w:t>
                  </w:r>
                </w:p>
              </w:tc>
              <w:tc>
                <w:tcPr>
                  <w:tcW w:w="2448" w:type="pct"/>
                  <w:noWrap w:val="0"/>
                  <w:vAlign w:val="center"/>
                </w:tcPr>
                <w:p w14:paraId="001CCC66">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bCs/>
                      <w:color w:val="auto"/>
                      <w:sz w:val="21"/>
                      <w:szCs w:val="21"/>
                      <w:vertAlign w:val="baseline"/>
                      <w:lang w:eastAsia="zh-CN"/>
                    </w:rPr>
                  </w:pPr>
                  <w:r>
                    <w:rPr>
                      <w:rFonts w:hint="default" w:ascii="Times New Roman" w:hAnsi="Times New Roman" w:eastAsia="宋体" w:cs="Times New Roman"/>
                      <w:bCs/>
                      <w:color w:val="auto"/>
                      <w:sz w:val="21"/>
                      <w:szCs w:val="21"/>
                      <w:vertAlign w:val="baseline"/>
                      <w:lang w:eastAsia="zh-CN"/>
                    </w:rPr>
                    <w:t>综合评价</w:t>
                  </w:r>
                </w:p>
              </w:tc>
              <w:tc>
                <w:tcPr>
                  <w:tcW w:w="906" w:type="pct"/>
                  <w:noWrap w:val="0"/>
                  <w:vAlign w:val="center"/>
                </w:tcPr>
                <w:p w14:paraId="3DB0CB2F">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bCs/>
                      <w:color w:val="auto"/>
                      <w:sz w:val="21"/>
                      <w:szCs w:val="21"/>
                      <w:vertAlign w:val="baseline"/>
                      <w:lang w:eastAsia="zh-CN"/>
                    </w:rPr>
                  </w:pPr>
                  <w:r>
                    <w:rPr>
                      <w:rFonts w:hint="default" w:ascii="Times New Roman" w:hAnsi="Times New Roman" w:eastAsia="宋体" w:cs="Times New Roman"/>
                      <w:bCs/>
                      <w:color w:val="auto"/>
                      <w:sz w:val="21"/>
                      <w:szCs w:val="21"/>
                      <w:vertAlign w:val="baseline"/>
                      <w:lang w:eastAsia="zh-CN"/>
                    </w:rPr>
                    <w:t>发展方向</w:t>
                  </w:r>
                </w:p>
              </w:tc>
            </w:tr>
            <w:tr w14:paraId="3F9E0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027" w:type="pct"/>
                  <w:noWrap w:val="0"/>
                  <w:vAlign w:val="center"/>
                </w:tcPr>
                <w:p w14:paraId="345E68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Cs/>
                      <w:color w:val="auto"/>
                      <w:sz w:val="21"/>
                      <w:szCs w:val="21"/>
                      <w:vertAlign w:val="baseline"/>
                    </w:rPr>
                  </w:pPr>
                  <w:r>
                    <w:rPr>
                      <w:rFonts w:hint="default" w:ascii="Times New Roman" w:hAnsi="Times New Roman" w:eastAsia="宋体" w:cs="Times New Roman"/>
                      <w:bCs/>
                      <w:color w:val="auto"/>
                      <w:sz w:val="21"/>
                      <w:szCs w:val="21"/>
                      <w:vertAlign w:val="baseline"/>
                      <w:lang w:val="en-US" w:eastAsia="zh-CN"/>
                    </w:rPr>
                    <w:t>阿尔金草原荒漠化</w:t>
                  </w:r>
                  <w:r>
                    <w:rPr>
                      <w:rFonts w:hint="eastAsia" w:cs="Times New Roman"/>
                      <w:bCs/>
                      <w:color w:val="auto"/>
                      <w:sz w:val="21"/>
                      <w:szCs w:val="21"/>
                      <w:vertAlign w:val="baseline"/>
                      <w:lang w:val="en-US" w:eastAsia="zh-CN"/>
                    </w:rPr>
                    <w:t>防治</w:t>
                  </w:r>
                  <w:r>
                    <w:rPr>
                      <w:rFonts w:hint="default" w:ascii="Times New Roman" w:hAnsi="Times New Roman" w:eastAsia="宋体" w:cs="Times New Roman"/>
                      <w:bCs/>
                      <w:color w:val="auto"/>
                      <w:sz w:val="21"/>
                      <w:szCs w:val="21"/>
                      <w:vertAlign w:val="baseline"/>
                      <w:lang w:val="en-US" w:eastAsia="zh-CN"/>
                    </w:rPr>
                    <w:t>生态</w:t>
                  </w:r>
                  <w:r>
                    <w:rPr>
                      <w:rFonts w:hint="eastAsia" w:cs="Times New Roman"/>
                      <w:bCs/>
                      <w:color w:val="auto"/>
                      <w:sz w:val="21"/>
                      <w:szCs w:val="21"/>
                      <w:vertAlign w:val="baseline"/>
                      <w:lang w:val="en-US" w:eastAsia="zh-CN"/>
                    </w:rPr>
                    <w:t>功能</w:t>
                  </w:r>
                  <w:r>
                    <w:rPr>
                      <w:rFonts w:hint="default" w:ascii="Times New Roman" w:hAnsi="Times New Roman" w:eastAsia="宋体" w:cs="Times New Roman"/>
                      <w:bCs/>
                      <w:color w:val="auto"/>
                      <w:sz w:val="21"/>
                      <w:szCs w:val="21"/>
                      <w:vertAlign w:val="baseline"/>
                      <w:lang w:val="en-US" w:eastAsia="zh-CN"/>
                    </w:rPr>
                    <w:t>区</w:t>
                  </w:r>
                </w:p>
              </w:tc>
              <w:tc>
                <w:tcPr>
                  <w:tcW w:w="617" w:type="pct"/>
                  <w:noWrap w:val="0"/>
                  <w:vAlign w:val="center"/>
                </w:tcPr>
                <w:p w14:paraId="77C2CA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Cs/>
                      <w:color w:val="auto"/>
                      <w:sz w:val="21"/>
                      <w:szCs w:val="21"/>
                      <w:vertAlign w:val="baseline"/>
                    </w:rPr>
                  </w:pPr>
                  <w:r>
                    <w:rPr>
                      <w:rFonts w:hint="default" w:ascii="Times New Roman" w:hAnsi="Times New Roman" w:eastAsia="宋体" w:cs="Times New Roman"/>
                      <w:bCs/>
                      <w:color w:val="auto"/>
                      <w:sz w:val="21"/>
                      <w:szCs w:val="21"/>
                      <w:vertAlign w:val="baseline"/>
                      <w:lang w:val="en-US" w:eastAsia="zh-CN"/>
                    </w:rPr>
                    <w:t>防风固沙</w:t>
                  </w:r>
                </w:p>
              </w:tc>
              <w:tc>
                <w:tcPr>
                  <w:tcW w:w="2448" w:type="pct"/>
                  <w:noWrap w:val="0"/>
                  <w:vAlign w:val="center"/>
                </w:tcPr>
                <w:p w14:paraId="25EB57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Cs/>
                      <w:color w:val="auto"/>
                      <w:sz w:val="21"/>
                      <w:szCs w:val="21"/>
                      <w:vertAlign w:val="baseline"/>
                    </w:rPr>
                  </w:pPr>
                  <w:r>
                    <w:rPr>
                      <w:rFonts w:hint="default" w:ascii="Times New Roman" w:hAnsi="Times New Roman" w:eastAsia="宋体" w:cs="Times New Roman"/>
                      <w:bCs/>
                      <w:color w:val="auto"/>
                      <w:sz w:val="21"/>
                      <w:szCs w:val="21"/>
                      <w:vertAlign w:val="baseline"/>
                      <w:lang w:val="en-US" w:eastAsia="zh-CN"/>
                    </w:rPr>
                    <w:t>气候极为干旱，地表植被稀少，保存着完整的高原自然生态系统，拥有许多极为珍贵的特有物种，土地沙漠化敏感程度极高。目前鼠害肆虐，土地荒漠化加剧，珍稀动植物的生存受到威胁。</w:t>
                  </w:r>
                </w:p>
              </w:tc>
              <w:tc>
                <w:tcPr>
                  <w:tcW w:w="906" w:type="pct"/>
                  <w:noWrap w:val="0"/>
                  <w:vAlign w:val="center"/>
                </w:tcPr>
                <w:p w14:paraId="77F6B0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Cs/>
                      <w:color w:val="auto"/>
                      <w:sz w:val="21"/>
                      <w:szCs w:val="21"/>
                      <w:vertAlign w:val="baseline"/>
                    </w:rPr>
                  </w:pPr>
                  <w:r>
                    <w:rPr>
                      <w:rFonts w:hint="default" w:ascii="Times New Roman" w:hAnsi="Times New Roman" w:eastAsia="宋体" w:cs="Times New Roman"/>
                      <w:bCs/>
                      <w:color w:val="auto"/>
                      <w:sz w:val="21"/>
                      <w:szCs w:val="21"/>
                      <w:vertAlign w:val="baseline"/>
                      <w:lang w:val="en-US" w:eastAsia="zh-CN"/>
                    </w:rPr>
                    <w:t>控制放牧和旅游区范围，防范盗猎，减少人类活动干扰。</w:t>
                  </w:r>
                </w:p>
              </w:tc>
            </w:tr>
          </w:tbl>
          <w:p w14:paraId="72C97AA5">
            <w:pPr>
              <w:keepNext w:val="0"/>
              <w:keepLines w:val="0"/>
              <w:pageBreakBefore w:val="0"/>
              <w:kinsoku/>
              <w:wordWrap/>
              <w:overflowPunct/>
              <w:topLinePunct w:val="0"/>
              <w:autoSpaceDE/>
              <w:autoSpaceDN/>
              <w:bidi w:val="0"/>
              <w:adjustRightInd w:val="0"/>
              <w:snapToGrid w:val="0"/>
              <w:spacing w:line="520" w:lineRule="exact"/>
              <w:ind w:left="0" w:right="0" w:firstLine="480" w:firstLineChars="200"/>
              <w:jc w:val="left"/>
              <w:textAlignment w:val="auto"/>
              <w:rPr>
                <w:rFonts w:hint="eastAsia" w:ascii="Times New Roman" w:hAnsi="Times New Roman" w:eastAsia="宋体" w:cs="宋体"/>
                <w:color w:val="auto"/>
                <w:kern w:val="0"/>
                <w:sz w:val="24"/>
                <w:szCs w:val="24"/>
                <w:lang w:val="en-US" w:eastAsia="zh-CN"/>
              </w:rPr>
            </w:pPr>
            <w:r>
              <w:rPr>
                <w:rFonts w:hint="eastAsia" w:ascii="Times New Roman" w:hAnsi="Times New Roman" w:eastAsia="宋体" w:cs="宋体"/>
                <w:color w:val="auto"/>
                <w:kern w:val="0"/>
                <w:sz w:val="24"/>
                <w:szCs w:val="24"/>
                <w:lang w:eastAsia="zh-CN"/>
              </w:rPr>
              <w:t>（</w:t>
            </w:r>
            <w:r>
              <w:rPr>
                <w:rFonts w:hint="eastAsia" w:ascii="Times New Roman" w:hAnsi="Times New Roman" w:eastAsia="宋体" w:cs="宋体"/>
                <w:color w:val="auto"/>
                <w:kern w:val="0"/>
                <w:sz w:val="24"/>
                <w:szCs w:val="24"/>
                <w:lang w:val="en-US" w:eastAsia="zh-CN"/>
              </w:rPr>
              <w:t>2）</w:t>
            </w:r>
            <w:r>
              <w:rPr>
                <w:rFonts w:hint="eastAsia" w:ascii="Times New Roman" w:hAnsi="Times New Roman" w:eastAsia="宋体" w:cs="宋体"/>
                <w:color w:val="auto"/>
                <w:kern w:val="0"/>
                <w:sz w:val="24"/>
                <w:szCs w:val="24"/>
              </w:rPr>
              <w:t>生态功能区划</w:t>
            </w:r>
          </w:p>
          <w:p w14:paraId="6C3E286C">
            <w:pPr>
              <w:keepNext w:val="0"/>
              <w:keepLines w:val="0"/>
              <w:pageBreakBefore w:val="0"/>
              <w:kinsoku/>
              <w:wordWrap/>
              <w:overflowPunct/>
              <w:topLinePunct w:val="0"/>
              <w:autoSpaceDE/>
              <w:autoSpaceDN/>
              <w:bidi w:val="0"/>
              <w:adjustRightInd w:val="0"/>
              <w:snapToGrid w:val="0"/>
              <w:spacing w:line="520" w:lineRule="exact"/>
              <w:ind w:left="0" w:right="0" w:firstLine="480" w:firstLineChars="200"/>
              <w:jc w:val="left"/>
              <w:textAlignment w:val="auto"/>
              <w:rPr>
                <w:rFonts w:hint="eastAsia" w:ascii="Times New Roman" w:hAnsi="Times New Roman" w:eastAsia="宋体" w:cs="宋体"/>
                <w:color w:val="auto"/>
                <w:kern w:val="0"/>
                <w:sz w:val="24"/>
                <w:szCs w:val="24"/>
              </w:rPr>
            </w:pPr>
            <w:r>
              <w:rPr>
                <w:rFonts w:hint="eastAsia" w:ascii="Times New Roman" w:hAnsi="Times New Roman" w:eastAsia="宋体" w:cs="宋体"/>
                <w:color w:val="auto"/>
                <w:kern w:val="0"/>
                <w:sz w:val="24"/>
                <w:szCs w:val="24"/>
              </w:rPr>
              <w:t>根据《新疆生态功能区划》，评价区属</w:t>
            </w:r>
            <w:r>
              <w:rPr>
                <w:rFonts w:hint="eastAsia" w:ascii="Times New Roman" w:hAnsi="Times New Roman" w:eastAsia="宋体" w:cs="宋体"/>
                <w:color w:val="auto"/>
                <w:kern w:val="0"/>
                <w:sz w:val="24"/>
                <w:szCs w:val="24"/>
                <w:lang w:val="en-US" w:eastAsia="zh-CN"/>
              </w:rPr>
              <w:t>“</w:t>
            </w:r>
            <w:r>
              <w:rPr>
                <w:rFonts w:hint="eastAsia" w:cs="宋体"/>
                <w:color w:val="auto"/>
                <w:kern w:val="0"/>
                <w:sz w:val="24"/>
                <w:szCs w:val="24"/>
                <w:lang w:val="en-US" w:eastAsia="zh-CN"/>
              </w:rPr>
              <w:t>76.阿尔金山荒漠草原及野骆驼保护生态功能区</w:t>
            </w:r>
            <w:r>
              <w:rPr>
                <w:rFonts w:hint="eastAsia" w:ascii="Times New Roman" w:hAnsi="Times New Roman" w:eastAsia="宋体" w:cs="宋体"/>
                <w:color w:val="auto"/>
                <w:kern w:val="0"/>
                <w:sz w:val="24"/>
                <w:szCs w:val="24"/>
                <w:lang w:val="en-US" w:eastAsia="zh-CN"/>
              </w:rPr>
              <w:t>”</w:t>
            </w:r>
            <w:r>
              <w:rPr>
                <w:rFonts w:hint="eastAsia" w:ascii="Times New Roman" w:hAnsi="Times New Roman" w:eastAsia="宋体" w:cs="宋体"/>
                <w:color w:val="auto"/>
                <w:kern w:val="0"/>
                <w:sz w:val="24"/>
                <w:szCs w:val="24"/>
              </w:rPr>
              <w:t>。项目区生态功能区划见表3-</w:t>
            </w:r>
            <w:r>
              <w:rPr>
                <w:rFonts w:hint="eastAsia" w:cs="宋体"/>
                <w:color w:val="auto"/>
                <w:kern w:val="0"/>
                <w:sz w:val="24"/>
                <w:szCs w:val="24"/>
                <w:lang w:val="en-US" w:eastAsia="zh-CN"/>
              </w:rPr>
              <w:t>2</w:t>
            </w:r>
            <w:r>
              <w:rPr>
                <w:rFonts w:hint="eastAsia" w:ascii="Times New Roman" w:hAnsi="Times New Roman" w:eastAsia="宋体" w:cs="宋体"/>
                <w:color w:val="auto"/>
                <w:kern w:val="0"/>
                <w:sz w:val="24"/>
                <w:szCs w:val="24"/>
              </w:rPr>
              <w:t>。</w:t>
            </w:r>
          </w:p>
          <w:p w14:paraId="6F09A671">
            <w:pPr>
              <w:keepNext w:val="0"/>
              <w:keepLines w:val="0"/>
              <w:pageBreakBefore w:val="0"/>
              <w:kinsoku/>
              <w:wordWrap/>
              <w:overflowPunct/>
              <w:topLinePunct w:val="0"/>
              <w:autoSpaceDE/>
              <w:autoSpaceDN/>
              <w:bidi w:val="0"/>
              <w:adjustRightInd w:val="0"/>
              <w:snapToGrid w:val="0"/>
              <w:spacing w:line="520" w:lineRule="exact"/>
              <w:ind w:left="0" w:right="0"/>
              <w:jc w:val="center"/>
              <w:textAlignment w:val="auto"/>
              <w:rPr>
                <w:rFonts w:hint="eastAsia"/>
                <w:b/>
                <w:bCs/>
                <w:color w:val="auto"/>
                <w:sz w:val="24"/>
                <w:szCs w:val="24"/>
              </w:rPr>
            </w:pPr>
            <w:r>
              <w:rPr>
                <w:rFonts w:hint="eastAsia"/>
                <w:b/>
                <w:bCs/>
                <w:color w:val="auto"/>
                <w:sz w:val="24"/>
                <w:szCs w:val="24"/>
              </w:rPr>
              <w:t>表3-</w:t>
            </w:r>
            <w:r>
              <w:rPr>
                <w:rFonts w:hint="eastAsia"/>
                <w:b/>
                <w:bCs/>
                <w:color w:val="auto"/>
                <w:sz w:val="24"/>
                <w:szCs w:val="24"/>
                <w:lang w:val="en-US" w:eastAsia="zh-CN"/>
              </w:rPr>
              <w:t>2</w:t>
            </w:r>
            <w:r>
              <w:rPr>
                <w:rFonts w:hint="eastAsia"/>
                <w:b/>
                <w:bCs/>
                <w:color w:val="auto"/>
                <w:sz w:val="24"/>
                <w:szCs w:val="24"/>
              </w:rPr>
              <w:t xml:space="preserve">    生态功能区划</w:t>
            </w:r>
          </w:p>
          <w:tbl>
            <w:tblPr>
              <w:tblStyle w:val="20"/>
              <w:tblW w:w="8013" w:type="dxa"/>
              <w:tblInd w:w="-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75"/>
              <w:gridCol w:w="1266"/>
              <w:gridCol w:w="5272"/>
            </w:tblGrid>
            <w:tr w14:paraId="25A1A6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1475" w:type="dxa"/>
                  <w:vMerge w:val="restart"/>
                  <w:noWrap/>
                  <w:vAlign w:val="center"/>
                </w:tcPr>
                <w:p w14:paraId="1DD4030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生态功能分区单元</w:t>
                  </w:r>
                </w:p>
              </w:tc>
              <w:tc>
                <w:tcPr>
                  <w:tcW w:w="1266" w:type="dxa"/>
                  <w:noWrap/>
                  <w:vAlign w:val="center"/>
                </w:tcPr>
                <w:p w14:paraId="5F6DAC6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生态区</w:t>
                  </w:r>
                </w:p>
              </w:tc>
              <w:tc>
                <w:tcPr>
                  <w:tcW w:w="5272" w:type="dxa"/>
                  <w:noWrap/>
                  <w:vAlign w:val="center"/>
                </w:tcPr>
                <w:p w14:paraId="64B7E8E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Ⅴ 帕米尔—昆仑山—阿尔金山荒漠干旱草原生态区</w:t>
                  </w:r>
                </w:p>
              </w:tc>
            </w:tr>
            <w:tr w14:paraId="1CD6FC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1475" w:type="dxa"/>
                  <w:vMerge w:val="continue"/>
                  <w:noWrap w:val="0"/>
                  <w:vAlign w:val="center"/>
                </w:tcPr>
                <w:p w14:paraId="5F2A7C6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auto"/>
                    <w:rPr>
                      <w:rFonts w:hint="default" w:ascii="Times New Roman" w:hAnsi="Times New Roman" w:eastAsia="宋体" w:cs="Times New Roman"/>
                      <w:color w:val="auto"/>
                      <w:kern w:val="0"/>
                      <w:sz w:val="21"/>
                      <w:szCs w:val="21"/>
                      <w:highlight w:val="none"/>
                    </w:rPr>
                  </w:pPr>
                </w:p>
              </w:tc>
              <w:tc>
                <w:tcPr>
                  <w:tcW w:w="1266" w:type="dxa"/>
                  <w:noWrap/>
                  <w:vAlign w:val="center"/>
                </w:tcPr>
                <w:p w14:paraId="3ED2609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生态亚区</w:t>
                  </w:r>
                </w:p>
              </w:tc>
              <w:tc>
                <w:tcPr>
                  <w:tcW w:w="5272" w:type="dxa"/>
                  <w:noWrap/>
                  <w:vAlign w:val="center"/>
                </w:tcPr>
                <w:p w14:paraId="1DB22E6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eastAsiaTheme="minorEastAsia"/>
                      <w:color w:val="auto"/>
                      <w:sz w:val="21"/>
                      <w:szCs w:val="21"/>
                      <w:highlight w:val="none"/>
                      <w:lang w:val="en-US" w:eastAsia="zh-CN"/>
                    </w:rPr>
                    <w:t>Ⅴ3阿尔金山荒漠草原生物多样性保护生态亚区</w:t>
                  </w:r>
                </w:p>
              </w:tc>
            </w:tr>
            <w:tr w14:paraId="0ADAFD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475" w:type="dxa"/>
                  <w:vMerge w:val="continue"/>
                  <w:noWrap w:val="0"/>
                  <w:vAlign w:val="center"/>
                </w:tcPr>
                <w:p w14:paraId="5218B29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auto"/>
                    <w:rPr>
                      <w:rFonts w:hint="default" w:ascii="Times New Roman" w:hAnsi="Times New Roman" w:eastAsia="宋体" w:cs="Times New Roman"/>
                      <w:color w:val="auto"/>
                      <w:kern w:val="0"/>
                      <w:sz w:val="21"/>
                      <w:szCs w:val="21"/>
                      <w:highlight w:val="none"/>
                    </w:rPr>
                  </w:pPr>
                </w:p>
              </w:tc>
              <w:tc>
                <w:tcPr>
                  <w:tcW w:w="1266" w:type="dxa"/>
                  <w:noWrap/>
                  <w:vAlign w:val="center"/>
                </w:tcPr>
                <w:p w14:paraId="1AD1A28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生态功能区</w:t>
                  </w:r>
                </w:p>
              </w:tc>
              <w:tc>
                <w:tcPr>
                  <w:tcW w:w="5272" w:type="dxa"/>
                  <w:noWrap/>
                  <w:vAlign w:val="center"/>
                </w:tcPr>
                <w:p w14:paraId="4F0017D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eastAsiaTheme="minorEastAsia"/>
                      <w:color w:val="auto"/>
                      <w:sz w:val="21"/>
                      <w:szCs w:val="21"/>
                      <w:highlight w:val="none"/>
                      <w:lang w:val="en-US" w:eastAsia="zh-CN"/>
                    </w:rPr>
                    <w:t>76．阿尔金山荒漠草原及野骆驼保护生态功能区</w:t>
                  </w:r>
                </w:p>
              </w:tc>
            </w:tr>
            <w:tr w14:paraId="442C41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2741" w:type="dxa"/>
                  <w:gridSpan w:val="2"/>
                  <w:noWrap/>
                  <w:vAlign w:val="center"/>
                </w:tcPr>
                <w:p w14:paraId="17DC2EA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主要生态服务功能</w:t>
                  </w:r>
                </w:p>
              </w:tc>
              <w:tc>
                <w:tcPr>
                  <w:tcW w:w="5272" w:type="dxa"/>
                  <w:noWrap/>
                  <w:vAlign w:val="center"/>
                </w:tcPr>
                <w:p w14:paraId="491438AE">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eastAsiaTheme="minorEastAsia"/>
                      <w:color w:val="auto"/>
                      <w:sz w:val="21"/>
                      <w:szCs w:val="21"/>
                      <w:highlight w:val="none"/>
                      <w:lang w:val="en-US" w:eastAsia="zh-CN"/>
                    </w:rPr>
                    <w:t>土壤保持、生物多样性维护</w:t>
                  </w:r>
                </w:p>
              </w:tc>
            </w:tr>
            <w:tr w14:paraId="4BEB4A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0" w:hRule="atLeast"/>
              </w:trPr>
              <w:tc>
                <w:tcPr>
                  <w:tcW w:w="2741" w:type="dxa"/>
                  <w:gridSpan w:val="2"/>
                  <w:noWrap/>
                  <w:vAlign w:val="center"/>
                </w:tcPr>
                <w:p w14:paraId="4EEA5F7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主要生态环境问题</w:t>
                  </w:r>
                </w:p>
              </w:tc>
              <w:tc>
                <w:tcPr>
                  <w:tcW w:w="5272" w:type="dxa"/>
                  <w:noWrap/>
                  <w:vAlign w:val="center"/>
                </w:tcPr>
                <w:p w14:paraId="4E0C0E8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eastAsiaTheme="minorEastAsia"/>
                      <w:color w:val="auto"/>
                      <w:sz w:val="21"/>
                      <w:szCs w:val="21"/>
                      <w:highlight w:val="none"/>
                      <w:lang w:val="en-US" w:eastAsia="zh-CN"/>
                    </w:rPr>
                    <w:t>草地退化、水土流失、洪水危害</w:t>
                  </w:r>
                </w:p>
              </w:tc>
            </w:tr>
            <w:tr w14:paraId="2AE30E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2" w:hRule="atLeast"/>
              </w:trPr>
              <w:tc>
                <w:tcPr>
                  <w:tcW w:w="2741" w:type="dxa"/>
                  <w:gridSpan w:val="2"/>
                  <w:noWrap/>
                  <w:vAlign w:val="center"/>
                </w:tcPr>
                <w:p w14:paraId="1C3D264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主要生态敏感因子、敏感程度</w:t>
                  </w:r>
                </w:p>
              </w:tc>
              <w:tc>
                <w:tcPr>
                  <w:tcW w:w="5272" w:type="dxa"/>
                  <w:noWrap/>
                  <w:vAlign w:val="center"/>
                </w:tcPr>
                <w:p w14:paraId="37A48B2E">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生物多样性及其生境高度敏感、土壤侵蚀高度敏感</w:t>
                  </w:r>
                </w:p>
              </w:tc>
            </w:tr>
            <w:tr w14:paraId="1A4AC3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2741" w:type="dxa"/>
                  <w:gridSpan w:val="2"/>
                  <w:noWrap/>
                  <w:vAlign w:val="center"/>
                </w:tcPr>
                <w:p w14:paraId="76F9906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主要保护目标</w:t>
                  </w:r>
                </w:p>
              </w:tc>
              <w:tc>
                <w:tcPr>
                  <w:tcW w:w="5272" w:type="dxa"/>
                  <w:noWrap/>
                  <w:vAlign w:val="center"/>
                </w:tcPr>
                <w:p w14:paraId="0750873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eastAsiaTheme="minorEastAsia"/>
                      <w:color w:val="auto"/>
                      <w:sz w:val="21"/>
                      <w:szCs w:val="21"/>
                      <w:highlight w:val="none"/>
                      <w:lang w:val="en-US" w:eastAsia="zh-CN"/>
                    </w:rPr>
                    <w:t>保护荒漠草原和野骆驼</w:t>
                  </w:r>
                </w:p>
              </w:tc>
            </w:tr>
            <w:tr w14:paraId="1B0EFA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7" w:hRule="atLeast"/>
              </w:trPr>
              <w:tc>
                <w:tcPr>
                  <w:tcW w:w="2741" w:type="dxa"/>
                  <w:gridSpan w:val="2"/>
                  <w:noWrap/>
                  <w:vAlign w:val="center"/>
                </w:tcPr>
                <w:p w14:paraId="3AA4777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主要保护措施</w:t>
                  </w:r>
                </w:p>
              </w:tc>
              <w:tc>
                <w:tcPr>
                  <w:tcW w:w="5272" w:type="dxa"/>
                  <w:noWrap/>
                  <w:vAlign w:val="center"/>
                </w:tcPr>
                <w:p w14:paraId="36C69F23">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eastAsiaTheme="minorEastAsia"/>
                      <w:color w:val="auto"/>
                      <w:sz w:val="21"/>
                      <w:szCs w:val="21"/>
                      <w:highlight w:val="none"/>
                      <w:lang w:val="en-US" w:eastAsia="zh-CN"/>
                    </w:rPr>
                    <w:t>保护区退牧、禁止偷猎、禁止乱采玉石矿、加强保护区管理</w:t>
                  </w:r>
                </w:p>
              </w:tc>
            </w:tr>
            <w:tr w14:paraId="497134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2741" w:type="dxa"/>
                  <w:gridSpan w:val="2"/>
                  <w:noWrap/>
                  <w:vAlign w:val="center"/>
                </w:tcPr>
                <w:p w14:paraId="24ED3B3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适宜发展方向</w:t>
                  </w:r>
                </w:p>
              </w:tc>
              <w:tc>
                <w:tcPr>
                  <w:tcW w:w="5272" w:type="dxa"/>
                  <w:noWrap/>
                  <w:vAlign w:val="center"/>
                </w:tcPr>
                <w:p w14:paraId="70A0CC3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eastAsiaTheme="minorEastAsia"/>
                      <w:color w:val="auto"/>
                      <w:sz w:val="21"/>
                      <w:szCs w:val="21"/>
                      <w:highlight w:val="none"/>
                      <w:lang w:val="en-US" w:eastAsia="zh-CN"/>
                    </w:rPr>
                    <w:t>保护野生动物栖息地，维持自然生态平衡</w:t>
                  </w:r>
                </w:p>
              </w:tc>
            </w:tr>
          </w:tbl>
          <w:p w14:paraId="2A0E0044">
            <w:pPr>
              <w:keepNext w:val="0"/>
              <w:keepLines w:val="0"/>
              <w:pageBreakBefore w:val="0"/>
              <w:widowControl w:val="0"/>
              <w:kinsoku/>
              <w:wordWrap/>
              <w:overflowPunct/>
              <w:topLinePunct w:val="0"/>
              <w:bidi w:val="0"/>
              <w:spacing w:line="520" w:lineRule="exact"/>
              <w:ind w:firstLine="480" w:firstLineChars="200"/>
              <w:jc w:val="both"/>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3）生态环境现状调查</w:t>
            </w:r>
          </w:p>
          <w:p w14:paraId="64ECDCB9">
            <w:pPr>
              <w:pStyle w:val="5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Times New Roman"/>
                <w:color w:val="auto"/>
                <w:highlight w:val="none"/>
                <w:lang w:eastAsia="zh-CN"/>
              </w:rPr>
            </w:pPr>
            <w:r>
              <w:rPr>
                <w:rFonts w:hint="default" w:ascii="Times New Roman" w:hAnsi="Times New Roman" w:eastAsia="宋体" w:cs="Times New Roman"/>
                <w:color w:val="auto"/>
                <w:highlight w:val="none"/>
                <w:lang w:eastAsia="zh-CN"/>
              </w:rPr>
              <w:t>经现场踏勘和资料分析，</w:t>
            </w:r>
            <w:r>
              <w:rPr>
                <w:rFonts w:hint="default" w:ascii="Times New Roman" w:hAnsi="Times New Roman" w:eastAsia="宋体" w:cs="Times New Roman"/>
                <w:color w:val="auto"/>
                <w:highlight w:val="none"/>
                <w:lang w:val="en-US" w:eastAsia="zh-CN"/>
              </w:rPr>
              <w:t>本工程周边</w:t>
            </w:r>
            <w:r>
              <w:rPr>
                <w:rFonts w:hint="eastAsia" w:ascii="Times New Roman" w:hAnsi="Times New Roman" w:cs="Times New Roman"/>
                <w:color w:val="auto"/>
                <w:highlight w:val="none"/>
                <w:lang w:val="en-US" w:eastAsia="zh-CN"/>
              </w:rPr>
              <w:t>无居民区</w:t>
            </w:r>
            <w:r>
              <w:rPr>
                <w:rFonts w:hint="eastAsia" w:ascii="宋体" w:hAnsi="宋体" w:eastAsia="宋体" w:cs="Times New Roman"/>
                <w:color w:val="auto"/>
                <w:highlight w:val="none"/>
                <w:lang w:val="en-US" w:eastAsia="zh-CN"/>
              </w:rPr>
              <w:t>，不</w:t>
            </w:r>
            <w:r>
              <w:rPr>
                <w:rFonts w:hint="eastAsia" w:cs="Times New Roman"/>
                <w:color w:val="auto"/>
                <w:highlight w:val="none"/>
                <w:lang w:val="en-US" w:eastAsia="zh-CN"/>
              </w:rPr>
              <w:t>涉及</w:t>
            </w:r>
            <w:r>
              <w:rPr>
                <w:rFonts w:hint="eastAsia" w:ascii="宋体" w:hAnsi="宋体" w:eastAsia="宋体" w:cs="Times New Roman"/>
                <w:color w:val="auto"/>
                <w:highlight w:val="none"/>
                <w:lang w:val="en-US" w:eastAsia="zh-CN"/>
              </w:rPr>
              <w:t>名胜古迹和自然保护区。</w:t>
            </w:r>
          </w:p>
          <w:p w14:paraId="3109F5D7">
            <w:pPr>
              <w:pStyle w:val="5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宋体" w:cs="Arial"/>
                <w:color w:val="auto"/>
                <w:sz w:val="24"/>
                <w:highlight w:val="none"/>
                <w:lang w:val="en-US" w:eastAsia="zh-CN"/>
              </w:rPr>
            </w:pPr>
            <w:r>
              <w:rPr>
                <w:rFonts w:hint="eastAsia" w:ascii="宋体" w:hAnsi="宋体" w:eastAsia="宋体" w:cs="宋体"/>
                <w:color w:val="auto"/>
                <w:sz w:val="24"/>
                <w:highlight w:val="none"/>
              </w:rPr>
              <w:t>①</w:t>
            </w:r>
            <w:r>
              <w:rPr>
                <w:rFonts w:hint="eastAsia"/>
                <w:color w:val="auto"/>
                <w:sz w:val="24"/>
                <w:highlight w:val="none"/>
              </w:rPr>
              <w:t>植被类型及</w:t>
            </w:r>
            <w:r>
              <w:rPr>
                <w:rFonts w:hint="eastAsia" w:ascii="Times New Roman" w:hAnsi="Times New Roman" w:eastAsia="宋体" w:cs="Arial"/>
                <w:color w:val="auto"/>
                <w:sz w:val="24"/>
                <w:highlight w:val="none"/>
                <w:lang w:val="en-US" w:eastAsia="zh-CN"/>
              </w:rPr>
              <w:t>主要植物群落及其特征</w:t>
            </w:r>
          </w:p>
          <w:p w14:paraId="30E9AC44">
            <w:pPr>
              <w:pStyle w:val="5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项目区位于</w:t>
            </w:r>
            <w:r>
              <w:rPr>
                <w:rFonts w:hint="eastAsia" w:ascii="宋体" w:hAnsi="宋体" w:eastAsia="宋体" w:cs="Times New Roman"/>
                <w:color w:val="auto"/>
                <w:sz w:val="24"/>
                <w:highlight w:val="none"/>
                <w:lang w:val="en-US" w:eastAsia="zh-CN"/>
              </w:rPr>
              <w:t>高寒荒漠草原保护生态功能区</w:t>
            </w:r>
            <w:r>
              <w:rPr>
                <w:rFonts w:hint="eastAsia" w:ascii="宋体" w:hAnsi="宋体" w:eastAsia="宋体" w:cs="Times New Roman"/>
                <w:color w:val="auto"/>
                <w:sz w:val="24"/>
                <w:highlight w:val="none"/>
              </w:rPr>
              <w:t>，植被盖度较低，</w:t>
            </w:r>
            <w:r>
              <w:rPr>
                <w:rFonts w:hint="eastAsia" w:cs="Times New Roman"/>
                <w:color w:val="auto"/>
                <w:sz w:val="24"/>
                <w:highlight w:val="none"/>
                <w:lang w:val="en-US" w:eastAsia="zh-CN"/>
              </w:rPr>
              <w:t>经现场调查，</w:t>
            </w:r>
            <w:r>
              <w:rPr>
                <w:rFonts w:hint="eastAsia" w:ascii="宋体" w:hAnsi="宋体" w:eastAsia="宋体" w:cs="Times New Roman"/>
                <w:color w:val="auto"/>
                <w:sz w:val="24"/>
                <w:highlight w:val="none"/>
              </w:rPr>
              <w:t>评价区常见的</w:t>
            </w:r>
            <w:r>
              <w:rPr>
                <w:rFonts w:hint="eastAsia" w:cs="Times New Roman"/>
                <w:color w:val="auto"/>
                <w:sz w:val="24"/>
                <w:highlight w:val="none"/>
                <w:lang w:eastAsia="zh-CN"/>
              </w:rPr>
              <w:t>植物</w:t>
            </w:r>
            <w:r>
              <w:rPr>
                <w:rFonts w:hint="eastAsia" w:ascii="宋体" w:hAnsi="宋体" w:eastAsia="宋体" w:cs="Times New Roman"/>
                <w:color w:val="auto"/>
                <w:sz w:val="24"/>
                <w:highlight w:val="none"/>
              </w:rPr>
              <w:t>名录见下表。</w:t>
            </w:r>
          </w:p>
          <w:p w14:paraId="182A0277">
            <w:pPr>
              <w:spacing w:line="520" w:lineRule="exact"/>
              <w:ind w:firstLine="0" w:firstLineChars="0"/>
              <w:jc w:val="center"/>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表3-3   评价区内主</w:t>
            </w:r>
            <w:r>
              <w:rPr>
                <w:rFonts w:hint="eastAsia" w:cs="Times New Roman"/>
                <w:b/>
                <w:color w:val="auto"/>
                <w:sz w:val="24"/>
                <w:szCs w:val="24"/>
                <w:highlight w:val="none"/>
                <w:lang w:val="en-US" w:eastAsia="zh-CN"/>
              </w:rPr>
              <w:t>要</w:t>
            </w:r>
            <w:r>
              <w:rPr>
                <w:rFonts w:hint="default" w:ascii="Times New Roman" w:hAnsi="Times New Roman" w:eastAsia="宋体" w:cs="Times New Roman"/>
                <w:b/>
                <w:color w:val="auto"/>
                <w:sz w:val="24"/>
                <w:szCs w:val="24"/>
                <w:highlight w:val="none"/>
                <w:lang w:val="en-US" w:eastAsia="zh-CN"/>
              </w:rPr>
              <w:t>植物名录</w:t>
            </w:r>
          </w:p>
          <w:tbl>
            <w:tblPr>
              <w:tblStyle w:val="20"/>
              <w:tblW w:w="5001"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5"/>
              <w:gridCol w:w="3475"/>
              <w:gridCol w:w="1163"/>
              <w:gridCol w:w="1352"/>
            </w:tblGrid>
            <w:tr w14:paraId="25163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1207" w:type="pct"/>
                  <w:noWrap w:val="0"/>
                  <w:vAlign w:val="center"/>
                </w:tcPr>
                <w:p w14:paraId="2D46517E">
                  <w:pPr>
                    <w:pStyle w:val="56"/>
                    <w:keepNext w:val="0"/>
                    <w:keepLines w:val="0"/>
                    <w:pageBreakBefore w:val="0"/>
                    <w:kinsoku/>
                    <w:overflowPunct/>
                    <w:bidi w:val="0"/>
                    <w:adjustRightInd/>
                    <w:snapToGrid/>
                    <w:spacing w:line="300" w:lineRule="exact"/>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rPr>
                    <w:t>中文名</w:t>
                  </w:r>
                </w:p>
              </w:tc>
              <w:tc>
                <w:tcPr>
                  <w:tcW w:w="2200" w:type="pct"/>
                  <w:noWrap w:val="0"/>
                  <w:vAlign w:val="center"/>
                </w:tcPr>
                <w:p w14:paraId="0F7B800D">
                  <w:pPr>
                    <w:pStyle w:val="56"/>
                    <w:keepNext w:val="0"/>
                    <w:keepLines w:val="0"/>
                    <w:pageBreakBefore w:val="0"/>
                    <w:kinsoku/>
                    <w:overflowPunct/>
                    <w:bidi w:val="0"/>
                    <w:adjustRightInd/>
                    <w:snapToGrid/>
                    <w:spacing w:line="300" w:lineRule="exact"/>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lang w:val="en-US" w:eastAsia="zh-CN"/>
                    </w:rPr>
                    <w:t>英文</w:t>
                  </w:r>
                  <w:r>
                    <w:rPr>
                      <w:rFonts w:hint="default" w:ascii="Times New Roman" w:hAnsi="Times New Roman" w:cs="Times New Roman"/>
                      <w:b/>
                      <w:bCs/>
                      <w:color w:val="auto"/>
                      <w:sz w:val="21"/>
                      <w:szCs w:val="21"/>
                      <w:highlight w:val="none"/>
                    </w:rPr>
                    <w:t>名</w:t>
                  </w:r>
                </w:p>
              </w:tc>
              <w:tc>
                <w:tcPr>
                  <w:tcW w:w="736" w:type="pct"/>
                  <w:noWrap w:val="0"/>
                  <w:vAlign w:val="center"/>
                </w:tcPr>
                <w:p w14:paraId="137045CB">
                  <w:pPr>
                    <w:pStyle w:val="56"/>
                    <w:keepNext w:val="0"/>
                    <w:keepLines w:val="0"/>
                    <w:pageBreakBefore w:val="0"/>
                    <w:kinsoku/>
                    <w:overflowPunct/>
                    <w:bidi w:val="0"/>
                    <w:adjustRightInd/>
                    <w:snapToGrid/>
                    <w:spacing w:line="300" w:lineRule="exact"/>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生活型</w:t>
                  </w:r>
                </w:p>
              </w:tc>
              <w:tc>
                <w:tcPr>
                  <w:tcW w:w="856" w:type="pct"/>
                  <w:noWrap w:val="0"/>
                  <w:vAlign w:val="center"/>
                </w:tcPr>
                <w:p w14:paraId="7F0AB7C5">
                  <w:pPr>
                    <w:pStyle w:val="56"/>
                    <w:keepNext w:val="0"/>
                    <w:keepLines w:val="0"/>
                    <w:pageBreakBefore w:val="0"/>
                    <w:kinsoku/>
                    <w:overflowPunct/>
                    <w:bidi w:val="0"/>
                    <w:adjustRightInd/>
                    <w:snapToGrid/>
                    <w:spacing w:line="300" w:lineRule="exact"/>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地方保护级别</w:t>
                  </w:r>
                </w:p>
              </w:tc>
            </w:tr>
            <w:tr w14:paraId="22FDC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1207" w:type="pct"/>
                  <w:noWrap w:val="0"/>
                  <w:vAlign w:val="center"/>
                </w:tcPr>
                <w:p w14:paraId="395E9236">
                  <w:pPr>
                    <w:pStyle w:val="56"/>
                    <w:keepNext w:val="0"/>
                    <w:keepLines w:val="0"/>
                    <w:pageBreakBefore w:val="0"/>
                    <w:kinsoku/>
                    <w:overflowPunct/>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乳苣</w:t>
                  </w:r>
                </w:p>
              </w:tc>
              <w:tc>
                <w:tcPr>
                  <w:tcW w:w="2200" w:type="pct"/>
                  <w:noWrap w:val="0"/>
                  <w:vAlign w:val="center"/>
                </w:tcPr>
                <w:p w14:paraId="45EF61B5">
                  <w:pPr>
                    <w:pStyle w:val="56"/>
                    <w:keepNext w:val="0"/>
                    <w:keepLines w:val="0"/>
                    <w:pageBreakBefore w:val="0"/>
                    <w:kinsoku/>
                    <w:overflowPunct/>
                    <w:bidi w:val="0"/>
                    <w:adjustRightInd/>
                    <w:snapToGrid/>
                    <w:spacing w:line="300" w:lineRule="exact"/>
                    <w:jc w:val="center"/>
                    <w:textAlignment w:val="auto"/>
                    <w:rPr>
                      <w:rFonts w:hint="default" w:ascii="Times New Roman" w:hAnsi="Times New Roman" w:cs="Times New Roman"/>
                      <w:i/>
                      <w:color w:val="auto"/>
                      <w:sz w:val="21"/>
                      <w:szCs w:val="21"/>
                      <w:highlight w:val="none"/>
                    </w:rPr>
                  </w:pPr>
                  <w:r>
                    <w:rPr>
                      <w:rFonts w:hint="default" w:ascii="Times New Roman" w:hAnsi="Times New Roman" w:cs="Times New Roman"/>
                      <w:i/>
                      <w:color w:val="auto"/>
                      <w:sz w:val="21"/>
                      <w:szCs w:val="21"/>
                      <w:highlight w:val="none"/>
                    </w:rPr>
                    <w:t>Lactuca tatarica(L.)C.A.Mey</w:t>
                  </w:r>
                </w:p>
              </w:tc>
              <w:tc>
                <w:tcPr>
                  <w:tcW w:w="736" w:type="pct"/>
                  <w:noWrap w:val="0"/>
                  <w:vAlign w:val="center"/>
                </w:tcPr>
                <w:p w14:paraId="60A2719A">
                  <w:pPr>
                    <w:keepNext w:val="0"/>
                    <w:keepLines w:val="0"/>
                    <w:pageBreakBefore w:val="0"/>
                    <w:kinsoku/>
                    <w:overflowPunct/>
                    <w:bidi w:val="0"/>
                    <w:adjustRightInd/>
                    <w:snapToGrid/>
                    <w:spacing w:line="30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草本</w:t>
                  </w:r>
                </w:p>
              </w:tc>
              <w:tc>
                <w:tcPr>
                  <w:tcW w:w="856" w:type="pct"/>
                  <w:noWrap w:val="0"/>
                  <w:vAlign w:val="center"/>
                </w:tcPr>
                <w:p w14:paraId="02FF11B2">
                  <w:pPr>
                    <w:keepNext w:val="0"/>
                    <w:keepLines w:val="0"/>
                    <w:pageBreakBefore w:val="0"/>
                    <w:kinsoku/>
                    <w:overflowPunct/>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r>
            <w:tr w14:paraId="60E70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trPr>
              <w:tc>
                <w:tcPr>
                  <w:tcW w:w="1207" w:type="pct"/>
                  <w:noWrap w:val="0"/>
                  <w:vAlign w:val="center"/>
                </w:tcPr>
                <w:p w14:paraId="06DE39D8">
                  <w:pPr>
                    <w:pStyle w:val="56"/>
                    <w:keepNext w:val="0"/>
                    <w:keepLines w:val="0"/>
                    <w:pageBreakBefore w:val="0"/>
                    <w:kinsoku/>
                    <w:overflowPunct/>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盐地碱蓬</w:t>
                  </w:r>
                </w:p>
              </w:tc>
              <w:tc>
                <w:tcPr>
                  <w:tcW w:w="2200" w:type="pct"/>
                  <w:noWrap w:val="0"/>
                  <w:vAlign w:val="center"/>
                </w:tcPr>
                <w:p w14:paraId="6DEB83DF">
                  <w:pPr>
                    <w:pStyle w:val="56"/>
                    <w:keepNext w:val="0"/>
                    <w:keepLines w:val="0"/>
                    <w:pageBreakBefore w:val="0"/>
                    <w:kinsoku/>
                    <w:overflowPunct/>
                    <w:bidi w:val="0"/>
                    <w:adjustRightInd/>
                    <w:snapToGrid/>
                    <w:spacing w:line="300" w:lineRule="exact"/>
                    <w:jc w:val="center"/>
                    <w:textAlignment w:val="auto"/>
                    <w:rPr>
                      <w:rFonts w:hint="default" w:ascii="Times New Roman" w:hAnsi="Times New Roman" w:cs="Times New Roman"/>
                      <w:i/>
                      <w:color w:val="auto"/>
                      <w:sz w:val="21"/>
                      <w:szCs w:val="21"/>
                      <w:highlight w:val="none"/>
                    </w:rPr>
                  </w:pPr>
                  <w:r>
                    <w:rPr>
                      <w:rFonts w:hint="default" w:ascii="Times New Roman" w:hAnsi="Times New Roman" w:cs="Times New Roman"/>
                      <w:i/>
                      <w:color w:val="auto"/>
                      <w:sz w:val="21"/>
                      <w:szCs w:val="21"/>
                      <w:highlight w:val="none"/>
                    </w:rPr>
                    <w:t>Suaeda salsa(L.)Pall</w:t>
                  </w:r>
                </w:p>
              </w:tc>
              <w:tc>
                <w:tcPr>
                  <w:tcW w:w="736" w:type="pct"/>
                  <w:noWrap w:val="0"/>
                  <w:vAlign w:val="center"/>
                </w:tcPr>
                <w:p w14:paraId="63E5D399">
                  <w:pPr>
                    <w:keepNext w:val="0"/>
                    <w:keepLines w:val="0"/>
                    <w:pageBreakBefore w:val="0"/>
                    <w:kinsoku/>
                    <w:overflowPunct/>
                    <w:bidi w:val="0"/>
                    <w:adjustRightInd/>
                    <w:snapToGrid/>
                    <w:spacing w:line="30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草本</w:t>
                  </w:r>
                </w:p>
              </w:tc>
              <w:tc>
                <w:tcPr>
                  <w:tcW w:w="856" w:type="pct"/>
                  <w:noWrap w:val="0"/>
                  <w:vAlign w:val="center"/>
                </w:tcPr>
                <w:p w14:paraId="5498A0FA">
                  <w:pPr>
                    <w:keepNext w:val="0"/>
                    <w:keepLines w:val="0"/>
                    <w:pageBreakBefore w:val="0"/>
                    <w:kinsoku/>
                    <w:overflowPunct/>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r>
            <w:tr w14:paraId="72AAB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1207" w:type="pct"/>
                  <w:noWrap w:val="0"/>
                  <w:vAlign w:val="center"/>
                </w:tcPr>
                <w:p w14:paraId="6263A4C3">
                  <w:pPr>
                    <w:pStyle w:val="56"/>
                    <w:keepNext w:val="0"/>
                    <w:keepLines w:val="0"/>
                    <w:pageBreakBefore w:val="0"/>
                    <w:kinsoku/>
                    <w:overflowPunct/>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蛛丝蓬</w:t>
                  </w:r>
                </w:p>
              </w:tc>
              <w:tc>
                <w:tcPr>
                  <w:tcW w:w="2200" w:type="pct"/>
                  <w:noWrap w:val="0"/>
                  <w:vAlign w:val="center"/>
                </w:tcPr>
                <w:p w14:paraId="41B3C0C6">
                  <w:pPr>
                    <w:pStyle w:val="56"/>
                    <w:keepNext w:val="0"/>
                    <w:keepLines w:val="0"/>
                    <w:pageBreakBefore w:val="0"/>
                    <w:kinsoku/>
                    <w:overflowPunct/>
                    <w:bidi w:val="0"/>
                    <w:adjustRightInd/>
                    <w:snapToGrid/>
                    <w:spacing w:line="300" w:lineRule="exact"/>
                    <w:jc w:val="center"/>
                    <w:textAlignment w:val="auto"/>
                    <w:rPr>
                      <w:rFonts w:hint="default" w:ascii="Times New Roman" w:hAnsi="Times New Roman" w:cs="Times New Roman"/>
                      <w:i/>
                      <w:color w:val="auto"/>
                      <w:sz w:val="21"/>
                      <w:szCs w:val="21"/>
                      <w:highlight w:val="none"/>
                    </w:rPr>
                  </w:pPr>
                  <w:r>
                    <w:rPr>
                      <w:rFonts w:hint="default" w:ascii="Times New Roman" w:hAnsi="Times New Roman" w:cs="Times New Roman"/>
                      <w:i/>
                      <w:color w:val="auto"/>
                      <w:sz w:val="21"/>
                      <w:szCs w:val="21"/>
                      <w:highlight w:val="none"/>
                    </w:rPr>
                    <w:t>Halogeton arachnoideus</w:t>
                  </w:r>
                  <w:r>
                    <w:rPr>
                      <w:rFonts w:hint="default" w:ascii="Times New Roman" w:hAnsi="Times New Roman" w:cs="Times New Roman"/>
                      <w:i/>
                      <w:color w:val="auto"/>
                      <w:sz w:val="21"/>
                      <w:szCs w:val="21"/>
                      <w:highlight w:val="none"/>
                      <w:lang w:val="en-US" w:eastAsia="zh-CN"/>
                    </w:rPr>
                    <w:t xml:space="preserve"> </w:t>
                  </w:r>
                  <w:r>
                    <w:rPr>
                      <w:rFonts w:hint="default" w:ascii="Times New Roman" w:hAnsi="Times New Roman" w:cs="Times New Roman"/>
                      <w:i/>
                      <w:color w:val="auto"/>
                      <w:sz w:val="21"/>
                      <w:szCs w:val="21"/>
                      <w:highlight w:val="none"/>
                    </w:rPr>
                    <w:t>Moq</w:t>
                  </w:r>
                </w:p>
              </w:tc>
              <w:tc>
                <w:tcPr>
                  <w:tcW w:w="736" w:type="pct"/>
                  <w:noWrap w:val="0"/>
                  <w:vAlign w:val="center"/>
                </w:tcPr>
                <w:p w14:paraId="3975D6BB">
                  <w:pPr>
                    <w:keepNext w:val="0"/>
                    <w:keepLines w:val="0"/>
                    <w:pageBreakBefore w:val="0"/>
                    <w:kinsoku/>
                    <w:overflowPunct/>
                    <w:bidi w:val="0"/>
                    <w:adjustRightInd/>
                    <w:snapToGrid/>
                    <w:spacing w:line="30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草本</w:t>
                  </w:r>
                </w:p>
              </w:tc>
              <w:tc>
                <w:tcPr>
                  <w:tcW w:w="856" w:type="pct"/>
                  <w:noWrap w:val="0"/>
                  <w:vAlign w:val="center"/>
                </w:tcPr>
                <w:p w14:paraId="6BD20547">
                  <w:pPr>
                    <w:keepNext w:val="0"/>
                    <w:keepLines w:val="0"/>
                    <w:pageBreakBefore w:val="0"/>
                    <w:kinsoku/>
                    <w:overflowPunct/>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r>
          </w:tbl>
          <w:p w14:paraId="5962AD16">
            <w:pPr>
              <w:pStyle w:val="55"/>
              <w:spacing w:line="520" w:lineRule="exact"/>
              <w:rPr>
                <w:color w:val="auto"/>
                <w:highlight w:val="none"/>
              </w:rPr>
            </w:pPr>
            <w:r>
              <w:rPr>
                <w:color w:val="auto"/>
                <w:highlight w:val="none"/>
              </w:rPr>
              <w:t>评价区的地质地貌、气候等自然因素处于相对稳定状态，地形、地貌等对植被的影响主要通过水分、盐分、矿质养分的分配差异体现出来</w:t>
            </w:r>
            <w:r>
              <w:rPr>
                <w:rFonts w:hint="eastAsia"/>
                <w:color w:val="auto"/>
                <w:highlight w:val="none"/>
              </w:rPr>
              <w:t>。本区域植被</w:t>
            </w:r>
            <w:r>
              <w:rPr>
                <w:rFonts w:hint="eastAsia" w:ascii="Times New Roman" w:hAnsi="Times New Roman"/>
                <w:color w:val="auto"/>
                <w:highlight w:val="none"/>
                <w:lang w:val="en-US" w:eastAsia="zh-CN"/>
              </w:rPr>
              <w:t>覆盖度较低</w:t>
            </w:r>
            <w:r>
              <w:rPr>
                <w:rFonts w:ascii="Times New Roman" w:hAnsi="Times New Roman"/>
                <w:color w:val="auto"/>
                <w:highlight w:val="none"/>
              </w:rPr>
              <w:t>，</w:t>
            </w:r>
            <w:r>
              <w:rPr>
                <w:rFonts w:hint="eastAsia" w:ascii="Times New Roman" w:hAnsi="Times New Roman"/>
                <w:color w:val="auto"/>
                <w:highlight w:val="none"/>
                <w:lang w:val="en-US" w:eastAsia="zh-CN"/>
              </w:rPr>
              <w:t>偶见零星</w:t>
            </w:r>
            <w:r>
              <w:rPr>
                <w:rFonts w:hint="default" w:ascii="Times New Roman" w:hAnsi="Times New Roman" w:eastAsia="宋体" w:cs="Times New Roman"/>
                <w:color w:val="auto"/>
                <w:highlight w:val="none"/>
                <w:lang w:val="en-US" w:eastAsia="zh-CN"/>
              </w:rPr>
              <w:t>盐地碱蓬</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蛛丝蓬</w:t>
            </w:r>
            <w:r>
              <w:rPr>
                <w:rFonts w:hint="eastAsia" w:ascii="Times New Roman" w:hAnsi="Times New Roman" w:eastAsia="宋体" w:cs="Times New Roman"/>
                <w:color w:val="auto"/>
                <w:highlight w:val="none"/>
                <w:lang w:val="en-US" w:eastAsia="zh-CN"/>
              </w:rPr>
              <w:t>等</w:t>
            </w:r>
            <w:r>
              <w:rPr>
                <w:rFonts w:ascii="Times New Roman" w:hAnsi="Times New Roman" w:eastAsia="宋体" w:cs="Times New Roman"/>
                <w:color w:val="auto"/>
                <w:highlight w:val="none"/>
              </w:rPr>
              <w:t>，植被生长稀</w:t>
            </w:r>
            <w:r>
              <w:rPr>
                <w:rFonts w:ascii="Times New Roman" w:hAnsi="Times New Roman"/>
                <w:color w:val="auto"/>
                <w:highlight w:val="none"/>
              </w:rPr>
              <w:t>疏，覆盖度</w:t>
            </w:r>
            <w:r>
              <w:rPr>
                <w:rFonts w:hint="eastAsia" w:ascii="Times New Roman" w:hAnsi="Times New Roman"/>
                <w:color w:val="auto"/>
                <w:highlight w:val="none"/>
                <w:lang w:val="en-US" w:eastAsia="zh-CN"/>
              </w:rPr>
              <w:t>约为2</w:t>
            </w:r>
            <w:r>
              <w:rPr>
                <w:rFonts w:ascii="Times New Roman" w:hAnsi="Times New Roman"/>
                <w:color w:val="auto"/>
                <w:highlight w:val="none"/>
              </w:rPr>
              <w:t>%。不涉及保护植物。勘探过程中应注意土方开挖、道路运输尽量避免破坏原有植</w:t>
            </w:r>
            <w:r>
              <w:rPr>
                <w:rFonts w:hint="eastAsia"/>
                <w:color w:val="auto"/>
                <w:highlight w:val="none"/>
              </w:rPr>
              <w:t>被。</w:t>
            </w:r>
          </w:p>
          <w:p w14:paraId="53296933">
            <w:pPr>
              <w:pStyle w:val="5"/>
              <w:widowControl/>
              <w:spacing w:before="0" w:after="0" w:line="520" w:lineRule="exact"/>
              <w:ind w:firstLine="480" w:firstLineChars="200"/>
              <w:outlineLvl w:val="2"/>
              <w:rPr>
                <w:b w:val="0"/>
                <w:color w:val="auto"/>
                <w:sz w:val="24"/>
                <w:szCs w:val="24"/>
                <w:highlight w:val="none"/>
              </w:rPr>
            </w:pPr>
            <w:r>
              <w:rPr>
                <w:rFonts w:hint="eastAsia" w:ascii="宋体" w:hAnsi="宋体" w:eastAsia="宋体" w:cs="宋体"/>
                <w:b w:val="0"/>
                <w:color w:val="auto"/>
                <w:sz w:val="24"/>
                <w:szCs w:val="24"/>
                <w:highlight w:val="none"/>
              </w:rPr>
              <w:t>②</w:t>
            </w:r>
            <w:r>
              <w:rPr>
                <w:b w:val="0"/>
                <w:color w:val="auto"/>
                <w:sz w:val="24"/>
                <w:szCs w:val="24"/>
                <w:highlight w:val="none"/>
              </w:rPr>
              <w:t>野生动物现状调查及评价</w:t>
            </w:r>
          </w:p>
          <w:p w14:paraId="0CB2970C">
            <w:pPr>
              <w:snapToGrid w:val="0"/>
              <w:spacing w:line="520" w:lineRule="exact"/>
              <w:ind w:firstLine="480" w:firstLineChars="200"/>
              <w:rPr>
                <w:rFonts w:hint="eastAsia" w:eastAsia="宋体"/>
                <w:b/>
                <w:color w:val="auto"/>
                <w:kern w:val="0"/>
                <w:szCs w:val="21"/>
                <w:lang w:eastAsia="zh-CN"/>
              </w:rPr>
            </w:pPr>
            <w:r>
              <w:rPr>
                <w:color w:val="auto"/>
                <w:sz w:val="24"/>
              </w:rPr>
              <w:t>按中国动物地理区划的分级标准，项目区属古北界、中亚亚界、</w:t>
            </w:r>
            <w:r>
              <w:rPr>
                <w:rFonts w:hint="eastAsia"/>
                <w:color w:val="auto"/>
                <w:sz w:val="24"/>
                <w:lang w:val="en-US" w:eastAsia="zh-CN"/>
              </w:rPr>
              <w:t>青藏</w:t>
            </w:r>
            <w:r>
              <w:rPr>
                <w:color w:val="auto"/>
                <w:sz w:val="24"/>
              </w:rPr>
              <w:t>区</w:t>
            </w:r>
            <w:r>
              <w:rPr>
                <w:rFonts w:hint="eastAsia"/>
                <w:color w:val="auto"/>
                <w:sz w:val="24"/>
              </w:rPr>
              <w:t>。</w:t>
            </w:r>
            <w:r>
              <w:rPr>
                <w:color w:val="auto"/>
                <w:sz w:val="24"/>
              </w:rPr>
              <w:t>该区域地</w:t>
            </w:r>
            <w:r>
              <w:rPr>
                <w:rFonts w:hint="eastAsia"/>
                <w:color w:val="auto"/>
                <w:sz w:val="24"/>
                <w:lang w:eastAsia="zh-CN"/>
              </w:rPr>
              <w:t>属</w:t>
            </w:r>
            <w:r>
              <w:rPr>
                <w:rFonts w:hint="eastAsia"/>
                <w:color w:val="auto"/>
                <w:sz w:val="24"/>
              </w:rPr>
              <w:t>高寒气候</w:t>
            </w:r>
            <w:r>
              <w:rPr>
                <w:color w:val="auto"/>
                <w:sz w:val="24"/>
              </w:rPr>
              <w:t>，野生动物的栖息生境极为简单，主要</w:t>
            </w:r>
            <w:r>
              <w:rPr>
                <w:rFonts w:hint="eastAsia"/>
                <w:color w:val="auto"/>
                <w:sz w:val="24"/>
                <w:lang w:val="en-US" w:eastAsia="zh-CN"/>
              </w:rPr>
              <w:t>为高寒荒漠草原</w:t>
            </w:r>
            <w:r>
              <w:rPr>
                <w:rFonts w:hint="eastAsia"/>
                <w:color w:val="auto"/>
                <w:sz w:val="24"/>
              </w:rPr>
              <w:t>。</w:t>
            </w:r>
            <w:r>
              <w:rPr>
                <w:color w:val="auto"/>
                <w:sz w:val="24"/>
              </w:rPr>
              <w:t>因</w:t>
            </w:r>
            <w:r>
              <w:rPr>
                <w:rFonts w:hint="eastAsia"/>
                <w:color w:val="auto"/>
                <w:sz w:val="24"/>
              </w:rPr>
              <w:t>高寒</w:t>
            </w:r>
            <w:r>
              <w:rPr>
                <w:color w:val="auto"/>
                <w:sz w:val="24"/>
              </w:rPr>
              <w:t>和食物短缺，加之植被</w:t>
            </w:r>
            <w:r>
              <w:rPr>
                <w:rFonts w:hint="eastAsia"/>
                <w:color w:val="auto"/>
                <w:sz w:val="24"/>
              </w:rPr>
              <w:t>稀少</w:t>
            </w:r>
            <w:r>
              <w:rPr>
                <w:color w:val="auto"/>
                <w:sz w:val="24"/>
              </w:rPr>
              <w:t>，无栖息及躲藏之地，野生动物分布数量较少，尤其是大型野生脊椎动物。该地区内的野生动物种类虽多，但是通过长期观察，项目区域内分布的野生脊椎动物种类较少</w:t>
            </w:r>
            <w:r>
              <w:rPr>
                <w:rFonts w:hint="eastAsia"/>
                <w:color w:val="auto"/>
                <w:sz w:val="24"/>
                <w:lang w:eastAsia="zh-CN"/>
              </w:rPr>
              <w:t>，</w:t>
            </w:r>
            <w:r>
              <w:rPr>
                <w:rFonts w:hint="eastAsia" w:ascii="Times New Roman" w:hAnsi="Times New Roman" w:eastAsia="宋体" w:cs="Arial"/>
                <w:color w:val="auto"/>
                <w:sz w:val="24"/>
                <w:lang w:eastAsia="zh-CN"/>
              </w:rPr>
              <w:t>未涉及</w:t>
            </w:r>
            <w:r>
              <w:rPr>
                <w:rFonts w:hint="eastAsia" w:cs="Arial"/>
                <w:color w:val="auto"/>
                <w:sz w:val="24"/>
                <w:lang w:val="en-US" w:eastAsia="zh-CN"/>
              </w:rPr>
              <w:t>野生保护</w:t>
            </w:r>
            <w:r>
              <w:rPr>
                <w:rFonts w:hint="eastAsia" w:ascii="Times New Roman" w:hAnsi="Times New Roman" w:eastAsia="宋体" w:cs="Arial"/>
                <w:color w:val="auto"/>
                <w:sz w:val="24"/>
                <w:lang w:eastAsia="zh-CN"/>
              </w:rPr>
              <w:t>动物的集中分布区和</w:t>
            </w:r>
            <w:r>
              <w:rPr>
                <w:rFonts w:hint="eastAsia" w:ascii="Times New Roman" w:hAnsi="Times New Roman" w:eastAsia="宋体" w:cs="Arial"/>
                <w:color w:val="auto"/>
                <w:sz w:val="24"/>
                <w:highlight w:val="none"/>
                <w:lang w:eastAsia="zh-CN"/>
              </w:rPr>
              <w:t>越冬栖息地</w:t>
            </w:r>
            <w:r>
              <w:rPr>
                <w:color w:val="auto"/>
                <w:sz w:val="24"/>
              </w:rPr>
              <w:t>。各种野生动物分布现状见</w:t>
            </w:r>
            <w:r>
              <w:rPr>
                <w:rFonts w:hint="eastAsia"/>
                <w:color w:val="auto"/>
                <w:sz w:val="24"/>
                <w:lang w:eastAsia="zh-CN"/>
              </w:rPr>
              <w:t>下</w:t>
            </w:r>
            <w:r>
              <w:rPr>
                <w:color w:val="auto"/>
                <w:sz w:val="24"/>
              </w:rPr>
              <w:t>表</w:t>
            </w:r>
            <w:r>
              <w:rPr>
                <w:rFonts w:hint="eastAsia"/>
                <w:color w:val="auto"/>
                <w:sz w:val="24"/>
                <w:lang w:eastAsia="zh-CN"/>
              </w:rPr>
              <w:t>。</w:t>
            </w:r>
          </w:p>
          <w:p w14:paraId="060A87C9">
            <w:pPr>
              <w:snapToGrid w:val="0"/>
              <w:spacing w:line="520" w:lineRule="exact"/>
              <w:jc w:val="center"/>
              <w:rPr>
                <w:rFonts w:hint="eastAsia" w:ascii="Times New Roman" w:hAnsi="Times New Roman" w:eastAsia="宋体" w:cs="Times New Roman"/>
                <w:b/>
                <w:bCs/>
                <w:color w:val="auto"/>
                <w:sz w:val="24"/>
              </w:rPr>
            </w:pPr>
            <w:r>
              <w:rPr>
                <w:rFonts w:hint="eastAsia" w:ascii="Times New Roman" w:hAnsi="Times New Roman" w:eastAsia="宋体" w:cs="Times New Roman"/>
                <w:b/>
                <w:bCs/>
                <w:color w:val="auto"/>
                <w:sz w:val="24"/>
              </w:rPr>
              <w:t>表</w:t>
            </w:r>
            <w:r>
              <w:rPr>
                <w:rFonts w:hint="eastAsia" w:ascii="Times New Roman" w:hAnsi="Times New Roman" w:eastAsia="宋体" w:cs="Times New Roman"/>
                <w:b/>
                <w:bCs/>
                <w:color w:val="auto"/>
                <w:sz w:val="24"/>
                <w:lang w:val="en-US" w:eastAsia="zh-CN"/>
              </w:rPr>
              <w:t>3-4</w:t>
            </w:r>
            <w:r>
              <w:rPr>
                <w:rFonts w:hint="eastAsia" w:ascii="Times New Roman" w:hAnsi="Times New Roman" w:eastAsia="宋体" w:cs="Times New Roman"/>
                <w:b/>
                <w:bCs/>
                <w:color w:val="auto"/>
                <w:sz w:val="24"/>
              </w:rPr>
              <w:t xml:space="preserve">  工程区主要野生动物名录</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857"/>
              <w:gridCol w:w="2033"/>
              <w:gridCol w:w="1510"/>
              <w:gridCol w:w="2629"/>
            </w:tblGrid>
            <w:tr w14:paraId="27E38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3" w:type="pct"/>
                  <w:tcBorders>
                    <w:bottom w:val="single" w:color="auto" w:sz="4" w:space="0"/>
                    <w:right w:val="single" w:color="auto" w:sz="4" w:space="0"/>
                  </w:tcBorders>
                  <w:noWrap w:val="0"/>
                  <w:vAlign w:val="center"/>
                </w:tcPr>
                <w:p w14:paraId="6D02355C">
                  <w:pPr>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纲</w:t>
                  </w:r>
                </w:p>
              </w:tc>
              <w:tc>
                <w:tcPr>
                  <w:tcW w:w="543" w:type="pct"/>
                  <w:tcBorders>
                    <w:left w:val="nil"/>
                    <w:bottom w:val="single" w:color="auto" w:sz="4" w:space="0"/>
                    <w:right w:val="single" w:color="auto" w:sz="4" w:space="0"/>
                  </w:tcBorders>
                  <w:noWrap w:val="0"/>
                  <w:vAlign w:val="center"/>
                </w:tcPr>
                <w:p w14:paraId="5B1EB7E9">
                  <w:pPr>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目名</w:t>
                  </w:r>
                </w:p>
              </w:tc>
              <w:tc>
                <w:tcPr>
                  <w:tcW w:w="1289" w:type="pct"/>
                  <w:tcBorders>
                    <w:left w:val="nil"/>
                    <w:bottom w:val="single" w:color="auto" w:sz="4" w:space="0"/>
                    <w:right w:val="single" w:color="auto" w:sz="4" w:space="0"/>
                  </w:tcBorders>
                  <w:noWrap w:val="0"/>
                  <w:vAlign w:val="center"/>
                </w:tcPr>
                <w:p w14:paraId="1BB0B5F9">
                  <w:pPr>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科名</w:t>
                  </w:r>
                </w:p>
              </w:tc>
              <w:tc>
                <w:tcPr>
                  <w:tcW w:w="957" w:type="pct"/>
                  <w:tcBorders>
                    <w:left w:val="nil"/>
                    <w:bottom w:val="single" w:color="auto" w:sz="4" w:space="0"/>
                    <w:right w:val="single" w:color="auto" w:sz="4" w:space="0"/>
                  </w:tcBorders>
                  <w:noWrap w:val="0"/>
                  <w:vAlign w:val="center"/>
                </w:tcPr>
                <w:p w14:paraId="3F6180D4">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中文名</w:t>
                  </w:r>
                </w:p>
              </w:tc>
              <w:tc>
                <w:tcPr>
                  <w:tcW w:w="1666" w:type="pct"/>
                  <w:tcBorders>
                    <w:left w:val="single" w:color="auto" w:sz="4" w:space="0"/>
                    <w:bottom w:val="single" w:color="auto" w:sz="4" w:space="0"/>
                  </w:tcBorders>
                  <w:noWrap w:val="0"/>
                  <w:vAlign w:val="center"/>
                </w:tcPr>
                <w:p w14:paraId="5541817E">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学名</w:t>
                  </w:r>
                </w:p>
              </w:tc>
            </w:tr>
            <w:tr w14:paraId="30349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3" w:type="pct"/>
                  <w:tcBorders>
                    <w:top w:val="single" w:color="auto" w:sz="4" w:space="0"/>
                    <w:bottom w:val="single" w:color="auto" w:sz="4" w:space="0"/>
                    <w:right w:val="single" w:color="auto" w:sz="4" w:space="0"/>
                  </w:tcBorders>
                  <w:noWrap w:val="0"/>
                  <w:vAlign w:val="center"/>
                </w:tcPr>
                <w:p w14:paraId="08B64557">
                  <w:pPr>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哺乳纲</w:t>
                  </w:r>
                </w:p>
              </w:tc>
              <w:tc>
                <w:tcPr>
                  <w:tcW w:w="543" w:type="pct"/>
                  <w:tcBorders>
                    <w:top w:val="single" w:color="auto" w:sz="4" w:space="0"/>
                    <w:left w:val="nil"/>
                    <w:bottom w:val="single" w:color="auto" w:sz="4" w:space="0"/>
                    <w:right w:val="single" w:color="auto" w:sz="4" w:space="0"/>
                  </w:tcBorders>
                  <w:noWrap w:val="0"/>
                  <w:vAlign w:val="center"/>
                </w:tcPr>
                <w:p w14:paraId="6D0FAFA2">
                  <w:pPr>
                    <w:spacing w:line="240" w:lineRule="auto"/>
                    <w:ind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啮齿目</w:t>
                  </w:r>
                </w:p>
              </w:tc>
              <w:tc>
                <w:tcPr>
                  <w:tcW w:w="1289" w:type="pct"/>
                  <w:tcBorders>
                    <w:top w:val="single" w:color="auto" w:sz="4" w:space="0"/>
                    <w:left w:val="nil"/>
                    <w:bottom w:val="single" w:color="auto" w:sz="4" w:space="0"/>
                    <w:right w:val="single" w:color="auto" w:sz="4" w:space="0"/>
                  </w:tcBorders>
                  <w:noWrap w:val="0"/>
                  <w:vAlign w:val="center"/>
                </w:tcPr>
                <w:p w14:paraId="7B714FFB">
                  <w:pPr>
                    <w:spacing w:line="240" w:lineRule="auto"/>
                    <w:ind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松鼠科</w:t>
                  </w:r>
                </w:p>
              </w:tc>
              <w:tc>
                <w:tcPr>
                  <w:tcW w:w="957" w:type="pct"/>
                  <w:tcBorders>
                    <w:top w:val="single" w:color="auto" w:sz="4" w:space="0"/>
                    <w:left w:val="nil"/>
                    <w:bottom w:val="single" w:color="auto" w:sz="4" w:space="0"/>
                    <w:right w:val="single" w:color="auto" w:sz="4" w:space="0"/>
                  </w:tcBorders>
                  <w:noWrap w:val="0"/>
                  <w:vAlign w:val="center"/>
                </w:tcPr>
                <w:p w14:paraId="28AFDE68">
                  <w:pPr>
                    <w:spacing w:line="240" w:lineRule="auto"/>
                    <w:ind w:firstLine="0" w:firstLineChars="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kern w:val="0"/>
                      <w:sz w:val="21"/>
                      <w:szCs w:val="21"/>
                      <w:lang w:eastAsia="zh-CN"/>
                    </w:rPr>
                    <w:t>旱獭</w:t>
                  </w:r>
                </w:p>
              </w:tc>
              <w:tc>
                <w:tcPr>
                  <w:tcW w:w="1666" w:type="pct"/>
                  <w:tcBorders>
                    <w:top w:val="single" w:color="auto" w:sz="4" w:space="0"/>
                    <w:left w:val="single" w:color="auto" w:sz="4" w:space="0"/>
                    <w:bottom w:val="single" w:color="auto" w:sz="4" w:space="0"/>
                  </w:tcBorders>
                  <w:noWrap w:val="0"/>
                  <w:vAlign w:val="center"/>
                </w:tcPr>
                <w:p w14:paraId="12CD7C37">
                  <w:pPr>
                    <w:spacing w:line="240" w:lineRule="auto"/>
                    <w:ind w:firstLine="0" w:firstLineChars="0"/>
                    <w:jc w:val="center"/>
                    <w:rPr>
                      <w:rFonts w:hint="default" w:ascii="Times New Roman" w:hAnsi="Times New Roman" w:eastAsia="宋体" w:cs="Times New Roman"/>
                      <w:i/>
                      <w:color w:val="auto"/>
                      <w:sz w:val="21"/>
                      <w:szCs w:val="21"/>
                    </w:rPr>
                  </w:pPr>
                  <w:r>
                    <w:rPr>
                      <w:rStyle w:val="24"/>
                      <w:rFonts w:hint="default" w:ascii="Times New Roman" w:hAnsi="Times New Roman" w:eastAsia="宋体" w:cs="Times New Roman"/>
                      <w:i/>
                      <w:iCs/>
                      <w:caps w:val="0"/>
                      <w:color w:val="auto"/>
                      <w:spacing w:val="0"/>
                      <w:sz w:val="21"/>
                      <w:szCs w:val="21"/>
                      <w:shd w:val="clear" w:color="auto" w:fill="FFFFFF"/>
                    </w:rPr>
                    <w:t>prairie dog</w:t>
                  </w:r>
                </w:p>
              </w:tc>
            </w:tr>
            <w:tr w14:paraId="5D0F6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3" w:type="pct"/>
                  <w:tcBorders>
                    <w:top w:val="single" w:color="auto" w:sz="4" w:space="0"/>
                    <w:bottom w:val="single" w:color="auto" w:sz="4" w:space="0"/>
                    <w:right w:val="single" w:color="auto" w:sz="4" w:space="0"/>
                  </w:tcBorders>
                  <w:noWrap w:val="0"/>
                  <w:vAlign w:val="center"/>
                </w:tcPr>
                <w:p w14:paraId="6F87AAB6">
                  <w:pPr>
                    <w:spacing w:line="240" w:lineRule="auto"/>
                    <w:ind w:firstLine="0" w:firstLineChars="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爬行纲</w:t>
                  </w:r>
                </w:p>
              </w:tc>
              <w:tc>
                <w:tcPr>
                  <w:tcW w:w="543" w:type="pct"/>
                  <w:tcBorders>
                    <w:top w:val="single" w:color="auto" w:sz="4" w:space="0"/>
                    <w:left w:val="nil"/>
                    <w:bottom w:val="single" w:color="auto" w:sz="4" w:space="0"/>
                    <w:right w:val="single" w:color="auto" w:sz="4" w:space="0"/>
                  </w:tcBorders>
                  <w:noWrap w:val="0"/>
                  <w:vAlign w:val="center"/>
                </w:tcPr>
                <w:p w14:paraId="00E7C889">
                  <w:pPr>
                    <w:spacing w:line="240" w:lineRule="auto"/>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蜥蜴目</w:t>
                  </w:r>
                </w:p>
              </w:tc>
              <w:tc>
                <w:tcPr>
                  <w:tcW w:w="1289" w:type="pct"/>
                  <w:tcBorders>
                    <w:top w:val="single" w:color="auto" w:sz="4" w:space="0"/>
                    <w:left w:val="nil"/>
                    <w:bottom w:val="single" w:color="auto" w:sz="4" w:space="0"/>
                    <w:right w:val="single" w:color="auto" w:sz="4" w:space="0"/>
                  </w:tcBorders>
                  <w:noWrap w:val="0"/>
                  <w:vAlign w:val="center"/>
                </w:tcPr>
                <w:p w14:paraId="67EA6812">
                  <w:pPr>
                    <w:pStyle w:val="56"/>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蜥蜴科</w:t>
                  </w:r>
                </w:p>
              </w:tc>
              <w:tc>
                <w:tcPr>
                  <w:tcW w:w="957" w:type="pct"/>
                  <w:tcBorders>
                    <w:top w:val="single" w:color="auto" w:sz="4" w:space="0"/>
                    <w:left w:val="nil"/>
                    <w:bottom w:val="single" w:color="auto" w:sz="4" w:space="0"/>
                    <w:right w:val="single" w:color="auto" w:sz="4" w:space="0"/>
                  </w:tcBorders>
                  <w:noWrap w:val="0"/>
                  <w:vAlign w:val="center"/>
                </w:tcPr>
                <w:p w14:paraId="4C61285C">
                  <w:pPr>
                    <w:pStyle w:val="56"/>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rPr>
                    <w:t>蜥蜴</w:t>
                  </w:r>
                </w:p>
              </w:tc>
              <w:tc>
                <w:tcPr>
                  <w:tcW w:w="1666" w:type="pct"/>
                  <w:tcBorders>
                    <w:top w:val="single" w:color="auto" w:sz="4" w:space="0"/>
                    <w:left w:val="single" w:color="auto" w:sz="4" w:space="0"/>
                    <w:bottom w:val="single" w:color="auto" w:sz="4" w:space="0"/>
                  </w:tcBorders>
                  <w:noWrap w:val="0"/>
                  <w:vAlign w:val="center"/>
                </w:tcPr>
                <w:p w14:paraId="457E4EFF">
                  <w:pPr>
                    <w:pStyle w:val="56"/>
                    <w:jc w:val="center"/>
                    <w:rPr>
                      <w:rFonts w:hint="default" w:ascii="Times New Roman" w:hAnsi="Times New Roman" w:eastAsia="宋体" w:cs="Times New Roman"/>
                      <w:i/>
                      <w:color w:val="auto"/>
                      <w:kern w:val="0"/>
                      <w:sz w:val="21"/>
                      <w:szCs w:val="21"/>
                      <w:lang w:val="en-US" w:eastAsia="en-US" w:bidi="ar-SA"/>
                    </w:rPr>
                  </w:pPr>
                  <w:r>
                    <w:rPr>
                      <w:rFonts w:hint="default" w:ascii="Times New Roman" w:hAnsi="Times New Roman" w:eastAsia="宋体" w:cs="Times New Roman"/>
                      <w:i/>
                      <w:color w:val="auto"/>
                      <w:sz w:val="21"/>
                      <w:szCs w:val="21"/>
                    </w:rPr>
                    <w:t>Lizard</w:t>
                  </w:r>
                </w:p>
              </w:tc>
            </w:tr>
          </w:tbl>
          <w:p w14:paraId="6A65E68E">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sz w:val="24"/>
                <w:highlight w:val="none"/>
              </w:rPr>
            </w:pPr>
            <w:r>
              <w:rPr>
                <w:rFonts w:hint="default" w:ascii="Times New Roman" w:hAnsi="Times New Roman" w:eastAsia="宋体" w:cs="Times New Roman"/>
                <w:color w:val="auto"/>
                <w:sz w:val="24"/>
              </w:rPr>
              <w:t>根据资料收集分</w:t>
            </w:r>
            <w:r>
              <w:rPr>
                <w:rFonts w:hint="default" w:ascii="Times New Roman" w:hAnsi="Times New Roman" w:eastAsia="宋体" w:cs="Times New Roman"/>
                <w:color w:val="auto"/>
                <w:sz w:val="24"/>
                <w:highlight w:val="none"/>
              </w:rPr>
              <w:t>析，并结合现场观察和访问，工程所处区</w:t>
            </w:r>
            <w:r>
              <w:rPr>
                <w:rFonts w:hint="eastAsia" w:ascii="Times New Roman" w:hAnsi="Times New Roman" w:eastAsia="宋体" w:cs="Times New Roman"/>
                <w:color w:val="auto"/>
                <w:sz w:val="24"/>
                <w:highlight w:val="none"/>
              </w:rPr>
              <w:t>域动物群系基本为荒漠常见群系，以小型哺乳类</w:t>
            </w:r>
            <w:r>
              <w:rPr>
                <w:rFonts w:hint="eastAsia" w:cs="Times New Roman"/>
                <w:color w:val="auto"/>
                <w:sz w:val="24"/>
                <w:highlight w:val="none"/>
                <w:lang w:eastAsia="zh-CN"/>
              </w:rPr>
              <w:t>、</w:t>
            </w:r>
            <w:r>
              <w:rPr>
                <w:rFonts w:hint="eastAsia" w:cs="Times New Roman"/>
                <w:color w:val="auto"/>
                <w:sz w:val="24"/>
                <w:highlight w:val="none"/>
                <w:lang w:val="en-US" w:eastAsia="zh-CN"/>
              </w:rPr>
              <w:t>爬行类</w:t>
            </w:r>
            <w:r>
              <w:rPr>
                <w:rFonts w:hint="eastAsia" w:ascii="Times New Roman" w:hAnsi="Times New Roman" w:eastAsia="宋体" w:cs="Times New Roman"/>
                <w:color w:val="auto"/>
                <w:sz w:val="24"/>
                <w:highlight w:val="none"/>
              </w:rPr>
              <w:t>和</w:t>
            </w:r>
            <w:r>
              <w:rPr>
                <w:rFonts w:hint="eastAsia" w:ascii="Times New Roman" w:hAnsi="Times New Roman" w:eastAsia="宋体" w:cs="Times New Roman"/>
                <w:color w:val="auto"/>
                <w:sz w:val="24"/>
                <w:highlight w:val="none"/>
                <w:lang w:eastAsia="zh-CN"/>
              </w:rPr>
              <w:t>鸟类</w:t>
            </w:r>
            <w:r>
              <w:rPr>
                <w:rFonts w:hint="eastAsia" w:ascii="Times New Roman" w:hAnsi="Times New Roman" w:eastAsia="宋体" w:cs="Times New Roman"/>
                <w:color w:val="auto"/>
                <w:sz w:val="24"/>
                <w:highlight w:val="none"/>
              </w:rPr>
              <w:t>为主，</w:t>
            </w:r>
            <w:r>
              <w:rPr>
                <w:rFonts w:hint="eastAsia" w:ascii="Times New Roman" w:hAnsi="Times New Roman" w:eastAsia="宋体" w:cs="Times New Roman"/>
                <w:color w:val="auto"/>
                <w:sz w:val="24"/>
                <w:highlight w:val="none"/>
                <w:lang w:eastAsia="zh-CN"/>
              </w:rPr>
              <w:t>项目勘探区未涉及</w:t>
            </w:r>
            <w:r>
              <w:rPr>
                <w:rFonts w:hint="eastAsia" w:cs="Times New Roman"/>
                <w:color w:val="auto"/>
                <w:sz w:val="24"/>
                <w:highlight w:val="none"/>
                <w:lang w:val="en-US" w:eastAsia="zh-CN"/>
              </w:rPr>
              <w:t>野生保护</w:t>
            </w:r>
            <w:r>
              <w:rPr>
                <w:rFonts w:hint="eastAsia" w:ascii="Times New Roman" w:hAnsi="Times New Roman" w:eastAsia="宋体" w:cs="Times New Roman"/>
                <w:color w:val="auto"/>
                <w:sz w:val="24"/>
                <w:highlight w:val="none"/>
                <w:lang w:eastAsia="zh-CN"/>
              </w:rPr>
              <w:t>动物的集中分布区和越冬栖息地</w:t>
            </w:r>
            <w:r>
              <w:rPr>
                <w:rFonts w:hint="eastAsia" w:ascii="Times New Roman" w:hAnsi="Times New Roman" w:eastAsia="宋体" w:cs="Times New Roman"/>
                <w:color w:val="auto"/>
                <w:sz w:val="24"/>
                <w:highlight w:val="none"/>
              </w:rPr>
              <w:t>。</w:t>
            </w:r>
          </w:p>
          <w:p w14:paraId="5E2038E7">
            <w:pPr>
              <w:pStyle w:val="5"/>
              <w:keepNext w:val="0"/>
              <w:keepLines w:val="0"/>
              <w:pageBreakBefore w:val="0"/>
              <w:widowControl/>
              <w:kinsoku/>
              <w:wordWrap/>
              <w:overflowPunct/>
              <w:topLinePunct w:val="0"/>
              <w:autoSpaceDE/>
              <w:autoSpaceDN/>
              <w:bidi w:val="0"/>
              <w:adjustRightInd/>
              <w:snapToGrid/>
              <w:spacing w:before="0" w:beforeLines="0" w:after="0" w:line="520" w:lineRule="exact"/>
              <w:ind w:firstLine="480" w:firstLineChars="200"/>
              <w:textAlignment w:val="auto"/>
              <w:outlineLvl w:val="2"/>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③土地利用现状</w:t>
            </w:r>
          </w:p>
          <w:p w14:paraId="792B5E70">
            <w:pPr>
              <w:pStyle w:val="11"/>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本项目位于且末县</w:t>
            </w:r>
            <w:r>
              <w:rPr>
                <w:rFonts w:hint="eastAsia" w:ascii="宋体" w:hAnsi="宋体" w:cs="Times New Roman"/>
                <w:color w:val="auto"/>
                <w:sz w:val="24"/>
                <w:highlight w:val="none"/>
                <w:lang w:eastAsia="zh-CN"/>
              </w:rPr>
              <w:t>，</w:t>
            </w:r>
            <w:r>
              <w:rPr>
                <w:rFonts w:hint="eastAsia" w:cs="Times New Roman"/>
                <w:color w:val="auto"/>
                <w:kern w:val="2"/>
                <w:sz w:val="24"/>
                <w:szCs w:val="24"/>
                <w:highlight w:val="none"/>
                <w:lang w:val="en-US" w:eastAsia="zh-CN" w:bidi="ar-SA"/>
              </w:rPr>
              <w:t>土地利用现状为裸岩石砾地，</w:t>
            </w:r>
            <w:r>
              <w:rPr>
                <w:rFonts w:hint="eastAsia" w:ascii="Times New Roman" w:hAnsi="Times New Roman" w:eastAsia="宋体" w:cs="Times New Roman"/>
                <w:color w:val="auto"/>
                <w:kern w:val="2"/>
                <w:sz w:val="24"/>
                <w:szCs w:val="24"/>
                <w:highlight w:val="none"/>
                <w:lang w:val="en-US" w:eastAsia="zh-CN" w:bidi="ar-SA"/>
              </w:rPr>
              <w:t>土地利用现状见图</w:t>
            </w:r>
            <w:r>
              <w:rPr>
                <w:rFonts w:hint="eastAsia" w:ascii="Times New Roman" w:hAnsi="Times New Roman" w:cs="Times New Roman"/>
                <w:color w:val="auto"/>
                <w:kern w:val="2"/>
                <w:sz w:val="24"/>
                <w:szCs w:val="24"/>
                <w:highlight w:val="none"/>
                <w:lang w:val="en-US" w:eastAsia="zh-CN" w:bidi="ar-SA"/>
              </w:rPr>
              <w:t>6</w:t>
            </w:r>
            <w:r>
              <w:rPr>
                <w:rFonts w:hint="eastAsia" w:ascii="Times New Roman" w:hAnsi="Times New Roman" w:eastAsia="宋体" w:cs="Times New Roman"/>
                <w:color w:val="auto"/>
                <w:kern w:val="2"/>
                <w:sz w:val="24"/>
                <w:szCs w:val="24"/>
                <w:highlight w:val="none"/>
                <w:lang w:val="en-US" w:eastAsia="zh-CN" w:bidi="ar-SA"/>
              </w:rPr>
              <w:t>。</w:t>
            </w:r>
          </w:p>
          <w:p w14:paraId="33DBE47C">
            <w:pPr>
              <w:pStyle w:val="11"/>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④土地沙化现状调查</w:t>
            </w:r>
          </w:p>
          <w:p w14:paraId="5A3F1F3F">
            <w:pPr>
              <w:pStyle w:val="11"/>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根据</w:t>
            </w:r>
            <w:r>
              <w:rPr>
                <w:rFonts w:hint="eastAsia"/>
                <w:color w:val="auto"/>
                <w:highlight w:val="none"/>
                <w:lang w:val="en-US" w:eastAsia="zh-CN"/>
              </w:rPr>
              <w:t>《新疆第六次沙化土地监测报告》</w:t>
            </w:r>
            <w:r>
              <w:rPr>
                <w:rFonts w:hint="default" w:ascii="Times New Roman" w:hAnsi="Times New Roman" w:cs="Times New Roman"/>
                <w:color w:val="auto"/>
                <w:highlight w:val="none"/>
                <w:lang w:val="en-US" w:eastAsia="zh-CN"/>
              </w:rPr>
              <w:t>及</w:t>
            </w:r>
            <w:r>
              <w:rPr>
                <w:rFonts w:hint="default" w:ascii="Times New Roman" w:hAnsi="Times New Roman" w:eastAsia="宋体" w:cs="Times New Roman"/>
                <w:color w:val="auto"/>
                <w:highlight w:val="none"/>
                <w:lang w:val="en-US" w:eastAsia="zh-CN"/>
              </w:rPr>
              <w:t>新疆第</w:t>
            </w:r>
            <w:r>
              <w:rPr>
                <w:rFonts w:hint="eastAsia" w:ascii="Times New Roman" w:hAnsi="Times New Roman" w:cs="Times New Roman"/>
                <w:color w:val="auto"/>
                <w:highlight w:val="none"/>
                <w:lang w:val="en-US" w:eastAsia="zh-CN"/>
              </w:rPr>
              <w:t>六</w:t>
            </w:r>
            <w:r>
              <w:rPr>
                <w:rFonts w:hint="default" w:ascii="Times New Roman" w:hAnsi="Times New Roman" w:eastAsia="宋体" w:cs="Times New Roman"/>
                <w:color w:val="auto"/>
                <w:highlight w:val="none"/>
                <w:lang w:val="en-US" w:eastAsia="zh-CN"/>
              </w:rPr>
              <w:t>次沙化监测沙化土地分布图，项目区周围没有沙漠、沙化荒漠存在，并且不在国家沙化土地封禁保护区名单中，属于非沙化土地。</w:t>
            </w:r>
          </w:p>
          <w:p w14:paraId="318E495D">
            <w:pPr>
              <w:pStyle w:val="45"/>
              <w:bidi w:val="0"/>
              <w:rPr>
                <w:rFonts w:hint="eastAsia"/>
                <w:color w:val="auto"/>
                <w:lang w:val="en-US" w:eastAsia="zh-CN"/>
              </w:rPr>
            </w:pPr>
            <w:r>
              <w:rPr>
                <w:rFonts w:hint="eastAsia"/>
                <w:color w:val="auto"/>
                <w:lang w:val="en-US" w:eastAsia="zh-CN"/>
              </w:rPr>
              <w:t>2大气环境质量现状</w:t>
            </w:r>
          </w:p>
          <w:p w14:paraId="2441D64F">
            <w:pPr>
              <w:pStyle w:val="46"/>
              <w:bidi w:val="0"/>
              <w:rPr>
                <w:rFonts w:hint="eastAsia"/>
                <w:color w:val="auto"/>
                <w:lang w:eastAsia="zh-CN"/>
              </w:rPr>
            </w:pPr>
            <w:r>
              <w:rPr>
                <w:rFonts w:hint="eastAsia"/>
                <w:color w:val="auto"/>
              </w:rPr>
              <w:t>（</w:t>
            </w:r>
            <w:r>
              <w:rPr>
                <w:color w:val="auto"/>
              </w:rPr>
              <w:t>1</w:t>
            </w:r>
            <w:r>
              <w:rPr>
                <w:rFonts w:hint="eastAsia"/>
                <w:color w:val="auto"/>
              </w:rPr>
              <w:t>）评价数据选用</w:t>
            </w:r>
          </w:p>
          <w:p w14:paraId="2F081C7E">
            <w:pPr>
              <w:keepNext w:val="0"/>
              <w:keepLines w:val="0"/>
              <w:pageBreakBefore w:val="0"/>
              <w:widowControl w:val="0"/>
              <w:kinsoku/>
              <w:wordWrap/>
              <w:overflowPunct/>
              <w:topLinePunct w:val="0"/>
              <w:autoSpaceDE/>
              <w:autoSpaceDN/>
              <w:bidi w:val="0"/>
              <w:adjustRightInd/>
              <w:snapToGrid/>
              <w:spacing w:line="520" w:lineRule="exact"/>
              <w:ind w:left="0" w:leftChars="0" w:right="0" w:firstLine="480" w:firstLineChars="200"/>
              <w:jc w:val="left"/>
              <w:textAlignment w:val="auto"/>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eastAsia="zh-CN"/>
              </w:rPr>
              <w:t>根据《建设项目环境影响报告表编制技术指南（生态影响类）（试行）》</w:t>
            </w:r>
            <w:r>
              <w:rPr>
                <w:rFonts w:hint="eastAsia" w:ascii="宋体" w:hAnsi="宋体" w:eastAsia="宋体" w:cs="宋体"/>
                <w:color w:val="auto"/>
                <w:kern w:val="0"/>
                <w:sz w:val="24"/>
                <w:szCs w:val="24"/>
                <w:highlight w:val="none"/>
                <w:lang w:val="en-US" w:eastAsia="zh-CN"/>
              </w:rPr>
              <w:t>“</w:t>
            </w:r>
            <w:r>
              <w:rPr>
                <w:rFonts w:hint="default" w:ascii="宋体" w:hAnsi="宋体" w:eastAsia="宋体" w:cs="宋体"/>
                <w:color w:val="auto"/>
                <w:kern w:val="0"/>
                <w:sz w:val="24"/>
                <w:szCs w:val="24"/>
                <w:highlight w:val="none"/>
                <w:lang w:val="en-US" w:eastAsia="zh-CN"/>
              </w:rPr>
              <w:t>不开展专项评价的环境要素，引用与项目距离近的有效数据和调查资料，包括符合时限要求的规划环境影响评价监测数据和调查资料，国家、地方环境质量监测网数据或生态环境主管部门公开发布的生态环境质量数据等</w:t>
            </w:r>
            <w:r>
              <w:rPr>
                <w:rFonts w:hint="eastAsia" w:ascii="宋体" w:hAnsi="宋体" w:eastAsia="宋体" w:cs="宋体"/>
                <w:color w:val="auto"/>
                <w:kern w:val="0"/>
                <w:sz w:val="24"/>
                <w:szCs w:val="24"/>
                <w:highlight w:val="none"/>
                <w:lang w:val="en-US" w:eastAsia="zh-CN"/>
              </w:rPr>
              <w:t>”</w:t>
            </w:r>
            <w:r>
              <w:rPr>
                <w:rFonts w:hint="default"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项</w:t>
            </w:r>
            <w:r>
              <w:rPr>
                <w:rFonts w:hint="eastAsia" w:ascii="宋体" w:hAnsi="宋体" w:eastAsia="宋体" w:cs="宋体"/>
                <w:color w:val="auto"/>
                <w:kern w:val="0"/>
                <w:sz w:val="24"/>
                <w:szCs w:val="24"/>
                <w:highlight w:val="none"/>
              </w:rPr>
              <w:t>目所在区域目前没有国家和地方生态环境部门公开发布的评价基准年环境质量公告</w:t>
            </w:r>
            <w:r>
              <w:rPr>
                <w:rFonts w:hint="eastAsia" w:ascii="宋体" w:hAnsi="宋体" w:eastAsia="宋体" w:cs="宋体"/>
                <w:color w:val="auto"/>
                <w:kern w:val="0"/>
                <w:sz w:val="24"/>
                <w:szCs w:val="24"/>
                <w:highlight w:val="none"/>
                <w:lang w:val="en-US" w:eastAsia="zh-CN"/>
              </w:rPr>
              <w:t>或环境质量报告中的数据，</w:t>
            </w:r>
            <w:r>
              <w:rPr>
                <w:rFonts w:hint="default" w:ascii="Times New Roman" w:hAnsi="Times New Roman" w:cs="Times New Roman"/>
                <w:bCs/>
                <w:color w:val="auto"/>
                <w:sz w:val="24"/>
                <w:szCs w:val="24"/>
                <w:highlight w:val="none"/>
              </w:rPr>
              <w:t>本次选用</w:t>
            </w:r>
            <w:r>
              <w:rPr>
                <w:rFonts w:hint="default" w:ascii="Times New Roman" w:hAnsi="Times New Roman" w:cs="Times New Roman"/>
                <w:bCs/>
                <w:color w:val="auto"/>
                <w:sz w:val="24"/>
                <w:szCs w:val="24"/>
                <w:highlight w:val="none"/>
                <w:lang w:eastAsia="zh-CN"/>
              </w:rPr>
              <w:t>且末县</w:t>
            </w:r>
            <w:r>
              <w:rPr>
                <w:rFonts w:hint="default" w:ascii="Times New Roman" w:hAnsi="Times New Roman" w:cs="Times New Roman"/>
                <w:bCs/>
                <w:color w:val="auto"/>
                <w:sz w:val="24"/>
                <w:szCs w:val="24"/>
                <w:highlight w:val="none"/>
                <w:lang w:val="en-US" w:eastAsia="zh-CN"/>
              </w:rPr>
              <w:t>空气自动</w:t>
            </w:r>
            <w:r>
              <w:rPr>
                <w:rFonts w:hint="default" w:ascii="Times New Roman" w:hAnsi="Times New Roman" w:cs="Times New Roman"/>
                <w:bCs/>
                <w:color w:val="auto"/>
                <w:sz w:val="24"/>
                <w:szCs w:val="24"/>
                <w:highlight w:val="none"/>
              </w:rPr>
              <w:t>监测站20</w:t>
            </w:r>
            <w:r>
              <w:rPr>
                <w:rFonts w:hint="default" w:ascii="Times New Roman" w:hAnsi="Times New Roman" w:cs="Times New Roman"/>
                <w:bCs/>
                <w:color w:val="auto"/>
                <w:sz w:val="24"/>
                <w:szCs w:val="24"/>
                <w:highlight w:val="none"/>
                <w:lang w:val="en-US" w:eastAsia="zh-CN"/>
              </w:rPr>
              <w:t>2</w:t>
            </w:r>
            <w:r>
              <w:rPr>
                <w:rFonts w:hint="eastAsia" w:cs="Times New Roman"/>
                <w:bCs/>
                <w:color w:val="auto"/>
                <w:sz w:val="24"/>
                <w:szCs w:val="24"/>
                <w:highlight w:val="none"/>
                <w:lang w:val="en-US" w:eastAsia="zh-CN"/>
              </w:rPr>
              <w:t>4</w:t>
            </w:r>
            <w:r>
              <w:rPr>
                <w:rFonts w:hint="default" w:ascii="Times New Roman" w:hAnsi="Times New Roman" w:cs="Times New Roman"/>
                <w:bCs/>
                <w:color w:val="auto"/>
                <w:sz w:val="24"/>
                <w:szCs w:val="24"/>
                <w:highlight w:val="none"/>
              </w:rPr>
              <w:t>年的监测数据。环境空气质量达标情况评价指标为SO</w:t>
            </w:r>
            <w:r>
              <w:rPr>
                <w:rFonts w:hint="default" w:ascii="Times New Roman" w:hAnsi="Times New Roman" w:cs="Times New Roman"/>
                <w:bCs/>
                <w:color w:val="auto"/>
                <w:sz w:val="24"/>
                <w:szCs w:val="24"/>
                <w:highlight w:val="none"/>
                <w:vertAlign w:val="subscript"/>
              </w:rPr>
              <w:t>2</w:t>
            </w:r>
            <w:r>
              <w:rPr>
                <w:rFonts w:hint="default" w:ascii="Times New Roman" w:hAnsi="Times New Roman" w:cs="Times New Roman"/>
                <w:bCs/>
                <w:color w:val="auto"/>
                <w:sz w:val="24"/>
                <w:szCs w:val="24"/>
                <w:highlight w:val="none"/>
              </w:rPr>
              <w:t>、NO</w:t>
            </w:r>
            <w:r>
              <w:rPr>
                <w:rFonts w:hint="default" w:ascii="Times New Roman" w:hAnsi="Times New Roman" w:cs="Times New Roman"/>
                <w:bCs/>
                <w:color w:val="auto"/>
                <w:sz w:val="24"/>
                <w:szCs w:val="24"/>
                <w:highlight w:val="none"/>
                <w:vertAlign w:val="subscript"/>
              </w:rPr>
              <w:t>2</w:t>
            </w:r>
            <w:r>
              <w:rPr>
                <w:rFonts w:hint="default" w:ascii="Times New Roman" w:hAnsi="Times New Roman" w:cs="Times New Roman"/>
                <w:bCs/>
                <w:color w:val="auto"/>
                <w:sz w:val="24"/>
                <w:szCs w:val="24"/>
                <w:highlight w:val="none"/>
              </w:rPr>
              <w:t>、PM</w:t>
            </w:r>
            <w:r>
              <w:rPr>
                <w:rFonts w:hint="default" w:ascii="Times New Roman" w:hAnsi="Times New Roman" w:cs="Times New Roman"/>
                <w:bCs/>
                <w:color w:val="auto"/>
                <w:sz w:val="24"/>
                <w:szCs w:val="24"/>
                <w:highlight w:val="none"/>
                <w:vertAlign w:val="subscript"/>
              </w:rPr>
              <w:t>10</w:t>
            </w:r>
            <w:r>
              <w:rPr>
                <w:rFonts w:hint="default" w:ascii="Times New Roman" w:hAnsi="Times New Roman" w:cs="Times New Roman"/>
                <w:bCs/>
                <w:color w:val="auto"/>
                <w:sz w:val="24"/>
                <w:szCs w:val="24"/>
                <w:highlight w:val="none"/>
              </w:rPr>
              <w:t>、PM</w:t>
            </w:r>
            <w:r>
              <w:rPr>
                <w:rFonts w:hint="default" w:ascii="Times New Roman" w:hAnsi="Times New Roman" w:cs="Times New Roman"/>
                <w:bCs/>
                <w:color w:val="auto"/>
                <w:sz w:val="24"/>
                <w:szCs w:val="24"/>
                <w:highlight w:val="none"/>
                <w:vertAlign w:val="subscript"/>
              </w:rPr>
              <w:t>2.5</w:t>
            </w:r>
            <w:r>
              <w:rPr>
                <w:rFonts w:hint="default" w:ascii="Times New Roman" w:hAnsi="Times New Roman" w:cs="Times New Roman"/>
                <w:bCs/>
                <w:color w:val="auto"/>
                <w:sz w:val="24"/>
                <w:szCs w:val="24"/>
                <w:highlight w:val="none"/>
              </w:rPr>
              <w:t>、CO和O</w:t>
            </w:r>
            <w:r>
              <w:rPr>
                <w:rFonts w:hint="default" w:ascii="Times New Roman" w:hAnsi="Times New Roman" w:cs="Times New Roman"/>
                <w:bCs/>
                <w:color w:val="auto"/>
                <w:sz w:val="24"/>
                <w:szCs w:val="24"/>
                <w:highlight w:val="none"/>
                <w:vertAlign w:val="subscript"/>
              </w:rPr>
              <w:t>3</w:t>
            </w:r>
            <w:r>
              <w:rPr>
                <w:rFonts w:hint="default" w:ascii="Times New Roman" w:hAnsi="Times New Roman" w:cs="Times New Roman"/>
                <w:bCs/>
                <w:color w:val="auto"/>
                <w:sz w:val="24"/>
                <w:szCs w:val="24"/>
                <w:highlight w:val="none"/>
              </w:rPr>
              <w:t>等6项基本污染物数据来源。</w:t>
            </w:r>
          </w:p>
          <w:p w14:paraId="7C5FD0F4">
            <w:pPr>
              <w:pStyle w:val="46"/>
              <w:bidi w:val="0"/>
              <w:rPr>
                <w:color w:val="auto"/>
              </w:rPr>
            </w:pPr>
            <w:r>
              <w:rPr>
                <w:rFonts w:hint="eastAsia"/>
                <w:color w:val="auto"/>
                <w:lang w:val="en-US" w:eastAsia="zh-CN"/>
              </w:rPr>
              <w:t>①</w:t>
            </w:r>
            <w:r>
              <w:rPr>
                <w:rFonts w:hint="eastAsia"/>
                <w:color w:val="auto"/>
              </w:rPr>
              <w:t>监测项目：二氧化硫（</w:t>
            </w:r>
            <w:r>
              <w:rPr>
                <w:color w:val="auto"/>
              </w:rPr>
              <w:t>SO</w:t>
            </w:r>
            <w:r>
              <w:rPr>
                <w:color w:val="auto"/>
                <w:vertAlign w:val="subscript"/>
              </w:rPr>
              <w:t>2</w:t>
            </w:r>
            <w:r>
              <w:rPr>
                <w:rFonts w:hint="eastAsia"/>
                <w:color w:val="auto"/>
              </w:rPr>
              <w:t>）、二氧化氮（</w:t>
            </w:r>
            <w:r>
              <w:rPr>
                <w:color w:val="auto"/>
              </w:rPr>
              <w:t>NO</w:t>
            </w:r>
            <w:r>
              <w:rPr>
                <w:color w:val="auto"/>
                <w:vertAlign w:val="subscript"/>
              </w:rPr>
              <w:t>2</w:t>
            </w:r>
            <w:r>
              <w:rPr>
                <w:rFonts w:hint="eastAsia"/>
                <w:color w:val="auto"/>
              </w:rPr>
              <w:t>）、可吸入颗粒物（</w:t>
            </w:r>
            <w:r>
              <w:rPr>
                <w:color w:val="auto"/>
              </w:rPr>
              <w:t>PM</w:t>
            </w:r>
            <w:r>
              <w:rPr>
                <w:color w:val="auto"/>
                <w:vertAlign w:val="subscript"/>
              </w:rPr>
              <w:t>10</w:t>
            </w:r>
            <w:r>
              <w:rPr>
                <w:rFonts w:hint="eastAsia"/>
                <w:color w:val="auto"/>
              </w:rPr>
              <w:t>）、一氧化碳（</w:t>
            </w:r>
            <w:r>
              <w:rPr>
                <w:color w:val="auto"/>
              </w:rPr>
              <w:t>CO</w:t>
            </w:r>
            <w:r>
              <w:rPr>
                <w:rFonts w:hint="eastAsia"/>
                <w:color w:val="auto"/>
              </w:rPr>
              <w:t>）、臭氧（</w:t>
            </w:r>
            <w:r>
              <w:rPr>
                <w:color w:val="auto"/>
              </w:rPr>
              <w:t>O</w:t>
            </w:r>
            <w:r>
              <w:rPr>
                <w:color w:val="auto"/>
                <w:vertAlign w:val="subscript"/>
              </w:rPr>
              <w:t>3</w:t>
            </w:r>
            <w:r>
              <w:rPr>
                <w:rFonts w:hint="eastAsia"/>
                <w:color w:val="auto"/>
              </w:rPr>
              <w:t>）、细颗粒物（</w:t>
            </w:r>
            <w:r>
              <w:rPr>
                <w:color w:val="auto"/>
              </w:rPr>
              <w:t>PM</w:t>
            </w:r>
            <w:r>
              <w:rPr>
                <w:color w:val="auto"/>
                <w:vertAlign w:val="subscript"/>
              </w:rPr>
              <w:t>2.5</w:t>
            </w:r>
            <w:r>
              <w:rPr>
                <w:rFonts w:hint="eastAsia"/>
                <w:color w:val="auto"/>
              </w:rPr>
              <w:t>）六项。</w:t>
            </w:r>
          </w:p>
          <w:p w14:paraId="362B9F9A">
            <w:pPr>
              <w:pStyle w:val="46"/>
              <w:bidi w:val="0"/>
              <w:rPr>
                <w:color w:val="auto"/>
              </w:rPr>
            </w:pPr>
            <w:r>
              <w:rPr>
                <w:rFonts w:hint="eastAsia"/>
                <w:color w:val="auto"/>
                <w:lang w:val="en-US" w:eastAsia="zh-CN"/>
              </w:rPr>
              <w:t>②</w:t>
            </w:r>
            <w:r>
              <w:rPr>
                <w:rFonts w:hint="eastAsia"/>
                <w:color w:val="auto"/>
              </w:rPr>
              <w:t>监测时间：</w:t>
            </w:r>
            <w:r>
              <w:rPr>
                <w:rFonts w:hint="eastAsia"/>
                <w:color w:val="auto"/>
                <w:lang w:val="en-US" w:eastAsia="zh-CN"/>
              </w:rPr>
              <w:t>2024年全年。</w:t>
            </w:r>
          </w:p>
          <w:p w14:paraId="6C82270F">
            <w:pPr>
              <w:pStyle w:val="46"/>
              <w:bidi w:val="0"/>
              <w:rPr>
                <w:color w:val="auto"/>
              </w:rPr>
            </w:pPr>
            <w:r>
              <w:rPr>
                <w:rFonts w:hint="eastAsia"/>
                <w:color w:val="auto"/>
              </w:rPr>
              <w:t>（</w:t>
            </w:r>
            <w:r>
              <w:rPr>
                <w:color w:val="auto"/>
              </w:rPr>
              <w:t>2</w:t>
            </w:r>
            <w:r>
              <w:rPr>
                <w:rFonts w:hint="eastAsia"/>
                <w:color w:val="auto"/>
              </w:rPr>
              <w:t>）评价标准</w:t>
            </w:r>
          </w:p>
          <w:p w14:paraId="4FC1ABC0">
            <w:pPr>
              <w:pStyle w:val="46"/>
              <w:bidi w:val="0"/>
              <w:rPr>
                <w:rFonts w:hint="eastAsia"/>
                <w:color w:val="auto"/>
              </w:rPr>
            </w:pPr>
            <w:r>
              <w:rPr>
                <w:rFonts w:hint="eastAsia"/>
                <w:color w:val="auto"/>
              </w:rPr>
              <w:t>项目区属于二类环境空气功能区，评价标准采用环境空气质量执行</w:t>
            </w:r>
            <w:r>
              <w:rPr>
                <w:rFonts w:hint="eastAsia"/>
                <w:color w:val="auto"/>
                <w:lang w:val="en-US" w:eastAsia="zh-CN"/>
              </w:rPr>
              <w:t>《环境空气质量标准》（GB3095-2026）的二级标准要求</w:t>
            </w:r>
            <w:r>
              <w:rPr>
                <w:rFonts w:hint="eastAsia"/>
                <w:color w:val="auto"/>
              </w:rPr>
              <w:t>。</w:t>
            </w:r>
          </w:p>
          <w:p w14:paraId="553B25F6">
            <w:pPr>
              <w:pStyle w:val="46"/>
              <w:bidi w:val="0"/>
              <w:rPr>
                <w:rFonts w:hint="default"/>
                <w:color w:val="auto"/>
                <w:lang w:val="en-US" w:eastAsia="zh-CN"/>
              </w:rPr>
            </w:pPr>
            <w:r>
              <w:rPr>
                <w:rFonts w:hint="default"/>
                <w:color w:val="auto"/>
                <w:lang w:val="en-US" w:eastAsia="zh-CN"/>
              </w:rPr>
              <w:t>（3）评价方法</w:t>
            </w:r>
          </w:p>
          <w:p w14:paraId="01ADE376">
            <w:pPr>
              <w:pStyle w:val="46"/>
              <w:bidi w:val="0"/>
              <w:rPr>
                <w:rFonts w:hint="default"/>
                <w:color w:val="auto"/>
              </w:rPr>
            </w:pPr>
            <w:r>
              <w:rPr>
                <w:rFonts w:hint="default"/>
                <w:color w:val="auto"/>
              </w:rPr>
              <w:t>选用占标率进行评价，公式为：</w:t>
            </w:r>
          </w:p>
          <w:p w14:paraId="72ED9E76">
            <w:pPr>
              <w:keepLines w:val="0"/>
              <w:pageBreakBefore w:val="0"/>
              <w:kinsoku/>
              <w:wordWrap/>
              <w:overflowPunct/>
              <w:topLinePunct w:val="0"/>
              <w:autoSpaceDE/>
              <w:autoSpaceDN/>
              <w:bidi w:val="0"/>
              <w:spacing w:line="480" w:lineRule="exact"/>
              <w:jc w:val="center"/>
              <w:rPr>
                <w:rFonts w:hint="default" w:ascii="Times New Roman" w:hAnsi="Times New Roman" w:eastAsia="宋体" w:cs="Times New Roman"/>
                <w:color w:val="auto"/>
                <w:sz w:val="24"/>
                <w:szCs w:val="24"/>
                <w:highlight w:val="none"/>
                <w:vertAlign w:val="subscript"/>
              </w:rPr>
            </w:pPr>
            <w:r>
              <w:rPr>
                <w:rFonts w:hint="default" w:ascii="Times New Roman" w:hAnsi="Times New Roman" w:eastAsia="宋体" w:cs="Times New Roman"/>
                <w:color w:val="auto"/>
                <w:sz w:val="24"/>
                <w:szCs w:val="24"/>
                <w:highlight w:val="none"/>
              </w:rPr>
              <w:t>P</w:t>
            </w:r>
            <w:r>
              <w:rPr>
                <w:rFonts w:hint="default" w:ascii="Times New Roman" w:hAnsi="Times New Roman" w:eastAsia="宋体" w:cs="Times New Roman"/>
                <w:color w:val="auto"/>
                <w:sz w:val="24"/>
                <w:szCs w:val="24"/>
                <w:highlight w:val="none"/>
                <w:vertAlign w:val="subscript"/>
              </w:rPr>
              <w:t>i</w:t>
            </w:r>
            <w:r>
              <w:rPr>
                <w:rFonts w:hint="eastAsia" w:cs="Times New Roman"/>
                <w:color w:val="auto"/>
                <w:sz w:val="24"/>
                <w:szCs w:val="24"/>
                <w:highlight w:val="none"/>
                <w:vertAlign w:val="subscript"/>
                <w:lang w:eastAsia="zh-CN"/>
              </w:rPr>
              <w:t>=</w:t>
            </w:r>
            <w:r>
              <w:rPr>
                <w:rFonts w:hint="default" w:ascii="Times New Roman" w:hAnsi="Times New Roman" w:eastAsia="宋体" w:cs="Times New Roman"/>
                <w:color w:val="auto"/>
                <w:sz w:val="24"/>
                <w:szCs w:val="24"/>
                <w:highlight w:val="none"/>
              </w:rPr>
              <w:t>C</w:t>
            </w:r>
            <w:r>
              <w:rPr>
                <w:rFonts w:hint="default" w:ascii="Times New Roman" w:hAnsi="Times New Roman" w:eastAsia="宋体" w:cs="Times New Roman"/>
                <w:color w:val="auto"/>
                <w:sz w:val="24"/>
                <w:szCs w:val="24"/>
                <w:highlight w:val="none"/>
                <w:vertAlign w:val="baseline"/>
              </w:rPr>
              <w:t>i</w:t>
            </w:r>
            <w:r>
              <w:rPr>
                <w:rFonts w:hint="default" w:ascii="Times New Roman" w:hAnsi="Times New Roman" w:eastAsia="宋体" w:cs="Times New Roman"/>
                <w:color w:val="auto"/>
                <w:sz w:val="24"/>
                <w:szCs w:val="24"/>
                <w:highlight w:val="none"/>
              </w:rPr>
              <w:t>/C</w:t>
            </w:r>
            <w:r>
              <w:rPr>
                <w:rFonts w:hint="default" w:ascii="Times New Roman" w:hAnsi="Times New Roman" w:eastAsia="宋体" w:cs="Times New Roman"/>
                <w:color w:val="auto"/>
                <w:sz w:val="24"/>
                <w:szCs w:val="24"/>
                <w:highlight w:val="none"/>
                <w:vertAlign w:val="baseline"/>
              </w:rPr>
              <w:t>oi</w:t>
            </w:r>
          </w:p>
          <w:p w14:paraId="0F0EF95B">
            <w:pPr>
              <w:pStyle w:val="46"/>
              <w:bidi w:val="0"/>
              <w:rPr>
                <w:rFonts w:hint="default"/>
                <w:color w:val="auto"/>
              </w:rPr>
            </w:pPr>
            <w:r>
              <w:rPr>
                <w:rFonts w:hint="default"/>
                <w:color w:val="auto"/>
              </w:rPr>
              <w:t>式中，Pi－第i个污染物的质量浓度占标率，%；</w:t>
            </w:r>
          </w:p>
          <w:p w14:paraId="4C21F23A">
            <w:pPr>
              <w:pStyle w:val="46"/>
              <w:bidi w:val="0"/>
              <w:rPr>
                <w:rFonts w:hint="default"/>
                <w:color w:val="auto"/>
              </w:rPr>
            </w:pPr>
            <w:r>
              <w:rPr>
                <w:rFonts w:hint="default"/>
                <w:color w:val="auto"/>
              </w:rPr>
              <w:t>Ci－污染物的浓度，mg/m</w:t>
            </w:r>
            <w:r>
              <w:rPr>
                <w:rFonts w:hint="default"/>
                <w:color w:val="auto"/>
                <w:vertAlign w:val="superscript"/>
              </w:rPr>
              <w:t>3</w:t>
            </w:r>
            <w:r>
              <w:rPr>
                <w:rFonts w:hint="default"/>
                <w:color w:val="auto"/>
              </w:rPr>
              <w:t>（标准状态）；</w:t>
            </w:r>
          </w:p>
          <w:p w14:paraId="31D2FAF9">
            <w:pPr>
              <w:pStyle w:val="46"/>
              <w:bidi w:val="0"/>
              <w:rPr>
                <w:rFonts w:hint="default"/>
                <w:color w:val="auto"/>
              </w:rPr>
            </w:pPr>
            <w:r>
              <w:rPr>
                <w:rFonts w:hint="default"/>
                <w:color w:val="auto"/>
              </w:rPr>
              <w:t>Coi－污染物的质量标准，mg/m</w:t>
            </w:r>
            <w:r>
              <w:rPr>
                <w:rFonts w:hint="default"/>
                <w:color w:val="auto"/>
                <w:vertAlign w:val="superscript"/>
              </w:rPr>
              <w:t>3</w:t>
            </w:r>
            <w:r>
              <w:rPr>
                <w:rFonts w:hint="default"/>
                <w:color w:val="auto"/>
              </w:rPr>
              <w:t>（标准状态）。</w:t>
            </w:r>
          </w:p>
          <w:p w14:paraId="46721A23">
            <w:pPr>
              <w:pStyle w:val="46"/>
              <w:bidi w:val="0"/>
              <w:rPr>
                <w:rFonts w:hint="default"/>
                <w:color w:val="auto"/>
                <w:lang w:val="en-US" w:eastAsia="zh-CN"/>
              </w:rPr>
            </w:pPr>
            <w:r>
              <w:rPr>
                <w:rFonts w:hint="default"/>
                <w:color w:val="auto"/>
                <w:lang w:val="en-US" w:eastAsia="zh-CN"/>
              </w:rPr>
              <w:t>（4）评价结果</w:t>
            </w:r>
          </w:p>
          <w:p w14:paraId="5DDFF988">
            <w:pPr>
              <w:pStyle w:val="46"/>
              <w:bidi w:val="0"/>
              <w:rPr>
                <w:rFonts w:hint="default"/>
                <w:color w:val="auto"/>
              </w:rPr>
            </w:pPr>
            <w:r>
              <w:rPr>
                <w:rFonts w:hint="default"/>
                <w:color w:val="auto"/>
              </w:rPr>
              <w:t>评价结果见下表。</w:t>
            </w:r>
          </w:p>
          <w:p w14:paraId="5AF28F5E">
            <w:pPr>
              <w:pStyle w:val="47"/>
              <w:bidi w:val="0"/>
              <w:rPr>
                <w:rFonts w:hint="default"/>
                <w:color w:val="auto"/>
                <w:sz w:val="24"/>
                <w:szCs w:val="24"/>
                <w:highlight w:val="none"/>
                <w:lang w:val="en-US" w:eastAsia="zh-CN"/>
              </w:rPr>
            </w:pPr>
            <w:r>
              <w:rPr>
                <w:rFonts w:hint="default"/>
                <w:color w:val="auto"/>
                <w:sz w:val="24"/>
                <w:szCs w:val="24"/>
                <w:lang w:val="en-US" w:eastAsia="zh-CN"/>
              </w:rPr>
              <w:t>表3-</w:t>
            </w:r>
            <w:r>
              <w:rPr>
                <w:rFonts w:hint="eastAsia"/>
                <w:color w:val="auto"/>
                <w:sz w:val="24"/>
                <w:szCs w:val="24"/>
                <w:lang w:val="en-US" w:eastAsia="zh-CN"/>
              </w:rPr>
              <w:t xml:space="preserve">5 </w:t>
            </w:r>
            <w:r>
              <w:rPr>
                <w:rFonts w:hint="default"/>
                <w:color w:val="auto"/>
                <w:sz w:val="24"/>
                <w:szCs w:val="24"/>
                <w:lang w:val="en-US" w:eastAsia="zh-CN"/>
              </w:rPr>
              <w:t xml:space="preserve">   </w:t>
            </w:r>
            <w:r>
              <w:rPr>
                <w:rFonts w:hint="eastAsia"/>
                <w:color w:val="auto"/>
                <w:sz w:val="24"/>
                <w:szCs w:val="24"/>
                <w:lang w:val="en-US" w:eastAsia="zh-CN"/>
              </w:rPr>
              <w:t>环境空气质量</w:t>
            </w:r>
            <w:r>
              <w:rPr>
                <w:rFonts w:hint="default"/>
                <w:color w:val="auto"/>
                <w:sz w:val="24"/>
                <w:szCs w:val="24"/>
                <w:highlight w:val="none"/>
                <w:lang w:val="en-US" w:eastAsia="zh-CN"/>
              </w:rPr>
              <w:t>结果分析表</w:t>
            </w:r>
          </w:p>
          <w:tbl>
            <w:tblPr>
              <w:tblStyle w:val="21"/>
              <w:tblW w:w="4996"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2318"/>
              <w:gridCol w:w="1079"/>
              <w:gridCol w:w="1457"/>
              <w:gridCol w:w="989"/>
              <w:gridCol w:w="898"/>
            </w:tblGrid>
            <w:tr w14:paraId="58A87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pct"/>
                  <w:tcBorders>
                    <w:tl2br w:val="nil"/>
                    <w:tr2bl w:val="nil"/>
                  </w:tcBorders>
                  <w:noWrap w:val="0"/>
                  <w:vAlign w:val="center"/>
                </w:tcPr>
                <w:p w14:paraId="7AB64034">
                  <w:pPr>
                    <w:pStyle w:val="6"/>
                    <w:bidi w:val="0"/>
                    <w:ind w:left="0" w:leftChars="0" w:right="0" w:rightChars="0" w:firstLine="0" w:firstLineChars="0"/>
                    <w:jc w:val="center"/>
                    <w:rPr>
                      <w:color w:val="auto"/>
                    </w:rPr>
                  </w:pPr>
                  <w:r>
                    <w:rPr>
                      <w:rFonts w:hint="eastAsia"/>
                      <w:color w:val="auto"/>
                    </w:rPr>
                    <w:t>污染物</w:t>
                  </w:r>
                </w:p>
              </w:tc>
              <w:tc>
                <w:tcPr>
                  <w:tcW w:w="1470" w:type="pct"/>
                  <w:tcBorders>
                    <w:tl2br w:val="nil"/>
                    <w:tr2bl w:val="nil"/>
                  </w:tcBorders>
                  <w:noWrap w:val="0"/>
                  <w:vAlign w:val="center"/>
                </w:tcPr>
                <w:p w14:paraId="6682AA86">
                  <w:pPr>
                    <w:pStyle w:val="6"/>
                    <w:bidi w:val="0"/>
                    <w:ind w:left="0" w:leftChars="0" w:right="0" w:rightChars="0" w:firstLine="0" w:firstLineChars="0"/>
                    <w:jc w:val="center"/>
                    <w:rPr>
                      <w:color w:val="auto"/>
                    </w:rPr>
                  </w:pPr>
                  <w:r>
                    <w:rPr>
                      <w:rFonts w:hint="eastAsia"/>
                      <w:color w:val="auto"/>
                    </w:rPr>
                    <w:t>评价项目</w:t>
                  </w:r>
                </w:p>
              </w:tc>
              <w:tc>
                <w:tcPr>
                  <w:tcW w:w="684" w:type="pct"/>
                  <w:tcBorders>
                    <w:tl2br w:val="nil"/>
                    <w:tr2bl w:val="nil"/>
                  </w:tcBorders>
                  <w:noWrap w:val="0"/>
                  <w:vAlign w:val="center"/>
                </w:tcPr>
                <w:p w14:paraId="428D0F65">
                  <w:pPr>
                    <w:pStyle w:val="6"/>
                    <w:bidi w:val="0"/>
                    <w:ind w:left="0" w:leftChars="0" w:right="0" w:rightChars="0" w:firstLine="0" w:firstLineChars="0"/>
                    <w:jc w:val="center"/>
                    <w:rPr>
                      <w:color w:val="auto"/>
                    </w:rPr>
                  </w:pPr>
                  <w:r>
                    <w:rPr>
                      <w:color w:val="auto"/>
                    </w:rPr>
                    <w:t>浓度（μ</w:t>
                  </w:r>
                  <w:r>
                    <w:rPr>
                      <w:rFonts w:hint="eastAsia"/>
                      <w:color w:val="auto"/>
                      <w:lang w:val="en-US" w:eastAsia="zh-CN"/>
                    </w:rPr>
                    <w:t>g</w:t>
                  </w:r>
                  <w:r>
                    <w:rPr>
                      <w:color w:val="auto"/>
                    </w:rPr>
                    <w:t>/m</w:t>
                  </w:r>
                  <w:r>
                    <w:rPr>
                      <w:color w:val="auto"/>
                      <w:vertAlign w:val="superscript"/>
                    </w:rPr>
                    <w:t>3</w:t>
                  </w:r>
                  <w:r>
                    <w:rPr>
                      <w:color w:val="auto"/>
                    </w:rPr>
                    <w:t>）</w:t>
                  </w:r>
                </w:p>
              </w:tc>
              <w:tc>
                <w:tcPr>
                  <w:tcW w:w="923" w:type="pct"/>
                  <w:tcBorders>
                    <w:tl2br w:val="nil"/>
                    <w:tr2bl w:val="nil"/>
                  </w:tcBorders>
                  <w:noWrap w:val="0"/>
                  <w:vAlign w:val="center"/>
                </w:tcPr>
                <w:p w14:paraId="0473905D">
                  <w:pPr>
                    <w:pStyle w:val="6"/>
                    <w:bidi w:val="0"/>
                    <w:ind w:left="0" w:leftChars="0" w:right="0" w:rightChars="0" w:firstLine="0" w:firstLineChars="0"/>
                    <w:jc w:val="center"/>
                    <w:rPr>
                      <w:color w:val="auto"/>
                    </w:rPr>
                  </w:pPr>
                  <w:r>
                    <w:rPr>
                      <w:rFonts w:hint="eastAsia"/>
                      <w:color w:val="auto"/>
                    </w:rPr>
                    <w:t>标准（二级）</w:t>
                  </w:r>
                  <w:r>
                    <w:rPr>
                      <w:color w:val="auto"/>
                    </w:rPr>
                    <w:t>（μ</w:t>
                  </w:r>
                  <w:r>
                    <w:rPr>
                      <w:rFonts w:hint="eastAsia"/>
                      <w:color w:val="auto"/>
                      <w:lang w:val="en-US" w:eastAsia="zh-CN"/>
                    </w:rPr>
                    <w:t>g</w:t>
                  </w:r>
                  <w:r>
                    <w:rPr>
                      <w:color w:val="auto"/>
                    </w:rPr>
                    <w:t>/m</w:t>
                  </w:r>
                  <w:r>
                    <w:rPr>
                      <w:color w:val="auto"/>
                      <w:vertAlign w:val="superscript"/>
                    </w:rPr>
                    <w:t>3</w:t>
                  </w:r>
                  <w:r>
                    <w:rPr>
                      <w:color w:val="auto"/>
                    </w:rPr>
                    <w:t>）</w:t>
                  </w:r>
                </w:p>
              </w:tc>
              <w:tc>
                <w:tcPr>
                  <w:tcW w:w="627" w:type="pct"/>
                  <w:tcBorders>
                    <w:tl2br w:val="nil"/>
                    <w:tr2bl w:val="nil"/>
                  </w:tcBorders>
                  <w:noWrap w:val="0"/>
                  <w:vAlign w:val="center"/>
                </w:tcPr>
                <w:p w14:paraId="76A56B09">
                  <w:pPr>
                    <w:pStyle w:val="6"/>
                    <w:bidi w:val="0"/>
                    <w:ind w:left="0" w:leftChars="0" w:right="0" w:rightChars="0" w:firstLine="0" w:firstLineChars="0"/>
                    <w:jc w:val="center"/>
                    <w:rPr>
                      <w:rFonts w:hint="default"/>
                      <w:color w:val="auto"/>
                      <w:lang w:val="en-US" w:eastAsia="zh-CN"/>
                    </w:rPr>
                  </w:pPr>
                  <w:r>
                    <w:rPr>
                      <w:rFonts w:hint="eastAsia"/>
                      <w:color w:val="auto"/>
                      <w:lang w:eastAsia="zh-CN"/>
                    </w:rPr>
                    <w:t>占标率</w:t>
                  </w:r>
                  <w:r>
                    <w:rPr>
                      <w:rFonts w:hint="eastAsia"/>
                      <w:color w:val="auto"/>
                      <w:lang w:val="en-US" w:eastAsia="zh-CN"/>
                    </w:rPr>
                    <w:t>%</w:t>
                  </w:r>
                </w:p>
              </w:tc>
              <w:tc>
                <w:tcPr>
                  <w:tcW w:w="569" w:type="pct"/>
                  <w:tcBorders>
                    <w:tl2br w:val="nil"/>
                    <w:tr2bl w:val="nil"/>
                  </w:tcBorders>
                  <w:noWrap w:val="0"/>
                  <w:vAlign w:val="center"/>
                </w:tcPr>
                <w:p w14:paraId="6F138E00">
                  <w:pPr>
                    <w:pStyle w:val="6"/>
                    <w:bidi w:val="0"/>
                    <w:ind w:left="0" w:leftChars="0" w:right="0" w:rightChars="0" w:firstLine="0" w:firstLineChars="0"/>
                    <w:jc w:val="center"/>
                    <w:rPr>
                      <w:rFonts w:hint="eastAsia"/>
                      <w:color w:val="auto"/>
                      <w:lang w:eastAsia="zh-CN"/>
                    </w:rPr>
                  </w:pPr>
                  <w:r>
                    <w:rPr>
                      <w:rFonts w:hint="eastAsia"/>
                      <w:color w:val="auto"/>
                      <w:lang w:eastAsia="zh-CN"/>
                    </w:rPr>
                    <w:t>达标情况</w:t>
                  </w:r>
                </w:p>
              </w:tc>
            </w:tr>
            <w:tr w14:paraId="2BC3E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pct"/>
                  <w:vMerge w:val="restart"/>
                  <w:tcBorders>
                    <w:tl2br w:val="nil"/>
                    <w:tr2bl w:val="nil"/>
                  </w:tcBorders>
                  <w:noWrap w:val="0"/>
                  <w:vAlign w:val="center"/>
                </w:tcPr>
                <w:p w14:paraId="2C79988C">
                  <w:pPr>
                    <w:pStyle w:val="6"/>
                    <w:bidi w:val="0"/>
                    <w:ind w:left="0" w:leftChars="0" w:right="0" w:rightChars="0" w:firstLine="0" w:firstLineChars="0"/>
                    <w:jc w:val="center"/>
                    <w:rPr>
                      <w:color w:val="auto"/>
                    </w:rPr>
                  </w:pPr>
                  <w:r>
                    <w:rPr>
                      <w:rFonts w:hint="eastAsia"/>
                      <w:color w:val="auto"/>
                    </w:rPr>
                    <w:t>SO</w:t>
                  </w:r>
                  <w:r>
                    <w:rPr>
                      <w:rFonts w:hint="eastAsia"/>
                      <w:color w:val="auto"/>
                      <w:vertAlign w:val="subscript"/>
                    </w:rPr>
                    <w:t>2</w:t>
                  </w:r>
                </w:p>
              </w:tc>
              <w:tc>
                <w:tcPr>
                  <w:tcW w:w="1470" w:type="pct"/>
                  <w:tcBorders>
                    <w:tl2br w:val="nil"/>
                    <w:tr2bl w:val="nil"/>
                  </w:tcBorders>
                  <w:noWrap w:val="0"/>
                  <w:vAlign w:val="center"/>
                </w:tcPr>
                <w:p w14:paraId="12A3037B">
                  <w:pPr>
                    <w:pStyle w:val="6"/>
                    <w:bidi w:val="0"/>
                    <w:ind w:left="0" w:leftChars="0" w:right="0" w:rightChars="0" w:firstLine="0" w:firstLineChars="0"/>
                    <w:jc w:val="center"/>
                    <w:rPr>
                      <w:rFonts w:hint="default"/>
                      <w:color w:val="auto"/>
                      <w:lang w:val="en-US" w:eastAsia="zh-CN"/>
                    </w:rPr>
                  </w:pPr>
                  <w:r>
                    <w:rPr>
                      <w:rFonts w:hint="eastAsia"/>
                      <w:color w:val="auto"/>
                      <w:lang w:val="en-US" w:eastAsia="zh-CN"/>
                    </w:rPr>
                    <w:t>年平均</w:t>
                  </w:r>
                </w:p>
              </w:tc>
              <w:tc>
                <w:tcPr>
                  <w:tcW w:w="684" w:type="pct"/>
                  <w:tcBorders>
                    <w:tl2br w:val="nil"/>
                    <w:tr2bl w:val="nil"/>
                  </w:tcBorders>
                  <w:noWrap w:val="0"/>
                  <w:vAlign w:val="center"/>
                </w:tcPr>
                <w:p w14:paraId="62256D0A">
                  <w:pPr>
                    <w:pStyle w:val="6"/>
                    <w:bidi w:val="0"/>
                    <w:ind w:left="0" w:leftChars="0" w:right="0" w:rightChars="0" w:firstLine="0" w:firstLineChars="0"/>
                    <w:jc w:val="center"/>
                    <w:rPr>
                      <w:rFonts w:hint="default"/>
                      <w:color w:val="auto"/>
                      <w:lang w:val="en-US" w:eastAsia="zh-CN"/>
                    </w:rPr>
                  </w:pPr>
                  <w:r>
                    <w:rPr>
                      <w:rFonts w:hint="eastAsia"/>
                      <w:color w:val="auto"/>
                      <w:lang w:val="en-US" w:eastAsia="zh-CN"/>
                    </w:rPr>
                    <w:t>6</w:t>
                  </w:r>
                </w:p>
              </w:tc>
              <w:tc>
                <w:tcPr>
                  <w:tcW w:w="923" w:type="pct"/>
                  <w:tcBorders>
                    <w:tl2br w:val="nil"/>
                    <w:tr2bl w:val="nil"/>
                  </w:tcBorders>
                  <w:noWrap w:val="0"/>
                  <w:vAlign w:val="center"/>
                </w:tcPr>
                <w:p w14:paraId="16929B19">
                  <w:pPr>
                    <w:pStyle w:val="6"/>
                    <w:bidi w:val="0"/>
                    <w:ind w:left="0" w:leftChars="0" w:right="0" w:rightChars="0" w:firstLine="0" w:firstLineChars="0"/>
                    <w:jc w:val="center"/>
                    <w:rPr>
                      <w:color w:val="auto"/>
                    </w:rPr>
                  </w:pPr>
                  <w:r>
                    <w:rPr>
                      <w:rFonts w:hint="eastAsia"/>
                      <w:color w:val="auto"/>
                    </w:rPr>
                    <w:t>60</w:t>
                  </w:r>
                </w:p>
              </w:tc>
              <w:tc>
                <w:tcPr>
                  <w:tcW w:w="627" w:type="pct"/>
                  <w:tcBorders>
                    <w:tl2br w:val="nil"/>
                    <w:tr2bl w:val="nil"/>
                  </w:tcBorders>
                  <w:noWrap w:val="0"/>
                  <w:vAlign w:val="center"/>
                </w:tcPr>
                <w:p w14:paraId="10A25A39">
                  <w:pPr>
                    <w:pStyle w:val="6"/>
                    <w:bidi w:val="0"/>
                    <w:ind w:left="0" w:leftChars="0" w:right="0" w:rightChars="0" w:firstLine="0" w:firstLineChars="0"/>
                    <w:jc w:val="center"/>
                    <w:rPr>
                      <w:rFonts w:hint="default"/>
                      <w:color w:val="auto"/>
                      <w:lang w:val="en-US" w:eastAsia="zh-CN"/>
                    </w:rPr>
                  </w:pPr>
                  <w:r>
                    <w:rPr>
                      <w:rFonts w:hint="eastAsia"/>
                      <w:color w:val="auto"/>
                      <w:lang w:val="en-US" w:eastAsia="zh-CN"/>
                    </w:rPr>
                    <w:t>10</w:t>
                  </w:r>
                </w:p>
              </w:tc>
              <w:tc>
                <w:tcPr>
                  <w:tcW w:w="569" w:type="pct"/>
                  <w:tcBorders>
                    <w:tl2br w:val="nil"/>
                    <w:tr2bl w:val="nil"/>
                  </w:tcBorders>
                  <w:noWrap w:val="0"/>
                  <w:vAlign w:val="center"/>
                </w:tcPr>
                <w:p w14:paraId="18550D2B">
                  <w:pPr>
                    <w:pStyle w:val="6"/>
                    <w:bidi w:val="0"/>
                    <w:ind w:left="0" w:leftChars="0" w:right="0" w:rightChars="0" w:firstLine="0" w:firstLineChars="0"/>
                    <w:jc w:val="center"/>
                    <w:rPr>
                      <w:rFonts w:hint="eastAsia"/>
                      <w:color w:val="auto"/>
                      <w:lang w:eastAsia="zh-CN"/>
                    </w:rPr>
                  </w:pPr>
                  <w:r>
                    <w:rPr>
                      <w:rFonts w:hint="default"/>
                      <w:color w:val="auto"/>
                      <w:lang w:eastAsia="zh-CN"/>
                    </w:rPr>
                    <w:t>达标</w:t>
                  </w:r>
                </w:p>
              </w:tc>
            </w:tr>
            <w:tr w14:paraId="777B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pct"/>
                  <w:vMerge w:val="continue"/>
                  <w:tcBorders>
                    <w:tl2br w:val="nil"/>
                    <w:tr2bl w:val="nil"/>
                  </w:tcBorders>
                  <w:noWrap w:val="0"/>
                  <w:vAlign w:val="center"/>
                </w:tcPr>
                <w:p w14:paraId="46F5B6EC">
                  <w:pPr>
                    <w:pStyle w:val="6"/>
                    <w:bidi w:val="0"/>
                    <w:ind w:left="0" w:leftChars="0" w:right="0" w:rightChars="0" w:firstLine="0" w:firstLineChars="0"/>
                    <w:jc w:val="center"/>
                    <w:rPr>
                      <w:color w:val="auto"/>
                    </w:rPr>
                  </w:pPr>
                </w:p>
              </w:tc>
              <w:tc>
                <w:tcPr>
                  <w:tcW w:w="1470" w:type="pct"/>
                  <w:tcBorders>
                    <w:tl2br w:val="nil"/>
                    <w:tr2bl w:val="nil"/>
                  </w:tcBorders>
                  <w:noWrap w:val="0"/>
                  <w:vAlign w:val="center"/>
                </w:tcPr>
                <w:p w14:paraId="0F45E75C">
                  <w:pPr>
                    <w:pStyle w:val="6"/>
                    <w:bidi w:val="0"/>
                    <w:ind w:left="0" w:leftChars="0" w:right="0" w:rightChars="0" w:firstLine="0" w:firstLineChars="0"/>
                    <w:jc w:val="center"/>
                    <w:rPr>
                      <w:rFonts w:hint="default"/>
                      <w:color w:val="auto"/>
                      <w:lang w:val="en-US" w:eastAsia="zh-CN"/>
                    </w:rPr>
                  </w:pPr>
                  <w:r>
                    <w:rPr>
                      <w:rFonts w:hint="eastAsia"/>
                      <w:color w:val="auto"/>
                      <w:lang w:val="en-US" w:eastAsia="zh-CN"/>
                    </w:rPr>
                    <w:t>24h平均第98百分位数</w:t>
                  </w:r>
                </w:p>
              </w:tc>
              <w:tc>
                <w:tcPr>
                  <w:tcW w:w="684" w:type="pct"/>
                  <w:tcBorders>
                    <w:tl2br w:val="nil"/>
                    <w:tr2bl w:val="nil"/>
                  </w:tcBorders>
                  <w:noWrap w:val="0"/>
                  <w:vAlign w:val="center"/>
                </w:tcPr>
                <w:p w14:paraId="1764A8C7">
                  <w:pPr>
                    <w:pStyle w:val="6"/>
                    <w:bidi w:val="0"/>
                    <w:ind w:left="0" w:leftChars="0" w:right="0" w:rightChars="0" w:firstLine="0" w:firstLineChars="0"/>
                    <w:jc w:val="center"/>
                    <w:rPr>
                      <w:rFonts w:hint="default"/>
                      <w:color w:val="auto"/>
                      <w:lang w:val="en-US" w:eastAsia="zh-CN"/>
                    </w:rPr>
                  </w:pPr>
                  <w:r>
                    <w:rPr>
                      <w:rFonts w:hint="eastAsia"/>
                      <w:color w:val="auto"/>
                      <w:lang w:val="en-US" w:eastAsia="zh-CN"/>
                    </w:rPr>
                    <w:t>9</w:t>
                  </w:r>
                </w:p>
              </w:tc>
              <w:tc>
                <w:tcPr>
                  <w:tcW w:w="923" w:type="pct"/>
                  <w:tcBorders>
                    <w:tl2br w:val="nil"/>
                    <w:tr2bl w:val="nil"/>
                  </w:tcBorders>
                  <w:noWrap w:val="0"/>
                  <w:vAlign w:val="center"/>
                </w:tcPr>
                <w:p w14:paraId="11A216FD">
                  <w:pPr>
                    <w:pStyle w:val="6"/>
                    <w:bidi w:val="0"/>
                    <w:ind w:left="0" w:leftChars="0" w:right="0" w:rightChars="0" w:firstLine="0" w:firstLineChars="0"/>
                    <w:jc w:val="center"/>
                    <w:rPr>
                      <w:color w:val="auto"/>
                    </w:rPr>
                  </w:pPr>
                  <w:r>
                    <w:rPr>
                      <w:rFonts w:hint="eastAsia"/>
                      <w:color w:val="auto"/>
                    </w:rPr>
                    <w:t>150</w:t>
                  </w:r>
                </w:p>
              </w:tc>
              <w:tc>
                <w:tcPr>
                  <w:tcW w:w="627" w:type="pct"/>
                  <w:tcBorders>
                    <w:tl2br w:val="nil"/>
                    <w:tr2bl w:val="nil"/>
                  </w:tcBorders>
                  <w:noWrap w:val="0"/>
                  <w:vAlign w:val="center"/>
                </w:tcPr>
                <w:p w14:paraId="3B56AA28">
                  <w:pPr>
                    <w:pStyle w:val="6"/>
                    <w:bidi w:val="0"/>
                    <w:ind w:left="0" w:leftChars="0" w:right="0" w:rightChars="0" w:firstLine="0" w:firstLineChars="0"/>
                    <w:jc w:val="center"/>
                    <w:rPr>
                      <w:rFonts w:hint="default"/>
                      <w:color w:val="auto"/>
                      <w:lang w:val="en-US" w:eastAsia="zh-CN"/>
                    </w:rPr>
                  </w:pPr>
                  <w:r>
                    <w:rPr>
                      <w:rFonts w:hint="eastAsia"/>
                      <w:color w:val="auto"/>
                      <w:lang w:val="en-US" w:eastAsia="zh-CN"/>
                    </w:rPr>
                    <w:t>6</w:t>
                  </w:r>
                </w:p>
              </w:tc>
              <w:tc>
                <w:tcPr>
                  <w:tcW w:w="569" w:type="pct"/>
                  <w:tcBorders>
                    <w:tl2br w:val="nil"/>
                    <w:tr2bl w:val="nil"/>
                  </w:tcBorders>
                  <w:noWrap w:val="0"/>
                  <w:vAlign w:val="center"/>
                </w:tcPr>
                <w:p w14:paraId="0C1E021F">
                  <w:pPr>
                    <w:pStyle w:val="6"/>
                    <w:bidi w:val="0"/>
                    <w:ind w:left="0" w:leftChars="0" w:right="0" w:rightChars="0" w:firstLine="0" w:firstLineChars="0"/>
                    <w:jc w:val="center"/>
                    <w:rPr>
                      <w:rFonts w:hint="eastAsia"/>
                      <w:color w:val="auto"/>
                    </w:rPr>
                  </w:pPr>
                  <w:r>
                    <w:rPr>
                      <w:rFonts w:hint="default"/>
                      <w:color w:val="auto"/>
                      <w:lang w:eastAsia="zh-CN"/>
                    </w:rPr>
                    <w:t>达标</w:t>
                  </w:r>
                </w:p>
              </w:tc>
            </w:tr>
            <w:tr w14:paraId="1695D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pct"/>
                  <w:vMerge w:val="restart"/>
                  <w:tcBorders>
                    <w:tl2br w:val="nil"/>
                    <w:tr2bl w:val="nil"/>
                  </w:tcBorders>
                  <w:noWrap w:val="0"/>
                  <w:vAlign w:val="center"/>
                </w:tcPr>
                <w:p w14:paraId="38C7D62A">
                  <w:pPr>
                    <w:pStyle w:val="6"/>
                    <w:bidi w:val="0"/>
                    <w:ind w:left="0" w:leftChars="0" w:right="0" w:rightChars="0" w:firstLine="0" w:firstLineChars="0"/>
                    <w:jc w:val="center"/>
                    <w:rPr>
                      <w:color w:val="auto"/>
                    </w:rPr>
                  </w:pPr>
                  <w:r>
                    <w:rPr>
                      <w:rFonts w:hint="eastAsia"/>
                      <w:color w:val="auto"/>
                    </w:rPr>
                    <w:t>NO</w:t>
                  </w:r>
                  <w:r>
                    <w:rPr>
                      <w:rFonts w:hint="eastAsia"/>
                      <w:color w:val="auto"/>
                      <w:vertAlign w:val="subscript"/>
                    </w:rPr>
                    <w:t>2</w:t>
                  </w:r>
                </w:p>
              </w:tc>
              <w:tc>
                <w:tcPr>
                  <w:tcW w:w="1470" w:type="pct"/>
                  <w:tcBorders>
                    <w:tl2br w:val="nil"/>
                    <w:tr2bl w:val="nil"/>
                  </w:tcBorders>
                  <w:noWrap w:val="0"/>
                  <w:vAlign w:val="center"/>
                </w:tcPr>
                <w:p w14:paraId="73EB7D49">
                  <w:pPr>
                    <w:pStyle w:val="6"/>
                    <w:bidi w:val="0"/>
                    <w:ind w:left="0" w:leftChars="0" w:right="0" w:rightChars="0" w:firstLine="0" w:firstLineChars="0"/>
                    <w:jc w:val="center"/>
                    <w:rPr>
                      <w:rFonts w:hint="default"/>
                      <w:color w:val="auto"/>
                      <w:lang w:val="en-US" w:eastAsia="zh-CN"/>
                    </w:rPr>
                  </w:pPr>
                  <w:r>
                    <w:rPr>
                      <w:rFonts w:hint="eastAsia"/>
                      <w:color w:val="auto"/>
                      <w:lang w:val="en-US" w:eastAsia="zh-CN"/>
                    </w:rPr>
                    <w:t>年平均</w:t>
                  </w:r>
                </w:p>
              </w:tc>
              <w:tc>
                <w:tcPr>
                  <w:tcW w:w="684" w:type="pct"/>
                  <w:tcBorders>
                    <w:tl2br w:val="nil"/>
                    <w:tr2bl w:val="nil"/>
                  </w:tcBorders>
                  <w:noWrap w:val="0"/>
                  <w:vAlign w:val="center"/>
                </w:tcPr>
                <w:p w14:paraId="2D655A02">
                  <w:pPr>
                    <w:pStyle w:val="6"/>
                    <w:bidi w:val="0"/>
                    <w:ind w:left="0" w:leftChars="0" w:right="0" w:rightChars="0" w:firstLine="0" w:firstLineChars="0"/>
                    <w:jc w:val="center"/>
                    <w:rPr>
                      <w:rFonts w:hint="default"/>
                      <w:color w:val="auto"/>
                      <w:lang w:val="en-US" w:eastAsia="zh-CN"/>
                    </w:rPr>
                  </w:pPr>
                  <w:r>
                    <w:rPr>
                      <w:rFonts w:hint="eastAsia"/>
                      <w:color w:val="auto"/>
                      <w:lang w:val="en-US" w:eastAsia="zh-CN"/>
                    </w:rPr>
                    <w:t>6</w:t>
                  </w:r>
                </w:p>
              </w:tc>
              <w:tc>
                <w:tcPr>
                  <w:tcW w:w="923" w:type="pct"/>
                  <w:tcBorders>
                    <w:tl2br w:val="nil"/>
                    <w:tr2bl w:val="nil"/>
                  </w:tcBorders>
                  <w:noWrap w:val="0"/>
                  <w:vAlign w:val="center"/>
                </w:tcPr>
                <w:p w14:paraId="1900B2B8">
                  <w:pPr>
                    <w:pStyle w:val="6"/>
                    <w:bidi w:val="0"/>
                    <w:ind w:left="0" w:leftChars="0" w:right="0" w:rightChars="0" w:firstLine="0" w:firstLineChars="0"/>
                    <w:jc w:val="center"/>
                    <w:rPr>
                      <w:color w:val="auto"/>
                    </w:rPr>
                  </w:pPr>
                  <w:r>
                    <w:rPr>
                      <w:rFonts w:hint="eastAsia"/>
                      <w:color w:val="auto"/>
                    </w:rPr>
                    <w:t>40</w:t>
                  </w:r>
                </w:p>
              </w:tc>
              <w:tc>
                <w:tcPr>
                  <w:tcW w:w="627" w:type="pct"/>
                  <w:tcBorders>
                    <w:tl2br w:val="nil"/>
                    <w:tr2bl w:val="nil"/>
                  </w:tcBorders>
                  <w:noWrap w:val="0"/>
                  <w:vAlign w:val="center"/>
                </w:tcPr>
                <w:p w14:paraId="10D7D8F7">
                  <w:pPr>
                    <w:pStyle w:val="6"/>
                    <w:bidi w:val="0"/>
                    <w:ind w:left="0" w:leftChars="0" w:right="0" w:rightChars="0" w:firstLine="0" w:firstLineChars="0"/>
                    <w:jc w:val="center"/>
                    <w:rPr>
                      <w:rFonts w:hint="default"/>
                      <w:color w:val="auto"/>
                      <w:lang w:val="en-US" w:eastAsia="zh-CN"/>
                    </w:rPr>
                  </w:pPr>
                  <w:r>
                    <w:rPr>
                      <w:rFonts w:hint="eastAsia"/>
                      <w:color w:val="auto"/>
                      <w:lang w:val="en-US" w:eastAsia="zh-CN"/>
                    </w:rPr>
                    <w:t>15</w:t>
                  </w:r>
                </w:p>
              </w:tc>
              <w:tc>
                <w:tcPr>
                  <w:tcW w:w="569" w:type="pct"/>
                  <w:tcBorders>
                    <w:tl2br w:val="nil"/>
                    <w:tr2bl w:val="nil"/>
                  </w:tcBorders>
                  <w:noWrap w:val="0"/>
                  <w:vAlign w:val="center"/>
                </w:tcPr>
                <w:p w14:paraId="0F09325A">
                  <w:pPr>
                    <w:pStyle w:val="6"/>
                    <w:bidi w:val="0"/>
                    <w:ind w:left="0" w:leftChars="0" w:right="0" w:rightChars="0" w:firstLine="0" w:firstLineChars="0"/>
                    <w:jc w:val="center"/>
                    <w:rPr>
                      <w:rFonts w:hint="eastAsia"/>
                      <w:color w:val="auto"/>
                    </w:rPr>
                  </w:pPr>
                  <w:r>
                    <w:rPr>
                      <w:rFonts w:hint="default"/>
                      <w:color w:val="auto"/>
                      <w:lang w:eastAsia="zh-CN"/>
                    </w:rPr>
                    <w:t>达标</w:t>
                  </w:r>
                </w:p>
              </w:tc>
            </w:tr>
            <w:tr w14:paraId="02C4C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pct"/>
                  <w:vMerge w:val="continue"/>
                  <w:tcBorders>
                    <w:tl2br w:val="nil"/>
                    <w:tr2bl w:val="nil"/>
                  </w:tcBorders>
                  <w:noWrap w:val="0"/>
                  <w:vAlign w:val="center"/>
                </w:tcPr>
                <w:p w14:paraId="42B7F42F">
                  <w:pPr>
                    <w:pStyle w:val="6"/>
                    <w:bidi w:val="0"/>
                    <w:ind w:left="0" w:leftChars="0" w:right="0" w:rightChars="0" w:firstLine="0" w:firstLineChars="0"/>
                    <w:jc w:val="center"/>
                    <w:rPr>
                      <w:color w:val="auto"/>
                    </w:rPr>
                  </w:pPr>
                </w:p>
              </w:tc>
              <w:tc>
                <w:tcPr>
                  <w:tcW w:w="1470" w:type="pct"/>
                  <w:tcBorders>
                    <w:tl2br w:val="nil"/>
                    <w:tr2bl w:val="nil"/>
                  </w:tcBorders>
                  <w:noWrap w:val="0"/>
                  <w:vAlign w:val="center"/>
                </w:tcPr>
                <w:p w14:paraId="17831437">
                  <w:pPr>
                    <w:pStyle w:val="6"/>
                    <w:bidi w:val="0"/>
                    <w:ind w:left="0" w:leftChars="0" w:right="0" w:rightChars="0" w:firstLine="0" w:firstLineChars="0"/>
                    <w:jc w:val="center"/>
                    <w:rPr>
                      <w:rFonts w:hint="default"/>
                      <w:color w:val="auto"/>
                      <w:lang w:val="en-US" w:eastAsia="zh-CN"/>
                    </w:rPr>
                  </w:pPr>
                  <w:r>
                    <w:rPr>
                      <w:rFonts w:hint="eastAsia"/>
                      <w:color w:val="auto"/>
                      <w:lang w:val="en-US" w:eastAsia="zh-CN"/>
                    </w:rPr>
                    <w:t>24h平均第98百分位数</w:t>
                  </w:r>
                </w:p>
              </w:tc>
              <w:tc>
                <w:tcPr>
                  <w:tcW w:w="684" w:type="pct"/>
                  <w:tcBorders>
                    <w:tl2br w:val="nil"/>
                    <w:tr2bl w:val="nil"/>
                  </w:tcBorders>
                  <w:noWrap w:val="0"/>
                  <w:vAlign w:val="center"/>
                </w:tcPr>
                <w:p w14:paraId="78983B5B">
                  <w:pPr>
                    <w:pStyle w:val="6"/>
                    <w:bidi w:val="0"/>
                    <w:ind w:left="0" w:leftChars="0" w:right="0" w:rightChars="0" w:firstLine="0" w:firstLineChars="0"/>
                    <w:jc w:val="center"/>
                    <w:rPr>
                      <w:rFonts w:hint="default"/>
                      <w:color w:val="auto"/>
                      <w:lang w:val="en-US" w:eastAsia="zh-CN"/>
                    </w:rPr>
                  </w:pPr>
                  <w:r>
                    <w:rPr>
                      <w:rFonts w:hint="eastAsia"/>
                      <w:color w:val="auto"/>
                      <w:lang w:val="en-US" w:eastAsia="zh-CN"/>
                    </w:rPr>
                    <w:t>13</w:t>
                  </w:r>
                </w:p>
              </w:tc>
              <w:tc>
                <w:tcPr>
                  <w:tcW w:w="923" w:type="pct"/>
                  <w:tcBorders>
                    <w:tl2br w:val="nil"/>
                    <w:tr2bl w:val="nil"/>
                  </w:tcBorders>
                  <w:noWrap w:val="0"/>
                  <w:vAlign w:val="center"/>
                </w:tcPr>
                <w:p w14:paraId="03764E6E">
                  <w:pPr>
                    <w:pStyle w:val="6"/>
                    <w:bidi w:val="0"/>
                    <w:ind w:left="0" w:leftChars="0" w:right="0" w:rightChars="0" w:firstLine="0" w:firstLineChars="0"/>
                    <w:jc w:val="center"/>
                    <w:rPr>
                      <w:color w:val="auto"/>
                    </w:rPr>
                  </w:pPr>
                  <w:r>
                    <w:rPr>
                      <w:rFonts w:hint="eastAsia"/>
                      <w:color w:val="auto"/>
                    </w:rPr>
                    <w:t>80</w:t>
                  </w:r>
                </w:p>
              </w:tc>
              <w:tc>
                <w:tcPr>
                  <w:tcW w:w="627" w:type="pct"/>
                  <w:tcBorders>
                    <w:tl2br w:val="nil"/>
                    <w:tr2bl w:val="nil"/>
                  </w:tcBorders>
                  <w:noWrap w:val="0"/>
                  <w:vAlign w:val="center"/>
                </w:tcPr>
                <w:p w14:paraId="1903E9F3">
                  <w:pPr>
                    <w:pStyle w:val="6"/>
                    <w:bidi w:val="0"/>
                    <w:ind w:left="0" w:leftChars="0" w:right="0" w:rightChars="0" w:firstLine="0" w:firstLineChars="0"/>
                    <w:jc w:val="center"/>
                    <w:rPr>
                      <w:rFonts w:hint="default"/>
                      <w:color w:val="auto"/>
                      <w:lang w:val="en-US" w:eastAsia="zh-CN"/>
                    </w:rPr>
                  </w:pPr>
                  <w:r>
                    <w:rPr>
                      <w:rFonts w:hint="eastAsia"/>
                      <w:color w:val="auto"/>
                      <w:lang w:val="en-US" w:eastAsia="zh-CN"/>
                    </w:rPr>
                    <w:t>16</w:t>
                  </w:r>
                </w:p>
              </w:tc>
              <w:tc>
                <w:tcPr>
                  <w:tcW w:w="569" w:type="pct"/>
                  <w:tcBorders>
                    <w:tl2br w:val="nil"/>
                    <w:tr2bl w:val="nil"/>
                  </w:tcBorders>
                  <w:noWrap w:val="0"/>
                  <w:vAlign w:val="center"/>
                </w:tcPr>
                <w:p w14:paraId="340EA6D1">
                  <w:pPr>
                    <w:pStyle w:val="6"/>
                    <w:bidi w:val="0"/>
                    <w:ind w:left="0" w:leftChars="0" w:right="0" w:rightChars="0" w:firstLine="0" w:firstLineChars="0"/>
                    <w:jc w:val="center"/>
                    <w:rPr>
                      <w:rFonts w:hint="eastAsia"/>
                      <w:color w:val="auto"/>
                    </w:rPr>
                  </w:pPr>
                  <w:r>
                    <w:rPr>
                      <w:rFonts w:hint="default"/>
                      <w:color w:val="auto"/>
                      <w:lang w:eastAsia="zh-CN"/>
                    </w:rPr>
                    <w:t>达标</w:t>
                  </w:r>
                </w:p>
              </w:tc>
            </w:tr>
            <w:tr w14:paraId="50A57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pct"/>
                  <w:tcBorders>
                    <w:tl2br w:val="nil"/>
                    <w:tr2bl w:val="nil"/>
                  </w:tcBorders>
                  <w:noWrap w:val="0"/>
                  <w:vAlign w:val="center"/>
                </w:tcPr>
                <w:p w14:paraId="6860990C">
                  <w:pPr>
                    <w:pStyle w:val="6"/>
                    <w:bidi w:val="0"/>
                    <w:ind w:left="0" w:leftChars="0" w:right="0" w:rightChars="0" w:firstLine="0" w:firstLineChars="0"/>
                    <w:jc w:val="center"/>
                    <w:rPr>
                      <w:color w:val="auto"/>
                    </w:rPr>
                  </w:pPr>
                  <w:r>
                    <w:rPr>
                      <w:rFonts w:hint="eastAsia"/>
                      <w:color w:val="auto"/>
                    </w:rPr>
                    <w:t>CO（mg/m</w:t>
                  </w:r>
                  <w:r>
                    <w:rPr>
                      <w:rFonts w:hint="eastAsia"/>
                      <w:color w:val="auto"/>
                      <w:vertAlign w:val="superscript"/>
                    </w:rPr>
                    <w:t>3</w:t>
                  </w:r>
                  <w:r>
                    <w:rPr>
                      <w:rFonts w:hint="eastAsia"/>
                      <w:color w:val="auto"/>
                    </w:rPr>
                    <w:t>）</w:t>
                  </w:r>
                </w:p>
              </w:tc>
              <w:tc>
                <w:tcPr>
                  <w:tcW w:w="1470" w:type="pct"/>
                  <w:tcBorders>
                    <w:tl2br w:val="nil"/>
                    <w:tr2bl w:val="nil"/>
                  </w:tcBorders>
                  <w:noWrap w:val="0"/>
                  <w:vAlign w:val="center"/>
                </w:tcPr>
                <w:p w14:paraId="6650008A">
                  <w:pPr>
                    <w:pStyle w:val="6"/>
                    <w:bidi w:val="0"/>
                    <w:ind w:left="0" w:leftChars="0" w:right="0" w:rightChars="0" w:firstLine="0" w:firstLineChars="0"/>
                    <w:jc w:val="center"/>
                    <w:rPr>
                      <w:rFonts w:hint="default"/>
                      <w:color w:val="auto"/>
                      <w:lang w:val="en-US" w:eastAsia="zh-CN"/>
                    </w:rPr>
                  </w:pPr>
                  <w:r>
                    <w:rPr>
                      <w:rFonts w:hint="eastAsia"/>
                      <w:color w:val="auto"/>
                      <w:lang w:val="en-US" w:eastAsia="zh-CN"/>
                    </w:rPr>
                    <w:t>24h平均第95百分位数</w:t>
                  </w:r>
                </w:p>
              </w:tc>
              <w:tc>
                <w:tcPr>
                  <w:tcW w:w="684" w:type="pct"/>
                  <w:tcBorders>
                    <w:tl2br w:val="nil"/>
                    <w:tr2bl w:val="nil"/>
                  </w:tcBorders>
                  <w:noWrap w:val="0"/>
                  <w:vAlign w:val="center"/>
                </w:tcPr>
                <w:p w14:paraId="005DE813">
                  <w:pPr>
                    <w:pStyle w:val="6"/>
                    <w:bidi w:val="0"/>
                    <w:ind w:left="0" w:leftChars="0" w:right="0" w:rightChars="0" w:firstLine="0" w:firstLineChars="0"/>
                    <w:jc w:val="center"/>
                    <w:rPr>
                      <w:rFonts w:hint="default"/>
                      <w:color w:val="auto"/>
                      <w:lang w:val="en-US" w:eastAsia="zh-CN"/>
                    </w:rPr>
                  </w:pPr>
                  <w:r>
                    <w:rPr>
                      <w:rFonts w:hint="eastAsia"/>
                      <w:color w:val="auto"/>
                      <w:lang w:val="en-US" w:eastAsia="zh-CN"/>
                    </w:rPr>
                    <w:t>0.7</w:t>
                  </w:r>
                </w:p>
              </w:tc>
              <w:tc>
                <w:tcPr>
                  <w:tcW w:w="923" w:type="pct"/>
                  <w:tcBorders>
                    <w:tl2br w:val="nil"/>
                    <w:tr2bl w:val="nil"/>
                  </w:tcBorders>
                  <w:noWrap w:val="0"/>
                  <w:vAlign w:val="center"/>
                </w:tcPr>
                <w:p w14:paraId="156EDA55">
                  <w:pPr>
                    <w:pStyle w:val="6"/>
                    <w:bidi w:val="0"/>
                    <w:ind w:left="0" w:leftChars="0" w:right="0" w:rightChars="0" w:firstLine="0" w:firstLineChars="0"/>
                    <w:jc w:val="center"/>
                    <w:rPr>
                      <w:color w:val="auto"/>
                    </w:rPr>
                  </w:pPr>
                  <w:r>
                    <w:rPr>
                      <w:rFonts w:hint="eastAsia"/>
                      <w:color w:val="auto"/>
                    </w:rPr>
                    <w:t>4</w:t>
                  </w:r>
                </w:p>
              </w:tc>
              <w:tc>
                <w:tcPr>
                  <w:tcW w:w="627" w:type="pct"/>
                  <w:tcBorders>
                    <w:tl2br w:val="nil"/>
                    <w:tr2bl w:val="nil"/>
                  </w:tcBorders>
                  <w:noWrap w:val="0"/>
                  <w:vAlign w:val="center"/>
                </w:tcPr>
                <w:p w14:paraId="4CC667CC">
                  <w:pPr>
                    <w:pStyle w:val="6"/>
                    <w:bidi w:val="0"/>
                    <w:ind w:left="0" w:leftChars="0" w:right="0" w:rightChars="0" w:firstLine="0" w:firstLineChars="0"/>
                    <w:jc w:val="center"/>
                    <w:rPr>
                      <w:rFonts w:hint="default"/>
                      <w:color w:val="auto"/>
                      <w:lang w:val="en-US" w:eastAsia="zh-CN"/>
                    </w:rPr>
                  </w:pPr>
                  <w:r>
                    <w:rPr>
                      <w:rFonts w:hint="eastAsia"/>
                      <w:color w:val="auto"/>
                      <w:lang w:val="en-US" w:eastAsia="zh-CN"/>
                    </w:rPr>
                    <w:t>18</w:t>
                  </w:r>
                </w:p>
              </w:tc>
              <w:tc>
                <w:tcPr>
                  <w:tcW w:w="569" w:type="pct"/>
                  <w:tcBorders>
                    <w:tl2br w:val="nil"/>
                    <w:tr2bl w:val="nil"/>
                  </w:tcBorders>
                  <w:noWrap w:val="0"/>
                  <w:vAlign w:val="center"/>
                </w:tcPr>
                <w:p w14:paraId="466AFC04">
                  <w:pPr>
                    <w:pStyle w:val="6"/>
                    <w:bidi w:val="0"/>
                    <w:ind w:left="0" w:leftChars="0" w:right="0" w:rightChars="0" w:firstLine="0" w:firstLineChars="0"/>
                    <w:jc w:val="center"/>
                    <w:rPr>
                      <w:rFonts w:hint="eastAsia"/>
                      <w:color w:val="auto"/>
                    </w:rPr>
                  </w:pPr>
                  <w:r>
                    <w:rPr>
                      <w:rFonts w:hint="default"/>
                      <w:color w:val="auto"/>
                      <w:lang w:eastAsia="zh-CN"/>
                    </w:rPr>
                    <w:t>达标</w:t>
                  </w:r>
                </w:p>
              </w:tc>
            </w:tr>
            <w:tr w14:paraId="61D2D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pct"/>
                  <w:tcBorders>
                    <w:tl2br w:val="nil"/>
                    <w:tr2bl w:val="nil"/>
                  </w:tcBorders>
                  <w:noWrap w:val="0"/>
                  <w:vAlign w:val="center"/>
                </w:tcPr>
                <w:p w14:paraId="1D5B6C30">
                  <w:pPr>
                    <w:pStyle w:val="6"/>
                    <w:bidi w:val="0"/>
                    <w:ind w:left="0" w:leftChars="0" w:right="0" w:rightChars="0" w:firstLine="0" w:firstLineChars="0"/>
                    <w:jc w:val="center"/>
                    <w:rPr>
                      <w:color w:val="auto"/>
                    </w:rPr>
                  </w:pPr>
                  <w:r>
                    <w:rPr>
                      <w:rFonts w:hint="eastAsia"/>
                      <w:color w:val="auto"/>
                    </w:rPr>
                    <w:t>O</w:t>
                  </w:r>
                  <w:r>
                    <w:rPr>
                      <w:rFonts w:hint="eastAsia"/>
                      <w:color w:val="auto"/>
                      <w:vertAlign w:val="subscript"/>
                    </w:rPr>
                    <w:t>3</w:t>
                  </w:r>
                </w:p>
              </w:tc>
              <w:tc>
                <w:tcPr>
                  <w:tcW w:w="1470" w:type="pct"/>
                  <w:tcBorders>
                    <w:tl2br w:val="nil"/>
                    <w:tr2bl w:val="nil"/>
                  </w:tcBorders>
                  <w:noWrap w:val="0"/>
                  <w:vAlign w:val="center"/>
                </w:tcPr>
                <w:p w14:paraId="6F14D034">
                  <w:pPr>
                    <w:pStyle w:val="6"/>
                    <w:bidi w:val="0"/>
                    <w:ind w:left="0" w:leftChars="0" w:right="0" w:rightChars="0" w:firstLine="0" w:firstLineChars="0"/>
                    <w:jc w:val="center"/>
                    <w:rPr>
                      <w:rFonts w:hint="default"/>
                      <w:color w:val="auto"/>
                      <w:lang w:val="en-US" w:eastAsia="zh-CN"/>
                    </w:rPr>
                  </w:pPr>
                  <w:r>
                    <w:rPr>
                      <w:rFonts w:hint="default"/>
                      <w:color w:val="auto"/>
                      <w:lang w:val="en-US" w:eastAsia="zh-CN"/>
                    </w:rPr>
                    <w:t>最大8小时滑动平均值的第90百分位数</w:t>
                  </w:r>
                </w:p>
              </w:tc>
              <w:tc>
                <w:tcPr>
                  <w:tcW w:w="684" w:type="pct"/>
                  <w:tcBorders>
                    <w:tl2br w:val="nil"/>
                    <w:tr2bl w:val="nil"/>
                  </w:tcBorders>
                  <w:noWrap w:val="0"/>
                  <w:vAlign w:val="center"/>
                </w:tcPr>
                <w:p w14:paraId="444D08FF">
                  <w:pPr>
                    <w:pStyle w:val="6"/>
                    <w:bidi w:val="0"/>
                    <w:ind w:left="0" w:leftChars="0" w:right="0" w:rightChars="0" w:firstLine="0" w:firstLineChars="0"/>
                    <w:jc w:val="center"/>
                    <w:rPr>
                      <w:rFonts w:hint="default"/>
                      <w:color w:val="auto"/>
                      <w:lang w:val="en-US" w:eastAsia="zh-CN"/>
                    </w:rPr>
                  </w:pPr>
                  <w:r>
                    <w:rPr>
                      <w:rFonts w:hint="eastAsia"/>
                      <w:color w:val="auto"/>
                      <w:lang w:val="en-US" w:eastAsia="zh-CN"/>
                    </w:rPr>
                    <w:t>128</w:t>
                  </w:r>
                </w:p>
              </w:tc>
              <w:tc>
                <w:tcPr>
                  <w:tcW w:w="923" w:type="pct"/>
                  <w:tcBorders>
                    <w:tl2br w:val="nil"/>
                    <w:tr2bl w:val="nil"/>
                  </w:tcBorders>
                  <w:noWrap w:val="0"/>
                  <w:vAlign w:val="center"/>
                </w:tcPr>
                <w:p w14:paraId="6AA98185">
                  <w:pPr>
                    <w:pStyle w:val="6"/>
                    <w:bidi w:val="0"/>
                    <w:ind w:left="0" w:leftChars="0" w:right="0" w:rightChars="0" w:firstLine="0" w:firstLineChars="0"/>
                    <w:jc w:val="center"/>
                    <w:rPr>
                      <w:color w:val="auto"/>
                    </w:rPr>
                  </w:pPr>
                  <w:r>
                    <w:rPr>
                      <w:rFonts w:hint="eastAsia"/>
                      <w:color w:val="auto"/>
                    </w:rPr>
                    <w:t>160</w:t>
                  </w:r>
                </w:p>
              </w:tc>
              <w:tc>
                <w:tcPr>
                  <w:tcW w:w="627" w:type="pct"/>
                  <w:tcBorders>
                    <w:tl2br w:val="nil"/>
                    <w:tr2bl w:val="nil"/>
                  </w:tcBorders>
                  <w:noWrap w:val="0"/>
                  <w:vAlign w:val="center"/>
                </w:tcPr>
                <w:p w14:paraId="55C7998C">
                  <w:pPr>
                    <w:pStyle w:val="6"/>
                    <w:bidi w:val="0"/>
                    <w:ind w:left="0" w:leftChars="0" w:right="0" w:rightChars="0" w:firstLine="0" w:firstLineChars="0"/>
                    <w:jc w:val="center"/>
                    <w:rPr>
                      <w:rFonts w:hint="default"/>
                      <w:color w:val="auto"/>
                      <w:lang w:val="en-US" w:eastAsia="zh-CN"/>
                    </w:rPr>
                  </w:pPr>
                  <w:r>
                    <w:rPr>
                      <w:rFonts w:hint="eastAsia"/>
                      <w:color w:val="auto"/>
                      <w:lang w:val="en-US" w:eastAsia="zh-CN"/>
                    </w:rPr>
                    <w:t>80</w:t>
                  </w:r>
                </w:p>
              </w:tc>
              <w:tc>
                <w:tcPr>
                  <w:tcW w:w="569" w:type="pct"/>
                  <w:tcBorders>
                    <w:tl2br w:val="nil"/>
                    <w:tr2bl w:val="nil"/>
                  </w:tcBorders>
                  <w:noWrap w:val="0"/>
                  <w:vAlign w:val="center"/>
                </w:tcPr>
                <w:p w14:paraId="50F81BCD">
                  <w:pPr>
                    <w:pStyle w:val="6"/>
                    <w:bidi w:val="0"/>
                    <w:ind w:left="0" w:leftChars="0" w:right="0" w:rightChars="0" w:firstLine="0" w:firstLineChars="0"/>
                    <w:jc w:val="center"/>
                    <w:rPr>
                      <w:rFonts w:hint="eastAsia"/>
                      <w:color w:val="auto"/>
                    </w:rPr>
                  </w:pPr>
                  <w:r>
                    <w:rPr>
                      <w:rFonts w:hint="default"/>
                      <w:color w:val="auto"/>
                      <w:lang w:eastAsia="zh-CN"/>
                    </w:rPr>
                    <w:t>达标</w:t>
                  </w:r>
                </w:p>
              </w:tc>
            </w:tr>
            <w:tr w14:paraId="2E9C0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24" w:type="pct"/>
                  <w:vMerge w:val="restart"/>
                  <w:tcBorders>
                    <w:tl2br w:val="nil"/>
                    <w:tr2bl w:val="nil"/>
                  </w:tcBorders>
                  <w:noWrap w:val="0"/>
                  <w:vAlign w:val="center"/>
                </w:tcPr>
                <w:p w14:paraId="72D0D1EE">
                  <w:pPr>
                    <w:pStyle w:val="6"/>
                    <w:bidi w:val="0"/>
                    <w:ind w:left="0" w:leftChars="0" w:right="0" w:rightChars="0" w:firstLine="0" w:firstLineChars="0"/>
                    <w:jc w:val="center"/>
                    <w:rPr>
                      <w:color w:val="auto"/>
                    </w:rPr>
                  </w:pPr>
                  <w:r>
                    <w:rPr>
                      <w:rFonts w:hint="eastAsia"/>
                      <w:color w:val="auto"/>
                    </w:rPr>
                    <w:t>PM</w:t>
                  </w:r>
                  <w:r>
                    <w:rPr>
                      <w:rFonts w:hint="eastAsia"/>
                      <w:color w:val="auto"/>
                      <w:vertAlign w:val="subscript"/>
                    </w:rPr>
                    <w:t>10</w:t>
                  </w:r>
                </w:p>
              </w:tc>
              <w:tc>
                <w:tcPr>
                  <w:tcW w:w="1470" w:type="pct"/>
                  <w:tcBorders>
                    <w:tl2br w:val="nil"/>
                    <w:tr2bl w:val="nil"/>
                  </w:tcBorders>
                  <w:noWrap w:val="0"/>
                  <w:vAlign w:val="center"/>
                </w:tcPr>
                <w:p w14:paraId="60AFBA56">
                  <w:pPr>
                    <w:pStyle w:val="6"/>
                    <w:bidi w:val="0"/>
                    <w:ind w:left="0" w:leftChars="0" w:right="0" w:rightChars="0" w:firstLine="0" w:firstLineChars="0"/>
                    <w:jc w:val="center"/>
                    <w:rPr>
                      <w:rFonts w:hint="default"/>
                      <w:color w:val="auto"/>
                      <w:lang w:val="en-US" w:eastAsia="zh-CN"/>
                    </w:rPr>
                  </w:pPr>
                  <w:r>
                    <w:rPr>
                      <w:rFonts w:hint="eastAsia"/>
                      <w:color w:val="auto"/>
                      <w:lang w:val="en-US" w:eastAsia="zh-CN"/>
                    </w:rPr>
                    <w:t>年平均</w:t>
                  </w:r>
                </w:p>
              </w:tc>
              <w:tc>
                <w:tcPr>
                  <w:tcW w:w="684" w:type="pct"/>
                  <w:tcBorders>
                    <w:tl2br w:val="nil"/>
                    <w:tr2bl w:val="nil"/>
                  </w:tcBorders>
                  <w:noWrap w:val="0"/>
                  <w:vAlign w:val="center"/>
                </w:tcPr>
                <w:p w14:paraId="07ABB29B">
                  <w:pPr>
                    <w:pStyle w:val="6"/>
                    <w:bidi w:val="0"/>
                    <w:ind w:left="0" w:leftChars="0" w:right="0" w:rightChars="0" w:firstLine="0" w:firstLineChars="0"/>
                    <w:jc w:val="center"/>
                    <w:rPr>
                      <w:rFonts w:hint="default"/>
                      <w:color w:val="auto"/>
                      <w:lang w:val="en-US" w:eastAsia="zh-CN"/>
                    </w:rPr>
                  </w:pPr>
                  <w:r>
                    <w:rPr>
                      <w:rFonts w:hint="eastAsia"/>
                      <w:color w:val="auto"/>
                      <w:lang w:val="en-US" w:eastAsia="zh-CN"/>
                    </w:rPr>
                    <w:t>407</w:t>
                  </w:r>
                </w:p>
              </w:tc>
              <w:tc>
                <w:tcPr>
                  <w:tcW w:w="923" w:type="pct"/>
                  <w:tcBorders>
                    <w:tl2br w:val="nil"/>
                    <w:tr2bl w:val="nil"/>
                  </w:tcBorders>
                  <w:noWrap w:val="0"/>
                  <w:vAlign w:val="center"/>
                </w:tcPr>
                <w:p w14:paraId="51B36705">
                  <w:pPr>
                    <w:pStyle w:val="6"/>
                    <w:bidi w:val="0"/>
                    <w:ind w:left="0" w:leftChars="0" w:right="0" w:rightChars="0" w:firstLine="0" w:firstLineChars="0"/>
                    <w:jc w:val="center"/>
                    <w:rPr>
                      <w:rFonts w:hint="default" w:eastAsia="宋体"/>
                      <w:color w:val="auto"/>
                      <w:lang w:val="en-US" w:eastAsia="zh-CN"/>
                    </w:rPr>
                  </w:pPr>
                  <w:r>
                    <w:rPr>
                      <w:rFonts w:hint="eastAsia"/>
                      <w:color w:val="auto"/>
                      <w:lang w:val="en-US" w:eastAsia="zh-CN"/>
                    </w:rPr>
                    <w:t>60</w:t>
                  </w:r>
                </w:p>
              </w:tc>
              <w:tc>
                <w:tcPr>
                  <w:tcW w:w="627" w:type="pct"/>
                  <w:tcBorders>
                    <w:tl2br w:val="nil"/>
                    <w:tr2bl w:val="nil"/>
                  </w:tcBorders>
                  <w:noWrap w:val="0"/>
                  <w:vAlign w:val="center"/>
                </w:tcPr>
                <w:p w14:paraId="59660D25">
                  <w:pPr>
                    <w:pStyle w:val="6"/>
                    <w:bidi w:val="0"/>
                    <w:ind w:left="0" w:leftChars="0" w:right="0" w:rightChars="0" w:firstLine="0" w:firstLineChars="0"/>
                    <w:jc w:val="center"/>
                    <w:rPr>
                      <w:rFonts w:hint="default"/>
                      <w:color w:val="auto"/>
                      <w:lang w:val="en-US" w:eastAsia="zh-CN"/>
                    </w:rPr>
                  </w:pPr>
                  <w:r>
                    <w:rPr>
                      <w:rFonts w:hint="eastAsia"/>
                      <w:color w:val="auto"/>
                      <w:lang w:val="en-US" w:eastAsia="zh-CN"/>
                    </w:rPr>
                    <w:t>678</w:t>
                  </w:r>
                </w:p>
              </w:tc>
              <w:tc>
                <w:tcPr>
                  <w:tcW w:w="569" w:type="pct"/>
                  <w:tcBorders>
                    <w:tl2br w:val="nil"/>
                    <w:tr2bl w:val="nil"/>
                  </w:tcBorders>
                  <w:noWrap w:val="0"/>
                  <w:vAlign w:val="center"/>
                </w:tcPr>
                <w:p w14:paraId="4AF11074">
                  <w:pPr>
                    <w:pStyle w:val="6"/>
                    <w:bidi w:val="0"/>
                    <w:ind w:left="0" w:leftChars="0" w:right="0" w:rightChars="0" w:firstLine="0" w:firstLineChars="0"/>
                    <w:jc w:val="center"/>
                    <w:rPr>
                      <w:rFonts w:hint="eastAsia"/>
                      <w:color w:val="auto"/>
                    </w:rPr>
                  </w:pPr>
                  <w:r>
                    <w:rPr>
                      <w:rFonts w:hint="eastAsia"/>
                      <w:color w:val="auto"/>
                      <w:lang w:val="en-US" w:eastAsia="zh-CN"/>
                    </w:rPr>
                    <w:t>超标</w:t>
                  </w:r>
                </w:p>
              </w:tc>
            </w:tr>
            <w:tr w14:paraId="576C3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pct"/>
                  <w:vMerge w:val="continue"/>
                  <w:tcBorders>
                    <w:tl2br w:val="nil"/>
                    <w:tr2bl w:val="nil"/>
                  </w:tcBorders>
                  <w:noWrap w:val="0"/>
                  <w:vAlign w:val="center"/>
                </w:tcPr>
                <w:p w14:paraId="1E030E7A">
                  <w:pPr>
                    <w:pStyle w:val="6"/>
                    <w:bidi w:val="0"/>
                    <w:ind w:left="0" w:leftChars="0" w:right="0" w:rightChars="0" w:firstLine="0" w:firstLineChars="0"/>
                    <w:jc w:val="center"/>
                    <w:rPr>
                      <w:color w:val="auto"/>
                    </w:rPr>
                  </w:pPr>
                </w:p>
              </w:tc>
              <w:tc>
                <w:tcPr>
                  <w:tcW w:w="1470" w:type="pct"/>
                  <w:tcBorders>
                    <w:tl2br w:val="nil"/>
                    <w:tr2bl w:val="nil"/>
                  </w:tcBorders>
                  <w:noWrap w:val="0"/>
                  <w:vAlign w:val="center"/>
                </w:tcPr>
                <w:p w14:paraId="6F135963">
                  <w:pPr>
                    <w:pStyle w:val="6"/>
                    <w:bidi w:val="0"/>
                    <w:ind w:left="0" w:leftChars="0" w:right="0" w:rightChars="0" w:firstLine="0" w:firstLineChars="0"/>
                    <w:jc w:val="center"/>
                    <w:rPr>
                      <w:rFonts w:hint="default"/>
                      <w:color w:val="auto"/>
                      <w:lang w:val="en-US" w:eastAsia="zh-CN"/>
                    </w:rPr>
                  </w:pPr>
                  <w:r>
                    <w:rPr>
                      <w:rFonts w:hint="eastAsia"/>
                      <w:color w:val="auto"/>
                      <w:lang w:val="en-US" w:eastAsia="zh-CN"/>
                    </w:rPr>
                    <w:t>24h平均第95百分位数</w:t>
                  </w:r>
                </w:p>
              </w:tc>
              <w:tc>
                <w:tcPr>
                  <w:tcW w:w="684" w:type="pct"/>
                  <w:tcBorders>
                    <w:tl2br w:val="nil"/>
                    <w:tr2bl w:val="nil"/>
                  </w:tcBorders>
                  <w:noWrap w:val="0"/>
                  <w:vAlign w:val="center"/>
                </w:tcPr>
                <w:p w14:paraId="616BE00F">
                  <w:pPr>
                    <w:pStyle w:val="6"/>
                    <w:bidi w:val="0"/>
                    <w:ind w:left="0" w:leftChars="0" w:right="0" w:rightChars="0" w:firstLine="0" w:firstLineChars="0"/>
                    <w:jc w:val="center"/>
                    <w:rPr>
                      <w:rFonts w:hint="default"/>
                      <w:color w:val="auto"/>
                      <w:lang w:val="en-US" w:eastAsia="zh-CN"/>
                    </w:rPr>
                  </w:pPr>
                  <w:r>
                    <w:rPr>
                      <w:rFonts w:hint="eastAsia"/>
                      <w:color w:val="auto"/>
                      <w:lang w:val="en-US" w:eastAsia="zh-CN"/>
                    </w:rPr>
                    <w:t>1294</w:t>
                  </w:r>
                </w:p>
              </w:tc>
              <w:tc>
                <w:tcPr>
                  <w:tcW w:w="923" w:type="pct"/>
                  <w:tcBorders>
                    <w:tl2br w:val="nil"/>
                    <w:tr2bl w:val="nil"/>
                  </w:tcBorders>
                  <w:noWrap w:val="0"/>
                  <w:vAlign w:val="center"/>
                </w:tcPr>
                <w:p w14:paraId="61D8DC63">
                  <w:pPr>
                    <w:pStyle w:val="6"/>
                    <w:bidi w:val="0"/>
                    <w:ind w:left="0" w:leftChars="0" w:right="0" w:rightChars="0" w:firstLine="0" w:firstLineChars="0"/>
                    <w:jc w:val="center"/>
                    <w:rPr>
                      <w:rFonts w:hint="default" w:eastAsia="宋体"/>
                      <w:color w:val="auto"/>
                      <w:lang w:val="en-US" w:eastAsia="zh-CN"/>
                    </w:rPr>
                  </w:pPr>
                  <w:r>
                    <w:rPr>
                      <w:rFonts w:hint="eastAsia"/>
                      <w:color w:val="auto"/>
                      <w:lang w:val="en-US" w:eastAsia="zh-CN"/>
                    </w:rPr>
                    <w:t>120</w:t>
                  </w:r>
                </w:p>
              </w:tc>
              <w:tc>
                <w:tcPr>
                  <w:tcW w:w="627" w:type="pct"/>
                  <w:tcBorders>
                    <w:tl2br w:val="nil"/>
                    <w:tr2bl w:val="nil"/>
                  </w:tcBorders>
                  <w:noWrap w:val="0"/>
                  <w:vAlign w:val="center"/>
                </w:tcPr>
                <w:p w14:paraId="3CBB2E06">
                  <w:pPr>
                    <w:pStyle w:val="6"/>
                    <w:bidi w:val="0"/>
                    <w:ind w:left="0" w:leftChars="0" w:right="0" w:rightChars="0" w:firstLine="0" w:firstLineChars="0"/>
                    <w:jc w:val="center"/>
                    <w:rPr>
                      <w:rFonts w:hint="default"/>
                      <w:color w:val="auto"/>
                      <w:lang w:val="en-US" w:eastAsia="zh-CN"/>
                    </w:rPr>
                  </w:pPr>
                  <w:r>
                    <w:rPr>
                      <w:rFonts w:hint="eastAsia"/>
                      <w:color w:val="auto"/>
                      <w:lang w:val="en-US" w:eastAsia="zh-CN"/>
                    </w:rPr>
                    <w:t>1078</w:t>
                  </w:r>
                </w:p>
              </w:tc>
              <w:tc>
                <w:tcPr>
                  <w:tcW w:w="569" w:type="pct"/>
                  <w:tcBorders>
                    <w:tl2br w:val="nil"/>
                    <w:tr2bl w:val="nil"/>
                  </w:tcBorders>
                  <w:noWrap w:val="0"/>
                  <w:vAlign w:val="center"/>
                </w:tcPr>
                <w:p w14:paraId="323133C7">
                  <w:pPr>
                    <w:pStyle w:val="6"/>
                    <w:bidi w:val="0"/>
                    <w:ind w:left="0" w:leftChars="0" w:right="0" w:rightChars="0" w:firstLine="0" w:firstLineChars="0"/>
                    <w:jc w:val="center"/>
                    <w:rPr>
                      <w:rFonts w:hint="eastAsia"/>
                      <w:color w:val="auto"/>
                    </w:rPr>
                  </w:pPr>
                  <w:r>
                    <w:rPr>
                      <w:rFonts w:hint="eastAsia"/>
                      <w:color w:val="auto"/>
                      <w:lang w:val="en-US" w:eastAsia="zh-CN"/>
                    </w:rPr>
                    <w:t>超标</w:t>
                  </w:r>
                </w:p>
              </w:tc>
            </w:tr>
            <w:tr w14:paraId="7540D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724" w:type="pct"/>
                  <w:vMerge w:val="restart"/>
                  <w:tcBorders>
                    <w:tl2br w:val="nil"/>
                    <w:tr2bl w:val="nil"/>
                  </w:tcBorders>
                  <w:noWrap w:val="0"/>
                  <w:vAlign w:val="center"/>
                </w:tcPr>
                <w:p w14:paraId="13C81290">
                  <w:pPr>
                    <w:pStyle w:val="6"/>
                    <w:bidi w:val="0"/>
                    <w:ind w:left="0" w:leftChars="0" w:right="0" w:rightChars="0" w:firstLine="0" w:firstLineChars="0"/>
                    <w:jc w:val="center"/>
                    <w:rPr>
                      <w:color w:val="auto"/>
                    </w:rPr>
                  </w:pPr>
                  <w:r>
                    <w:rPr>
                      <w:rFonts w:hint="eastAsia"/>
                      <w:color w:val="auto"/>
                    </w:rPr>
                    <w:t>PM</w:t>
                  </w:r>
                  <w:r>
                    <w:rPr>
                      <w:rFonts w:hint="eastAsia"/>
                      <w:color w:val="auto"/>
                      <w:vertAlign w:val="subscript"/>
                    </w:rPr>
                    <w:t>2.5</w:t>
                  </w:r>
                </w:p>
              </w:tc>
              <w:tc>
                <w:tcPr>
                  <w:tcW w:w="1470" w:type="pct"/>
                  <w:tcBorders>
                    <w:tl2br w:val="nil"/>
                    <w:tr2bl w:val="nil"/>
                  </w:tcBorders>
                  <w:noWrap w:val="0"/>
                  <w:vAlign w:val="center"/>
                </w:tcPr>
                <w:p w14:paraId="40CC03EB">
                  <w:pPr>
                    <w:pStyle w:val="6"/>
                    <w:bidi w:val="0"/>
                    <w:ind w:left="0" w:leftChars="0" w:right="0" w:rightChars="0" w:firstLine="0" w:firstLineChars="0"/>
                    <w:jc w:val="center"/>
                    <w:rPr>
                      <w:rFonts w:hint="default"/>
                      <w:color w:val="auto"/>
                      <w:lang w:val="en-US" w:eastAsia="zh-CN"/>
                    </w:rPr>
                  </w:pPr>
                  <w:r>
                    <w:rPr>
                      <w:rFonts w:hint="eastAsia"/>
                      <w:color w:val="auto"/>
                      <w:lang w:val="en-US" w:eastAsia="zh-CN"/>
                    </w:rPr>
                    <w:t>年平均</w:t>
                  </w:r>
                </w:p>
              </w:tc>
              <w:tc>
                <w:tcPr>
                  <w:tcW w:w="684" w:type="pct"/>
                  <w:tcBorders>
                    <w:tl2br w:val="nil"/>
                    <w:tr2bl w:val="nil"/>
                  </w:tcBorders>
                  <w:noWrap w:val="0"/>
                  <w:vAlign w:val="center"/>
                </w:tcPr>
                <w:p w14:paraId="32E4AE48">
                  <w:pPr>
                    <w:pStyle w:val="6"/>
                    <w:bidi w:val="0"/>
                    <w:ind w:left="0" w:leftChars="0" w:right="0" w:rightChars="0" w:firstLine="0" w:firstLineChars="0"/>
                    <w:jc w:val="center"/>
                    <w:rPr>
                      <w:rFonts w:hint="default"/>
                      <w:color w:val="auto"/>
                      <w:lang w:val="en-US" w:eastAsia="zh-CN"/>
                    </w:rPr>
                  </w:pPr>
                  <w:r>
                    <w:rPr>
                      <w:rFonts w:hint="eastAsia"/>
                      <w:color w:val="auto"/>
                      <w:lang w:val="en-US" w:eastAsia="zh-CN"/>
                    </w:rPr>
                    <w:t>157</w:t>
                  </w:r>
                </w:p>
              </w:tc>
              <w:tc>
                <w:tcPr>
                  <w:tcW w:w="923" w:type="pct"/>
                  <w:tcBorders>
                    <w:tl2br w:val="nil"/>
                    <w:tr2bl w:val="nil"/>
                  </w:tcBorders>
                  <w:noWrap w:val="0"/>
                  <w:vAlign w:val="center"/>
                </w:tcPr>
                <w:p w14:paraId="538B423D">
                  <w:pPr>
                    <w:pStyle w:val="6"/>
                    <w:bidi w:val="0"/>
                    <w:ind w:left="0" w:leftChars="0" w:right="0" w:rightChars="0" w:firstLine="0" w:firstLineChars="0"/>
                    <w:jc w:val="center"/>
                    <w:rPr>
                      <w:rFonts w:hint="default" w:eastAsia="宋体"/>
                      <w:color w:val="auto"/>
                      <w:lang w:val="en-US" w:eastAsia="zh-CN"/>
                    </w:rPr>
                  </w:pPr>
                  <w:r>
                    <w:rPr>
                      <w:rFonts w:hint="eastAsia"/>
                      <w:color w:val="auto"/>
                      <w:lang w:val="en-US" w:eastAsia="zh-CN"/>
                    </w:rPr>
                    <w:t>30</w:t>
                  </w:r>
                </w:p>
              </w:tc>
              <w:tc>
                <w:tcPr>
                  <w:tcW w:w="627" w:type="pct"/>
                  <w:tcBorders>
                    <w:tl2br w:val="nil"/>
                    <w:tr2bl w:val="nil"/>
                  </w:tcBorders>
                  <w:noWrap w:val="0"/>
                  <w:vAlign w:val="center"/>
                </w:tcPr>
                <w:p w14:paraId="2E181BA7">
                  <w:pPr>
                    <w:pStyle w:val="6"/>
                    <w:bidi w:val="0"/>
                    <w:ind w:left="0" w:leftChars="0" w:right="0" w:rightChars="0" w:firstLine="0" w:firstLineChars="0"/>
                    <w:jc w:val="center"/>
                    <w:rPr>
                      <w:rFonts w:hint="default"/>
                      <w:color w:val="auto"/>
                      <w:lang w:val="en-US" w:eastAsia="zh-CN"/>
                    </w:rPr>
                  </w:pPr>
                  <w:r>
                    <w:rPr>
                      <w:rFonts w:hint="eastAsia"/>
                      <w:color w:val="auto"/>
                      <w:lang w:val="en-US" w:eastAsia="zh-CN"/>
                    </w:rPr>
                    <w:t>523</w:t>
                  </w:r>
                </w:p>
              </w:tc>
              <w:tc>
                <w:tcPr>
                  <w:tcW w:w="569" w:type="pct"/>
                  <w:tcBorders>
                    <w:tl2br w:val="nil"/>
                    <w:tr2bl w:val="nil"/>
                  </w:tcBorders>
                  <w:noWrap w:val="0"/>
                  <w:vAlign w:val="center"/>
                </w:tcPr>
                <w:p w14:paraId="25EBC775">
                  <w:pPr>
                    <w:pStyle w:val="6"/>
                    <w:bidi w:val="0"/>
                    <w:ind w:left="0" w:leftChars="0" w:right="0" w:rightChars="0" w:firstLine="0" w:firstLineChars="0"/>
                    <w:jc w:val="center"/>
                    <w:rPr>
                      <w:rFonts w:hint="eastAsia"/>
                      <w:color w:val="auto"/>
                    </w:rPr>
                  </w:pPr>
                  <w:r>
                    <w:rPr>
                      <w:rFonts w:hint="eastAsia"/>
                      <w:color w:val="auto"/>
                      <w:lang w:val="en-US" w:eastAsia="zh-CN"/>
                    </w:rPr>
                    <w:t>超标</w:t>
                  </w:r>
                </w:p>
              </w:tc>
            </w:tr>
            <w:tr w14:paraId="405B6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pct"/>
                  <w:vMerge w:val="continue"/>
                  <w:tcBorders>
                    <w:tl2br w:val="nil"/>
                    <w:tr2bl w:val="nil"/>
                  </w:tcBorders>
                  <w:noWrap w:val="0"/>
                  <w:vAlign w:val="center"/>
                </w:tcPr>
                <w:p w14:paraId="49CEDC45">
                  <w:pPr>
                    <w:pStyle w:val="6"/>
                    <w:bidi w:val="0"/>
                    <w:ind w:left="0" w:leftChars="0" w:right="0" w:rightChars="0" w:firstLine="0" w:firstLineChars="0"/>
                    <w:jc w:val="center"/>
                    <w:rPr>
                      <w:color w:val="auto"/>
                    </w:rPr>
                  </w:pPr>
                </w:p>
              </w:tc>
              <w:tc>
                <w:tcPr>
                  <w:tcW w:w="1470" w:type="pct"/>
                  <w:tcBorders>
                    <w:tl2br w:val="nil"/>
                    <w:tr2bl w:val="nil"/>
                  </w:tcBorders>
                  <w:noWrap w:val="0"/>
                  <w:vAlign w:val="center"/>
                </w:tcPr>
                <w:p w14:paraId="2C826F74">
                  <w:pPr>
                    <w:pStyle w:val="6"/>
                    <w:bidi w:val="0"/>
                    <w:ind w:left="0" w:leftChars="0" w:right="0" w:rightChars="0" w:firstLine="0" w:firstLineChars="0"/>
                    <w:jc w:val="center"/>
                    <w:rPr>
                      <w:rFonts w:hint="default"/>
                      <w:color w:val="auto"/>
                      <w:lang w:val="en-US" w:eastAsia="zh-CN"/>
                    </w:rPr>
                  </w:pPr>
                  <w:r>
                    <w:rPr>
                      <w:rFonts w:hint="eastAsia"/>
                      <w:color w:val="auto"/>
                      <w:lang w:val="en-US" w:eastAsia="zh-CN"/>
                    </w:rPr>
                    <w:t>24h平均第95百分位数</w:t>
                  </w:r>
                </w:p>
              </w:tc>
              <w:tc>
                <w:tcPr>
                  <w:tcW w:w="684" w:type="pct"/>
                  <w:tcBorders>
                    <w:tl2br w:val="nil"/>
                    <w:tr2bl w:val="nil"/>
                  </w:tcBorders>
                  <w:noWrap w:val="0"/>
                  <w:vAlign w:val="center"/>
                </w:tcPr>
                <w:p w14:paraId="3D791944">
                  <w:pPr>
                    <w:pStyle w:val="6"/>
                    <w:bidi w:val="0"/>
                    <w:ind w:left="0" w:leftChars="0" w:right="0" w:rightChars="0" w:firstLine="0" w:firstLineChars="0"/>
                    <w:jc w:val="center"/>
                    <w:rPr>
                      <w:rFonts w:hint="default"/>
                      <w:color w:val="auto"/>
                      <w:lang w:val="en-US" w:eastAsia="zh-CN"/>
                    </w:rPr>
                  </w:pPr>
                  <w:r>
                    <w:rPr>
                      <w:rFonts w:hint="eastAsia"/>
                      <w:color w:val="auto"/>
                      <w:lang w:val="en-US" w:eastAsia="zh-CN"/>
                    </w:rPr>
                    <w:t>562</w:t>
                  </w:r>
                </w:p>
              </w:tc>
              <w:tc>
                <w:tcPr>
                  <w:tcW w:w="923" w:type="pct"/>
                  <w:tcBorders>
                    <w:tl2br w:val="nil"/>
                    <w:tr2bl w:val="nil"/>
                  </w:tcBorders>
                  <w:noWrap w:val="0"/>
                  <w:vAlign w:val="center"/>
                </w:tcPr>
                <w:p w14:paraId="59FA09DB">
                  <w:pPr>
                    <w:pStyle w:val="6"/>
                    <w:bidi w:val="0"/>
                    <w:ind w:left="0" w:leftChars="0" w:right="0" w:rightChars="0" w:firstLine="0" w:firstLineChars="0"/>
                    <w:jc w:val="center"/>
                    <w:rPr>
                      <w:rFonts w:hint="default" w:eastAsia="宋体"/>
                      <w:color w:val="auto"/>
                      <w:lang w:val="en-US" w:eastAsia="zh-CN"/>
                    </w:rPr>
                  </w:pPr>
                  <w:r>
                    <w:rPr>
                      <w:rFonts w:hint="eastAsia"/>
                      <w:color w:val="auto"/>
                      <w:lang w:val="en-US" w:eastAsia="zh-CN"/>
                    </w:rPr>
                    <w:t>60</w:t>
                  </w:r>
                </w:p>
              </w:tc>
              <w:tc>
                <w:tcPr>
                  <w:tcW w:w="627" w:type="pct"/>
                  <w:tcBorders>
                    <w:tl2br w:val="nil"/>
                    <w:tr2bl w:val="nil"/>
                  </w:tcBorders>
                  <w:noWrap w:val="0"/>
                  <w:vAlign w:val="center"/>
                </w:tcPr>
                <w:p w14:paraId="64BE5AC3">
                  <w:pPr>
                    <w:pStyle w:val="6"/>
                    <w:bidi w:val="0"/>
                    <w:ind w:left="0" w:leftChars="0" w:right="0" w:rightChars="0" w:firstLine="0" w:firstLineChars="0"/>
                    <w:jc w:val="center"/>
                    <w:rPr>
                      <w:rFonts w:hint="default"/>
                      <w:color w:val="auto"/>
                      <w:lang w:val="en-US" w:eastAsia="zh-CN"/>
                    </w:rPr>
                  </w:pPr>
                  <w:r>
                    <w:rPr>
                      <w:rFonts w:hint="eastAsia"/>
                      <w:color w:val="auto"/>
                      <w:lang w:val="en-US" w:eastAsia="zh-CN"/>
                    </w:rPr>
                    <w:t>937</w:t>
                  </w:r>
                </w:p>
              </w:tc>
              <w:tc>
                <w:tcPr>
                  <w:tcW w:w="569" w:type="pct"/>
                  <w:tcBorders>
                    <w:tl2br w:val="nil"/>
                    <w:tr2bl w:val="nil"/>
                  </w:tcBorders>
                  <w:noWrap w:val="0"/>
                  <w:vAlign w:val="center"/>
                </w:tcPr>
                <w:p w14:paraId="386BB6F2">
                  <w:pPr>
                    <w:pStyle w:val="6"/>
                    <w:bidi w:val="0"/>
                    <w:ind w:left="0" w:leftChars="0" w:right="0" w:rightChars="0" w:firstLine="0" w:firstLineChars="0"/>
                    <w:jc w:val="center"/>
                    <w:rPr>
                      <w:rFonts w:hint="eastAsia"/>
                      <w:color w:val="auto"/>
                    </w:rPr>
                  </w:pPr>
                  <w:r>
                    <w:rPr>
                      <w:rFonts w:hint="eastAsia"/>
                      <w:color w:val="auto"/>
                      <w:lang w:val="en-US" w:eastAsia="zh-CN"/>
                    </w:rPr>
                    <w:t>超标</w:t>
                  </w:r>
                </w:p>
              </w:tc>
            </w:tr>
          </w:tbl>
          <w:p w14:paraId="74C7F660">
            <w:pPr>
              <w:pStyle w:val="3"/>
              <w:keepNext/>
              <w:keepLines w:val="0"/>
              <w:pageBreakBefore w:val="0"/>
              <w:widowControl w:val="0"/>
              <w:kinsoku/>
              <w:wordWrap/>
              <w:overflowPunct/>
              <w:topLinePunct w:val="0"/>
              <w:autoSpaceDE/>
              <w:autoSpaceDN/>
              <w:bidi w:val="0"/>
              <w:adjustRightInd/>
              <w:snapToGrid w:val="0"/>
              <w:spacing w:before="0" w:after="0" w:line="480" w:lineRule="exact"/>
              <w:ind w:left="0" w:firstLine="480" w:firstLineChars="200"/>
              <w:jc w:val="left"/>
              <w:textAlignment w:val="auto"/>
              <w:rPr>
                <w:rFonts w:hint="eastAsia" w:ascii="宋体" w:hAnsi="宋体" w:eastAsia="宋体" w:cs="宋体"/>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从上表的分析结果可知，区域SO</w:t>
            </w:r>
            <w:r>
              <w:rPr>
                <w:rFonts w:hint="default" w:ascii="Times New Roman" w:hAnsi="Times New Roman" w:eastAsia="宋体" w:cs="Times New Roman"/>
                <w:b w:val="0"/>
                <w:bCs w:val="0"/>
                <w:color w:val="auto"/>
                <w:sz w:val="24"/>
                <w:szCs w:val="24"/>
                <w:highlight w:val="none"/>
                <w:vertAlign w:val="subscript"/>
              </w:rPr>
              <w:t>2</w:t>
            </w:r>
            <w:r>
              <w:rPr>
                <w:rFonts w:hint="default" w:ascii="Times New Roman" w:hAnsi="Times New Roman" w:eastAsia="宋体" w:cs="Times New Roman"/>
                <w:b w:val="0"/>
                <w:bCs w:val="0"/>
                <w:color w:val="auto"/>
                <w:sz w:val="24"/>
                <w:szCs w:val="24"/>
                <w:highlight w:val="none"/>
              </w:rPr>
              <w:t>、NO</w:t>
            </w:r>
            <w:r>
              <w:rPr>
                <w:rFonts w:hint="default" w:ascii="Times New Roman" w:hAnsi="Times New Roman" w:eastAsia="宋体" w:cs="Times New Roman"/>
                <w:b w:val="0"/>
                <w:bCs w:val="0"/>
                <w:color w:val="auto"/>
                <w:sz w:val="24"/>
                <w:szCs w:val="24"/>
                <w:highlight w:val="none"/>
                <w:vertAlign w:val="subscript"/>
              </w:rPr>
              <w:t>2</w:t>
            </w:r>
            <w:r>
              <w:rPr>
                <w:rFonts w:hint="default" w:ascii="Times New Roman" w:hAnsi="Times New Roman" w:eastAsia="宋体" w:cs="Times New Roman"/>
                <w:b w:val="0"/>
                <w:bCs w:val="0"/>
                <w:color w:val="auto"/>
                <w:sz w:val="24"/>
                <w:szCs w:val="24"/>
                <w:highlight w:val="none"/>
              </w:rPr>
              <w:t>年平均和百分位数日均浓度、CO第95百分位数日平均</w:t>
            </w:r>
            <w:r>
              <w:rPr>
                <w:rFonts w:hint="eastAsia" w:ascii="Times New Roman" w:hAnsi="Times New Roman" w:eastAsia="宋体" w:cs="Times New Roman"/>
                <w:b w:val="0"/>
                <w:bCs w:val="0"/>
                <w:color w:val="auto"/>
                <w:sz w:val="24"/>
                <w:szCs w:val="24"/>
                <w:highlight w:val="none"/>
                <w:lang w:eastAsia="zh-CN"/>
              </w:rPr>
              <w:t>、</w:t>
            </w:r>
            <w:r>
              <w:rPr>
                <w:rFonts w:hint="default" w:ascii="Times New Roman" w:hAnsi="Times New Roman" w:eastAsia="宋体" w:cs="Times New Roman"/>
                <w:b w:val="0"/>
                <w:bCs w:val="0"/>
                <w:color w:val="auto"/>
                <w:kern w:val="0"/>
                <w:sz w:val="24"/>
                <w:szCs w:val="24"/>
                <w:highlight w:val="none"/>
              </w:rPr>
              <w:t>PM</w:t>
            </w:r>
            <w:r>
              <w:rPr>
                <w:rFonts w:hint="default" w:ascii="Times New Roman" w:hAnsi="Times New Roman" w:eastAsia="宋体" w:cs="Times New Roman"/>
                <w:b w:val="0"/>
                <w:bCs w:val="0"/>
                <w:color w:val="auto"/>
                <w:kern w:val="0"/>
                <w:sz w:val="24"/>
                <w:szCs w:val="24"/>
                <w:highlight w:val="none"/>
                <w:vertAlign w:val="subscript"/>
              </w:rPr>
              <w:t>2.5</w:t>
            </w:r>
            <w:r>
              <w:rPr>
                <w:rFonts w:hint="default" w:ascii="Times New Roman" w:hAnsi="Times New Roman" w:eastAsia="宋体" w:cs="Times New Roman"/>
                <w:b w:val="0"/>
                <w:bCs w:val="0"/>
                <w:color w:val="auto"/>
                <w:kern w:val="0"/>
                <w:sz w:val="24"/>
                <w:szCs w:val="24"/>
                <w:highlight w:val="none"/>
              </w:rPr>
              <w:t>年平均</w:t>
            </w:r>
            <w:r>
              <w:rPr>
                <w:rFonts w:hint="eastAsia" w:ascii="Times New Roman" w:hAnsi="Times New Roman" w:eastAsia="宋体" w:cs="Times New Roman"/>
                <w:b w:val="0"/>
                <w:bCs w:val="0"/>
                <w:color w:val="auto"/>
                <w:kern w:val="0"/>
                <w:sz w:val="24"/>
                <w:szCs w:val="24"/>
                <w:highlight w:val="none"/>
                <w:lang w:val="en-US" w:eastAsia="zh-CN"/>
              </w:rPr>
              <w:t>浓度</w:t>
            </w:r>
            <w:r>
              <w:rPr>
                <w:rFonts w:hint="default" w:ascii="Times New Roman" w:hAnsi="Times New Roman" w:eastAsia="宋体" w:cs="Times New Roman"/>
                <w:b w:val="0"/>
                <w:bCs w:val="0"/>
                <w:color w:val="auto"/>
                <w:sz w:val="24"/>
                <w:szCs w:val="24"/>
                <w:highlight w:val="none"/>
              </w:rPr>
              <w:t>及O</w:t>
            </w:r>
            <w:r>
              <w:rPr>
                <w:rFonts w:hint="default" w:ascii="Times New Roman" w:hAnsi="Times New Roman" w:eastAsia="宋体" w:cs="Times New Roman"/>
                <w:b w:val="0"/>
                <w:bCs w:val="0"/>
                <w:color w:val="auto"/>
                <w:sz w:val="24"/>
                <w:szCs w:val="24"/>
                <w:highlight w:val="none"/>
                <w:vertAlign w:val="subscript"/>
              </w:rPr>
              <w:t>3</w:t>
            </w:r>
            <w:r>
              <w:rPr>
                <w:rFonts w:hint="default" w:ascii="Times New Roman" w:hAnsi="Times New Roman" w:eastAsia="宋体" w:cs="Times New Roman"/>
                <w:b w:val="0"/>
                <w:bCs w:val="0"/>
                <w:color w:val="auto"/>
                <w:sz w:val="24"/>
                <w:szCs w:val="24"/>
                <w:highlight w:val="none"/>
              </w:rPr>
              <w:t>第90百分位数日平均浓度均满足《环境空气质量标准》（GB3095—20</w:t>
            </w:r>
            <w:r>
              <w:rPr>
                <w:rFonts w:hint="eastAsia" w:eastAsia="宋体" w:cs="Times New Roman"/>
                <w:b w:val="0"/>
                <w:bCs w:val="0"/>
                <w:color w:val="auto"/>
                <w:sz w:val="24"/>
                <w:szCs w:val="24"/>
                <w:highlight w:val="none"/>
                <w:lang w:val="en-US" w:eastAsia="zh-CN"/>
              </w:rPr>
              <w:t>26</w:t>
            </w:r>
            <w:r>
              <w:rPr>
                <w:rFonts w:hint="default" w:ascii="Times New Roman" w:hAnsi="Times New Roman" w:eastAsia="宋体" w:cs="Times New Roman"/>
                <w:b w:val="0"/>
                <w:bCs w:val="0"/>
                <w:color w:val="auto"/>
                <w:sz w:val="24"/>
                <w:szCs w:val="24"/>
                <w:highlight w:val="none"/>
              </w:rPr>
              <w:t>）的二级标准要求；</w:t>
            </w:r>
            <w:r>
              <w:rPr>
                <w:rFonts w:hint="default" w:ascii="Times New Roman" w:hAnsi="Times New Roman" w:eastAsia="宋体" w:cs="Times New Roman"/>
                <w:b w:val="0"/>
                <w:bCs w:val="0"/>
                <w:color w:val="auto"/>
                <w:kern w:val="0"/>
                <w:sz w:val="24"/>
                <w:szCs w:val="24"/>
                <w:highlight w:val="none"/>
              </w:rPr>
              <w:t>PM</w:t>
            </w:r>
            <w:r>
              <w:rPr>
                <w:rFonts w:hint="default" w:ascii="Times New Roman" w:hAnsi="Times New Roman" w:eastAsia="宋体" w:cs="Times New Roman"/>
                <w:b w:val="0"/>
                <w:bCs w:val="0"/>
                <w:color w:val="auto"/>
                <w:kern w:val="0"/>
                <w:sz w:val="24"/>
                <w:szCs w:val="24"/>
                <w:highlight w:val="none"/>
                <w:vertAlign w:val="subscript"/>
              </w:rPr>
              <w:t>2.5</w:t>
            </w:r>
            <w:r>
              <w:rPr>
                <w:rFonts w:hint="default" w:ascii="Times New Roman" w:hAnsi="Times New Roman" w:eastAsia="宋体" w:cs="Times New Roman"/>
                <w:b w:val="0"/>
                <w:bCs w:val="0"/>
                <w:color w:val="auto"/>
                <w:sz w:val="24"/>
                <w:szCs w:val="24"/>
                <w:highlight w:val="none"/>
              </w:rPr>
              <w:t>第95百分位数日平均</w:t>
            </w:r>
            <w:r>
              <w:rPr>
                <w:rFonts w:hint="eastAsia" w:ascii="Times New Roman" w:hAnsi="Times New Roman" w:eastAsia="宋体" w:cs="Times New Roman"/>
                <w:b w:val="0"/>
                <w:bCs w:val="0"/>
                <w:color w:val="auto"/>
                <w:sz w:val="24"/>
                <w:szCs w:val="24"/>
                <w:highlight w:val="none"/>
                <w:lang w:eastAsia="zh-CN"/>
              </w:rPr>
              <w:t>、</w:t>
            </w:r>
            <w:r>
              <w:rPr>
                <w:rFonts w:hint="default" w:ascii="Times New Roman" w:hAnsi="Times New Roman" w:eastAsia="宋体" w:cs="Times New Roman"/>
                <w:b w:val="0"/>
                <w:bCs w:val="0"/>
                <w:color w:val="auto"/>
                <w:sz w:val="24"/>
                <w:szCs w:val="24"/>
                <w:highlight w:val="none"/>
              </w:rPr>
              <w:t>PM</w:t>
            </w:r>
            <w:r>
              <w:rPr>
                <w:rFonts w:hint="default" w:ascii="Times New Roman" w:hAnsi="Times New Roman" w:eastAsia="宋体" w:cs="Times New Roman"/>
                <w:b w:val="0"/>
                <w:bCs w:val="0"/>
                <w:color w:val="auto"/>
                <w:sz w:val="24"/>
                <w:szCs w:val="24"/>
                <w:highlight w:val="none"/>
                <w:vertAlign w:val="subscript"/>
              </w:rPr>
              <w:t>10</w:t>
            </w:r>
            <w:r>
              <w:rPr>
                <w:rFonts w:hint="default" w:ascii="Times New Roman" w:hAnsi="Times New Roman" w:eastAsia="宋体" w:cs="Times New Roman"/>
                <w:b w:val="0"/>
                <w:bCs w:val="0"/>
                <w:color w:val="auto"/>
                <w:sz w:val="24"/>
                <w:szCs w:val="24"/>
                <w:highlight w:val="none"/>
              </w:rPr>
              <w:t>的第95百分位数日平均、年平均浓度均超过《环境空气质量标准》（GB3095—20</w:t>
            </w:r>
            <w:r>
              <w:rPr>
                <w:rFonts w:hint="eastAsia" w:eastAsia="宋体" w:cs="Times New Roman"/>
                <w:b w:val="0"/>
                <w:bCs w:val="0"/>
                <w:color w:val="auto"/>
                <w:sz w:val="24"/>
                <w:szCs w:val="24"/>
                <w:highlight w:val="none"/>
                <w:lang w:val="en-US" w:eastAsia="zh-CN"/>
              </w:rPr>
              <w:t>26</w:t>
            </w:r>
            <w:r>
              <w:rPr>
                <w:rFonts w:hint="default" w:ascii="Times New Roman" w:hAnsi="Times New Roman" w:eastAsia="宋体" w:cs="Times New Roman"/>
                <w:b w:val="0"/>
                <w:bCs w:val="0"/>
                <w:color w:val="auto"/>
                <w:sz w:val="24"/>
                <w:szCs w:val="24"/>
                <w:highlight w:val="none"/>
              </w:rPr>
              <w:t>）中二级标准要求，区域为不达标区域。导致PM</w:t>
            </w:r>
            <w:r>
              <w:rPr>
                <w:rFonts w:hint="default" w:ascii="Times New Roman" w:hAnsi="Times New Roman" w:eastAsia="宋体" w:cs="Times New Roman"/>
                <w:b w:val="0"/>
                <w:bCs w:val="0"/>
                <w:color w:val="auto"/>
                <w:sz w:val="24"/>
                <w:szCs w:val="24"/>
                <w:highlight w:val="none"/>
                <w:vertAlign w:val="subscript"/>
              </w:rPr>
              <w:t>10</w:t>
            </w:r>
            <w:r>
              <w:rPr>
                <w:rFonts w:hint="default" w:ascii="Times New Roman" w:hAnsi="Times New Roman" w:eastAsia="宋体" w:cs="Times New Roman"/>
                <w:b w:val="0"/>
                <w:bCs w:val="0"/>
                <w:color w:val="auto"/>
                <w:sz w:val="24"/>
                <w:szCs w:val="24"/>
                <w:highlight w:val="none"/>
              </w:rPr>
              <w:t>与PM</w:t>
            </w:r>
            <w:r>
              <w:rPr>
                <w:rFonts w:hint="default" w:ascii="Times New Roman" w:hAnsi="Times New Roman" w:eastAsia="宋体" w:cs="Times New Roman"/>
                <w:b w:val="0"/>
                <w:bCs w:val="0"/>
                <w:color w:val="auto"/>
                <w:sz w:val="24"/>
                <w:szCs w:val="24"/>
                <w:highlight w:val="none"/>
                <w:vertAlign w:val="subscript"/>
              </w:rPr>
              <w:t>2.5</w:t>
            </w:r>
            <w:r>
              <w:rPr>
                <w:rFonts w:hint="default" w:ascii="Times New Roman" w:hAnsi="Times New Roman" w:eastAsia="宋体" w:cs="Times New Roman"/>
                <w:b w:val="0"/>
                <w:bCs w:val="0"/>
                <w:color w:val="auto"/>
                <w:sz w:val="24"/>
                <w:szCs w:val="24"/>
                <w:highlight w:val="none"/>
              </w:rPr>
              <w:t>超标的主</w:t>
            </w:r>
            <w:r>
              <w:rPr>
                <w:rFonts w:hint="eastAsia" w:ascii="宋体" w:hAnsi="宋体" w:eastAsia="宋体" w:cs="宋体"/>
                <w:b w:val="0"/>
                <w:bCs w:val="0"/>
                <w:color w:val="auto"/>
                <w:sz w:val="24"/>
                <w:szCs w:val="24"/>
                <w:highlight w:val="none"/>
              </w:rPr>
              <w:t>要原因是项目区域地处干旱沙漠边缘有关，受自然因素的影响比较明显。</w:t>
            </w:r>
          </w:p>
          <w:p w14:paraId="1BB80BF4">
            <w:pPr>
              <w:pStyle w:val="45"/>
              <w:bidi w:val="0"/>
              <w:rPr>
                <w:rFonts w:hint="default"/>
                <w:color w:val="auto"/>
                <w:highlight w:val="none"/>
                <w:lang w:val="en-US" w:eastAsia="zh-CN"/>
              </w:rPr>
            </w:pPr>
            <w:r>
              <w:rPr>
                <w:rFonts w:hint="eastAsia"/>
                <w:color w:val="auto"/>
                <w:highlight w:val="none"/>
                <w:lang w:val="en-US" w:eastAsia="zh-CN"/>
              </w:rPr>
              <w:t>3地表</w:t>
            </w:r>
            <w:r>
              <w:rPr>
                <w:rFonts w:hint="default"/>
                <w:color w:val="auto"/>
                <w:highlight w:val="none"/>
              </w:rPr>
              <w:t>水环境质量现状</w:t>
            </w:r>
          </w:p>
          <w:p w14:paraId="11BCA2F5">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项目</w:t>
            </w:r>
            <w:r>
              <w:rPr>
                <w:rFonts w:hint="eastAsia" w:cs="Times New Roman"/>
                <w:b w:val="0"/>
                <w:bCs w:val="0"/>
                <w:color w:val="auto"/>
                <w:sz w:val="24"/>
                <w:szCs w:val="24"/>
                <w:highlight w:val="none"/>
                <w:lang w:val="en-US" w:eastAsia="zh-CN"/>
              </w:rPr>
              <w:t>探矿过程中</w:t>
            </w:r>
            <w:r>
              <w:rPr>
                <w:rFonts w:hint="default" w:ascii="Times New Roman" w:hAnsi="Times New Roman" w:eastAsia="宋体" w:cs="Times New Roman"/>
                <w:b w:val="0"/>
                <w:bCs w:val="0"/>
                <w:color w:val="auto"/>
                <w:sz w:val="24"/>
                <w:szCs w:val="24"/>
                <w:highlight w:val="none"/>
                <w:lang w:val="en-US" w:eastAsia="zh-CN"/>
              </w:rPr>
              <w:t>产生的废水</w:t>
            </w:r>
            <w:r>
              <w:rPr>
                <w:rFonts w:hint="eastAsia" w:ascii="Times New Roman" w:hAnsi="Times New Roman" w:eastAsia="宋体" w:cs="Times New Roman"/>
                <w:b w:val="0"/>
                <w:bCs w:val="0"/>
                <w:color w:val="auto"/>
                <w:sz w:val="24"/>
                <w:szCs w:val="24"/>
                <w:highlight w:val="none"/>
                <w:lang w:val="en-US" w:eastAsia="zh-CN"/>
              </w:rPr>
              <w:t>主要</w:t>
            </w:r>
            <w:r>
              <w:rPr>
                <w:rFonts w:hint="default" w:ascii="Times New Roman" w:hAnsi="Times New Roman" w:eastAsia="宋体" w:cs="Times New Roman"/>
                <w:b w:val="0"/>
                <w:bCs w:val="0"/>
                <w:color w:val="auto"/>
                <w:sz w:val="24"/>
                <w:szCs w:val="24"/>
                <w:highlight w:val="none"/>
                <w:lang w:val="en-US" w:eastAsia="zh-CN"/>
              </w:rPr>
              <w:t>为生活污水</w:t>
            </w:r>
            <w:r>
              <w:rPr>
                <w:rFonts w:hint="eastAsia" w:ascii="Times New Roman" w:hAnsi="Times New Roman" w:eastAsia="宋体" w:cs="Times New Roman"/>
                <w:b w:val="0"/>
                <w:bCs w:val="0"/>
                <w:color w:val="auto"/>
                <w:sz w:val="24"/>
                <w:szCs w:val="24"/>
                <w:highlight w:val="none"/>
                <w:lang w:val="en-US" w:eastAsia="zh-CN"/>
              </w:rPr>
              <w:t>、设备冲洗水</w:t>
            </w:r>
            <w:r>
              <w:rPr>
                <w:rFonts w:hint="default" w:ascii="Times New Roman" w:hAnsi="Times New Roman" w:eastAsia="宋体" w:cs="Times New Roman"/>
                <w:b w:val="0"/>
                <w:bCs w:val="0"/>
                <w:color w:val="auto"/>
                <w:sz w:val="24"/>
                <w:szCs w:val="24"/>
                <w:highlight w:val="none"/>
                <w:lang w:val="en-US" w:eastAsia="zh-CN"/>
              </w:rPr>
              <w:t>。</w:t>
            </w:r>
            <w:r>
              <w:rPr>
                <w:rFonts w:hint="eastAsia" w:ascii="Times New Roman" w:hAnsi="Times New Roman" w:eastAsia="宋体" w:cs="Times New Roman"/>
                <w:b w:val="0"/>
                <w:bCs w:val="0"/>
                <w:color w:val="auto"/>
                <w:sz w:val="24"/>
                <w:szCs w:val="24"/>
                <w:highlight w:val="none"/>
                <w:lang w:eastAsia="zh-CN"/>
              </w:rPr>
              <w:t>生活污水</w:t>
            </w:r>
            <w:r>
              <w:rPr>
                <w:rFonts w:hint="eastAsia" w:ascii="Times New Roman" w:hAnsi="Times New Roman" w:eastAsia="宋体" w:cs="Times New Roman"/>
                <w:b w:val="0"/>
                <w:bCs w:val="0"/>
                <w:color w:val="auto"/>
                <w:sz w:val="24"/>
                <w:szCs w:val="24"/>
                <w:highlight w:val="none"/>
                <w:lang w:val="en-US" w:eastAsia="zh-CN"/>
              </w:rPr>
              <w:t>经化粪池处理后自然蒸干，不外排；</w:t>
            </w:r>
            <w:r>
              <w:rPr>
                <w:rFonts w:hint="eastAsia" w:ascii="Times New Roman" w:hAnsi="Times New Roman" w:eastAsia="宋体" w:cs="Times New Roman"/>
                <w:b w:val="0"/>
                <w:bCs w:val="0"/>
                <w:color w:val="auto"/>
                <w:sz w:val="24"/>
                <w:szCs w:val="24"/>
                <w:highlight w:val="none"/>
                <w:lang w:eastAsia="zh-CN"/>
              </w:rPr>
              <w:t>钻井设备冲洗水收集于沉淀池内</w:t>
            </w:r>
            <w:r>
              <w:rPr>
                <w:rFonts w:hint="eastAsia" w:cs="Times New Roman"/>
                <w:b w:val="0"/>
                <w:bCs w:val="0"/>
                <w:color w:val="auto"/>
                <w:sz w:val="24"/>
                <w:szCs w:val="24"/>
                <w:highlight w:val="none"/>
                <w:lang w:eastAsia="zh-CN"/>
              </w:rPr>
              <w:t>，</w:t>
            </w:r>
            <w:r>
              <w:rPr>
                <w:rFonts w:hint="eastAsia" w:cs="Times New Roman"/>
                <w:b w:val="0"/>
                <w:bCs w:val="0"/>
                <w:color w:val="auto"/>
                <w:sz w:val="24"/>
                <w:szCs w:val="24"/>
                <w:highlight w:val="none"/>
                <w:lang w:val="en-US" w:eastAsia="zh-CN"/>
              </w:rPr>
              <w:t>用于洒水抑尘，</w:t>
            </w:r>
            <w:r>
              <w:rPr>
                <w:rFonts w:hint="eastAsia" w:ascii="Times New Roman" w:hAnsi="Times New Roman" w:eastAsia="宋体" w:cs="Times New Roman"/>
                <w:b w:val="0"/>
                <w:bCs w:val="0"/>
                <w:color w:val="auto"/>
                <w:sz w:val="24"/>
                <w:szCs w:val="24"/>
                <w:highlight w:val="none"/>
                <w:lang w:eastAsia="zh-CN"/>
              </w:rPr>
              <w:t>全部自然蒸干，</w:t>
            </w:r>
            <w:r>
              <w:rPr>
                <w:rFonts w:hint="default" w:ascii="Times New Roman" w:hAnsi="Times New Roman" w:eastAsia="宋体" w:cs="Times New Roman"/>
                <w:b w:val="0"/>
                <w:bCs w:val="0"/>
                <w:color w:val="auto"/>
                <w:sz w:val="24"/>
                <w:szCs w:val="24"/>
                <w:highlight w:val="none"/>
                <w:lang w:val="en-US" w:eastAsia="zh-CN"/>
              </w:rPr>
              <w:t>不向地表水环境排放</w:t>
            </w:r>
            <w:r>
              <w:rPr>
                <w:rFonts w:hint="eastAsia" w:cs="Times New Roman"/>
                <w:b w:val="0"/>
                <w:bCs w:val="0"/>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钻探工程结束后，钻井泥浆全部排入沉淀池</w:t>
            </w:r>
            <w:r>
              <w:rPr>
                <w:rFonts w:hint="eastAsia" w:cs="Times New Roman"/>
                <w:color w:val="auto"/>
                <w:sz w:val="24"/>
                <w:szCs w:val="24"/>
                <w:highlight w:val="none"/>
                <w:lang w:val="en-US" w:eastAsia="zh-CN"/>
              </w:rPr>
              <w:t>蒸干</w:t>
            </w:r>
            <w:r>
              <w:rPr>
                <w:rFonts w:hint="eastAsia"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不外排，沉淀固体固化后就地填埋</w:t>
            </w:r>
            <w:r>
              <w:rPr>
                <w:rFonts w:hint="eastAsia" w:ascii="Times New Roman" w:hAnsi="Times New Roman" w:eastAsia="宋体" w:cs="Times New Roman"/>
                <w:color w:val="auto"/>
                <w:sz w:val="24"/>
                <w:szCs w:val="24"/>
                <w:highlight w:val="none"/>
                <w:vertAlign w:val="baseline"/>
                <w:lang w:val="en-US" w:eastAsia="zh-CN"/>
              </w:rPr>
              <w:t>。</w:t>
            </w:r>
            <w:r>
              <w:rPr>
                <w:rFonts w:hint="default" w:ascii="Times New Roman" w:hAnsi="Times New Roman" w:eastAsia="宋体" w:cs="Times New Roman"/>
                <w:b w:val="0"/>
                <w:bCs w:val="0"/>
                <w:color w:val="auto"/>
                <w:sz w:val="24"/>
                <w:szCs w:val="24"/>
                <w:highlight w:val="none"/>
                <w:lang w:val="en-US" w:eastAsia="zh-CN"/>
              </w:rPr>
              <w:t>根据《环境影响评价技术导则 地表水环境》（HJ2.3-2018），本项目不向周围地表水体排放废水，也不进行涉水项目建设，不会对地表水水文要素产生影响</w:t>
            </w:r>
            <w:r>
              <w:rPr>
                <w:rFonts w:hint="eastAsia" w:cs="Times New Roman"/>
                <w:b w:val="0"/>
                <w:bCs w:val="0"/>
                <w:color w:val="auto"/>
                <w:sz w:val="24"/>
                <w:szCs w:val="24"/>
                <w:highlight w:val="none"/>
                <w:lang w:val="en-US" w:eastAsia="zh-CN"/>
              </w:rPr>
              <w:t>，</w:t>
            </w:r>
            <w:r>
              <w:rPr>
                <w:rFonts w:hint="default" w:ascii="Times New Roman" w:hAnsi="Times New Roman" w:eastAsia="宋体" w:cs="Times New Roman"/>
                <w:color w:val="auto"/>
                <w:sz w:val="24"/>
                <w:szCs w:val="24"/>
                <w:lang w:val="en-US" w:eastAsia="zh-CN"/>
              </w:rPr>
              <w:t>因此不进行地表水环境现状调查。</w:t>
            </w:r>
          </w:p>
          <w:p w14:paraId="38AD8B4F">
            <w:pPr>
              <w:pStyle w:val="45"/>
              <w:bidi w:val="0"/>
              <w:rPr>
                <w:rFonts w:hint="default"/>
                <w:color w:val="auto"/>
              </w:rPr>
            </w:pPr>
            <w:r>
              <w:rPr>
                <w:rFonts w:hint="eastAsia"/>
                <w:color w:val="auto"/>
                <w:lang w:val="en-US" w:eastAsia="zh-CN"/>
              </w:rPr>
              <w:t>4</w:t>
            </w:r>
            <w:r>
              <w:rPr>
                <w:rFonts w:hint="default"/>
                <w:color w:val="auto"/>
              </w:rPr>
              <w:t>声环境质量现状</w:t>
            </w:r>
          </w:p>
          <w:p w14:paraId="2B69EAB5">
            <w:pPr>
              <w:pStyle w:val="46"/>
              <w:bidi w:val="0"/>
              <w:rPr>
                <w:rFonts w:hint="default"/>
                <w:color w:val="auto"/>
              </w:rPr>
            </w:pPr>
            <w:r>
              <w:rPr>
                <w:rFonts w:hint="eastAsia"/>
                <w:color w:val="auto"/>
                <w:lang w:val="en-US" w:eastAsia="zh-CN"/>
              </w:rPr>
              <w:t>参照</w:t>
            </w:r>
            <w:r>
              <w:rPr>
                <w:rFonts w:hint="default"/>
                <w:color w:val="auto"/>
              </w:rPr>
              <w:t>《建设项目环境影响报告表编制技术指南（污染影响类）（试行）》，</w:t>
            </w:r>
            <w:r>
              <w:rPr>
                <w:rFonts w:hint="eastAsia"/>
                <w:color w:val="auto"/>
                <w:lang w:val="en-US" w:eastAsia="zh-CN"/>
              </w:rPr>
              <w:t>本项目探矿区</w:t>
            </w:r>
            <w:r>
              <w:rPr>
                <w:rFonts w:hint="default"/>
                <w:color w:val="auto"/>
              </w:rPr>
              <w:t>外周边50米范围内不存在声环境保护目标的建设项目，不需要监测声环境质量现状并评价达标情况。</w:t>
            </w:r>
          </w:p>
          <w:p w14:paraId="131E1AEA">
            <w:pPr>
              <w:pStyle w:val="45"/>
              <w:bidi w:val="0"/>
              <w:rPr>
                <w:rFonts w:hint="default"/>
                <w:color w:val="auto"/>
              </w:rPr>
            </w:pPr>
            <w:r>
              <w:rPr>
                <w:rFonts w:hint="eastAsia"/>
                <w:color w:val="auto"/>
                <w:lang w:val="en-US" w:eastAsia="zh-CN"/>
              </w:rPr>
              <w:t>5</w:t>
            </w:r>
            <w:r>
              <w:rPr>
                <w:rFonts w:hint="eastAsia"/>
                <w:color w:val="auto"/>
                <w:lang w:eastAsia="zh-CN"/>
              </w:rPr>
              <w:t>地下水</w:t>
            </w:r>
            <w:r>
              <w:rPr>
                <w:rFonts w:hint="default"/>
                <w:color w:val="auto"/>
              </w:rPr>
              <w:t>环境质量现状</w:t>
            </w:r>
          </w:p>
          <w:p w14:paraId="39EE7495">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本项目为</w:t>
            </w:r>
            <w:r>
              <w:rPr>
                <w:rFonts w:hint="default" w:ascii="Times New Roman" w:hAnsi="Times New Roman" w:eastAsia="宋体" w:cs="Times New Roman"/>
                <w:color w:val="auto"/>
                <w:sz w:val="24"/>
                <w:highlight w:val="none"/>
                <w:lang w:val="en-US" w:eastAsia="zh-CN"/>
              </w:rPr>
              <w:t>陆地矿产资源地质勘查项目，根据</w:t>
            </w:r>
            <w:r>
              <w:rPr>
                <w:rFonts w:hint="default" w:ascii="Times New Roman" w:hAnsi="Times New Roman" w:eastAsia="宋体" w:cs="Times New Roman"/>
                <w:color w:val="auto"/>
                <w:sz w:val="24"/>
                <w:highlight w:val="none"/>
              </w:rPr>
              <w:t>《环境影响评价技术导则</w:t>
            </w:r>
            <w:r>
              <w:rPr>
                <w:rFonts w:hint="default" w:ascii="Times New Roman" w:hAnsi="Times New Roman"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地下水</w:t>
            </w:r>
            <w:r>
              <w:rPr>
                <w:rFonts w:hint="default" w:ascii="Times New Roman" w:hAnsi="Times New Roman" w:eastAsia="宋体" w:cs="Times New Roman"/>
                <w:color w:val="auto"/>
                <w:sz w:val="24"/>
                <w:highlight w:val="none"/>
              </w:rPr>
              <w:t>环境》（HJ2.2-201</w:t>
            </w:r>
            <w:r>
              <w:rPr>
                <w:rFonts w:hint="default" w:ascii="Times New Roman" w:hAnsi="Times New Roman" w:eastAsia="宋体" w:cs="Times New Roman"/>
                <w:color w:val="auto"/>
                <w:sz w:val="24"/>
                <w:highlight w:val="none"/>
                <w:lang w:val="en-US" w:eastAsia="zh-CN"/>
              </w:rPr>
              <w:t>6</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eastAsia="zh-CN"/>
              </w:rPr>
              <w:t>，属于</w:t>
            </w:r>
            <w:r>
              <w:rPr>
                <w:rFonts w:hint="default" w:ascii="Times New Roman" w:hAnsi="Times New Roman" w:eastAsia="宋体" w:cs="Times New Roman"/>
                <w:color w:val="auto"/>
                <w:sz w:val="24"/>
                <w:highlight w:val="none"/>
                <w:lang w:val="en-US" w:eastAsia="zh-CN"/>
              </w:rPr>
              <w:t>附录A中：24.矿产资源地质勘查（包括勘探活动），地下水环境影响评价项目类别为</w:t>
            </w:r>
            <w:r>
              <w:rPr>
                <w:rFonts w:hint="default" w:ascii="Times New Roman" w:hAnsi="Times New Roman" w:cs="Times New Roman"/>
                <w:color w:val="auto"/>
                <w:sz w:val="24"/>
                <w:highlight w:val="none"/>
                <w:lang w:val="en-US" w:eastAsia="zh-CN"/>
              </w:rPr>
              <w:t>Ⅳ类</w:t>
            </w:r>
            <w:r>
              <w:rPr>
                <w:rFonts w:hint="default" w:ascii="Times New Roman" w:hAnsi="Times New Roman" w:eastAsia="宋体" w:cs="Times New Roman"/>
                <w:color w:val="auto"/>
                <w:sz w:val="24"/>
                <w:highlight w:val="none"/>
                <w:lang w:val="en-US" w:eastAsia="zh-CN"/>
              </w:rPr>
              <w:t>。因此，本项目不开展地下水环境质量现状调查评价。</w:t>
            </w:r>
          </w:p>
          <w:p w14:paraId="2285DD16">
            <w:pPr>
              <w:pStyle w:val="45"/>
              <w:bidi w:val="0"/>
              <w:rPr>
                <w:rFonts w:hint="default"/>
                <w:color w:val="auto"/>
                <w:lang w:val="en-US" w:eastAsia="zh-CN"/>
              </w:rPr>
            </w:pPr>
            <w:r>
              <w:rPr>
                <w:rFonts w:hint="eastAsia"/>
                <w:color w:val="auto"/>
                <w:lang w:val="en-US" w:eastAsia="zh-CN"/>
              </w:rPr>
              <w:t>6土壤环境质量现状</w:t>
            </w:r>
          </w:p>
          <w:p w14:paraId="0BA143CF">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eastAsia="zh-CN"/>
              </w:rPr>
              <w:t>根据《环境影响评价技术导则 土壤环境》（HJ964-2018），</w:t>
            </w:r>
            <w:r>
              <w:rPr>
                <w:rFonts w:hint="default" w:ascii="Times New Roman" w:hAnsi="Times New Roman" w:eastAsia="宋体" w:cs="Times New Roman"/>
                <w:color w:val="auto"/>
                <w:sz w:val="24"/>
                <w:highlight w:val="none"/>
                <w:lang w:val="en-US" w:eastAsia="zh-CN"/>
              </w:rPr>
              <w:t>本项目为地质勘探类项目，</w:t>
            </w:r>
            <w:r>
              <w:rPr>
                <w:rFonts w:hint="default" w:ascii="Times New Roman" w:hAnsi="Times New Roman" w:eastAsia="宋体" w:cs="Times New Roman"/>
                <w:color w:val="auto"/>
                <w:sz w:val="24"/>
                <w:highlight w:val="none"/>
                <w:lang w:eastAsia="zh-CN"/>
              </w:rPr>
              <w:t>属于“其他行业－</w:t>
            </w:r>
            <w:r>
              <w:rPr>
                <w:rFonts w:hint="default" w:ascii="Times New Roman" w:hAnsi="Times New Roman" w:eastAsia="宋体" w:cs="Times New Roman"/>
                <w:color w:val="auto"/>
                <w:sz w:val="24"/>
                <w:highlight w:val="none"/>
                <w:lang w:val="en-US" w:eastAsia="zh-CN"/>
              </w:rPr>
              <w:t>全部</w:t>
            </w:r>
            <w:r>
              <w:rPr>
                <w:rFonts w:hint="default" w:ascii="Times New Roman" w:hAnsi="Times New Roman" w:eastAsia="宋体" w:cs="Times New Roman"/>
                <w:color w:val="auto"/>
                <w:sz w:val="24"/>
                <w:highlight w:val="none"/>
                <w:lang w:eastAsia="zh-CN"/>
              </w:rPr>
              <w:t>”，为Ⅳ类项目，可不开展土壤</w:t>
            </w:r>
            <w:r>
              <w:rPr>
                <w:rFonts w:hint="default" w:ascii="Times New Roman" w:hAnsi="Times New Roman" w:eastAsia="宋体" w:cs="Times New Roman"/>
                <w:color w:val="auto"/>
                <w:sz w:val="24"/>
                <w:highlight w:val="none"/>
                <w:lang w:val="en-US" w:eastAsia="zh-CN"/>
              </w:rPr>
              <w:t>现状调查</w:t>
            </w:r>
            <w:r>
              <w:rPr>
                <w:rFonts w:hint="default" w:ascii="Times New Roman" w:hAnsi="Times New Roman" w:eastAsia="宋体" w:cs="Times New Roman"/>
                <w:color w:val="auto"/>
                <w:sz w:val="24"/>
                <w:highlight w:val="none"/>
                <w:lang w:eastAsia="zh-CN"/>
              </w:rPr>
              <w:t>。</w:t>
            </w:r>
          </w:p>
          <w:p w14:paraId="75887389">
            <w:pPr>
              <w:adjustRightInd w:val="0"/>
              <w:snapToGrid w:val="0"/>
              <w:jc w:val="center"/>
              <w:rPr>
                <w:rFonts w:ascii="宋体" w:hAnsi="宋体" w:cs="宋体"/>
                <w:color w:val="auto"/>
                <w:kern w:val="0"/>
                <w:szCs w:val="21"/>
              </w:rPr>
            </w:pPr>
          </w:p>
        </w:tc>
      </w:tr>
      <w:tr w14:paraId="0011D7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76" w:hRule="atLeast"/>
          <w:jc w:val="center"/>
        </w:trPr>
        <w:tc>
          <w:tcPr>
            <w:tcW w:w="904" w:type="dxa"/>
            <w:noWrap w:val="0"/>
            <w:vAlign w:val="center"/>
          </w:tcPr>
          <w:p w14:paraId="1403D3E8">
            <w:pPr>
              <w:adjustRightInd w:val="0"/>
              <w:snapToGrid w:val="0"/>
              <w:jc w:val="center"/>
              <w:rPr>
                <w:rFonts w:ascii="宋体" w:hAnsi="宋体" w:cs="宋体"/>
                <w:color w:val="auto"/>
                <w:kern w:val="0"/>
                <w:szCs w:val="21"/>
              </w:rPr>
            </w:pPr>
            <w:r>
              <w:rPr>
                <w:rFonts w:hint="eastAsia" w:ascii="宋体" w:hAnsi="宋体"/>
                <w:bCs/>
                <w:color w:val="auto"/>
                <w:szCs w:val="21"/>
              </w:rPr>
              <w:t>与项目有关的原有环境污染和生态破坏问题</w:t>
            </w:r>
          </w:p>
        </w:tc>
        <w:tc>
          <w:tcPr>
            <w:tcW w:w="8115" w:type="dxa"/>
            <w:noWrap w:val="0"/>
            <w:vAlign w:val="center"/>
          </w:tcPr>
          <w:p w14:paraId="10240FA3">
            <w:pPr>
              <w:pStyle w:val="46"/>
              <w:bidi w:val="0"/>
              <w:ind w:left="0" w:leftChars="0" w:firstLine="0" w:firstLineChars="0"/>
              <w:jc w:val="center"/>
              <w:rPr>
                <w:rFonts w:ascii="宋体" w:hAnsi="宋体" w:cs="宋体"/>
                <w:color w:val="auto"/>
                <w:kern w:val="0"/>
                <w:szCs w:val="21"/>
              </w:rPr>
            </w:pPr>
            <w:r>
              <w:rPr>
                <w:rFonts w:hint="eastAsia" w:ascii="Times New Roman" w:hAnsi="Times New Roman" w:eastAsia="宋体" w:cs="Times New Roman"/>
                <w:color w:val="auto"/>
                <w:sz w:val="24"/>
                <w:highlight w:val="none"/>
              </w:rPr>
              <w:t>本项目属于新建项目，</w:t>
            </w:r>
            <w:r>
              <w:rPr>
                <w:rFonts w:hint="eastAsia" w:cs="Times New Roman"/>
                <w:color w:val="auto"/>
                <w:sz w:val="24"/>
                <w:highlight w:val="none"/>
                <w:lang w:val="en-US" w:eastAsia="zh-CN"/>
              </w:rPr>
              <w:t>无原有环境污染问题。</w:t>
            </w:r>
          </w:p>
        </w:tc>
      </w:tr>
      <w:tr w14:paraId="1D254C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90" w:hRule="atLeast"/>
          <w:jc w:val="center"/>
        </w:trPr>
        <w:tc>
          <w:tcPr>
            <w:tcW w:w="904" w:type="dxa"/>
            <w:noWrap w:val="0"/>
            <w:vAlign w:val="center"/>
          </w:tcPr>
          <w:p w14:paraId="2308E4D1">
            <w:pPr>
              <w:adjustRightInd w:val="0"/>
              <w:snapToGrid w:val="0"/>
              <w:jc w:val="center"/>
              <w:rPr>
                <w:rFonts w:ascii="宋体" w:hAnsi="宋体" w:cs="宋体"/>
                <w:color w:val="auto"/>
                <w:kern w:val="0"/>
                <w:szCs w:val="21"/>
              </w:rPr>
            </w:pPr>
            <w:r>
              <w:rPr>
                <w:rFonts w:hint="eastAsia" w:ascii="宋体" w:hAnsi="宋体" w:cs="宋体"/>
                <w:color w:val="auto"/>
                <w:kern w:val="0"/>
                <w:szCs w:val="21"/>
              </w:rPr>
              <w:t>生态环境保护目标</w:t>
            </w:r>
          </w:p>
        </w:tc>
        <w:tc>
          <w:tcPr>
            <w:tcW w:w="8115" w:type="dxa"/>
            <w:noWrap w:val="0"/>
            <w:vAlign w:val="center"/>
          </w:tcPr>
          <w:p w14:paraId="53552846">
            <w:pPr>
              <w:pStyle w:val="46"/>
              <w:bidi w:val="0"/>
              <w:rPr>
                <w:rFonts w:ascii="宋体" w:hAnsi="宋体" w:cs="宋体"/>
                <w:color w:val="auto"/>
                <w:kern w:val="0"/>
                <w:szCs w:val="21"/>
              </w:rPr>
            </w:pPr>
            <w:r>
              <w:rPr>
                <w:rFonts w:hint="eastAsia" w:ascii="Times New Roman" w:hAnsi="Times New Roman" w:eastAsia="宋体" w:cs="宋体"/>
                <w:color w:val="auto"/>
                <w:lang w:val="en-US" w:eastAsia="zh-CN"/>
              </w:rPr>
              <w:t>勘探区位于新疆维吾尔自治区巴音郭楞蒙古自治州且末县库拉木勒克乡，距且末县城东南95°方向约122km处</w:t>
            </w:r>
            <w:r>
              <w:rPr>
                <w:rFonts w:hint="eastAsia" w:ascii="Times New Roman" w:hAnsi="Times New Roman" w:eastAsia="宋体" w:cs="宋体"/>
                <w:color w:val="auto"/>
                <w:lang w:val="zh-CN" w:eastAsia="zh-CN"/>
              </w:rPr>
              <w:t>。</w:t>
            </w:r>
            <w:r>
              <w:rPr>
                <w:rFonts w:hint="eastAsia" w:ascii="Times New Roman" w:hAnsi="Times New Roman" w:eastAsia="宋体" w:cs="宋体"/>
                <w:color w:val="auto"/>
                <w:lang w:val="en-US" w:eastAsia="zh-CN"/>
              </w:rPr>
              <w:t>根据《环境影响评价技术导则 生态影响》（HJ19-2022）本项目评价等级为三级，评价范围为项目占地范围内，项目周边不涉及自然保护区、风景名胜区。</w:t>
            </w:r>
          </w:p>
        </w:tc>
      </w:tr>
      <w:tr w14:paraId="72E6E6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904" w:type="dxa"/>
            <w:noWrap w:val="0"/>
            <w:vAlign w:val="center"/>
          </w:tcPr>
          <w:p w14:paraId="07C9C895">
            <w:pPr>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评价</w:t>
            </w:r>
          </w:p>
          <w:p w14:paraId="33543386">
            <w:pPr>
              <w:adjustRightInd w:val="0"/>
              <w:snapToGrid w:val="0"/>
              <w:jc w:val="center"/>
              <w:rPr>
                <w:rFonts w:ascii="宋体" w:hAnsi="宋体" w:cs="宋体"/>
                <w:color w:val="auto"/>
                <w:kern w:val="0"/>
                <w:szCs w:val="21"/>
              </w:rPr>
            </w:pPr>
            <w:r>
              <w:rPr>
                <w:rFonts w:hint="eastAsia" w:ascii="宋体" w:hAnsi="宋体" w:cs="宋体"/>
                <w:color w:val="auto"/>
                <w:kern w:val="0"/>
                <w:szCs w:val="21"/>
              </w:rPr>
              <w:t>标准</w:t>
            </w:r>
          </w:p>
        </w:tc>
        <w:tc>
          <w:tcPr>
            <w:tcW w:w="8115" w:type="dxa"/>
            <w:noWrap w:val="0"/>
            <w:vAlign w:val="center"/>
          </w:tcPr>
          <w:p w14:paraId="52D57A2F">
            <w:pPr>
              <w:pStyle w:val="45"/>
              <w:bidi w:val="0"/>
              <w:rPr>
                <w:rFonts w:hint="default"/>
                <w:color w:val="auto"/>
                <w:lang w:val="en-US" w:eastAsia="zh-CN"/>
              </w:rPr>
            </w:pPr>
            <w:r>
              <w:rPr>
                <w:rFonts w:hint="default"/>
                <w:color w:val="auto"/>
                <w:lang w:val="en-US" w:eastAsia="zh-CN"/>
              </w:rPr>
              <w:t>1环境质量标准</w:t>
            </w:r>
          </w:p>
          <w:p w14:paraId="21499814">
            <w:pPr>
              <w:pStyle w:val="46"/>
              <w:bidi w:val="0"/>
              <w:rPr>
                <w:rFonts w:hint="default"/>
                <w:color w:val="auto"/>
                <w:lang w:val="en-US" w:eastAsia="zh-CN"/>
              </w:rPr>
            </w:pPr>
            <w:r>
              <w:rPr>
                <w:rFonts w:hint="default"/>
                <w:color w:val="auto"/>
                <w:lang w:val="en-US" w:eastAsia="zh-CN"/>
              </w:rPr>
              <w:t>（1）环境空气</w:t>
            </w:r>
          </w:p>
          <w:p w14:paraId="044B932A">
            <w:pPr>
              <w:pStyle w:val="46"/>
              <w:bidi w:val="0"/>
              <w:rPr>
                <w:rFonts w:hint="default"/>
                <w:color w:val="auto"/>
                <w:lang w:val="en-US" w:eastAsia="zh-CN"/>
              </w:rPr>
            </w:pPr>
            <w:r>
              <w:rPr>
                <w:rFonts w:hint="default"/>
                <w:color w:val="auto"/>
                <w:lang w:val="en-US" w:eastAsia="zh-CN"/>
              </w:rPr>
              <w:t>环境空气质量执行《环境空气质量标准》（GB3095-20</w:t>
            </w:r>
            <w:r>
              <w:rPr>
                <w:rFonts w:hint="eastAsia"/>
                <w:color w:val="auto"/>
                <w:lang w:val="en-US" w:eastAsia="zh-CN"/>
              </w:rPr>
              <w:t>26</w:t>
            </w:r>
            <w:r>
              <w:rPr>
                <w:rFonts w:hint="default"/>
                <w:color w:val="auto"/>
                <w:lang w:val="en-US" w:eastAsia="zh-CN"/>
              </w:rPr>
              <w:t>）的二级标准要求。</w:t>
            </w:r>
          </w:p>
          <w:p w14:paraId="79769B99">
            <w:pPr>
              <w:pStyle w:val="46"/>
              <w:bidi w:val="0"/>
              <w:rPr>
                <w:rFonts w:hint="default"/>
                <w:color w:val="auto"/>
                <w:lang w:val="en-US" w:eastAsia="zh-CN"/>
              </w:rPr>
            </w:pPr>
            <w:r>
              <w:rPr>
                <w:rFonts w:hint="default"/>
                <w:color w:val="auto"/>
                <w:lang w:val="en-US" w:eastAsia="zh-CN"/>
              </w:rPr>
              <w:t>（2）声环境</w:t>
            </w:r>
          </w:p>
          <w:p w14:paraId="72B1100B">
            <w:pPr>
              <w:pStyle w:val="46"/>
              <w:bidi w:val="0"/>
              <w:rPr>
                <w:rFonts w:hint="default"/>
                <w:color w:val="auto"/>
                <w:lang w:val="en-US" w:eastAsia="zh-CN"/>
              </w:rPr>
            </w:pPr>
            <w:r>
              <w:rPr>
                <w:rFonts w:hint="default"/>
                <w:color w:val="auto"/>
                <w:lang w:val="en-US" w:eastAsia="zh-CN"/>
              </w:rPr>
              <w:t>该项目所在地声环境质量执行《声环境质量标准》（GB3096－2008）2类标准执行，即昼间≤60dB（A），夜间≤50dB（A）。</w:t>
            </w:r>
          </w:p>
          <w:p w14:paraId="439A6916">
            <w:pPr>
              <w:pStyle w:val="45"/>
              <w:bidi w:val="0"/>
              <w:rPr>
                <w:rFonts w:hint="default"/>
                <w:color w:val="auto"/>
                <w:lang w:val="en-US" w:eastAsia="zh-CN"/>
              </w:rPr>
            </w:pPr>
            <w:r>
              <w:rPr>
                <w:rFonts w:hint="eastAsia"/>
                <w:color w:val="auto"/>
                <w:lang w:val="en-US" w:eastAsia="zh-CN"/>
              </w:rPr>
              <w:t>2</w:t>
            </w:r>
            <w:r>
              <w:rPr>
                <w:rFonts w:hint="default"/>
                <w:color w:val="auto"/>
                <w:lang w:val="en-US" w:eastAsia="zh-CN"/>
              </w:rPr>
              <w:t>污染物排放标准</w:t>
            </w:r>
          </w:p>
          <w:p w14:paraId="7E584931">
            <w:pPr>
              <w:pStyle w:val="46"/>
              <w:bidi w:val="0"/>
              <w:rPr>
                <w:rFonts w:hint="eastAsia"/>
                <w:color w:val="auto"/>
                <w:lang w:val="en-US" w:eastAsia="zh-CN"/>
              </w:rPr>
            </w:pPr>
            <w:r>
              <w:rPr>
                <w:rFonts w:hint="eastAsia"/>
                <w:color w:val="auto"/>
                <w:lang w:val="en-US" w:eastAsia="zh-CN"/>
              </w:rPr>
              <w:t>（1）大气污染物排放标准</w:t>
            </w:r>
          </w:p>
          <w:p w14:paraId="55173180">
            <w:pPr>
              <w:pStyle w:val="46"/>
              <w:bidi w:val="0"/>
              <w:rPr>
                <w:rFonts w:hint="default"/>
                <w:color w:val="auto"/>
                <w:lang w:val="en-US" w:eastAsia="zh-CN"/>
              </w:rPr>
            </w:pPr>
            <w:r>
              <w:rPr>
                <w:rFonts w:hint="eastAsia"/>
                <w:color w:val="auto"/>
                <w:lang w:val="en-US" w:eastAsia="zh-CN"/>
              </w:rPr>
              <w:t>施工期：建设项目施工期场地平整、物资运输产生扬尘执行《大气污染物综合排放标准》（GB16297-19</w:t>
            </w:r>
            <w:r>
              <w:rPr>
                <w:rFonts w:hint="default"/>
                <w:color w:val="auto"/>
                <w:lang w:val="en-US" w:eastAsia="zh-CN"/>
              </w:rPr>
              <w:t>96</w:t>
            </w:r>
            <w:r>
              <w:rPr>
                <w:rFonts w:hint="eastAsia"/>
                <w:color w:val="auto"/>
                <w:lang w:val="en-US" w:eastAsia="zh-CN"/>
              </w:rPr>
              <w:t>）</w:t>
            </w:r>
            <w:r>
              <w:rPr>
                <w:rFonts w:hint="default"/>
                <w:color w:val="auto"/>
                <w:lang w:val="en-US" w:eastAsia="zh-CN"/>
              </w:rPr>
              <w:t>无组织排放监控浓度限值。</w:t>
            </w:r>
          </w:p>
          <w:p w14:paraId="755D221C">
            <w:pPr>
              <w:pStyle w:val="46"/>
              <w:bidi w:val="0"/>
              <w:ind w:left="0" w:leftChars="0" w:firstLine="0" w:firstLineChars="0"/>
              <w:jc w:val="center"/>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表3-</w:t>
            </w:r>
            <w:r>
              <w:rPr>
                <w:rFonts w:hint="eastAsia" w:ascii="Times New Roman" w:hAnsi="Times New Roman" w:eastAsia="宋体" w:cs="Times New Roman"/>
                <w:b/>
                <w:bCs/>
                <w:color w:val="auto"/>
                <w:sz w:val="24"/>
                <w:highlight w:val="none"/>
                <w:lang w:val="en-US" w:eastAsia="zh-CN"/>
              </w:rPr>
              <w:t>7</w:t>
            </w:r>
            <w:r>
              <w:rPr>
                <w:rFonts w:hint="default" w:ascii="Times New Roman" w:hAnsi="Times New Roman" w:eastAsia="宋体" w:cs="Times New Roman"/>
                <w:b/>
                <w:bCs/>
                <w:color w:val="auto"/>
                <w:sz w:val="24"/>
                <w:highlight w:val="none"/>
                <w:lang w:val="en-US" w:eastAsia="zh-CN"/>
              </w:rPr>
              <w:t xml:space="preserve">    施工期无组织废气执行标准</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7"/>
              <w:gridCol w:w="1841"/>
              <w:gridCol w:w="3418"/>
            </w:tblGrid>
            <w:tr w14:paraId="5EC9A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hRule="atLeast"/>
                <w:jc w:val="center"/>
              </w:trPr>
              <w:tc>
                <w:tcPr>
                  <w:tcW w:w="1665" w:type="pct"/>
                  <w:noWrap w:val="0"/>
                  <w:vAlign w:val="center"/>
                </w:tcPr>
                <w:p w14:paraId="0A0E6544">
                  <w:pPr>
                    <w:pStyle w:val="43"/>
                    <w:bidi w:val="0"/>
                    <w:rPr>
                      <w:rFonts w:hint="default"/>
                      <w:color w:val="auto"/>
                      <w:lang w:val="en-US" w:eastAsia="zh-CN"/>
                    </w:rPr>
                  </w:pPr>
                  <w:r>
                    <w:rPr>
                      <w:rFonts w:hint="default"/>
                      <w:color w:val="auto"/>
                      <w:lang w:val="en-US" w:eastAsia="zh-CN"/>
                    </w:rPr>
                    <w:t>污染物</w:t>
                  </w:r>
                </w:p>
              </w:tc>
              <w:tc>
                <w:tcPr>
                  <w:tcW w:w="1167" w:type="pct"/>
                  <w:noWrap w:val="0"/>
                  <w:vAlign w:val="center"/>
                </w:tcPr>
                <w:p w14:paraId="32147272">
                  <w:pPr>
                    <w:pStyle w:val="43"/>
                    <w:bidi w:val="0"/>
                    <w:rPr>
                      <w:rFonts w:hint="default"/>
                      <w:color w:val="auto"/>
                      <w:lang w:val="en-US" w:eastAsia="zh-CN"/>
                    </w:rPr>
                  </w:pPr>
                  <w:r>
                    <w:rPr>
                      <w:rFonts w:hint="default"/>
                      <w:color w:val="auto"/>
                      <w:lang w:val="en-US" w:eastAsia="zh-CN"/>
                    </w:rPr>
                    <w:t>限值</w:t>
                  </w:r>
                </w:p>
              </w:tc>
              <w:tc>
                <w:tcPr>
                  <w:tcW w:w="2167" w:type="pct"/>
                  <w:noWrap w:val="0"/>
                  <w:vAlign w:val="center"/>
                </w:tcPr>
                <w:p w14:paraId="61E9BED1">
                  <w:pPr>
                    <w:pStyle w:val="43"/>
                    <w:bidi w:val="0"/>
                    <w:rPr>
                      <w:rFonts w:hint="default"/>
                      <w:color w:val="auto"/>
                      <w:lang w:val="en-US" w:eastAsia="zh-CN"/>
                    </w:rPr>
                  </w:pPr>
                  <w:r>
                    <w:rPr>
                      <w:rFonts w:hint="default"/>
                      <w:color w:val="auto"/>
                      <w:lang w:val="en-US" w:eastAsia="zh-CN"/>
                    </w:rPr>
                    <w:t>执行标准</w:t>
                  </w:r>
                </w:p>
              </w:tc>
            </w:tr>
            <w:tr w14:paraId="41278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665" w:type="pct"/>
                  <w:noWrap w:val="0"/>
                  <w:vAlign w:val="center"/>
                </w:tcPr>
                <w:p w14:paraId="5B293A0C">
                  <w:pPr>
                    <w:pStyle w:val="43"/>
                    <w:bidi w:val="0"/>
                    <w:rPr>
                      <w:rFonts w:hint="default"/>
                      <w:color w:val="auto"/>
                      <w:lang w:val="en-US" w:eastAsia="zh-CN"/>
                    </w:rPr>
                  </w:pPr>
                  <w:r>
                    <w:rPr>
                      <w:rFonts w:hint="default"/>
                      <w:color w:val="auto"/>
                      <w:lang w:val="en-US" w:eastAsia="zh-CN"/>
                    </w:rPr>
                    <w:t>颗粒物</w:t>
                  </w:r>
                </w:p>
              </w:tc>
              <w:tc>
                <w:tcPr>
                  <w:tcW w:w="1167" w:type="pct"/>
                  <w:noWrap w:val="0"/>
                  <w:vAlign w:val="center"/>
                </w:tcPr>
                <w:p w14:paraId="62473A33">
                  <w:pPr>
                    <w:pStyle w:val="43"/>
                    <w:bidi w:val="0"/>
                    <w:rPr>
                      <w:rFonts w:hint="default"/>
                      <w:color w:val="auto"/>
                      <w:lang w:val="en-US" w:eastAsia="zh-CN"/>
                    </w:rPr>
                  </w:pPr>
                  <w:r>
                    <w:rPr>
                      <w:rFonts w:hint="default"/>
                      <w:color w:val="auto"/>
                      <w:lang w:val="en-US" w:eastAsia="zh-CN"/>
                    </w:rPr>
                    <w:t>1mg/m</w:t>
                  </w:r>
                  <w:r>
                    <w:rPr>
                      <w:rFonts w:hint="default"/>
                      <w:color w:val="auto"/>
                      <w:vertAlign w:val="superscript"/>
                      <w:lang w:val="en-US" w:eastAsia="zh-CN"/>
                    </w:rPr>
                    <w:t>3</w:t>
                  </w:r>
                </w:p>
              </w:tc>
              <w:tc>
                <w:tcPr>
                  <w:tcW w:w="2167" w:type="pct"/>
                  <w:noWrap w:val="0"/>
                  <w:vAlign w:val="center"/>
                </w:tcPr>
                <w:p w14:paraId="66E73E7B">
                  <w:pPr>
                    <w:pStyle w:val="43"/>
                    <w:bidi w:val="0"/>
                    <w:rPr>
                      <w:rFonts w:hint="default"/>
                      <w:color w:val="auto"/>
                      <w:lang w:val="en-US" w:eastAsia="zh-CN"/>
                    </w:rPr>
                  </w:pPr>
                  <w:r>
                    <w:rPr>
                      <w:rFonts w:hint="default"/>
                      <w:color w:val="auto"/>
                      <w:lang w:val="en-US" w:eastAsia="zh-CN"/>
                    </w:rPr>
                    <w:t>《大气污染物综合排放标准》（GB16297-1996）中表2</w:t>
                  </w:r>
                </w:p>
              </w:tc>
            </w:tr>
          </w:tbl>
          <w:p w14:paraId="651A3A94">
            <w:pPr>
              <w:pStyle w:val="46"/>
              <w:bidi w:val="0"/>
              <w:rPr>
                <w:rFonts w:hint="eastAsia"/>
                <w:color w:val="auto"/>
                <w:lang w:val="en-US" w:eastAsia="zh-CN"/>
              </w:rPr>
            </w:pPr>
            <w:r>
              <w:rPr>
                <w:rFonts w:hint="eastAsia"/>
                <w:color w:val="auto"/>
                <w:lang w:val="en-US" w:eastAsia="zh-CN"/>
              </w:rPr>
              <w:t>勘探期：勘探过程中产生的废气执行《大气污染物综合排放标准》（GB16297-19</w:t>
            </w:r>
            <w:r>
              <w:rPr>
                <w:rFonts w:hint="default"/>
                <w:color w:val="auto"/>
                <w:lang w:val="en-US" w:eastAsia="zh-CN"/>
              </w:rPr>
              <w:t>96</w:t>
            </w:r>
            <w:r>
              <w:rPr>
                <w:rFonts w:hint="eastAsia"/>
                <w:color w:val="auto"/>
                <w:lang w:val="en-US" w:eastAsia="zh-CN"/>
              </w:rPr>
              <w:t>）</w:t>
            </w:r>
            <w:r>
              <w:rPr>
                <w:rFonts w:hint="default"/>
                <w:color w:val="auto"/>
                <w:lang w:val="en-US" w:eastAsia="zh-CN"/>
              </w:rPr>
              <w:t>无组织排放监控浓度限值。</w:t>
            </w:r>
            <w:r>
              <w:rPr>
                <w:rFonts w:hint="eastAsia" w:ascii="Times New Roman" w:hAnsi="Times New Roman" w:eastAsia="宋体" w:cs="Times New Roman"/>
                <w:color w:val="auto"/>
                <w:kern w:val="0"/>
                <w:sz w:val="24"/>
                <w:lang w:val="en-US" w:eastAsia="zh-CN"/>
              </w:rPr>
              <w:t>柴油发电机烟气参照执行《非道路移动机械用柴油机排气污染物排放限值及测量方法（中国第三、四阶段）》（GB20891-2014）修改单</w:t>
            </w:r>
            <w:r>
              <w:rPr>
                <w:rFonts w:hint="eastAsia" w:cs="Times New Roman"/>
                <w:color w:val="auto"/>
                <w:kern w:val="0"/>
                <w:sz w:val="24"/>
                <w:lang w:val="en-US" w:eastAsia="zh-CN"/>
              </w:rPr>
              <w:t>（第三阶段）</w:t>
            </w:r>
            <w:r>
              <w:rPr>
                <w:rFonts w:hint="eastAsia" w:ascii="Times New Roman" w:hAnsi="Times New Roman" w:eastAsia="宋体" w:cs="Times New Roman"/>
                <w:color w:val="auto"/>
                <w:kern w:val="0"/>
                <w:sz w:val="24"/>
                <w:lang w:val="en-US" w:eastAsia="zh-CN"/>
              </w:rPr>
              <w:t>以及《非道路柴油移动机械污染物排放控制技术要求》（HJ1014-2020）。</w:t>
            </w:r>
          </w:p>
          <w:p w14:paraId="7C54B236">
            <w:pPr>
              <w:pStyle w:val="46"/>
              <w:bidi w:val="0"/>
              <w:ind w:left="0" w:leftChars="0" w:firstLine="0" w:firstLineChars="0"/>
              <w:jc w:val="center"/>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表3-</w:t>
            </w:r>
            <w:r>
              <w:rPr>
                <w:rFonts w:hint="eastAsia" w:ascii="Times New Roman" w:hAnsi="Times New Roman" w:eastAsia="宋体" w:cs="Times New Roman"/>
                <w:b/>
                <w:bCs/>
                <w:color w:val="auto"/>
                <w:sz w:val="24"/>
                <w:highlight w:val="none"/>
                <w:lang w:val="en-US" w:eastAsia="zh-CN"/>
              </w:rPr>
              <w:t>8</w:t>
            </w:r>
            <w:r>
              <w:rPr>
                <w:rFonts w:hint="default" w:ascii="Times New Roman" w:hAnsi="Times New Roman" w:eastAsia="宋体" w:cs="Times New Roman"/>
                <w:b/>
                <w:bCs/>
                <w:color w:val="auto"/>
                <w:sz w:val="24"/>
                <w:highlight w:val="none"/>
                <w:lang w:val="en-US" w:eastAsia="zh-CN"/>
              </w:rPr>
              <w:t xml:space="preserve">  </w:t>
            </w:r>
            <w:r>
              <w:rPr>
                <w:rFonts w:hint="eastAsia" w:ascii="Times New Roman" w:hAnsi="Times New Roman" w:eastAsia="宋体" w:cs="Times New Roman"/>
                <w:b/>
                <w:bCs/>
                <w:color w:val="auto"/>
                <w:sz w:val="24"/>
                <w:highlight w:val="none"/>
                <w:lang w:val="en-US" w:eastAsia="zh-CN"/>
              </w:rPr>
              <w:t xml:space="preserve"> </w:t>
            </w:r>
            <w:r>
              <w:rPr>
                <w:rFonts w:hint="default" w:ascii="Times New Roman" w:hAnsi="Times New Roman" w:eastAsia="宋体" w:cs="Times New Roman"/>
                <w:b/>
                <w:bCs/>
                <w:color w:val="auto"/>
                <w:sz w:val="24"/>
                <w:highlight w:val="none"/>
                <w:lang w:val="en-US" w:eastAsia="zh-CN"/>
              </w:rPr>
              <w:t xml:space="preserve"> </w:t>
            </w:r>
            <w:r>
              <w:rPr>
                <w:rFonts w:hint="eastAsia" w:ascii="Times New Roman" w:hAnsi="Times New Roman" w:eastAsia="宋体" w:cs="Times New Roman"/>
                <w:b/>
                <w:bCs/>
                <w:color w:val="auto"/>
                <w:sz w:val="24"/>
                <w:highlight w:val="none"/>
                <w:lang w:val="en-US" w:eastAsia="zh-CN"/>
              </w:rPr>
              <w:t>勘探期</w:t>
            </w:r>
            <w:r>
              <w:rPr>
                <w:rFonts w:hint="default" w:ascii="Times New Roman" w:hAnsi="Times New Roman" w:eastAsia="宋体" w:cs="Times New Roman"/>
                <w:b/>
                <w:bCs/>
                <w:color w:val="auto"/>
                <w:sz w:val="24"/>
                <w:highlight w:val="none"/>
                <w:lang w:val="en-US" w:eastAsia="zh-CN"/>
              </w:rPr>
              <w:t>无组织废气执行标准</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524"/>
              <w:gridCol w:w="1360"/>
              <w:gridCol w:w="1129"/>
              <w:gridCol w:w="3036"/>
            </w:tblGrid>
            <w:tr w14:paraId="1DF0A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530" w:type="pct"/>
                  <w:noWrap w:val="0"/>
                  <w:vAlign w:val="center"/>
                </w:tcPr>
                <w:p w14:paraId="7579A523">
                  <w:pPr>
                    <w:pStyle w:val="43"/>
                    <w:bidi w:val="0"/>
                    <w:rPr>
                      <w:rFonts w:hint="default"/>
                      <w:color w:val="auto"/>
                      <w:lang w:val="en-US" w:eastAsia="zh-CN"/>
                    </w:rPr>
                  </w:pPr>
                  <w:r>
                    <w:rPr>
                      <w:rFonts w:hint="eastAsia"/>
                      <w:color w:val="auto"/>
                      <w:lang w:val="en-US" w:eastAsia="zh-CN"/>
                    </w:rPr>
                    <w:t>工序</w:t>
                  </w:r>
                </w:p>
              </w:tc>
              <w:tc>
                <w:tcPr>
                  <w:tcW w:w="966" w:type="pct"/>
                  <w:noWrap w:val="0"/>
                  <w:vAlign w:val="center"/>
                </w:tcPr>
                <w:p w14:paraId="51933B22">
                  <w:pPr>
                    <w:pStyle w:val="43"/>
                    <w:bidi w:val="0"/>
                    <w:rPr>
                      <w:rFonts w:hint="default"/>
                      <w:color w:val="auto"/>
                      <w:lang w:val="en-US" w:eastAsia="zh-CN"/>
                    </w:rPr>
                  </w:pPr>
                  <w:r>
                    <w:rPr>
                      <w:rFonts w:hint="default"/>
                      <w:color w:val="auto"/>
                      <w:lang w:val="en-US" w:eastAsia="zh-CN"/>
                    </w:rPr>
                    <w:t>污染物</w:t>
                  </w:r>
                </w:p>
              </w:tc>
              <w:tc>
                <w:tcPr>
                  <w:tcW w:w="862" w:type="pct"/>
                  <w:noWrap w:val="0"/>
                  <w:vAlign w:val="center"/>
                </w:tcPr>
                <w:p w14:paraId="442A1CAE">
                  <w:pPr>
                    <w:pStyle w:val="43"/>
                    <w:bidi w:val="0"/>
                    <w:rPr>
                      <w:rFonts w:hint="default"/>
                      <w:color w:val="auto"/>
                      <w:lang w:val="en-US" w:eastAsia="zh-CN"/>
                    </w:rPr>
                  </w:pPr>
                  <w:r>
                    <w:rPr>
                      <w:rFonts w:hint="default"/>
                      <w:color w:val="auto"/>
                      <w:lang w:val="en-US" w:eastAsia="zh-CN"/>
                    </w:rPr>
                    <w:t>限值</w:t>
                  </w:r>
                </w:p>
              </w:tc>
              <w:tc>
                <w:tcPr>
                  <w:tcW w:w="716" w:type="pct"/>
                  <w:noWrap w:val="0"/>
                  <w:vAlign w:val="center"/>
                </w:tcPr>
                <w:p w14:paraId="380B7A74">
                  <w:pPr>
                    <w:pStyle w:val="43"/>
                    <w:bidi w:val="0"/>
                    <w:rPr>
                      <w:rFonts w:hint="default"/>
                      <w:color w:val="auto"/>
                      <w:lang w:val="en-US" w:eastAsia="zh-CN"/>
                    </w:rPr>
                  </w:pPr>
                  <w:r>
                    <w:rPr>
                      <w:rFonts w:hint="eastAsia"/>
                      <w:color w:val="auto"/>
                      <w:lang w:val="en-US" w:eastAsia="zh-CN"/>
                    </w:rPr>
                    <w:t>单位</w:t>
                  </w:r>
                </w:p>
              </w:tc>
              <w:tc>
                <w:tcPr>
                  <w:tcW w:w="1924" w:type="pct"/>
                  <w:noWrap w:val="0"/>
                  <w:vAlign w:val="center"/>
                </w:tcPr>
                <w:p w14:paraId="71B0C3C1">
                  <w:pPr>
                    <w:pStyle w:val="43"/>
                    <w:bidi w:val="0"/>
                    <w:rPr>
                      <w:rFonts w:hint="default"/>
                      <w:color w:val="auto"/>
                      <w:lang w:val="en-US" w:eastAsia="zh-CN"/>
                    </w:rPr>
                  </w:pPr>
                  <w:r>
                    <w:rPr>
                      <w:rFonts w:hint="default"/>
                      <w:color w:val="auto"/>
                      <w:lang w:val="en-US" w:eastAsia="zh-CN"/>
                    </w:rPr>
                    <w:t>执行标准</w:t>
                  </w:r>
                </w:p>
              </w:tc>
            </w:tr>
            <w:tr w14:paraId="33E77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30" w:type="pct"/>
                  <w:noWrap w:val="0"/>
                  <w:vAlign w:val="center"/>
                </w:tcPr>
                <w:p w14:paraId="0BDBFB66">
                  <w:pPr>
                    <w:pStyle w:val="43"/>
                    <w:bidi w:val="0"/>
                    <w:rPr>
                      <w:rFonts w:hint="default"/>
                      <w:color w:val="auto"/>
                      <w:lang w:val="en-US" w:eastAsia="zh-CN"/>
                    </w:rPr>
                  </w:pPr>
                  <w:r>
                    <w:rPr>
                      <w:rFonts w:hint="eastAsia"/>
                      <w:color w:val="auto"/>
                      <w:lang w:val="en-US" w:eastAsia="zh-CN"/>
                    </w:rPr>
                    <w:t>勘探</w:t>
                  </w:r>
                </w:p>
              </w:tc>
              <w:tc>
                <w:tcPr>
                  <w:tcW w:w="966" w:type="pct"/>
                  <w:noWrap w:val="0"/>
                  <w:vAlign w:val="center"/>
                </w:tcPr>
                <w:p w14:paraId="6ADD68DD">
                  <w:pPr>
                    <w:pStyle w:val="43"/>
                    <w:bidi w:val="0"/>
                    <w:rPr>
                      <w:rFonts w:hint="default"/>
                      <w:color w:val="auto"/>
                      <w:lang w:val="en-US" w:eastAsia="zh-CN"/>
                    </w:rPr>
                  </w:pPr>
                  <w:r>
                    <w:rPr>
                      <w:rFonts w:hint="default"/>
                      <w:color w:val="auto"/>
                      <w:lang w:val="en-US" w:eastAsia="zh-CN"/>
                    </w:rPr>
                    <w:t>颗粒物</w:t>
                  </w:r>
                </w:p>
              </w:tc>
              <w:tc>
                <w:tcPr>
                  <w:tcW w:w="862" w:type="pct"/>
                  <w:noWrap w:val="0"/>
                  <w:vAlign w:val="center"/>
                </w:tcPr>
                <w:p w14:paraId="0578BD3C">
                  <w:pPr>
                    <w:pStyle w:val="43"/>
                    <w:bidi w:val="0"/>
                    <w:rPr>
                      <w:rFonts w:hint="default"/>
                      <w:color w:val="auto"/>
                      <w:lang w:val="en-US" w:eastAsia="zh-CN"/>
                    </w:rPr>
                  </w:pPr>
                  <w:r>
                    <w:rPr>
                      <w:rFonts w:hint="default"/>
                      <w:color w:val="auto"/>
                      <w:lang w:val="en-US" w:eastAsia="zh-CN"/>
                    </w:rPr>
                    <w:t>1</w:t>
                  </w:r>
                </w:p>
              </w:tc>
              <w:tc>
                <w:tcPr>
                  <w:tcW w:w="716" w:type="pct"/>
                  <w:noWrap w:val="0"/>
                  <w:vAlign w:val="center"/>
                </w:tcPr>
                <w:p w14:paraId="062A7B61">
                  <w:pPr>
                    <w:pStyle w:val="43"/>
                    <w:bidi w:val="0"/>
                    <w:rPr>
                      <w:rFonts w:hint="default"/>
                      <w:color w:val="auto"/>
                      <w:lang w:val="en-US" w:eastAsia="zh-CN"/>
                    </w:rPr>
                  </w:pPr>
                  <w:r>
                    <w:rPr>
                      <w:rFonts w:hint="default"/>
                      <w:color w:val="auto"/>
                      <w:lang w:val="en-US" w:eastAsia="zh-CN"/>
                    </w:rPr>
                    <w:t>mg/m</w:t>
                  </w:r>
                  <w:r>
                    <w:rPr>
                      <w:rFonts w:hint="default"/>
                      <w:color w:val="auto"/>
                      <w:vertAlign w:val="superscript"/>
                      <w:lang w:val="en-US" w:eastAsia="zh-CN"/>
                    </w:rPr>
                    <w:t>3</w:t>
                  </w:r>
                </w:p>
              </w:tc>
              <w:tc>
                <w:tcPr>
                  <w:tcW w:w="1924" w:type="pct"/>
                  <w:noWrap w:val="0"/>
                  <w:vAlign w:val="center"/>
                </w:tcPr>
                <w:p w14:paraId="179DAA20">
                  <w:pPr>
                    <w:pStyle w:val="43"/>
                    <w:bidi w:val="0"/>
                    <w:rPr>
                      <w:rFonts w:hint="default"/>
                      <w:color w:val="auto"/>
                      <w:lang w:val="en-US" w:eastAsia="zh-CN"/>
                    </w:rPr>
                  </w:pPr>
                  <w:r>
                    <w:rPr>
                      <w:rFonts w:hint="default"/>
                      <w:color w:val="auto"/>
                      <w:lang w:val="en-US" w:eastAsia="zh-CN"/>
                    </w:rPr>
                    <w:t>《大气污染物综合排放标准》（GB16297-1996）</w:t>
                  </w:r>
                </w:p>
              </w:tc>
            </w:tr>
            <w:tr w14:paraId="12B84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530" w:type="pct"/>
                  <w:vMerge w:val="restart"/>
                  <w:noWrap w:val="0"/>
                  <w:vAlign w:val="center"/>
                </w:tcPr>
                <w:p w14:paraId="534954C3">
                  <w:pPr>
                    <w:pStyle w:val="43"/>
                    <w:bidi w:val="0"/>
                    <w:rPr>
                      <w:rFonts w:hint="default"/>
                      <w:color w:val="auto"/>
                      <w:lang w:val="en-US" w:eastAsia="zh-CN"/>
                    </w:rPr>
                  </w:pPr>
                  <w:r>
                    <w:rPr>
                      <w:rFonts w:hint="eastAsia"/>
                      <w:color w:val="auto"/>
                      <w:lang w:val="en-US" w:eastAsia="zh-CN"/>
                    </w:rPr>
                    <w:t>非道路移动机械烟气</w:t>
                  </w:r>
                </w:p>
              </w:tc>
              <w:tc>
                <w:tcPr>
                  <w:tcW w:w="966" w:type="pct"/>
                  <w:noWrap w:val="0"/>
                  <w:vAlign w:val="center"/>
                </w:tcPr>
                <w:p w14:paraId="21636832">
                  <w:pPr>
                    <w:pStyle w:val="43"/>
                    <w:bidi w:val="0"/>
                    <w:rPr>
                      <w:rFonts w:hint="default"/>
                      <w:color w:val="auto"/>
                      <w:lang w:val="en-US" w:eastAsia="zh-CN"/>
                    </w:rPr>
                  </w:pPr>
                  <w:r>
                    <w:rPr>
                      <w:rFonts w:hint="eastAsia"/>
                      <w:color w:val="auto"/>
                    </w:rPr>
                    <w:t>CO</w:t>
                  </w:r>
                </w:p>
              </w:tc>
              <w:tc>
                <w:tcPr>
                  <w:tcW w:w="862" w:type="pct"/>
                  <w:noWrap w:val="0"/>
                  <w:vAlign w:val="center"/>
                </w:tcPr>
                <w:p w14:paraId="776657D5">
                  <w:pPr>
                    <w:pStyle w:val="43"/>
                    <w:bidi w:val="0"/>
                    <w:rPr>
                      <w:rFonts w:hint="default"/>
                      <w:color w:val="auto"/>
                      <w:lang w:val="en-US" w:eastAsia="zh-CN"/>
                    </w:rPr>
                  </w:pPr>
                  <w:r>
                    <w:rPr>
                      <w:rFonts w:hint="eastAsia"/>
                      <w:color w:val="auto"/>
                    </w:rPr>
                    <w:t>3.5</w:t>
                  </w:r>
                </w:p>
              </w:tc>
              <w:tc>
                <w:tcPr>
                  <w:tcW w:w="716" w:type="pct"/>
                  <w:vMerge w:val="restart"/>
                  <w:noWrap w:val="0"/>
                  <w:vAlign w:val="center"/>
                </w:tcPr>
                <w:p w14:paraId="42A81998">
                  <w:pPr>
                    <w:pStyle w:val="43"/>
                    <w:bidi w:val="0"/>
                    <w:rPr>
                      <w:rFonts w:hint="default"/>
                      <w:color w:val="auto"/>
                      <w:lang w:val="en-US" w:eastAsia="zh-CN"/>
                    </w:rPr>
                  </w:pPr>
                  <w:r>
                    <w:rPr>
                      <w:rFonts w:hint="eastAsia"/>
                      <w:color w:val="auto"/>
                    </w:rPr>
                    <w:t>g/kWh</w:t>
                  </w:r>
                </w:p>
              </w:tc>
              <w:tc>
                <w:tcPr>
                  <w:tcW w:w="1924" w:type="pct"/>
                  <w:vMerge w:val="restart"/>
                  <w:noWrap w:val="0"/>
                  <w:vAlign w:val="center"/>
                </w:tcPr>
                <w:p w14:paraId="227F4C16">
                  <w:pPr>
                    <w:pStyle w:val="43"/>
                    <w:bidi w:val="0"/>
                    <w:rPr>
                      <w:rFonts w:hint="default"/>
                      <w:color w:val="auto"/>
                      <w:lang w:val="en-US" w:eastAsia="zh-CN"/>
                    </w:rPr>
                  </w:pPr>
                  <w:r>
                    <w:rPr>
                      <w:rFonts w:hint="eastAsia"/>
                      <w:color w:val="auto"/>
                    </w:rPr>
                    <w:t>《非道路移动机械用柴油机排气污染物排放限值及测量方法</w:t>
                  </w:r>
                  <w:r>
                    <w:rPr>
                      <w:rFonts w:hint="eastAsia"/>
                      <w:color w:val="auto"/>
                      <w:lang w:eastAsia="zh-CN"/>
                    </w:rPr>
                    <w:t>（</w:t>
                  </w:r>
                  <w:r>
                    <w:rPr>
                      <w:rFonts w:hint="eastAsia"/>
                      <w:color w:val="auto"/>
                    </w:rPr>
                    <w:t>中国第三、四阶段</w:t>
                  </w:r>
                  <w:r>
                    <w:rPr>
                      <w:rFonts w:hint="eastAsia"/>
                      <w:color w:val="auto"/>
                      <w:lang w:eastAsia="zh-CN"/>
                    </w:rPr>
                    <w:t>）</w:t>
                  </w:r>
                  <w:r>
                    <w:rPr>
                      <w:rFonts w:hint="eastAsia"/>
                      <w:color w:val="auto"/>
                    </w:rPr>
                    <w:t>》</w:t>
                  </w:r>
                  <w:r>
                    <w:rPr>
                      <w:rFonts w:hint="eastAsia"/>
                      <w:color w:val="auto"/>
                      <w:lang w:eastAsia="zh-CN"/>
                    </w:rPr>
                    <w:t>（</w:t>
                  </w:r>
                  <w:r>
                    <w:rPr>
                      <w:rFonts w:hint="eastAsia"/>
                      <w:color w:val="auto"/>
                    </w:rPr>
                    <w:t>GB20891-2014</w:t>
                  </w:r>
                  <w:r>
                    <w:rPr>
                      <w:rFonts w:hint="eastAsia"/>
                      <w:color w:val="auto"/>
                      <w:lang w:eastAsia="zh-CN"/>
                    </w:rPr>
                    <w:t>）</w:t>
                  </w:r>
                  <w:r>
                    <w:rPr>
                      <w:rFonts w:hint="eastAsia"/>
                      <w:color w:val="auto"/>
                    </w:rPr>
                    <w:t>修改单以及《非道路柴油移动机械污染物排放控制技术要求》（HJ1014-2020）</w:t>
                  </w:r>
                </w:p>
              </w:tc>
            </w:tr>
            <w:tr w14:paraId="1BCB4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530" w:type="pct"/>
                  <w:vMerge w:val="continue"/>
                  <w:noWrap w:val="0"/>
                  <w:vAlign w:val="center"/>
                </w:tcPr>
                <w:p w14:paraId="2A2629F4">
                  <w:pPr>
                    <w:pStyle w:val="43"/>
                    <w:bidi w:val="0"/>
                    <w:rPr>
                      <w:rFonts w:hint="eastAsia"/>
                      <w:color w:val="auto"/>
                      <w:lang w:val="en-US" w:eastAsia="zh-CN"/>
                    </w:rPr>
                  </w:pPr>
                </w:p>
              </w:tc>
              <w:tc>
                <w:tcPr>
                  <w:tcW w:w="966" w:type="pct"/>
                  <w:noWrap w:val="0"/>
                  <w:vAlign w:val="center"/>
                </w:tcPr>
                <w:p w14:paraId="138378FE">
                  <w:pPr>
                    <w:pStyle w:val="43"/>
                    <w:bidi w:val="0"/>
                    <w:rPr>
                      <w:rFonts w:hint="default"/>
                      <w:color w:val="auto"/>
                      <w:lang w:val="en-US" w:eastAsia="zh-CN"/>
                    </w:rPr>
                  </w:pPr>
                  <w:r>
                    <w:rPr>
                      <w:rFonts w:hint="eastAsia"/>
                      <w:color w:val="auto"/>
                    </w:rPr>
                    <w:t>HC</w:t>
                  </w:r>
                </w:p>
              </w:tc>
              <w:tc>
                <w:tcPr>
                  <w:tcW w:w="862" w:type="pct"/>
                  <w:noWrap w:val="0"/>
                  <w:vAlign w:val="center"/>
                </w:tcPr>
                <w:p w14:paraId="55056DC0">
                  <w:pPr>
                    <w:pStyle w:val="43"/>
                    <w:bidi w:val="0"/>
                    <w:rPr>
                      <w:rFonts w:hint="default"/>
                      <w:color w:val="auto"/>
                      <w:lang w:val="en-US" w:eastAsia="zh-CN"/>
                    </w:rPr>
                  </w:pPr>
                  <w:r>
                    <w:rPr>
                      <w:rFonts w:hint="eastAsia"/>
                      <w:color w:val="auto"/>
                    </w:rPr>
                    <w:t>--</w:t>
                  </w:r>
                </w:p>
              </w:tc>
              <w:tc>
                <w:tcPr>
                  <w:tcW w:w="716" w:type="pct"/>
                  <w:vMerge w:val="continue"/>
                  <w:noWrap w:val="0"/>
                  <w:vAlign w:val="center"/>
                </w:tcPr>
                <w:p w14:paraId="3CF8800D">
                  <w:pPr>
                    <w:pStyle w:val="43"/>
                    <w:bidi w:val="0"/>
                    <w:rPr>
                      <w:rFonts w:hint="eastAsia"/>
                      <w:color w:val="auto"/>
                      <w:lang w:val="en-US" w:eastAsia="zh-CN"/>
                    </w:rPr>
                  </w:pPr>
                </w:p>
              </w:tc>
              <w:tc>
                <w:tcPr>
                  <w:tcW w:w="1924" w:type="pct"/>
                  <w:vMerge w:val="continue"/>
                  <w:noWrap w:val="0"/>
                  <w:vAlign w:val="center"/>
                </w:tcPr>
                <w:p w14:paraId="0E073BDC">
                  <w:pPr>
                    <w:pStyle w:val="43"/>
                    <w:bidi w:val="0"/>
                    <w:rPr>
                      <w:rFonts w:hint="default"/>
                      <w:color w:val="auto"/>
                      <w:lang w:val="en-US" w:eastAsia="zh-CN"/>
                    </w:rPr>
                  </w:pPr>
                </w:p>
              </w:tc>
            </w:tr>
            <w:tr w14:paraId="3D0A6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530" w:type="pct"/>
                  <w:vMerge w:val="continue"/>
                  <w:noWrap w:val="0"/>
                  <w:vAlign w:val="center"/>
                </w:tcPr>
                <w:p w14:paraId="450C843E">
                  <w:pPr>
                    <w:pStyle w:val="43"/>
                    <w:bidi w:val="0"/>
                    <w:rPr>
                      <w:rFonts w:hint="eastAsia"/>
                      <w:color w:val="auto"/>
                      <w:lang w:val="en-US" w:eastAsia="zh-CN"/>
                    </w:rPr>
                  </w:pPr>
                </w:p>
              </w:tc>
              <w:tc>
                <w:tcPr>
                  <w:tcW w:w="966" w:type="pct"/>
                  <w:noWrap w:val="0"/>
                  <w:vAlign w:val="center"/>
                </w:tcPr>
                <w:p w14:paraId="06483EB3">
                  <w:pPr>
                    <w:pStyle w:val="43"/>
                    <w:bidi w:val="0"/>
                    <w:rPr>
                      <w:rFonts w:hint="default"/>
                      <w:color w:val="auto"/>
                      <w:lang w:val="en-US" w:eastAsia="zh-CN"/>
                    </w:rPr>
                  </w:pPr>
                  <w:r>
                    <w:rPr>
                      <w:rFonts w:hint="eastAsia"/>
                      <w:color w:val="auto"/>
                    </w:rPr>
                    <w:t>NO</w:t>
                  </w:r>
                  <w:r>
                    <w:rPr>
                      <w:rFonts w:hint="eastAsia"/>
                      <w:color w:val="auto"/>
                      <w:vertAlign w:val="subscript"/>
                    </w:rPr>
                    <w:t>X</w:t>
                  </w:r>
                </w:p>
              </w:tc>
              <w:tc>
                <w:tcPr>
                  <w:tcW w:w="862" w:type="pct"/>
                  <w:noWrap w:val="0"/>
                  <w:vAlign w:val="center"/>
                </w:tcPr>
                <w:p w14:paraId="35F6C431">
                  <w:pPr>
                    <w:pStyle w:val="43"/>
                    <w:bidi w:val="0"/>
                    <w:rPr>
                      <w:rFonts w:hint="default"/>
                      <w:color w:val="auto"/>
                      <w:lang w:val="en-US" w:eastAsia="zh-CN"/>
                    </w:rPr>
                  </w:pPr>
                  <w:r>
                    <w:rPr>
                      <w:rFonts w:hint="eastAsia"/>
                      <w:color w:val="auto"/>
                    </w:rPr>
                    <w:t>--</w:t>
                  </w:r>
                </w:p>
              </w:tc>
              <w:tc>
                <w:tcPr>
                  <w:tcW w:w="716" w:type="pct"/>
                  <w:vMerge w:val="continue"/>
                  <w:noWrap w:val="0"/>
                  <w:vAlign w:val="center"/>
                </w:tcPr>
                <w:p w14:paraId="3F33F2CE">
                  <w:pPr>
                    <w:pStyle w:val="43"/>
                    <w:bidi w:val="0"/>
                    <w:rPr>
                      <w:rFonts w:hint="eastAsia"/>
                      <w:color w:val="auto"/>
                      <w:lang w:val="en-US" w:eastAsia="zh-CN"/>
                    </w:rPr>
                  </w:pPr>
                </w:p>
              </w:tc>
              <w:tc>
                <w:tcPr>
                  <w:tcW w:w="1924" w:type="pct"/>
                  <w:vMerge w:val="continue"/>
                  <w:noWrap w:val="0"/>
                  <w:vAlign w:val="center"/>
                </w:tcPr>
                <w:p w14:paraId="0348BBDF">
                  <w:pPr>
                    <w:pStyle w:val="43"/>
                    <w:bidi w:val="0"/>
                    <w:rPr>
                      <w:rFonts w:hint="default"/>
                      <w:color w:val="auto"/>
                      <w:lang w:val="en-US" w:eastAsia="zh-CN"/>
                    </w:rPr>
                  </w:pPr>
                </w:p>
              </w:tc>
            </w:tr>
            <w:tr w14:paraId="2B79E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530" w:type="pct"/>
                  <w:vMerge w:val="continue"/>
                  <w:noWrap w:val="0"/>
                  <w:vAlign w:val="center"/>
                </w:tcPr>
                <w:p w14:paraId="33F850C3">
                  <w:pPr>
                    <w:pStyle w:val="43"/>
                    <w:bidi w:val="0"/>
                    <w:rPr>
                      <w:rFonts w:hint="eastAsia"/>
                      <w:color w:val="auto"/>
                      <w:lang w:val="en-US" w:eastAsia="zh-CN"/>
                    </w:rPr>
                  </w:pPr>
                </w:p>
              </w:tc>
              <w:tc>
                <w:tcPr>
                  <w:tcW w:w="966" w:type="pct"/>
                  <w:noWrap w:val="0"/>
                  <w:vAlign w:val="center"/>
                </w:tcPr>
                <w:p w14:paraId="47C6BEF5">
                  <w:pPr>
                    <w:pStyle w:val="43"/>
                    <w:bidi w:val="0"/>
                    <w:rPr>
                      <w:rFonts w:hint="eastAsia"/>
                      <w:color w:val="auto"/>
                    </w:rPr>
                  </w:pPr>
                  <w:r>
                    <w:rPr>
                      <w:rFonts w:hint="eastAsia"/>
                      <w:color w:val="auto"/>
                    </w:rPr>
                    <w:t>HC+NO</w:t>
                  </w:r>
                  <w:r>
                    <w:rPr>
                      <w:rFonts w:hint="eastAsia"/>
                      <w:color w:val="auto"/>
                      <w:vertAlign w:val="subscript"/>
                    </w:rPr>
                    <w:t>X</w:t>
                  </w:r>
                </w:p>
              </w:tc>
              <w:tc>
                <w:tcPr>
                  <w:tcW w:w="862" w:type="pct"/>
                  <w:noWrap w:val="0"/>
                  <w:vAlign w:val="center"/>
                </w:tcPr>
                <w:p w14:paraId="61939D24">
                  <w:pPr>
                    <w:pStyle w:val="43"/>
                    <w:bidi w:val="0"/>
                    <w:rPr>
                      <w:rFonts w:hint="eastAsia"/>
                      <w:color w:val="auto"/>
                      <w:lang w:val="en-US" w:eastAsia="zh-CN"/>
                    </w:rPr>
                  </w:pPr>
                  <w:r>
                    <w:rPr>
                      <w:rFonts w:hint="eastAsia"/>
                      <w:color w:val="auto"/>
                    </w:rPr>
                    <w:t>6.4</w:t>
                  </w:r>
                </w:p>
              </w:tc>
              <w:tc>
                <w:tcPr>
                  <w:tcW w:w="716" w:type="pct"/>
                  <w:vMerge w:val="continue"/>
                  <w:noWrap w:val="0"/>
                  <w:vAlign w:val="center"/>
                </w:tcPr>
                <w:p w14:paraId="381368EB">
                  <w:pPr>
                    <w:pStyle w:val="43"/>
                    <w:bidi w:val="0"/>
                    <w:rPr>
                      <w:rFonts w:hint="eastAsia"/>
                      <w:color w:val="auto"/>
                      <w:lang w:val="en-US" w:eastAsia="zh-CN"/>
                    </w:rPr>
                  </w:pPr>
                </w:p>
              </w:tc>
              <w:tc>
                <w:tcPr>
                  <w:tcW w:w="1924" w:type="pct"/>
                  <w:vMerge w:val="continue"/>
                  <w:noWrap w:val="0"/>
                  <w:vAlign w:val="center"/>
                </w:tcPr>
                <w:p w14:paraId="470DA0BE">
                  <w:pPr>
                    <w:pStyle w:val="43"/>
                    <w:bidi w:val="0"/>
                    <w:rPr>
                      <w:rFonts w:hint="default"/>
                      <w:color w:val="auto"/>
                      <w:lang w:val="en-US" w:eastAsia="zh-CN"/>
                    </w:rPr>
                  </w:pPr>
                </w:p>
              </w:tc>
            </w:tr>
            <w:tr w14:paraId="620E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530" w:type="pct"/>
                  <w:vMerge w:val="continue"/>
                  <w:noWrap w:val="0"/>
                  <w:vAlign w:val="center"/>
                </w:tcPr>
                <w:p w14:paraId="163CE21F">
                  <w:pPr>
                    <w:pStyle w:val="43"/>
                    <w:bidi w:val="0"/>
                    <w:rPr>
                      <w:rFonts w:hint="eastAsia"/>
                      <w:color w:val="auto"/>
                      <w:lang w:val="en-US" w:eastAsia="zh-CN"/>
                    </w:rPr>
                  </w:pPr>
                </w:p>
              </w:tc>
              <w:tc>
                <w:tcPr>
                  <w:tcW w:w="966" w:type="pct"/>
                  <w:noWrap w:val="0"/>
                  <w:vAlign w:val="center"/>
                </w:tcPr>
                <w:p w14:paraId="2AA05CA6">
                  <w:pPr>
                    <w:pStyle w:val="43"/>
                    <w:bidi w:val="0"/>
                    <w:rPr>
                      <w:rFonts w:hint="eastAsia"/>
                      <w:color w:val="auto"/>
                    </w:rPr>
                  </w:pPr>
                  <w:r>
                    <w:rPr>
                      <w:rFonts w:hint="eastAsia"/>
                      <w:color w:val="auto"/>
                    </w:rPr>
                    <w:t>PM</w:t>
                  </w:r>
                </w:p>
              </w:tc>
              <w:tc>
                <w:tcPr>
                  <w:tcW w:w="862" w:type="pct"/>
                  <w:noWrap w:val="0"/>
                  <w:vAlign w:val="center"/>
                </w:tcPr>
                <w:p w14:paraId="6F4F070D">
                  <w:pPr>
                    <w:pStyle w:val="43"/>
                    <w:bidi w:val="0"/>
                    <w:rPr>
                      <w:rFonts w:hint="eastAsia"/>
                      <w:color w:val="auto"/>
                      <w:lang w:val="en-US" w:eastAsia="zh-CN"/>
                    </w:rPr>
                  </w:pPr>
                  <w:r>
                    <w:rPr>
                      <w:rFonts w:hint="eastAsia"/>
                      <w:color w:val="auto"/>
                    </w:rPr>
                    <w:t>0.20</w:t>
                  </w:r>
                </w:p>
              </w:tc>
              <w:tc>
                <w:tcPr>
                  <w:tcW w:w="716" w:type="pct"/>
                  <w:vMerge w:val="continue"/>
                  <w:noWrap w:val="0"/>
                  <w:vAlign w:val="center"/>
                </w:tcPr>
                <w:p w14:paraId="40EF4876">
                  <w:pPr>
                    <w:pStyle w:val="43"/>
                    <w:bidi w:val="0"/>
                    <w:rPr>
                      <w:rFonts w:hint="eastAsia"/>
                      <w:color w:val="auto"/>
                      <w:lang w:val="en-US" w:eastAsia="zh-CN"/>
                    </w:rPr>
                  </w:pPr>
                </w:p>
              </w:tc>
              <w:tc>
                <w:tcPr>
                  <w:tcW w:w="1924" w:type="pct"/>
                  <w:vMerge w:val="continue"/>
                  <w:noWrap w:val="0"/>
                  <w:vAlign w:val="center"/>
                </w:tcPr>
                <w:p w14:paraId="56F780B8">
                  <w:pPr>
                    <w:pStyle w:val="43"/>
                    <w:bidi w:val="0"/>
                    <w:rPr>
                      <w:rFonts w:hint="default"/>
                      <w:color w:val="auto"/>
                      <w:lang w:val="en-US" w:eastAsia="zh-CN"/>
                    </w:rPr>
                  </w:pPr>
                </w:p>
              </w:tc>
            </w:tr>
          </w:tbl>
          <w:p w14:paraId="2B145761">
            <w:pPr>
              <w:pStyle w:val="46"/>
              <w:bidi w:val="0"/>
              <w:rPr>
                <w:rFonts w:hint="eastAsia"/>
                <w:color w:val="auto"/>
                <w:lang w:val="en-US" w:eastAsia="zh-CN"/>
              </w:rPr>
            </w:pPr>
            <w:r>
              <w:rPr>
                <w:rFonts w:hint="eastAsia"/>
                <w:color w:val="auto"/>
                <w:lang w:val="en-US" w:eastAsia="zh-CN"/>
              </w:rPr>
              <w:t>环境保护要求：《非道路移动机械污染防治技术政策》提出加强非道路移动机械的维修、保养，只有按照机械说明书要求进行正常的保养、维修，才能确保在用非道路移动机械保持原有污染物排放水平；非道路移动机械需要随车携带“非道路移动机械环保信息采集卡”，并悬挂联网备案的环保号牌。这些措施有助于追踪和管理机械的环保合规性。</w:t>
            </w:r>
          </w:p>
          <w:p w14:paraId="1E81BFB3">
            <w:pPr>
              <w:pStyle w:val="46"/>
              <w:numPr>
                <w:ilvl w:val="0"/>
                <w:numId w:val="0"/>
              </w:numPr>
              <w:bidi w:val="0"/>
              <w:ind w:firstLine="480" w:firstLineChars="200"/>
              <w:rPr>
                <w:rFonts w:hint="eastAsia"/>
                <w:color w:val="auto"/>
                <w:lang w:val="en-US" w:eastAsia="zh-CN"/>
              </w:rPr>
            </w:pPr>
            <w:r>
              <w:rPr>
                <w:rFonts w:hint="eastAsia" w:ascii="Times New Roman" w:hAnsi="Times New Roman" w:eastAsia="宋体" w:cs="宋体"/>
                <w:color w:val="auto"/>
                <w:kern w:val="0"/>
                <w:sz w:val="24"/>
                <w:szCs w:val="24"/>
                <w:lang w:val="en-US" w:eastAsia="zh-CN" w:bidi="ar-SA"/>
              </w:rPr>
              <w:t>（2）</w:t>
            </w:r>
            <w:r>
              <w:rPr>
                <w:rFonts w:hint="eastAsia"/>
                <w:color w:val="auto"/>
                <w:lang w:val="en-US" w:eastAsia="zh-CN"/>
              </w:rPr>
              <w:t>废水排放标准</w:t>
            </w:r>
          </w:p>
          <w:p w14:paraId="19FF8FC1">
            <w:pPr>
              <w:pStyle w:val="57"/>
              <w:bidi w:val="0"/>
              <w:rPr>
                <w:rFonts w:hint="eastAsia"/>
                <w:color w:val="auto"/>
                <w:lang w:val="en-US" w:eastAsia="zh-CN"/>
              </w:rPr>
            </w:pPr>
            <w:r>
              <w:rPr>
                <w:rFonts w:hint="eastAsia"/>
                <w:color w:val="auto"/>
                <w:lang w:val="en-US" w:eastAsia="zh-CN"/>
              </w:rPr>
              <w:t>本项目生活污水经一体化污水处理设施处理后，其出水标准达到《农村生活污水处理排放标准》（DB654275-2019）表2中C级标准后，用于周边洒水抑尘。</w:t>
            </w:r>
          </w:p>
          <w:p w14:paraId="5C7EE531">
            <w:pPr>
              <w:pStyle w:val="46"/>
              <w:bidi w:val="0"/>
              <w:ind w:left="0" w:leftChars="0" w:firstLine="0" w:firstLineChars="0"/>
              <w:jc w:val="center"/>
              <w:rPr>
                <w:rFonts w:hint="default" w:ascii="Times New Roman" w:hAnsi="Times New Roman" w:eastAsia="宋体" w:cs="Times New Roman"/>
                <w:b/>
                <w:bCs/>
                <w:color w:val="auto"/>
                <w:sz w:val="24"/>
                <w:highlight w:val="none"/>
                <w:lang w:val="en-US" w:eastAsia="zh-CN"/>
              </w:rPr>
            </w:pPr>
            <w:r>
              <w:rPr>
                <w:rFonts w:hint="eastAsia" w:ascii="Times New Roman" w:hAnsi="Times New Roman" w:eastAsia="宋体" w:cs="Times New Roman"/>
                <w:b/>
                <w:bCs/>
                <w:color w:val="auto"/>
                <w:sz w:val="24"/>
                <w:highlight w:val="none"/>
                <w:lang w:val="en-US" w:eastAsia="zh-CN"/>
              </w:rPr>
              <w:t>表3-9    勘探期废水</w:t>
            </w:r>
            <w:r>
              <w:rPr>
                <w:rFonts w:hint="default" w:ascii="Times New Roman" w:hAnsi="Times New Roman" w:eastAsia="宋体" w:cs="Times New Roman"/>
                <w:b/>
                <w:bCs/>
                <w:color w:val="auto"/>
                <w:sz w:val="24"/>
                <w:highlight w:val="none"/>
                <w:lang w:val="en-US" w:eastAsia="zh-CN"/>
              </w:rPr>
              <w:t>执行标准</w:t>
            </w:r>
          </w:p>
          <w:tbl>
            <w:tblPr>
              <w:tblStyle w:val="20"/>
              <w:tblW w:w="80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4"/>
              <w:gridCol w:w="2976"/>
              <w:gridCol w:w="1362"/>
              <w:gridCol w:w="1487"/>
              <w:gridCol w:w="1372"/>
            </w:tblGrid>
            <w:tr w14:paraId="6C861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21BA5">
                  <w:pPr>
                    <w:pStyle w:val="43"/>
                    <w:bidi w:val="0"/>
                    <w:jc w:val="center"/>
                    <w:rPr>
                      <w:color w:val="auto"/>
                    </w:rPr>
                  </w:pPr>
                  <w:r>
                    <w:rPr>
                      <w:color w:val="auto"/>
                      <w:lang w:val="en-US" w:eastAsia="zh-CN"/>
                    </w:rPr>
                    <w:t>序号</w:t>
                  </w:r>
                </w:p>
              </w:tc>
              <w:tc>
                <w:tcPr>
                  <w:tcW w:w="1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66CFE">
                  <w:pPr>
                    <w:pStyle w:val="43"/>
                    <w:bidi w:val="0"/>
                    <w:jc w:val="center"/>
                    <w:rPr>
                      <w:color w:val="auto"/>
                    </w:rPr>
                  </w:pPr>
                  <w:r>
                    <w:rPr>
                      <w:color w:val="auto"/>
                      <w:lang w:val="en-US" w:eastAsia="zh-CN"/>
                    </w:rPr>
                    <w:t>污染物或项目名称</w:t>
                  </w:r>
                </w:p>
              </w:tc>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3009D">
                  <w:pPr>
                    <w:pStyle w:val="43"/>
                    <w:bidi w:val="0"/>
                    <w:jc w:val="center"/>
                    <w:rPr>
                      <w:color w:val="auto"/>
                    </w:rPr>
                  </w:pPr>
                  <w:r>
                    <w:rPr>
                      <w:color w:val="auto"/>
                      <w:lang w:val="en-US" w:eastAsia="zh-CN"/>
                    </w:rPr>
                    <w:t>A级</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0F0E0">
                  <w:pPr>
                    <w:pStyle w:val="43"/>
                    <w:bidi w:val="0"/>
                    <w:jc w:val="center"/>
                    <w:rPr>
                      <w:color w:val="auto"/>
                    </w:rPr>
                  </w:pPr>
                  <w:r>
                    <w:rPr>
                      <w:color w:val="auto"/>
                      <w:lang w:val="en-US" w:eastAsia="zh-CN"/>
                    </w:rPr>
                    <w:t>B级</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889D8">
                  <w:pPr>
                    <w:pStyle w:val="43"/>
                    <w:bidi w:val="0"/>
                    <w:jc w:val="center"/>
                    <w:rPr>
                      <w:color w:val="auto"/>
                    </w:rPr>
                  </w:pPr>
                  <w:r>
                    <w:rPr>
                      <w:color w:val="auto"/>
                      <w:lang w:val="en-US" w:eastAsia="zh-CN"/>
                    </w:rPr>
                    <w:t>C级</w:t>
                  </w:r>
                </w:p>
              </w:tc>
            </w:tr>
            <w:tr w14:paraId="4702F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CE57D">
                  <w:pPr>
                    <w:pStyle w:val="43"/>
                    <w:bidi w:val="0"/>
                    <w:jc w:val="center"/>
                    <w:rPr>
                      <w:rFonts w:hint="default"/>
                      <w:color w:val="auto"/>
                      <w:lang w:val="en-US" w:eastAsia="zh-CN"/>
                    </w:rPr>
                  </w:pPr>
                  <w:r>
                    <w:rPr>
                      <w:rFonts w:hint="eastAsia"/>
                      <w:color w:val="auto"/>
                      <w:lang w:val="en-US" w:eastAsia="zh-CN"/>
                    </w:rPr>
                    <w:t>1</w:t>
                  </w:r>
                </w:p>
              </w:tc>
              <w:tc>
                <w:tcPr>
                  <w:tcW w:w="1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603D9">
                  <w:pPr>
                    <w:pStyle w:val="43"/>
                    <w:bidi w:val="0"/>
                    <w:jc w:val="center"/>
                    <w:rPr>
                      <w:color w:val="auto"/>
                    </w:rPr>
                  </w:pPr>
                  <w:r>
                    <w:rPr>
                      <w:color w:val="auto"/>
                      <w:lang w:val="en-US" w:eastAsia="zh-CN"/>
                    </w:rPr>
                    <w:t>pH值</w:t>
                  </w:r>
                </w:p>
              </w:tc>
              <w:tc>
                <w:tcPr>
                  <w:tcW w:w="26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1827A7">
                  <w:pPr>
                    <w:pStyle w:val="43"/>
                    <w:bidi w:val="0"/>
                    <w:jc w:val="center"/>
                    <w:rPr>
                      <w:color w:val="auto"/>
                    </w:rPr>
                  </w:pPr>
                  <w:r>
                    <w:rPr>
                      <w:color w:val="auto"/>
                      <w:lang w:val="en-US" w:eastAsia="zh-CN"/>
                    </w:rPr>
                    <w:t>6~9</w:t>
                  </w:r>
                </w:p>
              </w:tc>
            </w:tr>
            <w:tr w14:paraId="1C8D4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E3076">
                  <w:pPr>
                    <w:pStyle w:val="43"/>
                    <w:bidi w:val="0"/>
                    <w:jc w:val="center"/>
                    <w:rPr>
                      <w:color w:val="auto"/>
                    </w:rPr>
                  </w:pPr>
                  <w:r>
                    <w:rPr>
                      <w:color w:val="auto"/>
                      <w:lang w:val="en-US" w:eastAsia="zh-CN"/>
                    </w:rPr>
                    <w:t>2</w:t>
                  </w:r>
                </w:p>
              </w:tc>
              <w:tc>
                <w:tcPr>
                  <w:tcW w:w="1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8C1BE">
                  <w:pPr>
                    <w:pStyle w:val="43"/>
                    <w:bidi w:val="0"/>
                    <w:jc w:val="center"/>
                    <w:rPr>
                      <w:color w:val="auto"/>
                    </w:rPr>
                  </w:pPr>
                  <w:r>
                    <w:rPr>
                      <w:color w:val="auto"/>
                      <w:lang w:val="en-US" w:eastAsia="zh-CN"/>
                    </w:rPr>
                    <w:t>化学需氧量</w:t>
                  </w:r>
                  <w:r>
                    <w:rPr>
                      <w:rFonts w:hint="eastAsia"/>
                      <w:color w:val="auto"/>
                      <w:lang w:val="en-US" w:eastAsia="zh-CN"/>
                    </w:rPr>
                    <w:t>（</w:t>
                  </w:r>
                  <w:r>
                    <w:rPr>
                      <w:color w:val="auto"/>
                      <w:lang w:val="en-US" w:eastAsia="zh-CN"/>
                    </w:rPr>
                    <w:t>CODc</w:t>
                  </w:r>
                  <w:r>
                    <w:rPr>
                      <w:rFonts w:hint="eastAsia"/>
                      <w:color w:val="auto"/>
                      <w:lang w:val="en-US" w:eastAsia="zh-CN"/>
                    </w:rPr>
                    <w:t>r），</w:t>
                  </w:r>
                  <w:r>
                    <w:rPr>
                      <w:color w:val="auto"/>
                      <w:lang w:val="en-US" w:eastAsia="zh-CN"/>
                    </w:rPr>
                    <w:t>mg/L</w:t>
                  </w:r>
                </w:p>
              </w:tc>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F6A3D">
                  <w:pPr>
                    <w:pStyle w:val="43"/>
                    <w:bidi w:val="0"/>
                    <w:jc w:val="center"/>
                    <w:rPr>
                      <w:color w:val="auto"/>
                    </w:rPr>
                  </w:pPr>
                  <w:r>
                    <w:rPr>
                      <w:color w:val="auto"/>
                      <w:lang w:val="en-US" w:eastAsia="zh-CN"/>
                    </w:rPr>
                    <w:t>60</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99A6F">
                  <w:pPr>
                    <w:pStyle w:val="43"/>
                    <w:bidi w:val="0"/>
                    <w:jc w:val="center"/>
                    <w:rPr>
                      <w:color w:val="auto"/>
                    </w:rPr>
                  </w:pPr>
                  <w:r>
                    <w:rPr>
                      <w:color w:val="auto"/>
                      <w:lang w:val="en-US" w:eastAsia="zh-CN"/>
                    </w:rPr>
                    <w:t>180</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FB678">
                  <w:pPr>
                    <w:pStyle w:val="43"/>
                    <w:bidi w:val="0"/>
                    <w:jc w:val="center"/>
                    <w:rPr>
                      <w:color w:val="auto"/>
                    </w:rPr>
                  </w:pPr>
                  <w:r>
                    <w:rPr>
                      <w:color w:val="auto"/>
                      <w:lang w:val="en-US" w:eastAsia="zh-CN"/>
                    </w:rPr>
                    <w:t>200</w:t>
                  </w:r>
                </w:p>
              </w:tc>
            </w:tr>
            <w:tr w14:paraId="468AA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05DFC">
                  <w:pPr>
                    <w:pStyle w:val="43"/>
                    <w:bidi w:val="0"/>
                    <w:jc w:val="center"/>
                    <w:rPr>
                      <w:color w:val="auto"/>
                    </w:rPr>
                  </w:pPr>
                  <w:r>
                    <w:rPr>
                      <w:color w:val="auto"/>
                      <w:lang w:val="en-US" w:eastAsia="zh-CN"/>
                    </w:rPr>
                    <w:t>3</w:t>
                  </w:r>
                </w:p>
              </w:tc>
              <w:tc>
                <w:tcPr>
                  <w:tcW w:w="1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936F2">
                  <w:pPr>
                    <w:pStyle w:val="43"/>
                    <w:bidi w:val="0"/>
                    <w:jc w:val="center"/>
                    <w:rPr>
                      <w:color w:val="auto"/>
                    </w:rPr>
                  </w:pPr>
                  <w:r>
                    <w:rPr>
                      <w:color w:val="auto"/>
                      <w:lang w:val="en-US" w:eastAsia="zh-CN"/>
                    </w:rPr>
                    <w:t>悬浮物</w:t>
                  </w:r>
                  <w:r>
                    <w:rPr>
                      <w:rFonts w:hint="eastAsia"/>
                      <w:color w:val="auto"/>
                      <w:lang w:val="en-US" w:eastAsia="zh-CN"/>
                    </w:rPr>
                    <w:t>（</w:t>
                  </w:r>
                  <w:r>
                    <w:rPr>
                      <w:color w:val="auto"/>
                      <w:lang w:val="en-US" w:eastAsia="zh-CN"/>
                    </w:rPr>
                    <w:t>SS</w:t>
                  </w:r>
                  <w:r>
                    <w:rPr>
                      <w:rFonts w:hint="eastAsia"/>
                      <w:color w:val="auto"/>
                      <w:lang w:val="en-US" w:eastAsia="zh-CN"/>
                    </w:rPr>
                    <w:t>），</w:t>
                  </w:r>
                  <w:r>
                    <w:rPr>
                      <w:color w:val="auto"/>
                      <w:lang w:val="en-US" w:eastAsia="zh-CN"/>
                    </w:rPr>
                    <w:t>mg/L</w:t>
                  </w:r>
                </w:p>
              </w:tc>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A3B51">
                  <w:pPr>
                    <w:pStyle w:val="43"/>
                    <w:bidi w:val="0"/>
                    <w:jc w:val="center"/>
                    <w:rPr>
                      <w:color w:val="auto"/>
                    </w:rPr>
                  </w:pPr>
                  <w:r>
                    <w:rPr>
                      <w:color w:val="auto"/>
                      <w:lang w:val="en-US" w:eastAsia="zh-CN"/>
                    </w:rPr>
                    <w:t>30</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BD679">
                  <w:pPr>
                    <w:pStyle w:val="43"/>
                    <w:bidi w:val="0"/>
                    <w:jc w:val="center"/>
                    <w:rPr>
                      <w:color w:val="auto"/>
                    </w:rPr>
                  </w:pPr>
                  <w:r>
                    <w:rPr>
                      <w:color w:val="auto"/>
                      <w:lang w:val="en-US" w:eastAsia="zh-CN"/>
                    </w:rPr>
                    <w:t>90</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5416B">
                  <w:pPr>
                    <w:pStyle w:val="43"/>
                    <w:bidi w:val="0"/>
                    <w:jc w:val="center"/>
                    <w:rPr>
                      <w:color w:val="auto"/>
                    </w:rPr>
                  </w:pPr>
                  <w:r>
                    <w:rPr>
                      <w:color w:val="auto"/>
                      <w:lang w:val="en-US" w:eastAsia="zh-CN"/>
                    </w:rPr>
                    <w:t>100</w:t>
                  </w:r>
                </w:p>
              </w:tc>
            </w:tr>
            <w:tr w14:paraId="62F44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F757C">
                  <w:pPr>
                    <w:pStyle w:val="43"/>
                    <w:bidi w:val="0"/>
                    <w:jc w:val="center"/>
                    <w:rPr>
                      <w:color w:val="auto"/>
                    </w:rPr>
                  </w:pPr>
                  <w:r>
                    <w:rPr>
                      <w:color w:val="auto"/>
                      <w:lang w:val="en-US" w:eastAsia="zh-CN"/>
                    </w:rPr>
                    <w:t>4</w:t>
                  </w:r>
                </w:p>
              </w:tc>
              <w:tc>
                <w:tcPr>
                  <w:tcW w:w="1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F9300">
                  <w:pPr>
                    <w:pStyle w:val="43"/>
                    <w:bidi w:val="0"/>
                    <w:jc w:val="center"/>
                    <w:rPr>
                      <w:color w:val="auto"/>
                    </w:rPr>
                  </w:pPr>
                  <w:r>
                    <w:rPr>
                      <w:color w:val="auto"/>
                      <w:lang w:val="en-US" w:eastAsia="zh-CN"/>
                    </w:rPr>
                    <w:t>粪大肠菌群，MPN/L</w:t>
                  </w:r>
                </w:p>
              </w:tc>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80FB6">
                  <w:pPr>
                    <w:pStyle w:val="43"/>
                    <w:bidi w:val="0"/>
                    <w:jc w:val="center"/>
                    <w:rPr>
                      <w:color w:val="auto"/>
                    </w:rPr>
                  </w:pPr>
                  <w:r>
                    <w:rPr>
                      <w:color w:val="auto"/>
                      <w:lang w:val="en-US" w:eastAsia="zh-CN"/>
                    </w:rPr>
                    <w:t>10000</w:t>
                  </w:r>
                </w:p>
              </w:tc>
              <w:tc>
                <w:tcPr>
                  <w:tcW w:w="17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1A730A">
                  <w:pPr>
                    <w:pStyle w:val="43"/>
                    <w:bidi w:val="0"/>
                    <w:jc w:val="center"/>
                    <w:rPr>
                      <w:color w:val="auto"/>
                    </w:rPr>
                  </w:pPr>
                  <w:r>
                    <w:rPr>
                      <w:color w:val="auto"/>
                      <w:lang w:val="en-US" w:eastAsia="zh-CN"/>
                    </w:rPr>
                    <w:t>40000</w:t>
                  </w:r>
                </w:p>
              </w:tc>
            </w:tr>
            <w:tr w14:paraId="43179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 w:hRule="atLeast"/>
              </w:trPr>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340AB">
                  <w:pPr>
                    <w:pStyle w:val="43"/>
                    <w:bidi w:val="0"/>
                    <w:jc w:val="center"/>
                    <w:rPr>
                      <w:color w:val="auto"/>
                    </w:rPr>
                  </w:pPr>
                  <w:r>
                    <w:rPr>
                      <w:color w:val="auto"/>
                      <w:lang w:val="en-US" w:eastAsia="zh-CN"/>
                    </w:rPr>
                    <w:t>5</w:t>
                  </w:r>
                </w:p>
              </w:tc>
              <w:tc>
                <w:tcPr>
                  <w:tcW w:w="1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1E912">
                  <w:pPr>
                    <w:pStyle w:val="43"/>
                    <w:bidi w:val="0"/>
                    <w:jc w:val="center"/>
                    <w:rPr>
                      <w:color w:val="auto"/>
                    </w:rPr>
                  </w:pPr>
                  <w:r>
                    <w:rPr>
                      <w:color w:val="auto"/>
                      <w:lang w:val="en-US" w:eastAsia="zh-CN"/>
                    </w:rPr>
                    <w:t>蛔虫卵个数，个/L</w:t>
                  </w:r>
                </w:p>
              </w:tc>
              <w:tc>
                <w:tcPr>
                  <w:tcW w:w="26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057132">
                  <w:pPr>
                    <w:pStyle w:val="43"/>
                    <w:bidi w:val="0"/>
                    <w:jc w:val="center"/>
                    <w:rPr>
                      <w:color w:val="auto"/>
                    </w:rPr>
                  </w:pPr>
                  <w:r>
                    <w:rPr>
                      <w:color w:val="auto"/>
                      <w:lang w:val="en-US" w:eastAsia="zh-CN"/>
                    </w:rPr>
                    <w:t>2</w:t>
                  </w:r>
                </w:p>
              </w:tc>
            </w:tr>
          </w:tbl>
          <w:p w14:paraId="7A855CCF">
            <w:pPr>
              <w:pStyle w:val="46"/>
              <w:bidi w:val="0"/>
              <w:rPr>
                <w:rFonts w:hint="default"/>
                <w:color w:val="auto"/>
                <w:lang w:val="en-US" w:eastAsia="zh-CN"/>
              </w:rPr>
            </w:pPr>
            <w:r>
              <w:rPr>
                <w:rFonts w:hint="eastAsia"/>
                <w:color w:val="auto"/>
                <w:lang w:val="en-US" w:eastAsia="zh-CN"/>
              </w:rPr>
              <w:t>（3）</w:t>
            </w:r>
            <w:r>
              <w:rPr>
                <w:rFonts w:hint="default"/>
                <w:color w:val="auto"/>
                <w:lang w:val="en-US" w:eastAsia="zh-CN"/>
              </w:rPr>
              <w:t>噪声排放标准</w:t>
            </w:r>
          </w:p>
          <w:p w14:paraId="236ECDD7">
            <w:pPr>
              <w:pStyle w:val="46"/>
              <w:bidi w:val="0"/>
              <w:rPr>
                <w:rFonts w:hint="default"/>
                <w:color w:val="auto"/>
                <w:lang w:val="en-US" w:eastAsia="zh-CN"/>
              </w:rPr>
            </w:pPr>
            <w:r>
              <w:rPr>
                <w:rFonts w:hint="default"/>
                <w:color w:val="auto"/>
                <w:lang w:val="en-US" w:eastAsia="zh-CN"/>
              </w:rPr>
              <w:t>施工期</w:t>
            </w:r>
            <w:r>
              <w:rPr>
                <w:rFonts w:hint="eastAsia"/>
                <w:color w:val="auto"/>
                <w:lang w:val="en-US" w:eastAsia="zh-CN"/>
              </w:rPr>
              <w:t>和勘探期</w:t>
            </w:r>
            <w:r>
              <w:rPr>
                <w:rFonts w:hint="default"/>
                <w:color w:val="auto"/>
                <w:lang w:val="en-US" w:eastAsia="zh-CN"/>
              </w:rPr>
              <w:t>噪声排放限值执行《建筑施工噪声排放标准》</w:t>
            </w:r>
            <w:r>
              <w:rPr>
                <w:rFonts w:hint="eastAsia"/>
                <w:color w:val="auto"/>
                <w:lang w:val="en-US" w:eastAsia="zh-CN"/>
              </w:rPr>
              <w:t>（</w:t>
            </w:r>
            <w:r>
              <w:rPr>
                <w:rFonts w:hint="default"/>
                <w:color w:val="auto"/>
                <w:lang w:val="en-US" w:eastAsia="zh-CN"/>
              </w:rPr>
              <w:t>GB12523-20</w:t>
            </w:r>
            <w:r>
              <w:rPr>
                <w:rFonts w:hint="eastAsia"/>
                <w:color w:val="auto"/>
                <w:lang w:val="en-US" w:eastAsia="zh-CN"/>
              </w:rPr>
              <w:t>25）</w:t>
            </w:r>
            <w:r>
              <w:rPr>
                <w:rFonts w:hint="default"/>
                <w:color w:val="auto"/>
                <w:lang w:val="en-US" w:eastAsia="zh-CN"/>
              </w:rPr>
              <w:t>。</w:t>
            </w:r>
          </w:p>
          <w:p w14:paraId="66AEDEEA">
            <w:pPr>
              <w:pStyle w:val="46"/>
              <w:bidi w:val="0"/>
              <w:rPr>
                <w:rFonts w:hint="eastAsia"/>
                <w:color w:val="auto"/>
                <w:lang w:val="en-US" w:eastAsia="zh-CN"/>
              </w:rPr>
            </w:pPr>
            <w:r>
              <w:rPr>
                <w:rFonts w:hint="eastAsia"/>
                <w:color w:val="auto"/>
                <w:lang w:val="en-US" w:eastAsia="zh-CN"/>
              </w:rPr>
              <w:t>（4）固体废弃物</w:t>
            </w:r>
          </w:p>
          <w:p w14:paraId="4B1A493C">
            <w:pPr>
              <w:pStyle w:val="46"/>
              <w:bidi w:val="0"/>
              <w:rPr>
                <w:rFonts w:hint="default" w:ascii="Times New Roman" w:hAnsi="Times New Roman" w:eastAsia="宋体" w:cs="宋体"/>
                <w:color w:val="auto"/>
                <w:lang w:val="en-US" w:eastAsia="zh-CN"/>
              </w:rPr>
            </w:pPr>
            <w:r>
              <w:rPr>
                <w:rFonts w:hint="eastAsia" w:ascii="Times New Roman" w:hAnsi="Times New Roman" w:eastAsia="宋体" w:cs="宋体"/>
                <w:color w:val="auto"/>
                <w:lang w:val="en-US" w:eastAsia="zh-CN"/>
              </w:rPr>
              <w:t>项目产生的一般固废</w:t>
            </w:r>
            <w:r>
              <w:rPr>
                <w:rFonts w:hint="eastAsia" w:cs="宋体"/>
                <w:color w:val="auto"/>
                <w:lang w:val="en-US" w:eastAsia="zh-CN"/>
              </w:rPr>
              <w:t>应</w:t>
            </w:r>
            <w:r>
              <w:rPr>
                <w:rFonts w:hint="default" w:ascii="Times New Roman" w:hAnsi="Times New Roman" w:eastAsia="宋体" w:cs="宋体"/>
                <w:color w:val="auto"/>
                <w:lang w:val="en-US" w:eastAsia="zh-CN"/>
              </w:rPr>
              <w:t>符合</w:t>
            </w:r>
            <w:r>
              <w:rPr>
                <w:rFonts w:hint="eastAsia" w:ascii="Times New Roman" w:hAnsi="Times New Roman" w:eastAsia="宋体" w:cs="宋体"/>
                <w:color w:val="auto"/>
                <w:lang w:val="en-US" w:eastAsia="zh-CN"/>
              </w:rPr>
              <w:t>《一般工业固体废弃物贮存和填埋污染控制标准》（GB18599-2020）</w:t>
            </w:r>
            <w:r>
              <w:rPr>
                <w:rFonts w:hint="eastAsia" w:cs="宋体"/>
                <w:color w:val="auto"/>
                <w:lang w:val="en-US" w:eastAsia="zh-CN"/>
              </w:rPr>
              <w:t>及</w:t>
            </w:r>
            <w:r>
              <w:rPr>
                <w:rFonts w:hint="default" w:ascii="Times New Roman" w:hAnsi="Times New Roman" w:eastAsia="宋体" w:cs="Times New Roman"/>
                <w:b w:val="0"/>
                <w:bCs w:val="0"/>
                <w:color w:val="auto"/>
                <w:sz w:val="24"/>
                <w:szCs w:val="24"/>
                <w:highlight w:val="none"/>
                <w:lang w:val="en-US" w:eastAsia="zh-CN"/>
              </w:rPr>
              <w:t>《中华人民共和国固体废物污染环境防治法》（2020年9月1日</w:t>
            </w:r>
            <w:r>
              <w:rPr>
                <w:rFonts w:hint="eastAsia" w:cs="Times New Roman"/>
                <w:b w:val="0"/>
                <w:bCs w:val="0"/>
                <w:color w:val="auto"/>
                <w:sz w:val="24"/>
                <w:szCs w:val="24"/>
                <w:highlight w:val="none"/>
                <w:lang w:val="en-US" w:eastAsia="zh-CN"/>
              </w:rPr>
              <w:t>修订</w:t>
            </w:r>
            <w:r>
              <w:rPr>
                <w:rFonts w:hint="default" w:ascii="Times New Roman" w:hAnsi="Times New Roman" w:eastAsia="宋体" w:cs="Times New Roman"/>
                <w:b w:val="0"/>
                <w:bCs w:val="0"/>
                <w:color w:val="auto"/>
                <w:sz w:val="24"/>
                <w:szCs w:val="24"/>
                <w:highlight w:val="none"/>
                <w:lang w:val="en-US" w:eastAsia="zh-CN"/>
              </w:rPr>
              <w:t>）</w:t>
            </w:r>
            <w:r>
              <w:rPr>
                <w:rFonts w:hint="default" w:ascii="Times New Roman" w:hAnsi="Times New Roman" w:eastAsia="宋体" w:cs="宋体"/>
                <w:color w:val="auto"/>
                <w:lang w:val="en-US" w:eastAsia="zh-CN"/>
              </w:rPr>
              <w:t>要求。</w:t>
            </w:r>
          </w:p>
          <w:p w14:paraId="2F45A522">
            <w:pPr>
              <w:pStyle w:val="46"/>
              <w:bidi w:val="0"/>
              <w:rPr>
                <w:rFonts w:hint="default" w:ascii="Times New Roman" w:hAnsi="Times New Roman" w:eastAsia="宋体" w:cs="宋体"/>
                <w:color w:val="auto"/>
                <w:lang w:val="en-US" w:eastAsia="zh-CN"/>
              </w:rPr>
            </w:pPr>
          </w:p>
        </w:tc>
      </w:tr>
      <w:tr w14:paraId="4861E2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81" w:hRule="atLeast"/>
          <w:jc w:val="center"/>
        </w:trPr>
        <w:tc>
          <w:tcPr>
            <w:tcW w:w="904" w:type="dxa"/>
            <w:noWrap w:val="0"/>
            <w:vAlign w:val="center"/>
          </w:tcPr>
          <w:p w14:paraId="558230A8">
            <w:pPr>
              <w:adjustRightInd w:val="0"/>
              <w:snapToGrid w:val="0"/>
              <w:jc w:val="center"/>
              <w:rPr>
                <w:rFonts w:ascii="宋体" w:hAnsi="宋体" w:cs="宋体"/>
                <w:color w:val="auto"/>
                <w:kern w:val="0"/>
                <w:szCs w:val="21"/>
              </w:rPr>
            </w:pPr>
            <w:r>
              <w:rPr>
                <w:rFonts w:hint="eastAsia" w:ascii="宋体" w:hAnsi="宋体" w:cs="宋体"/>
                <w:color w:val="auto"/>
                <w:kern w:val="0"/>
                <w:szCs w:val="21"/>
              </w:rPr>
              <w:t>其他</w:t>
            </w:r>
          </w:p>
        </w:tc>
        <w:tc>
          <w:tcPr>
            <w:tcW w:w="8115" w:type="dxa"/>
            <w:noWrap w:val="0"/>
            <w:vAlign w:val="center"/>
          </w:tcPr>
          <w:p w14:paraId="3803FA1D">
            <w:pPr>
              <w:adjustRightInd w:val="0"/>
              <w:snapToGrid w:val="0"/>
              <w:jc w:val="center"/>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无</w:t>
            </w:r>
          </w:p>
        </w:tc>
      </w:tr>
    </w:tbl>
    <w:p w14:paraId="6348625D">
      <w:pPr>
        <w:pStyle w:val="17"/>
        <w:adjustRightInd w:val="0"/>
        <w:snapToGrid w:val="0"/>
        <w:spacing w:before="0" w:beforeAutospacing="0" w:after="0" w:afterAutospacing="0" w:line="14" w:lineRule="auto"/>
        <w:jc w:val="center"/>
        <w:outlineLvl w:val="0"/>
        <w:rPr>
          <w:rFonts w:ascii="黑体" w:hAnsi="黑体" w:eastAsia="黑体"/>
          <w:snapToGrid w:val="0"/>
          <w:color w:val="auto"/>
          <w:kern w:val="2"/>
          <w:sz w:val="36"/>
          <w:szCs w:val="36"/>
        </w:rPr>
      </w:pPr>
    </w:p>
    <w:p w14:paraId="17A16CBF">
      <w:pPr>
        <w:pStyle w:val="17"/>
        <w:jc w:val="center"/>
        <w:outlineLvl w:val="0"/>
        <w:rPr>
          <w:rFonts w:ascii="黑体" w:hAnsi="黑体" w:eastAsia="黑体"/>
          <w:snapToGrid w:val="0"/>
          <w:color w:val="auto"/>
          <w:sz w:val="30"/>
          <w:szCs w:val="30"/>
        </w:rPr>
      </w:pPr>
      <w:r>
        <w:rPr>
          <w:rFonts w:ascii="黑体" w:hAnsi="黑体" w:eastAsia="黑体"/>
          <w:snapToGrid w:val="0"/>
          <w:color w:val="auto"/>
          <w:kern w:val="2"/>
          <w:sz w:val="36"/>
          <w:szCs w:val="36"/>
        </w:rPr>
        <w:br w:type="page"/>
      </w:r>
      <w:r>
        <w:rPr>
          <w:rFonts w:hint="eastAsia" w:ascii="黑体" w:hAnsi="黑体" w:eastAsia="黑体"/>
          <w:snapToGrid w:val="0"/>
          <w:color w:val="auto"/>
          <w:sz w:val="30"/>
          <w:szCs w:val="30"/>
        </w:rPr>
        <w:t>四、生态环境影响分析</w:t>
      </w:r>
    </w:p>
    <w:tbl>
      <w:tblPr>
        <w:tblStyle w:val="20"/>
        <w:tblW w:w="516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7913"/>
      </w:tblGrid>
      <w:tr w14:paraId="456A9B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06" w:hRule="atLeast"/>
          <w:jc w:val="center"/>
        </w:trPr>
        <w:tc>
          <w:tcPr>
            <w:tcW w:w="464" w:type="pct"/>
            <w:noWrap w:val="0"/>
            <w:tcMar>
              <w:left w:w="28" w:type="dxa"/>
              <w:right w:w="28" w:type="dxa"/>
            </w:tcMar>
            <w:vAlign w:val="center"/>
          </w:tcPr>
          <w:p w14:paraId="5156A6D7">
            <w:pPr>
              <w:pStyle w:val="17"/>
              <w:adjustRightInd w:val="0"/>
              <w:snapToGrid w:val="0"/>
              <w:spacing w:before="0" w:beforeAutospacing="0" w:after="0" w:afterAutospacing="0"/>
              <w:jc w:val="center"/>
              <w:rPr>
                <w:rFonts w:cs="宋体"/>
                <w:bCs/>
                <w:color w:val="auto"/>
                <w:kern w:val="2"/>
                <w:sz w:val="21"/>
                <w:szCs w:val="21"/>
              </w:rPr>
            </w:pPr>
            <w:bookmarkStart w:id="18" w:name="_Hlk49796138"/>
            <w:r>
              <w:rPr>
                <w:rFonts w:hint="eastAsia" w:cs="宋体"/>
                <w:bCs/>
                <w:color w:val="auto"/>
                <w:spacing w:val="10"/>
                <w:kern w:val="2"/>
                <w:sz w:val="21"/>
                <w:szCs w:val="21"/>
              </w:rPr>
              <w:t>施工期生态环境影响分析</w:t>
            </w:r>
            <w:bookmarkEnd w:id="18"/>
          </w:p>
        </w:tc>
        <w:tc>
          <w:tcPr>
            <w:tcW w:w="4535" w:type="pct"/>
            <w:noWrap w:val="0"/>
            <w:vAlign w:val="top"/>
          </w:tcPr>
          <w:p w14:paraId="65E53F47">
            <w:pPr>
              <w:pStyle w:val="46"/>
              <w:bidi w:val="0"/>
              <w:rPr>
                <w:rFonts w:hint="eastAsia"/>
                <w:color w:val="auto"/>
                <w:lang w:eastAsia="zh-CN"/>
              </w:rPr>
            </w:pPr>
            <w:r>
              <w:rPr>
                <w:rFonts w:hint="eastAsia"/>
                <w:color w:val="auto"/>
                <w:lang w:val="en-US" w:eastAsia="zh-CN"/>
              </w:rPr>
              <w:t>本项目为新建项目，施工期</w:t>
            </w:r>
            <w:r>
              <w:rPr>
                <w:rFonts w:hint="default"/>
                <w:color w:val="auto"/>
              </w:rPr>
              <w:t>主要活动</w:t>
            </w:r>
            <w:r>
              <w:rPr>
                <w:rFonts w:hint="eastAsia"/>
                <w:color w:val="auto"/>
                <w:lang w:val="en-US" w:eastAsia="zh-CN"/>
              </w:rPr>
              <w:t>为临时营地的建设</w:t>
            </w:r>
            <w:r>
              <w:rPr>
                <w:rFonts w:hint="default"/>
                <w:color w:val="auto"/>
              </w:rPr>
              <w:t>，</w:t>
            </w:r>
            <w:r>
              <w:rPr>
                <w:rFonts w:hint="eastAsia"/>
                <w:color w:val="auto"/>
                <w:lang w:eastAsia="zh-CN"/>
              </w:rPr>
              <w:t>在施工过程中会有</w:t>
            </w:r>
            <w:r>
              <w:rPr>
                <w:rFonts w:hint="default"/>
                <w:color w:val="auto"/>
              </w:rPr>
              <w:t>施工废气、施工扬尘、施工噪声</w:t>
            </w:r>
            <w:r>
              <w:rPr>
                <w:rFonts w:hint="eastAsia"/>
                <w:color w:val="auto"/>
                <w:lang w:eastAsia="zh-CN"/>
              </w:rPr>
              <w:t>、</w:t>
            </w:r>
            <w:r>
              <w:rPr>
                <w:rFonts w:hint="eastAsia"/>
                <w:color w:val="auto"/>
                <w:lang w:val="en-US" w:eastAsia="zh-CN"/>
              </w:rPr>
              <w:t>开挖土石方</w:t>
            </w:r>
            <w:r>
              <w:rPr>
                <w:rFonts w:hint="default"/>
                <w:color w:val="auto"/>
              </w:rPr>
              <w:t>等产生</w:t>
            </w:r>
            <w:r>
              <w:rPr>
                <w:rFonts w:hint="eastAsia"/>
                <w:color w:val="auto"/>
                <w:lang w:eastAsia="zh-CN"/>
              </w:rPr>
              <w:t>。</w:t>
            </w:r>
          </w:p>
          <w:p w14:paraId="66A5A6C6">
            <w:pPr>
              <w:pStyle w:val="45"/>
              <w:bidi w:val="0"/>
              <w:rPr>
                <w:rFonts w:hint="eastAsia"/>
                <w:color w:val="auto"/>
                <w:lang w:val="en-US" w:eastAsia="zh-CN"/>
              </w:rPr>
            </w:pPr>
            <w:r>
              <w:rPr>
                <w:rFonts w:hint="eastAsia"/>
                <w:color w:val="auto"/>
                <w:lang w:val="en-US" w:eastAsia="zh-CN"/>
              </w:rPr>
              <w:t>1.生态影响分析</w:t>
            </w:r>
          </w:p>
          <w:p w14:paraId="40894F67">
            <w:pPr>
              <w:pStyle w:val="45"/>
              <w:keepNext w:val="0"/>
              <w:keepLines w:val="0"/>
              <w:pageBreakBefore w:val="0"/>
              <w:widowControl w:val="0"/>
              <w:kinsoku/>
              <w:wordWrap/>
              <w:overflowPunct/>
              <w:topLinePunct w:val="0"/>
              <w:autoSpaceDE/>
              <w:autoSpaceDN/>
              <w:bidi w:val="0"/>
              <w:adjustRightInd w:val="0"/>
              <w:snapToGrid w:val="0"/>
              <w:ind w:firstLine="482" w:firstLineChars="200"/>
              <w:textAlignment w:val="auto"/>
              <w:rPr>
                <w:rFonts w:hint="eastAsia"/>
                <w:color w:val="auto"/>
                <w:lang w:val="en-US" w:eastAsia="zh-CN"/>
              </w:rPr>
            </w:pPr>
            <w:r>
              <w:rPr>
                <w:rFonts w:hint="eastAsia"/>
                <w:color w:val="auto"/>
                <w:lang w:val="en-US" w:eastAsia="zh-CN"/>
              </w:rPr>
              <w:t>1.1</w:t>
            </w:r>
            <w:r>
              <w:rPr>
                <w:rFonts w:hint="eastAsia"/>
                <w:color w:val="auto"/>
                <w:highlight w:val="none"/>
                <w:lang w:val="en-US" w:eastAsia="zh-CN"/>
              </w:rPr>
              <w:t>占地影响</w:t>
            </w:r>
          </w:p>
          <w:p w14:paraId="4AD770F7">
            <w:pPr>
              <w:pStyle w:val="57"/>
              <w:bidi w:val="0"/>
              <w:rPr>
                <w:rFonts w:hint="eastAsia"/>
                <w:color w:val="auto"/>
                <w:lang w:val="en-US" w:eastAsia="zh-CN"/>
              </w:rPr>
            </w:pPr>
            <w:r>
              <w:rPr>
                <w:rFonts w:hint="eastAsia"/>
                <w:color w:val="auto"/>
                <w:lang w:val="en-US" w:eastAsia="zh-CN"/>
              </w:rPr>
              <w:t>本项</w:t>
            </w:r>
            <w:r>
              <w:rPr>
                <w:rFonts w:hint="eastAsia"/>
                <w:color w:val="auto"/>
                <w:highlight w:val="none"/>
                <w:lang w:val="en-US" w:eastAsia="zh-CN"/>
              </w:rPr>
              <w:t>目施工期建设主要为临时生活营地、施工营地和简易进矿道路的修筑，施工临时占地约为17000m</w:t>
            </w:r>
            <w:r>
              <w:rPr>
                <w:rFonts w:hint="eastAsia"/>
                <w:color w:val="auto"/>
                <w:highlight w:val="none"/>
                <w:vertAlign w:val="superscript"/>
                <w:lang w:val="en-US" w:eastAsia="zh-CN"/>
              </w:rPr>
              <w:t>2</w:t>
            </w:r>
            <w:r>
              <w:rPr>
                <w:rFonts w:hint="eastAsia"/>
                <w:color w:val="auto"/>
                <w:highlight w:val="none"/>
                <w:lang w:val="en-US" w:eastAsia="zh-CN"/>
              </w:rPr>
              <w:t>。临时占地会改变土地原有使用功能，临时构筑物的压占会造成剥离后的表层土壤过于紧实，降低土壤的通透性和渗水性，对土壤环境、动植物以及区域景观生态产生不利</w:t>
            </w:r>
            <w:r>
              <w:rPr>
                <w:rFonts w:hint="eastAsia"/>
                <w:color w:val="auto"/>
                <w:lang w:val="en-US" w:eastAsia="zh-CN"/>
              </w:rPr>
              <w:t>的影响。</w:t>
            </w:r>
          </w:p>
          <w:p w14:paraId="5A7E9262">
            <w:pPr>
              <w:pStyle w:val="45"/>
              <w:keepNext w:val="0"/>
              <w:keepLines w:val="0"/>
              <w:pageBreakBefore w:val="0"/>
              <w:widowControl w:val="0"/>
              <w:kinsoku/>
              <w:wordWrap/>
              <w:overflowPunct/>
              <w:topLinePunct w:val="0"/>
              <w:autoSpaceDE/>
              <w:autoSpaceDN/>
              <w:bidi w:val="0"/>
              <w:adjustRightInd w:val="0"/>
              <w:snapToGrid w:val="0"/>
              <w:ind w:firstLine="482" w:firstLineChars="200"/>
              <w:textAlignment w:val="auto"/>
              <w:rPr>
                <w:rFonts w:hint="eastAsia"/>
                <w:color w:val="auto"/>
                <w:lang w:val="en-US" w:eastAsia="zh-CN"/>
              </w:rPr>
            </w:pPr>
            <w:r>
              <w:rPr>
                <w:rFonts w:hint="eastAsia"/>
                <w:color w:val="auto"/>
                <w:lang w:val="en-US" w:eastAsia="zh-CN"/>
              </w:rPr>
              <w:t>1.2土壤环境的影响</w:t>
            </w:r>
          </w:p>
          <w:p w14:paraId="15A0614C">
            <w:pPr>
              <w:pStyle w:val="46"/>
              <w:bidi w:val="0"/>
              <w:rPr>
                <w:rFonts w:hint="default"/>
                <w:color w:val="auto"/>
                <w:lang w:val="en-US" w:eastAsia="zh-CN"/>
              </w:rPr>
            </w:pPr>
            <w:r>
              <w:rPr>
                <w:rFonts w:hint="eastAsia"/>
                <w:color w:val="auto"/>
                <w:lang w:eastAsia="zh-CN"/>
              </w:rPr>
              <w:t>工程施工过程中的土方开挖、回填、机械碾压对土壤的理化性质和土壤肥力会产生一定不利影响</w:t>
            </w:r>
            <w:r>
              <w:rPr>
                <w:rFonts w:hint="default"/>
                <w:color w:val="auto"/>
                <w:lang w:val="en-US" w:eastAsia="zh-CN"/>
              </w:rPr>
              <w:t>，不会彻底改变土地利用结构和功能，对区域生态系统的影响有限。</w:t>
            </w:r>
          </w:p>
          <w:p w14:paraId="3EB21ACA">
            <w:pPr>
              <w:pStyle w:val="46"/>
              <w:bidi w:val="0"/>
              <w:rPr>
                <w:rFonts w:hint="eastAsia"/>
                <w:color w:val="auto"/>
                <w:lang w:val="en-US" w:eastAsia="zh-CN"/>
              </w:rPr>
            </w:pPr>
            <w:r>
              <w:rPr>
                <w:rFonts w:hint="eastAsia"/>
                <w:color w:val="auto"/>
              </w:rPr>
              <w:t>本次施工期内</w:t>
            </w:r>
            <w:r>
              <w:rPr>
                <w:rFonts w:hint="eastAsia"/>
                <w:color w:val="auto"/>
                <w:lang w:val="en-US" w:eastAsia="zh-CN"/>
              </w:rPr>
              <w:t>临时营地建设产生的堆土和</w:t>
            </w:r>
            <w:r>
              <w:rPr>
                <w:rFonts w:hint="eastAsia"/>
                <w:color w:val="auto"/>
              </w:rPr>
              <w:t>临时构筑物的压占会造成剥离后的表层土壤过于紧实，降低土壤的通透性和渗水性，</w:t>
            </w:r>
            <w:r>
              <w:rPr>
                <w:rFonts w:hint="eastAsia"/>
                <w:color w:val="auto"/>
                <w:lang w:val="en-US" w:eastAsia="zh-CN"/>
              </w:rPr>
              <w:t>工程建设临时压占土地，主要是使这些土地失去原有的生物生产功能和生态服务功能，会对局部的土地利用产生一定的影响。</w:t>
            </w:r>
          </w:p>
          <w:p w14:paraId="01C23B00">
            <w:pPr>
              <w:pStyle w:val="45"/>
              <w:keepNext w:val="0"/>
              <w:keepLines w:val="0"/>
              <w:pageBreakBefore w:val="0"/>
              <w:widowControl w:val="0"/>
              <w:kinsoku/>
              <w:wordWrap/>
              <w:overflowPunct/>
              <w:topLinePunct w:val="0"/>
              <w:autoSpaceDE/>
              <w:autoSpaceDN/>
              <w:bidi w:val="0"/>
              <w:adjustRightInd w:val="0"/>
              <w:snapToGrid w:val="0"/>
              <w:ind w:firstLine="482" w:firstLineChars="200"/>
              <w:textAlignment w:val="auto"/>
              <w:rPr>
                <w:rFonts w:hint="default"/>
                <w:color w:val="auto"/>
                <w:lang w:val="en-US" w:eastAsia="zh-CN"/>
              </w:rPr>
            </w:pPr>
            <w:r>
              <w:rPr>
                <w:rFonts w:hint="eastAsia"/>
                <w:color w:val="auto"/>
                <w:lang w:val="en-US" w:eastAsia="zh-CN"/>
              </w:rPr>
              <w:t>1.3对植物的影响</w:t>
            </w:r>
          </w:p>
          <w:p w14:paraId="19B5589B">
            <w:pPr>
              <w:pStyle w:val="46"/>
              <w:bidi w:val="0"/>
              <w:rPr>
                <w:rFonts w:hint="default"/>
                <w:color w:val="auto"/>
              </w:rPr>
            </w:pPr>
            <w:r>
              <w:rPr>
                <w:rFonts w:hint="default"/>
                <w:color w:val="auto"/>
                <w:lang w:val="en-US" w:eastAsia="zh-CN"/>
              </w:rPr>
              <w:t>本项目占地性质属于临时占地，</w:t>
            </w:r>
            <w:r>
              <w:rPr>
                <w:rFonts w:hint="eastAsia"/>
                <w:color w:val="auto"/>
                <w:lang w:val="en-US" w:eastAsia="zh-CN"/>
              </w:rPr>
              <w:t>其中大部</w:t>
            </w:r>
            <w:r>
              <w:rPr>
                <w:rFonts w:hint="eastAsia"/>
                <w:color w:val="auto"/>
                <w:highlight w:val="none"/>
                <w:lang w:val="en-US" w:eastAsia="zh-CN"/>
              </w:rPr>
              <w:t>分为裸地，少部分为稀疏草本。植被</w:t>
            </w:r>
            <w:r>
              <w:rPr>
                <w:rFonts w:hint="default"/>
                <w:color w:val="auto"/>
                <w:highlight w:val="none"/>
                <w:lang w:val="en-US" w:eastAsia="zh-CN"/>
              </w:rPr>
              <w:t>稀疏，主要植物为</w:t>
            </w:r>
            <w:r>
              <w:rPr>
                <w:rFonts w:hint="eastAsia"/>
                <w:color w:val="auto"/>
                <w:highlight w:val="none"/>
                <w:lang w:val="en-US" w:eastAsia="zh-CN"/>
              </w:rPr>
              <w:t>盐地碱蓬</w:t>
            </w:r>
            <w:r>
              <w:rPr>
                <w:rFonts w:hint="default"/>
                <w:color w:val="auto"/>
                <w:highlight w:val="none"/>
                <w:lang w:val="en-US" w:eastAsia="zh-CN"/>
              </w:rPr>
              <w:t>和</w:t>
            </w:r>
            <w:r>
              <w:rPr>
                <w:rFonts w:hint="eastAsia"/>
                <w:color w:val="auto"/>
                <w:highlight w:val="none"/>
                <w:lang w:val="en-US" w:eastAsia="zh-CN"/>
              </w:rPr>
              <w:t>蛛丝蓬</w:t>
            </w:r>
            <w:r>
              <w:rPr>
                <w:rFonts w:hint="default"/>
                <w:color w:val="auto"/>
                <w:highlight w:val="none"/>
                <w:lang w:val="en-US" w:eastAsia="zh-CN"/>
              </w:rPr>
              <w:t>，植被覆盖度</w:t>
            </w:r>
            <w:r>
              <w:rPr>
                <w:rFonts w:hint="eastAsia"/>
                <w:color w:val="auto"/>
                <w:highlight w:val="none"/>
                <w:lang w:val="en-US" w:eastAsia="zh-CN"/>
              </w:rPr>
              <w:t>较少。</w:t>
            </w:r>
            <w:r>
              <w:rPr>
                <w:rFonts w:hint="default"/>
                <w:color w:val="auto"/>
                <w:highlight w:val="none"/>
              </w:rPr>
              <w:t>工程在施工过程中，施工机械的碾压、建筑材料的占压、施工人</w:t>
            </w:r>
            <w:r>
              <w:rPr>
                <w:rFonts w:hint="default"/>
                <w:color w:val="auto"/>
              </w:rPr>
              <w:t>员踩踏以及建筑物基础等都将不可避免对占地区域植被造成破坏性的影响。施工活动致使项目区转化为人工裸地，导致植被生产能力下降，植被覆盖度降低。</w:t>
            </w:r>
          </w:p>
          <w:p w14:paraId="5EE14F4E">
            <w:pPr>
              <w:pStyle w:val="45"/>
              <w:keepNext w:val="0"/>
              <w:keepLines w:val="0"/>
              <w:pageBreakBefore w:val="0"/>
              <w:widowControl w:val="0"/>
              <w:kinsoku/>
              <w:wordWrap/>
              <w:overflowPunct/>
              <w:topLinePunct w:val="0"/>
              <w:autoSpaceDE/>
              <w:autoSpaceDN/>
              <w:bidi w:val="0"/>
              <w:adjustRightInd w:val="0"/>
              <w:snapToGrid w:val="0"/>
              <w:ind w:firstLine="482" w:firstLineChars="200"/>
              <w:textAlignment w:val="auto"/>
              <w:rPr>
                <w:rFonts w:hint="default"/>
                <w:color w:val="auto"/>
                <w:lang w:val="en-US" w:eastAsia="zh-CN"/>
              </w:rPr>
            </w:pPr>
            <w:r>
              <w:rPr>
                <w:rFonts w:hint="eastAsia"/>
                <w:color w:val="auto"/>
                <w:lang w:val="en-US" w:eastAsia="zh-CN"/>
              </w:rPr>
              <w:t>1.4对动物的影响</w:t>
            </w:r>
          </w:p>
          <w:p w14:paraId="747422F2">
            <w:pPr>
              <w:pStyle w:val="46"/>
              <w:bidi w:val="0"/>
              <w:rPr>
                <w:rFonts w:hint="default"/>
                <w:color w:val="auto"/>
                <w:lang w:val="en-US" w:eastAsia="zh-CN"/>
              </w:rPr>
            </w:pPr>
            <w:r>
              <w:rPr>
                <w:rFonts w:hint="eastAsia"/>
                <w:color w:val="auto"/>
                <w:lang w:val="en-US" w:eastAsia="zh-CN"/>
              </w:rPr>
              <w:t>项目所涉范围内基本无大型哺乳动物分布，以小型哺乳类和爬行类为主，且数量不多。施工期活动会对所在区域动物栖息环境产生扰动，迫使动物离开原有栖息环境迁移</w:t>
            </w:r>
            <w:r>
              <w:rPr>
                <w:rFonts w:hint="default"/>
                <w:color w:val="auto"/>
                <w:lang w:eastAsia="zh-CN"/>
              </w:rPr>
              <w:t>。</w:t>
            </w:r>
            <w:r>
              <w:rPr>
                <w:rFonts w:hint="default"/>
                <w:color w:val="auto"/>
              </w:rPr>
              <w:t>施工过程中各类机械运转、人员活动等产生的噪声会使</w:t>
            </w:r>
            <w:r>
              <w:rPr>
                <w:rFonts w:hint="eastAsia"/>
                <w:color w:val="auto"/>
                <w:lang w:val="en-US" w:eastAsia="zh-CN"/>
              </w:rPr>
              <w:t>施工所在区域</w:t>
            </w:r>
            <w:r>
              <w:rPr>
                <w:rFonts w:hint="default"/>
                <w:color w:val="auto"/>
              </w:rPr>
              <w:t>动物的正常生活受到暂时的轻微干扰，将会使区域内少量动物出现迁徙</w:t>
            </w:r>
            <w:r>
              <w:rPr>
                <w:rFonts w:hint="default"/>
                <w:color w:val="auto"/>
                <w:lang w:eastAsia="zh-CN"/>
              </w:rPr>
              <w:t>，</w:t>
            </w:r>
            <w:r>
              <w:rPr>
                <w:rFonts w:hint="default"/>
                <w:color w:val="auto"/>
                <w:lang w:val="en-US" w:eastAsia="zh-CN"/>
              </w:rPr>
              <w:t>使矿区生物量降低，分布、数量、生物多样性发生变化。</w:t>
            </w:r>
            <w:r>
              <w:rPr>
                <w:rFonts w:hint="eastAsia"/>
                <w:color w:val="auto"/>
                <w:lang w:val="en-US" w:eastAsia="zh-CN"/>
              </w:rPr>
              <w:t>施工</w:t>
            </w:r>
            <w:r>
              <w:rPr>
                <w:rFonts w:hint="default"/>
                <w:color w:val="auto"/>
                <w:lang w:val="en-US" w:eastAsia="zh-CN"/>
              </w:rPr>
              <w:t>时</w:t>
            </w:r>
            <w:r>
              <w:rPr>
                <w:rFonts w:hint="eastAsia"/>
                <w:color w:val="auto"/>
                <w:lang w:val="en-US" w:eastAsia="zh-CN"/>
              </w:rPr>
              <w:t>尽量</w:t>
            </w:r>
            <w:r>
              <w:rPr>
                <w:rFonts w:hint="default"/>
                <w:color w:val="auto"/>
                <w:lang w:val="en-US" w:eastAsia="zh-CN"/>
              </w:rPr>
              <w:t>避让野生动物，不追逐，不惊吓</w:t>
            </w:r>
            <w:r>
              <w:rPr>
                <w:rFonts w:hint="eastAsia"/>
                <w:color w:val="auto"/>
                <w:lang w:val="en-US" w:eastAsia="zh-CN"/>
              </w:rPr>
              <w:t>。施工期时间较短，</w:t>
            </w:r>
            <w:r>
              <w:rPr>
                <w:rFonts w:hint="default"/>
                <w:color w:val="auto"/>
                <w:lang w:val="en-US" w:eastAsia="zh-CN"/>
              </w:rPr>
              <w:t>故工程建设对陆生野生动物</w:t>
            </w:r>
            <w:r>
              <w:rPr>
                <w:rFonts w:hint="eastAsia"/>
                <w:color w:val="auto"/>
                <w:lang w:val="en-US" w:eastAsia="zh-CN"/>
              </w:rPr>
              <w:t>的</w:t>
            </w:r>
            <w:r>
              <w:rPr>
                <w:rFonts w:hint="default"/>
                <w:color w:val="auto"/>
                <w:lang w:val="en-US" w:eastAsia="zh-CN"/>
              </w:rPr>
              <w:t>影响是较为有限的。故项目建设对野生动物生存环境的影响是局部和有限的。</w:t>
            </w:r>
          </w:p>
          <w:p w14:paraId="1E6F2D32">
            <w:pPr>
              <w:pStyle w:val="45"/>
              <w:keepNext w:val="0"/>
              <w:keepLines w:val="0"/>
              <w:pageBreakBefore w:val="0"/>
              <w:widowControl w:val="0"/>
              <w:kinsoku/>
              <w:wordWrap/>
              <w:overflowPunct/>
              <w:topLinePunct w:val="0"/>
              <w:autoSpaceDE/>
              <w:autoSpaceDN/>
              <w:bidi w:val="0"/>
              <w:adjustRightInd w:val="0"/>
              <w:snapToGrid w:val="0"/>
              <w:ind w:firstLine="482" w:firstLineChars="200"/>
              <w:textAlignment w:val="auto"/>
              <w:rPr>
                <w:rFonts w:hint="default"/>
                <w:color w:val="auto"/>
              </w:rPr>
            </w:pPr>
            <w:r>
              <w:rPr>
                <w:rFonts w:hint="default"/>
                <w:color w:val="auto"/>
              </w:rPr>
              <w:t>1.</w:t>
            </w:r>
            <w:r>
              <w:rPr>
                <w:rFonts w:hint="eastAsia"/>
                <w:color w:val="auto"/>
                <w:lang w:val="en-US" w:eastAsia="zh-CN"/>
              </w:rPr>
              <w:t>5</w:t>
            </w:r>
            <w:r>
              <w:rPr>
                <w:rFonts w:hint="default"/>
                <w:color w:val="auto"/>
                <w:lang w:val="en-US" w:eastAsia="zh-CN"/>
              </w:rPr>
              <w:t>对</w:t>
            </w:r>
            <w:r>
              <w:rPr>
                <w:rFonts w:hint="default"/>
                <w:color w:val="auto"/>
              </w:rPr>
              <w:t>区域景观的影响</w:t>
            </w:r>
          </w:p>
          <w:p w14:paraId="37792B00">
            <w:pPr>
              <w:pStyle w:val="46"/>
              <w:bidi w:val="0"/>
              <w:rPr>
                <w:rFonts w:hint="default"/>
                <w:color w:val="auto"/>
              </w:rPr>
            </w:pPr>
            <w:r>
              <w:rPr>
                <w:rFonts w:hint="default"/>
                <w:color w:val="auto"/>
              </w:rPr>
              <w:t>由于项目施工开挖等活动，</w:t>
            </w:r>
            <w:r>
              <w:rPr>
                <w:rFonts w:hint="default"/>
                <w:color w:val="auto"/>
                <w:lang w:val="zh-CN"/>
              </w:rPr>
              <w:t>会因为地表植被不同程度的破坏，在短期内成为与原有生态景观不协调的</w:t>
            </w:r>
            <w:r>
              <w:rPr>
                <w:rFonts w:hint="eastAsia"/>
                <w:color w:val="auto"/>
                <w:lang w:val="zh-CN"/>
              </w:rPr>
              <w:t>“</w:t>
            </w:r>
            <w:r>
              <w:rPr>
                <w:rFonts w:hint="default"/>
                <w:color w:val="auto"/>
                <w:lang w:val="zh-CN"/>
              </w:rPr>
              <w:t>裸地</w:t>
            </w:r>
            <w:r>
              <w:rPr>
                <w:rFonts w:hint="eastAsia"/>
                <w:color w:val="auto"/>
                <w:lang w:val="zh-CN"/>
              </w:rPr>
              <w:t>”</w:t>
            </w:r>
            <w:r>
              <w:rPr>
                <w:rFonts w:hint="default"/>
                <w:color w:val="auto"/>
                <w:lang w:val="zh-CN"/>
              </w:rPr>
              <w:t>或</w:t>
            </w:r>
            <w:r>
              <w:rPr>
                <w:rFonts w:hint="eastAsia"/>
                <w:color w:val="auto"/>
                <w:lang w:val="zh-CN"/>
              </w:rPr>
              <w:t>“</w:t>
            </w:r>
            <w:r>
              <w:rPr>
                <w:rFonts w:hint="default"/>
                <w:color w:val="auto"/>
                <w:lang w:val="zh-CN"/>
              </w:rPr>
              <w:t>疮疤</w:t>
            </w:r>
            <w:r>
              <w:rPr>
                <w:rFonts w:hint="eastAsia"/>
                <w:color w:val="auto"/>
                <w:lang w:val="zh-CN"/>
              </w:rPr>
              <w:t>”</w:t>
            </w:r>
            <w:r>
              <w:rPr>
                <w:rFonts w:hint="default"/>
                <w:color w:val="auto"/>
                <w:lang w:val="zh-CN"/>
              </w:rPr>
              <w:t>斑块，</w:t>
            </w:r>
            <w:r>
              <w:rPr>
                <w:rFonts w:hint="default"/>
                <w:color w:val="auto"/>
              </w:rPr>
              <w:t>另外施工现场的暴露、建筑垃圾的堆存也影响区域景观，</w:t>
            </w:r>
            <w:r>
              <w:rPr>
                <w:rFonts w:hint="default"/>
                <w:color w:val="auto"/>
                <w:lang w:val="zh-CN"/>
              </w:rPr>
              <w:t>对整体生态景观形成不和谐的视觉效果，造成较为明显的不利影响</w:t>
            </w:r>
            <w:r>
              <w:rPr>
                <w:rFonts w:hint="default"/>
                <w:color w:val="auto"/>
              </w:rPr>
              <w:t>。</w:t>
            </w:r>
          </w:p>
          <w:p w14:paraId="7F9231BF">
            <w:pPr>
              <w:pStyle w:val="46"/>
              <w:bidi w:val="0"/>
              <w:rPr>
                <w:rFonts w:hint="default"/>
                <w:color w:val="auto"/>
                <w:lang w:val="en-US" w:eastAsia="zh-CN"/>
              </w:rPr>
            </w:pPr>
            <w:r>
              <w:rPr>
                <w:rFonts w:hint="eastAsia"/>
                <w:color w:val="auto"/>
              </w:rPr>
              <w:t>项目</w:t>
            </w:r>
            <w:r>
              <w:rPr>
                <w:rFonts w:hint="eastAsia"/>
                <w:color w:val="auto"/>
                <w:lang w:val="en-US" w:eastAsia="zh-CN"/>
              </w:rPr>
              <w:t>施工期</w:t>
            </w:r>
            <w:r>
              <w:rPr>
                <w:rFonts w:hint="eastAsia"/>
                <w:color w:val="auto"/>
              </w:rPr>
              <w:t>占地性质属于临时占地，植物</w:t>
            </w:r>
            <w:r>
              <w:rPr>
                <w:rFonts w:hint="eastAsia"/>
                <w:color w:val="auto"/>
                <w:lang w:val="en-US" w:eastAsia="zh-CN"/>
              </w:rPr>
              <w:t>稀疏</w:t>
            </w:r>
            <w:r>
              <w:rPr>
                <w:rFonts w:hint="eastAsia"/>
                <w:color w:val="auto"/>
              </w:rPr>
              <w:t>，</w:t>
            </w:r>
            <w:r>
              <w:rPr>
                <w:rFonts w:hint="default"/>
                <w:color w:val="auto"/>
                <w:highlight w:val="none"/>
                <w:lang w:val="en-US" w:eastAsia="zh-CN"/>
              </w:rPr>
              <w:t>主要植物为</w:t>
            </w:r>
            <w:r>
              <w:rPr>
                <w:rFonts w:hint="eastAsia"/>
                <w:color w:val="auto"/>
                <w:highlight w:val="none"/>
                <w:lang w:val="en-US" w:eastAsia="zh-CN"/>
              </w:rPr>
              <w:t>盐地碱蓬</w:t>
            </w:r>
            <w:r>
              <w:rPr>
                <w:rFonts w:hint="default"/>
                <w:color w:val="auto"/>
                <w:highlight w:val="none"/>
                <w:lang w:val="en-US" w:eastAsia="zh-CN"/>
              </w:rPr>
              <w:t>和</w:t>
            </w:r>
            <w:r>
              <w:rPr>
                <w:rFonts w:hint="eastAsia"/>
                <w:color w:val="auto"/>
                <w:highlight w:val="none"/>
                <w:lang w:val="en-US" w:eastAsia="zh-CN"/>
              </w:rPr>
              <w:t>蛛丝蓬</w:t>
            </w:r>
            <w:r>
              <w:rPr>
                <w:rFonts w:hint="default"/>
                <w:color w:val="auto"/>
                <w:highlight w:val="none"/>
                <w:lang w:val="en-US" w:eastAsia="zh-CN"/>
              </w:rPr>
              <w:t>，</w:t>
            </w:r>
            <w:r>
              <w:rPr>
                <w:rFonts w:hint="eastAsia"/>
                <w:color w:val="auto"/>
                <w:lang w:eastAsia="zh-CN"/>
              </w:rPr>
              <w:t>由于项目所在地植被稀疏，覆盖度较低，基本不会对周围生态环境造成影响。</w:t>
            </w:r>
          </w:p>
          <w:p w14:paraId="43FC596F">
            <w:pPr>
              <w:pStyle w:val="45"/>
              <w:keepNext w:val="0"/>
              <w:keepLines w:val="0"/>
              <w:pageBreakBefore w:val="0"/>
              <w:widowControl w:val="0"/>
              <w:kinsoku/>
              <w:wordWrap/>
              <w:overflowPunct/>
              <w:topLinePunct w:val="0"/>
              <w:autoSpaceDE/>
              <w:autoSpaceDN/>
              <w:bidi w:val="0"/>
              <w:adjustRightInd w:val="0"/>
              <w:snapToGrid w:val="0"/>
              <w:ind w:firstLine="482" w:firstLineChars="200"/>
              <w:textAlignment w:val="auto"/>
              <w:rPr>
                <w:rFonts w:hint="eastAsia"/>
                <w:color w:val="auto"/>
                <w:lang w:val="en-US" w:eastAsia="zh-CN"/>
              </w:rPr>
            </w:pPr>
            <w:r>
              <w:rPr>
                <w:rFonts w:hint="eastAsia"/>
                <w:color w:val="auto"/>
                <w:lang w:val="en-US" w:eastAsia="zh-CN"/>
              </w:rPr>
              <w:t>1.6对区域沙化土地的影响分析</w:t>
            </w:r>
          </w:p>
          <w:p w14:paraId="105A60A9">
            <w:pPr>
              <w:pStyle w:val="46"/>
              <w:bidi w:val="0"/>
              <w:rPr>
                <w:rFonts w:hint="default"/>
                <w:color w:val="auto"/>
                <w:lang w:val="en-US" w:eastAsia="zh-CN"/>
              </w:rPr>
            </w:pPr>
            <w:r>
              <w:rPr>
                <w:rFonts w:hint="default"/>
                <w:color w:val="auto"/>
                <w:lang w:val="en-US" w:eastAsia="zh-CN"/>
              </w:rPr>
              <w:t>项目</w:t>
            </w:r>
            <w:r>
              <w:rPr>
                <w:rFonts w:hint="default"/>
                <w:color w:val="auto"/>
                <w:highlight w:val="none"/>
                <w:lang w:val="en-US" w:eastAsia="zh-CN"/>
              </w:rPr>
              <w:t>区属于非沙化土地，施工过程中将会破坏占地范围内的土壤表层稳定结皮和地表荒漠植被，项目</w:t>
            </w:r>
            <w:r>
              <w:rPr>
                <w:rFonts w:hint="default"/>
                <w:color w:val="auto"/>
                <w:lang w:val="en-US" w:eastAsia="zh-CN"/>
              </w:rPr>
              <w:t>所在区域具有多风、降水量偏低等气候特征，地表稳定结皮被破坏后，在大风天气条件下，施工会使占地范围内的土地就地起沙，局部从非沙化土地变成沙化土地。但是由于项目占地范围较小，施工时间短，施工结束后对场地进行平整和清理，尽量利用施工时产生的表层土对临时占地进行覆盖，采用自然恢复的方式对区域植被进行恢复。综上所述，本项目对区域土地沙化影响不大。</w:t>
            </w:r>
          </w:p>
          <w:p w14:paraId="30D3F889">
            <w:pPr>
              <w:pStyle w:val="45"/>
              <w:keepNext w:val="0"/>
              <w:keepLines w:val="0"/>
              <w:pageBreakBefore w:val="0"/>
              <w:widowControl w:val="0"/>
              <w:kinsoku/>
              <w:wordWrap/>
              <w:overflowPunct/>
              <w:topLinePunct w:val="0"/>
              <w:autoSpaceDE/>
              <w:autoSpaceDN/>
              <w:bidi w:val="0"/>
              <w:adjustRightInd w:val="0"/>
              <w:snapToGrid w:val="0"/>
              <w:ind w:firstLine="482" w:firstLineChars="200"/>
              <w:textAlignment w:val="auto"/>
              <w:rPr>
                <w:rFonts w:hint="eastAsia"/>
                <w:color w:val="auto"/>
                <w:lang w:val="en-US" w:eastAsia="zh-CN"/>
              </w:rPr>
            </w:pPr>
            <w:r>
              <w:rPr>
                <w:rFonts w:hint="eastAsia"/>
                <w:color w:val="auto"/>
                <w:lang w:val="en-US" w:eastAsia="zh-CN"/>
              </w:rPr>
              <w:t>1.7对水土流失的影响分析</w:t>
            </w:r>
          </w:p>
          <w:p w14:paraId="7254A073">
            <w:pPr>
              <w:pStyle w:val="46"/>
              <w:bidi w:val="0"/>
              <w:rPr>
                <w:rFonts w:hint="eastAsia"/>
                <w:color w:val="auto"/>
                <w:lang w:eastAsia="zh-CN"/>
              </w:rPr>
            </w:pPr>
            <w:r>
              <w:rPr>
                <w:rFonts w:hint="eastAsia"/>
                <w:color w:val="auto"/>
                <w:lang w:val="en-US" w:eastAsia="zh-CN"/>
              </w:rPr>
              <w:t>项目</w:t>
            </w:r>
            <w:r>
              <w:rPr>
                <w:rFonts w:hint="eastAsia"/>
                <w:color w:val="auto"/>
              </w:rPr>
              <w:t>施工过程中，各类工程活动如平整场地、搭建临时设施等，会直接铲除、碾压地表植被</w:t>
            </w:r>
            <w:r>
              <w:rPr>
                <w:rFonts w:hint="eastAsia"/>
                <w:color w:val="auto"/>
                <w:lang w:eastAsia="zh-CN"/>
              </w:rPr>
              <w:t>，</w:t>
            </w:r>
            <w:r>
              <w:rPr>
                <w:rFonts w:hint="eastAsia"/>
                <w:color w:val="auto"/>
              </w:rPr>
              <w:t>使地表植被覆盖率大幅降低</w:t>
            </w:r>
            <w:r>
              <w:rPr>
                <w:rFonts w:hint="eastAsia"/>
                <w:color w:val="auto"/>
                <w:lang w:eastAsia="zh-CN"/>
              </w:rPr>
              <w:t>；施工产生的噪声、粉尘等污染，会对周边一定范围内的植被生长环境造成破坏。高浓度粉尘沉降在植物叶片上，会堵塞气孔，影响植物光合作用，导致植被生长不良甚至死亡，进一步削弱了植被保持水土的能力；大量施工人员的活动，会对周边地表植被造成践踏破坏，降低植被的郁闭度和覆盖度，使地表失去植被的有效保护，进而加剧水土流失。</w:t>
            </w:r>
            <w:r>
              <w:rPr>
                <w:rFonts w:hint="default"/>
                <w:color w:val="auto"/>
                <w:lang w:val="en-US" w:eastAsia="zh-CN"/>
              </w:rPr>
              <w:t>勘探区降雨量较低，基本无法形成无组织的径流</w:t>
            </w:r>
            <w:r>
              <w:rPr>
                <w:rFonts w:hint="eastAsia"/>
                <w:color w:val="auto"/>
                <w:lang w:val="en-US" w:eastAsia="zh-CN"/>
              </w:rPr>
              <w:t>，</w:t>
            </w:r>
            <w:r>
              <w:rPr>
                <w:rFonts w:hint="default"/>
                <w:color w:val="auto"/>
                <w:lang w:val="en-US" w:eastAsia="zh-CN"/>
              </w:rPr>
              <w:t>故项目区的水土流失</w:t>
            </w:r>
            <w:r>
              <w:rPr>
                <w:rFonts w:hint="eastAsia"/>
                <w:color w:val="auto"/>
                <w:lang w:val="en-US" w:eastAsia="zh-CN"/>
              </w:rPr>
              <w:t>以风蚀为主。</w:t>
            </w:r>
          </w:p>
          <w:p w14:paraId="74E203B8">
            <w:pPr>
              <w:pStyle w:val="45"/>
              <w:bidi w:val="0"/>
              <w:rPr>
                <w:rFonts w:hint="eastAsia"/>
                <w:color w:val="auto"/>
                <w:lang w:val="en-US" w:eastAsia="zh-CN"/>
              </w:rPr>
            </w:pPr>
            <w:r>
              <w:rPr>
                <w:rFonts w:hint="eastAsia"/>
                <w:color w:val="auto"/>
                <w:lang w:val="en-US" w:eastAsia="zh-CN"/>
              </w:rPr>
              <w:t>2大气污染物影响分析</w:t>
            </w:r>
          </w:p>
          <w:p w14:paraId="2BA29D45">
            <w:pPr>
              <w:pStyle w:val="46"/>
              <w:bidi w:val="0"/>
              <w:rPr>
                <w:rFonts w:hint="eastAsia"/>
                <w:color w:val="auto"/>
              </w:rPr>
            </w:pPr>
            <w:r>
              <w:rPr>
                <w:rFonts w:hint="eastAsia"/>
                <w:color w:val="auto"/>
                <w:lang w:val="en-US" w:eastAsia="zh-CN"/>
              </w:rPr>
              <w:t>（1）车辆行驶</w:t>
            </w:r>
            <w:r>
              <w:rPr>
                <w:rFonts w:hint="eastAsia"/>
                <w:color w:val="auto"/>
              </w:rPr>
              <w:t>扬尘</w:t>
            </w:r>
          </w:p>
          <w:p w14:paraId="455A6C2F">
            <w:pPr>
              <w:pStyle w:val="46"/>
              <w:bidi w:val="0"/>
              <w:rPr>
                <w:rFonts w:hint="eastAsia"/>
                <w:color w:val="auto"/>
                <w:lang w:val="en-US" w:eastAsia="zh-CN"/>
              </w:rPr>
            </w:pPr>
            <w:r>
              <w:rPr>
                <w:rFonts w:hint="eastAsia"/>
                <w:color w:val="auto"/>
                <w:lang w:val="en-US" w:eastAsia="zh-CN"/>
              </w:rPr>
              <w:t>在施工过程中，车辆行驶产生的扬尘量一般占施工扬尘总量的60%以上。车辆在行驶过程中产生的扬尘量，可按下列经验公式计算：</w:t>
            </w:r>
          </w:p>
          <w:p w14:paraId="5B2661EE">
            <w:pPr>
              <w:pStyle w:val="46"/>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center"/>
              <w:textAlignment w:val="auto"/>
              <w:rPr>
                <w:rFonts w:hint="eastAsia"/>
                <w:color w:val="auto"/>
                <w:lang w:val="en-US" w:eastAsia="zh-CN"/>
              </w:rPr>
            </w:pPr>
            <w:r>
              <w:rPr>
                <w:rFonts w:hint="eastAsia"/>
                <w:color w:val="auto"/>
                <w:lang w:val="en-US" w:eastAsia="zh-CN"/>
              </w:rPr>
              <w:drawing>
                <wp:inline distT="0" distB="0" distL="114300" distR="114300">
                  <wp:extent cx="2246630" cy="501015"/>
                  <wp:effectExtent l="0" t="0" r="1270" b="13335"/>
                  <wp:docPr id="2" name="图片 5"/>
                  <wp:cNvGraphicFramePr/>
                  <a:graphic xmlns:a="http://schemas.openxmlformats.org/drawingml/2006/main">
                    <a:graphicData uri="http://schemas.openxmlformats.org/drawingml/2006/picture">
                      <pic:pic xmlns:pic="http://schemas.openxmlformats.org/drawingml/2006/picture">
                        <pic:nvPicPr>
                          <pic:cNvPr id="2" name="图片 5"/>
                          <pic:cNvPicPr/>
                        </pic:nvPicPr>
                        <pic:blipFill>
                          <a:blip r:embed="rId8"/>
                          <a:stretch>
                            <a:fillRect/>
                          </a:stretch>
                        </pic:blipFill>
                        <pic:spPr>
                          <a:xfrm>
                            <a:off x="0" y="0"/>
                            <a:ext cx="2246630" cy="501015"/>
                          </a:xfrm>
                          <a:prstGeom prst="rect">
                            <a:avLst/>
                          </a:prstGeom>
                          <a:noFill/>
                          <a:ln>
                            <a:noFill/>
                          </a:ln>
                        </pic:spPr>
                      </pic:pic>
                    </a:graphicData>
                  </a:graphic>
                </wp:inline>
              </w:drawing>
            </w:r>
          </w:p>
          <w:p w14:paraId="64037B3F">
            <w:pPr>
              <w:pStyle w:val="46"/>
              <w:keepNext w:val="0"/>
              <w:keepLines w:val="0"/>
              <w:pageBreakBefore w:val="0"/>
              <w:widowControl w:val="0"/>
              <w:kinsoku/>
              <w:wordWrap w:val="0"/>
              <w:overflowPunct/>
              <w:topLinePunct w:val="0"/>
              <w:autoSpaceDE/>
              <w:autoSpaceDN/>
              <w:bidi w:val="0"/>
              <w:adjustRightInd w:val="0"/>
              <w:snapToGrid w:val="0"/>
              <w:spacing w:line="240" w:lineRule="auto"/>
              <w:ind w:firstLine="480" w:firstLineChars="200"/>
              <w:textAlignment w:val="auto"/>
              <w:rPr>
                <w:rFonts w:hint="eastAsia"/>
                <w:color w:val="auto"/>
                <w:lang w:val="en-US" w:eastAsia="zh-CN"/>
              </w:rPr>
            </w:pPr>
            <w:r>
              <w:rPr>
                <w:rFonts w:hint="eastAsia"/>
                <w:color w:val="auto"/>
                <w:lang w:val="en-US" w:eastAsia="zh-CN"/>
              </w:rPr>
              <w:t>式中：Q—汽车行驶的扬尘，kg/km·辆；</w:t>
            </w:r>
          </w:p>
          <w:p w14:paraId="116A6EDC">
            <w:pPr>
              <w:pStyle w:val="46"/>
              <w:bidi w:val="0"/>
              <w:rPr>
                <w:rFonts w:hint="eastAsia"/>
                <w:color w:val="auto"/>
                <w:lang w:val="en-US" w:eastAsia="zh-CN"/>
              </w:rPr>
            </w:pPr>
            <w:r>
              <w:rPr>
                <w:rFonts w:hint="eastAsia"/>
                <w:color w:val="auto"/>
                <w:lang w:val="en-US" w:eastAsia="zh-CN"/>
              </w:rPr>
              <w:t>V—汽车速度，km/hr；</w:t>
            </w:r>
          </w:p>
          <w:p w14:paraId="784B614D">
            <w:pPr>
              <w:pStyle w:val="46"/>
              <w:bidi w:val="0"/>
              <w:rPr>
                <w:rFonts w:hint="eastAsia"/>
                <w:color w:val="auto"/>
                <w:lang w:val="en-US" w:eastAsia="zh-CN"/>
              </w:rPr>
            </w:pPr>
            <w:r>
              <w:rPr>
                <w:rFonts w:hint="eastAsia"/>
                <w:color w:val="auto"/>
                <w:lang w:val="en-US" w:eastAsia="zh-CN"/>
              </w:rPr>
              <w:t>W—汽车载重量，t；</w:t>
            </w:r>
          </w:p>
          <w:p w14:paraId="38793193">
            <w:pPr>
              <w:pStyle w:val="46"/>
              <w:bidi w:val="0"/>
              <w:rPr>
                <w:rFonts w:hint="eastAsia"/>
                <w:color w:val="auto"/>
                <w:lang w:val="en-US" w:eastAsia="zh-CN"/>
              </w:rPr>
            </w:pPr>
            <w:r>
              <w:rPr>
                <w:rFonts w:hint="eastAsia"/>
                <w:color w:val="auto"/>
                <w:lang w:val="en-US" w:eastAsia="zh-CN"/>
              </w:rPr>
              <w:t>P—道路表面粉尘量，kg/m</w:t>
            </w:r>
            <w:r>
              <w:rPr>
                <w:rFonts w:hint="eastAsia"/>
                <w:color w:val="auto"/>
                <w:vertAlign w:val="superscript"/>
                <w:lang w:val="en-US" w:eastAsia="zh-CN"/>
              </w:rPr>
              <w:t>2</w:t>
            </w:r>
            <w:r>
              <w:rPr>
                <w:rFonts w:hint="eastAsia"/>
                <w:color w:val="auto"/>
                <w:lang w:val="en-US" w:eastAsia="zh-CN"/>
              </w:rPr>
              <w:t>。</w:t>
            </w:r>
          </w:p>
          <w:p w14:paraId="696CFBD5">
            <w:pPr>
              <w:pStyle w:val="46"/>
              <w:bidi w:val="0"/>
              <w:rPr>
                <w:rFonts w:hint="eastAsia"/>
                <w:color w:val="auto"/>
                <w:lang w:val="en-US" w:eastAsia="zh-CN"/>
              </w:rPr>
            </w:pPr>
            <w:r>
              <w:rPr>
                <w:rFonts w:hint="eastAsia"/>
                <w:color w:val="auto"/>
                <w:lang w:val="en-US" w:eastAsia="zh-CN"/>
              </w:rPr>
              <w:t>可见，在同样的路面条件下，车速越快，扬尘量越大；在同样的车速情况下，路面越脏，扬尘量越大。因此，限制车辆行驶速度以及保持路面的清洁是减少汽车扬尘的有效手段。</w:t>
            </w:r>
          </w:p>
          <w:p w14:paraId="3D54906C">
            <w:pPr>
              <w:pStyle w:val="46"/>
              <w:bidi w:val="0"/>
              <w:rPr>
                <w:rFonts w:hint="eastAsia"/>
                <w:color w:val="auto"/>
                <w:lang w:val="en-US" w:eastAsia="zh-CN"/>
              </w:rPr>
            </w:pPr>
            <w:r>
              <w:rPr>
                <w:rFonts w:hint="eastAsia"/>
                <w:color w:val="auto"/>
                <w:lang w:val="en-US" w:eastAsia="zh-CN"/>
              </w:rPr>
              <w:t>（2）施工机械尾气</w:t>
            </w:r>
          </w:p>
          <w:p w14:paraId="0CEE79FF">
            <w:pPr>
              <w:pStyle w:val="46"/>
              <w:bidi w:val="0"/>
              <w:rPr>
                <w:rFonts w:hint="default"/>
                <w:color w:val="auto"/>
                <w:lang w:val="en-US" w:eastAsia="zh-CN"/>
              </w:rPr>
            </w:pPr>
            <w:r>
              <w:rPr>
                <w:rFonts w:hint="default"/>
                <w:color w:val="auto"/>
                <w:lang w:val="en-US" w:eastAsia="zh-CN"/>
              </w:rPr>
              <w:t>施工机械和运输车辆排放的尾气中含有一氧化碳</w:t>
            </w:r>
            <w:r>
              <w:rPr>
                <w:rFonts w:hint="eastAsia"/>
                <w:color w:val="auto"/>
                <w:lang w:val="en-US" w:eastAsia="zh-CN"/>
              </w:rPr>
              <w:t>（</w:t>
            </w:r>
            <w:r>
              <w:rPr>
                <w:rFonts w:hint="default"/>
                <w:color w:val="auto"/>
                <w:lang w:val="en-US" w:eastAsia="zh-CN"/>
              </w:rPr>
              <w:t>CO</w:t>
            </w:r>
            <w:r>
              <w:rPr>
                <w:rFonts w:hint="eastAsia"/>
                <w:color w:val="auto"/>
                <w:lang w:val="en-US" w:eastAsia="zh-CN"/>
              </w:rPr>
              <w:t>）</w:t>
            </w:r>
            <w:r>
              <w:rPr>
                <w:rFonts w:hint="default"/>
                <w:color w:val="auto"/>
                <w:lang w:val="en-US" w:eastAsia="zh-CN"/>
              </w:rPr>
              <w:t>、氮氧化物</w:t>
            </w:r>
            <w:r>
              <w:rPr>
                <w:rFonts w:hint="eastAsia"/>
                <w:color w:val="auto"/>
                <w:lang w:val="en-US" w:eastAsia="zh-CN"/>
              </w:rPr>
              <w:t>（</w:t>
            </w:r>
            <w:r>
              <w:rPr>
                <w:rFonts w:hint="default"/>
                <w:color w:val="auto"/>
                <w:lang w:val="en-US" w:eastAsia="zh-CN"/>
              </w:rPr>
              <w:t>主要以NO和NO</w:t>
            </w:r>
            <w:r>
              <w:rPr>
                <w:rFonts w:hint="default"/>
                <w:color w:val="auto"/>
                <w:vertAlign w:val="subscript"/>
                <w:lang w:val="en-US" w:eastAsia="zh-CN"/>
              </w:rPr>
              <w:t>2</w:t>
            </w:r>
            <w:r>
              <w:rPr>
                <w:rFonts w:hint="default"/>
                <w:color w:val="auto"/>
                <w:lang w:val="en-US" w:eastAsia="zh-CN"/>
              </w:rPr>
              <w:t>形式存在</w:t>
            </w:r>
            <w:r>
              <w:rPr>
                <w:rFonts w:hint="eastAsia"/>
                <w:color w:val="auto"/>
                <w:lang w:val="en-US" w:eastAsia="zh-CN"/>
              </w:rPr>
              <w:t>）</w:t>
            </w:r>
            <w:r>
              <w:rPr>
                <w:rFonts w:hint="default"/>
                <w:color w:val="auto"/>
                <w:lang w:val="en-US" w:eastAsia="zh-CN"/>
              </w:rPr>
              <w:t>和总烃</w:t>
            </w:r>
            <w:r>
              <w:rPr>
                <w:rFonts w:hint="eastAsia"/>
                <w:color w:val="auto"/>
                <w:lang w:val="en-US" w:eastAsia="zh-CN"/>
              </w:rPr>
              <w:t>（</w:t>
            </w:r>
            <w:r>
              <w:rPr>
                <w:rFonts w:hint="default"/>
                <w:color w:val="auto"/>
                <w:lang w:val="en-US" w:eastAsia="zh-CN"/>
              </w:rPr>
              <w:t>THC</w:t>
            </w:r>
            <w:r>
              <w:rPr>
                <w:rFonts w:hint="eastAsia"/>
                <w:color w:val="auto"/>
                <w:lang w:val="en-US" w:eastAsia="zh-CN"/>
              </w:rPr>
              <w:t>）</w:t>
            </w:r>
            <w:r>
              <w:rPr>
                <w:rFonts w:hint="default"/>
                <w:color w:val="auto"/>
                <w:lang w:val="en-US" w:eastAsia="zh-CN"/>
              </w:rPr>
              <w:t>等有毒有害物质。拟建</w:t>
            </w:r>
            <w:r>
              <w:rPr>
                <w:rFonts w:hint="eastAsia"/>
                <w:color w:val="auto"/>
                <w:lang w:val="en-US" w:eastAsia="zh-CN"/>
              </w:rPr>
              <w:t>生活营地</w:t>
            </w:r>
            <w:r>
              <w:rPr>
                <w:rFonts w:hint="default"/>
                <w:color w:val="auto"/>
                <w:lang w:val="en-US" w:eastAsia="zh-CN"/>
              </w:rPr>
              <w:t>的施工作业量和物料运输量</w:t>
            </w:r>
            <w:r>
              <w:rPr>
                <w:rFonts w:hint="eastAsia"/>
                <w:color w:val="auto"/>
                <w:lang w:val="en-US" w:eastAsia="zh-CN"/>
              </w:rPr>
              <w:t>较小</w:t>
            </w:r>
            <w:r>
              <w:rPr>
                <w:rFonts w:hint="default"/>
                <w:color w:val="auto"/>
                <w:lang w:val="en-US" w:eastAsia="zh-CN"/>
              </w:rPr>
              <w:t>，因此汽车尾气排放对沿线环境空气质量的污染影响</w:t>
            </w:r>
            <w:r>
              <w:rPr>
                <w:rFonts w:hint="eastAsia"/>
                <w:color w:val="auto"/>
                <w:lang w:val="en-US" w:eastAsia="zh-CN"/>
              </w:rPr>
              <w:t>不大</w:t>
            </w:r>
            <w:r>
              <w:rPr>
                <w:rFonts w:hint="default"/>
                <w:color w:val="auto"/>
                <w:lang w:val="en-US" w:eastAsia="zh-CN"/>
              </w:rPr>
              <w:t>。工程勘探区地形开阔，空气流通性好，排放废气中的各项污染物能够很快扩散，不会引起局部大气环境质量的恶化。加之废气排放的不连续性和工程施工期有限，排放的废气对区域的环境空气质量影响较小。</w:t>
            </w:r>
            <w:r>
              <w:rPr>
                <w:rFonts w:hint="eastAsia" w:ascii="Times New Roman" w:hAnsi="Times New Roman" w:eastAsia="宋体" w:cs="Times New Roman"/>
                <w:color w:val="auto"/>
                <w:kern w:val="0"/>
                <w:sz w:val="24"/>
                <w:szCs w:val="24"/>
                <w:lang w:val="en-US" w:eastAsia="zh-CN"/>
              </w:rPr>
              <w:t>工程施工期间，施工单位应严格遵守有关法律、法规，采取合理可行的控制措施，要求使用符合国家标准的柴油，对于故障机械及时修理，保证运行车况良好，减少因故障而造成的尾气超标排放，以减少对周围大气环境的影响。</w:t>
            </w:r>
          </w:p>
          <w:p w14:paraId="76792264">
            <w:pPr>
              <w:pStyle w:val="45"/>
              <w:bidi w:val="0"/>
              <w:rPr>
                <w:rFonts w:hint="default"/>
                <w:color w:val="auto"/>
              </w:rPr>
            </w:pPr>
            <w:r>
              <w:rPr>
                <w:rFonts w:hint="eastAsia"/>
                <w:color w:val="auto"/>
                <w:highlight w:val="none"/>
                <w:lang w:val="en-US" w:eastAsia="zh-CN"/>
              </w:rPr>
              <w:t>3</w:t>
            </w:r>
            <w:r>
              <w:rPr>
                <w:rFonts w:hint="eastAsia"/>
                <w:color w:val="auto"/>
                <w:highlight w:val="none"/>
              </w:rPr>
              <w:t>废水</w:t>
            </w:r>
            <w:r>
              <w:rPr>
                <w:rFonts w:hint="default"/>
                <w:color w:val="auto"/>
                <w:highlight w:val="none"/>
              </w:rPr>
              <w:t>污染物影</w:t>
            </w:r>
            <w:r>
              <w:rPr>
                <w:rFonts w:hint="default"/>
                <w:color w:val="auto"/>
              </w:rPr>
              <w:t>响分析</w:t>
            </w:r>
          </w:p>
          <w:p w14:paraId="2EC5F1D8">
            <w:pPr>
              <w:pStyle w:val="46"/>
              <w:bidi w:val="0"/>
              <w:rPr>
                <w:rFonts w:hint="eastAsia"/>
                <w:color w:val="auto"/>
                <w:lang w:val="en-US" w:eastAsia="zh-CN"/>
              </w:rPr>
            </w:pPr>
            <w:r>
              <w:rPr>
                <w:rFonts w:hint="eastAsia"/>
                <w:color w:val="auto"/>
                <w:lang w:val="en-US" w:eastAsia="zh-CN"/>
              </w:rPr>
              <w:t>本项目施工期无施工废水产生，</w:t>
            </w:r>
            <w:r>
              <w:rPr>
                <w:rFonts w:hint="eastAsia"/>
                <w:color w:val="auto"/>
                <w:shd w:val="clear" w:color="auto" w:fill="auto"/>
                <w:lang w:val="en-US" w:eastAsia="zh-CN"/>
              </w:rPr>
              <w:t>由于本项目人员数量较少，施工时间短，未涉及大规模用水环节，生活污水排入一体化污水处理设施后，其出水标准可达到《农村生活污水处理排放标准》（DB654275-2019）表2中C级标准，用于洒水抑尘，</w:t>
            </w:r>
            <w:r>
              <w:rPr>
                <w:rFonts w:hint="eastAsia"/>
                <w:color w:val="auto"/>
                <w:lang w:val="en-US" w:eastAsia="zh-CN"/>
              </w:rPr>
              <w:t>不会对周边水环境造成影响。</w:t>
            </w:r>
          </w:p>
          <w:p w14:paraId="56202BD9">
            <w:pPr>
              <w:pStyle w:val="45"/>
              <w:bidi w:val="0"/>
              <w:rPr>
                <w:rFonts w:hint="default"/>
                <w:color w:val="auto"/>
                <w:lang w:val="en-US" w:eastAsia="zh-CN"/>
              </w:rPr>
            </w:pPr>
            <w:r>
              <w:rPr>
                <w:rFonts w:hint="eastAsia"/>
                <w:color w:val="auto"/>
                <w:lang w:val="en-US" w:eastAsia="zh-CN"/>
              </w:rPr>
              <w:t>4</w:t>
            </w:r>
            <w:r>
              <w:rPr>
                <w:rFonts w:hint="default"/>
                <w:color w:val="auto"/>
                <w:lang w:val="en-US" w:eastAsia="zh-CN"/>
              </w:rPr>
              <w:t>噪声</w:t>
            </w:r>
            <w:r>
              <w:rPr>
                <w:rFonts w:hint="eastAsia"/>
                <w:color w:val="auto"/>
                <w:lang w:val="en-US" w:eastAsia="zh-CN"/>
              </w:rPr>
              <w:t>环境影响分析</w:t>
            </w:r>
          </w:p>
          <w:p w14:paraId="748E45FC">
            <w:pPr>
              <w:pStyle w:val="46"/>
              <w:bidi w:val="0"/>
              <w:rPr>
                <w:color w:val="auto"/>
              </w:rPr>
            </w:pPr>
            <w:r>
              <w:rPr>
                <w:rFonts w:hint="eastAsia"/>
                <w:color w:val="auto"/>
              </w:rPr>
              <w:t>根据工程分析可知，</w:t>
            </w:r>
            <w:r>
              <w:rPr>
                <w:rFonts w:hint="eastAsia"/>
                <w:color w:val="auto"/>
                <w:lang w:val="en-US" w:eastAsia="zh-CN"/>
              </w:rPr>
              <w:t>施工期</w:t>
            </w:r>
            <w:r>
              <w:rPr>
                <w:rFonts w:hint="eastAsia"/>
                <w:color w:val="auto"/>
              </w:rPr>
              <w:t>的噪声</w:t>
            </w:r>
            <w:r>
              <w:rPr>
                <w:rFonts w:hint="eastAsia"/>
                <w:color w:val="auto"/>
                <w:lang w:val="en-US" w:eastAsia="zh-CN"/>
              </w:rPr>
              <w:t>主要</w:t>
            </w:r>
            <w:r>
              <w:rPr>
                <w:rFonts w:hint="eastAsia"/>
                <w:color w:val="auto"/>
              </w:rPr>
              <w:t>来自</w:t>
            </w:r>
            <w:r>
              <w:rPr>
                <w:rFonts w:hint="eastAsia"/>
                <w:color w:val="auto"/>
                <w:lang w:val="en-US" w:eastAsia="zh-CN"/>
              </w:rPr>
              <w:t>临时生活营地搭建</w:t>
            </w:r>
            <w:r>
              <w:rPr>
                <w:rFonts w:hint="eastAsia"/>
                <w:color w:val="auto"/>
              </w:rPr>
              <w:t>，噪声源强一般为</w:t>
            </w:r>
            <w:r>
              <w:rPr>
                <w:rFonts w:hint="eastAsia"/>
                <w:color w:val="auto"/>
                <w:lang w:val="en-US" w:eastAsia="zh-CN"/>
              </w:rPr>
              <w:t>80</w:t>
            </w:r>
            <w:r>
              <w:rPr>
                <w:rFonts w:hint="eastAsia"/>
                <w:color w:val="auto"/>
              </w:rPr>
              <w:t>~</w:t>
            </w:r>
            <w:r>
              <w:rPr>
                <w:rFonts w:hint="eastAsia"/>
                <w:color w:val="auto"/>
                <w:lang w:val="en-US" w:eastAsia="zh-CN"/>
              </w:rPr>
              <w:t>83</w:t>
            </w:r>
            <w:r>
              <w:rPr>
                <w:color w:val="auto"/>
              </w:rPr>
              <w:t>dB</w:t>
            </w:r>
            <w:r>
              <w:rPr>
                <w:rFonts w:hint="eastAsia"/>
                <w:color w:val="auto"/>
                <w:lang w:eastAsia="zh-CN"/>
              </w:rPr>
              <w:t>（</w:t>
            </w:r>
            <w:r>
              <w:rPr>
                <w:color w:val="auto"/>
              </w:rPr>
              <w:t>A</w:t>
            </w:r>
            <w:r>
              <w:rPr>
                <w:rFonts w:hint="eastAsia"/>
                <w:color w:val="auto"/>
                <w:lang w:eastAsia="zh-CN"/>
              </w:rPr>
              <w:t>）</w:t>
            </w:r>
            <w:r>
              <w:rPr>
                <w:rFonts w:hint="eastAsia"/>
                <w:color w:val="auto"/>
              </w:rPr>
              <w:t>，特点为暂时的短期间歇性行为，无规律性。</w:t>
            </w:r>
          </w:p>
          <w:p w14:paraId="09E6DD2A">
            <w:pPr>
              <w:pStyle w:val="46"/>
              <w:bidi w:val="0"/>
              <w:rPr>
                <w:color w:val="auto"/>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rPr>
              <w:t>施工噪声预测</w:t>
            </w:r>
          </w:p>
          <w:p w14:paraId="578BFC13">
            <w:pPr>
              <w:pStyle w:val="46"/>
              <w:bidi w:val="0"/>
              <w:rPr>
                <w:color w:val="auto"/>
              </w:rPr>
            </w:pPr>
            <w:r>
              <w:rPr>
                <w:rFonts w:hint="eastAsia"/>
                <w:color w:val="auto"/>
              </w:rPr>
              <w:t>施工噪声可近似视为点声源处理，其衰减模式如下：</w:t>
            </w:r>
          </w:p>
          <w:p w14:paraId="3B5962A2">
            <w:pPr>
              <w:pStyle w:val="46"/>
              <w:bidi w:val="0"/>
              <w:rPr>
                <w:color w:val="auto"/>
              </w:rPr>
            </w:pPr>
            <w:r>
              <w:rPr>
                <w:rFonts w:hint="eastAsia"/>
                <w:color w:val="auto"/>
              </w:rPr>
              <w:t>Lp=Lpo-20Lg</w:t>
            </w:r>
            <w:r>
              <w:rPr>
                <w:rFonts w:hint="eastAsia"/>
                <w:color w:val="auto"/>
                <w:lang w:eastAsia="zh-CN"/>
              </w:rPr>
              <w:t>（</w:t>
            </w:r>
            <w:r>
              <w:rPr>
                <w:rFonts w:hint="eastAsia"/>
                <w:color w:val="auto"/>
              </w:rPr>
              <w:t>r/ro</w:t>
            </w:r>
            <w:r>
              <w:rPr>
                <w:rFonts w:hint="eastAsia"/>
                <w:color w:val="auto"/>
                <w:lang w:eastAsia="zh-CN"/>
              </w:rPr>
              <w:t>）</w:t>
            </w:r>
            <w:r>
              <w:rPr>
                <w:rFonts w:hint="eastAsia"/>
                <w:color w:val="auto"/>
              </w:rPr>
              <w:t>－△L</w:t>
            </w:r>
          </w:p>
          <w:p w14:paraId="629D3A4B">
            <w:pPr>
              <w:pStyle w:val="46"/>
              <w:bidi w:val="0"/>
              <w:rPr>
                <w:color w:val="auto"/>
              </w:rPr>
            </w:pPr>
            <w:r>
              <w:rPr>
                <w:rFonts w:hint="eastAsia"/>
                <w:color w:val="auto"/>
              </w:rPr>
              <w:t>式中：Lp——距声源rm处的施工噪声预测值，dB</w:t>
            </w:r>
            <w:r>
              <w:rPr>
                <w:rFonts w:hint="eastAsia"/>
                <w:color w:val="auto"/>
                <w:lang w:eastAsia="zh-CN"/>
              </w:rPr>
              <w:t>（</w:t>
            </w:r>
            <w:r>
              <w:rPr>
                <w:rFonts w:hint="eastAsia"/>
                <w:color w:val="auto"/>
              </w:rPr>
              <w:t>A</w:t>
            </w:r>
            <w:r>
              <w:rPr>
                <w:rFonts w:hint="eastAsia"/>
                <w:color w:val="auto"/>
                <w:lang w:eastAsia="zh-CN"/>
              </w:rPr>
              <w:t>）</w:t>
            </w:r>
            <w:r>
              <w:rPr>
                <w:rFonts w:hint="eastAsia"/>
                <w:color w:val="auto"/>
              </w:rPr>
              <w:t>；</w:t>
            </w:r>
          </w:p>
          <w:p w14:paraId="39AC223E">
            <w:pPr>
              <w:pStyle w:val="46"/>
              <w:bidi w:val="0"/>
              <w:rPr>
                <w:color w:val="auto"/>
              </w:rPr>
            </w:pPr>
            <w:r>
              <w:rPr>
                <w:rFonts w:hint="eastAsia"/>
                <w:color w:val="auto"/>
              </w:rPr>
              <w:t xml:space="preserve">      Lpo——距声源rom处的参考声级，dB</w:t>
            </w:r>
            <w:r>
              <w:rPr>
                <w:rFonts w:hint="eastAsia"/>
                <w:color w:val="auto"/>
                <w:lang w:eastAsia="zh-CN"/>
              </w:rPr>
              <w:t>（</w:t>
            </w:r>
            <w:r>
              <w:rPr>
                <w:rFonts w:hint="eastAsia"/>
                <w:color w:val="auto"/>
              </w:rPr>
              <w:t>A</w:t>
            </w:r>
            <w:r>
              <w:rPr>
                <w:rFonts w:hint="eastAsia"/>
                <w:color w:val="auto"/>
                <w:lang w:eastAsia="zh-CN"/>
              </w:rPr>
              <w:t>）</w:t>
            </w:r>
            <w:r>
              <w:rPr>
                <w:rFonts w:hint="eastAsia"/>
                <w:color w:val="auto"/>
              </w:rPr>
              <w:t>；</w:t>
            </w:r>
          </w:p>
          <w:p w14:paraId="2F815365">
            <w:pPr>
              <w:pStyle w:val="46"/>
              <w:bidi w:val="0"/>
              <w:ind w:firstLine="1200" w:firstLineChars="500"/>
              <w:rPr>
                <w:rFonts w:hint="eastAsia" w:eastAsia="宋体"/>
                <w:color w:val="auto"/>
                <w:lang w:eastAsia="zh-CN"/>
              </w:rPr>
            </w:pPr>
            <w:r>
              <w:rPr>
                <w:rFonts w:hint="eastAsia"/>
                <w:color w:val="auto"/>
              </w:rPr>
              <w:t>ro——Lpo噪声的测点距离（1m），m</w:t>
            </w:r>
            <w:r>
              <w:rPr>
                <w:rFonts w:hint="eastAsia"/>
                <w:color w:val="auto"/>
                <w:lang w:eastAsia="zh-CN"/>
              </w:rPr>
              <w:t>；</w:t>
            </w:r>
          </w:p>
          <w:p w14:paraId="5121FD64">
            <w:pPr>
              <w:pStyle w:val="46"/>
              <w:bidi w:val="0"/>
              <w:ind w:firstLine="1200" w:firstLineChars="500"/>
              <w:rPr>
                <w:color w:val="auto"/>
              </w:rPr>
            </w:pPr>
            <w:r>
              <w:rPr>
                <w:rFonts w:hint="eastAsia"/>
                <w:color w:val="auto"/>
              </w:rPr>
              <w:t>△L——采取各种措施后的噪声衰减量，dB</w:t>
            </w:r>
            <w:r>
              <w:rPr>
                <w:rFonts w:hint="eastAsia"/>
                <w:color w:val="auto"/>
                <w:lang w:eastAsia="zh-CN"/>
              </w:rPr>
              <w:t>（</w:t>
            </w:r>
            <w:r>
              <w:rPr>
                <w:rFonts w:hint="eastAsia"/>
                <w:color w:val="auto"/>
              </w:rPr>
              <w:t>A</w:t>
            </w:r>
            <w:r>
              <w:rPr>
                <w:rFonts w:hint="eastAsia"/>
                <w:color w:val="auto"/>
                <w:lang w:eastAsia="zh-CN"/>
              </w:rPr>
              <w:t>）</w:t>
            </w:r>
            <w:r>
              <w:rPr>
                <w:rFonts w:hint="eastAsia"/>
                <w:color w:val="auto"/>
              </w:rPr>
              <w:t>。</w:t>
            </w:r>
          </w:p>
          <w:p w14:paraId="096241C1">
            <w:pPr>
              <w:pStyle w:val="46"/>
              <w:bidi w:val="0"/>
              <w:rPr>
                <w:color w:val="auto"/>
              </w:rPr>
            </w:pPr>
            <w:r>
              <w:rPr>
                <w:rFonts w:hint="eastAsia"/>
                <w:color w:val="auto"/>
              </w:rPr>
              <w:t>施工期主要噪声源主要为</w:t>
            </w:r>
            <w:r>
              <w:rPr>
                <w:rFonts w:hint="eastAsia"/>
                <w:color w:val="auto"/>
                <w:lang w:val="en-US" w:eastAsia="zh-CN"/>
              </w:rPr>
              <w:t>挖掘机、推土机等</w:t>
            </w:r>
            <w:r>
              <w:rPr>
                <w:rFonts w:hint="eastAsia"/>
                <w:color w:val="auto"/>
              </w:rPr>
              <w:t>施工机械产生的噪声。</w:t>
            </w:r>
          </w:p>
          <w:p w14:paraId="3A31686C">
            <w:pPr>
              <w:pStyle w:val="46"/>
              <w:bidi w:val="0"/>
              <w:rPr>
                <w:color w:val="auto"/>
              </w:rPr>
            </w:pP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color w:val="auto"/>
              </w:rPr>
              <w:t>施工噪声预测结果及分析</w:t>
            </w:r>
          </w:p>
          <w:p w14:paraId="49E7D8A2">
            <w:pPr>
              <w:pStyle w:val="46"/>
              <w:bidi w:val="0"/>
              <w:rPr>
                <w:color w:val="auto"/>
                <w:sz w:val="24"/>
                <w:szCs w:val="24"/>
              </w:rPr>
            </w:pPr>
            <w:r>
              <w:rPr>
                <w:rFonts w:hint="eastAsia"/>
                <w:color w:val="auto"/>
              </w:rPr>
              <w:t>运用上式对</w:t>
            </w:r>
            <w:r>
              <w:rPr>
                <w:rFonts w:hint="eastAsia"/>
                <w:color w:val="auto"/>
                <w:lang w:val="en-US" w:eastAsia="zh-CN"/>
              </w:rPr>
              <w:t>施工过程中</w:t>
            </w:r>
            <w:r>
              <w:rPr>
                <w:rFonts w:hint="eastAsia"/>
                <w:color w:val="auto"/>
              </w:rPr>
              <w:t>施工机械噪声的环境影响进行预测计算，其结果如</w:t>
            </w:r>
            <w:r>
              <w:rPr>
                <w:rFonts w:hint="eastAsia"/>
                <w:color w:val="auto"/>
                <w:lang w:val="en-US" w:eastAsia="zh-CN"/>
              </w:rPr>
              <w:t>下</w:t>
            </w:r>
            <w:r>
              <w:rPr>
                <w:rFonts w:hint="eastAsia"/>
                <w:color w:val="auto"/>
              </w:rPr>
              <w:t>表所示。</w:t>
            </w:r>
          </w:p>
          <w:p w14:paraId="059383F1">
            <w:pPr>
              <w:pStyle w:val="47"/>
              <w:bidi w:val="0"/>
              <w:rPr>
                <w:color w:val="auto"/>
              </w:rPr>
            </w:pPr>
            <w:r>
              <w:rPr>
                <w:rFonts w:hint="default"/>
                <w:color w:val="auto"/>
                <w:sz w:val="24"/>
                <w:szCs w:val="24"/>
              </w:rPr>
              <w:t>表</w:t>
            </w:r>
            <w:r>
              <w:rPr>
                <w:rFonts w:hint="default"/>
                <w:color w:val="auto"/>
                <w:sz w:val="24"/>
                <w:szCs w:val="24"/>
                <w:lang w:val="en-US" w:eastAsia="zh-CN"/>
              </w:rPr>
              <w:t>4-</w:t>
            </w:r>
            <w:r>
              <w:rPr>
                <w:rFonts w:hint="eastAsia"/>
                <w:color w:val="auto"/>
                <w:sz w:val="24"/>
                <w:szCs w:val="24"/>
                <w:lang w:val="en-US" w:eastAsia="zh-CN"/>
              </w:rPr>
              <w:t>1</w:t>
            </w:r>
            <w:r>
              <w:rPr>
                <w:rFonts w:hint="default"/>
                <w:color w:val="auto"/>
                <w:sz w:val="24"/>
                <w:szCs w:val="24"/>
              </w:rPr>
              <w:t xml:space="preserve"> </w:t>
            </w:r>
            <w:r>
              <w:rPr>
                <w:rFonts w:hint="eastAsia"/>
                <w:color w:val="auto"/>
                <w:sz w:val="24"/>
                <w:szCs w:val="24"/>
                <w:lang w:val="en-US" w:eastAsia="zh-CN"/>
              </w:rPr>
              <w:t xml:space="preserve"> </w:t>
            </w:r>
            <w:r>
              <w:rPr>
                <w:rFonts w:hint="default"/>
                <w:color w:val="auto"/>
                <w:sz w:val="24"/>
                <w:szCs w:val="24"/>
              </w:rPr>
              <w:t xml:space="preserve">  项目主要</w:t>
            </w:r>
            <w:r>
              <w:rPr>
                <w:rFonts w:hint="eastAsia"/>
                <w:color w:val="auto"/>
                <w:sz w:val="24"/>
                <w:szCs w:val="24"/>
              </w:rPr>
              <w:t>施工机械在不同距离处的噪声预测值</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3"/>
              <w:gridCol w:w="490"/>
              <w:gridCol w:w="601"/>
              <w:gridCol w:w="603"/>
              <w:gridCol w:w="603"/>
              <w:gridCol w:w="641"/>
              <w:gridCol w:w="715"/>
              <w:gridCol w:w="715"/>
              <w:gridCol w:w="715"/>
              <w:gridCol w:w="715"/>
              <w:gridCol w:w="724"/>
            </w:tblGrid>
            <w:tr w14:paraId="049BA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57" w:type="pct"/>
                  <w:vMerge w:val="restart"/>
                  <w:noWrap w:val="0"/>
                  <w:vAlign w:val="center"/>
                </w:tcPr>
                <w:p w14:paraId="4C547C2A">
                  <w:pPr>
                    <w:pStyle w:val="43"/>
                    <w:bidi w:val="0"/>
                    <w:rPr>
                      <w:rFonts w:hint="default"/>
                      <w:color w:val="auto"/>
                    </w:rPr>
                  </w:pPr>
                  <w:r>
                    <w:rPr>
                      <w:rFonts w:hint="default"/>
                      <w:color w:val="auto"/>
                    </w:rPr>
                    <w:t>机械类型</w:t>
                  </w:r>
                </w:p>
              </w:tc>
              <w:tc>
                <w:tcPr>
                  <w:tcW w:w="4242" w:type="pct"/>
                  <w:gridSpan w:val="10"/>
                  <w:noWrap w:val="0"/>
                  <w:vAlign w:val="center"/>
                </w:tcPr>
                <w:p w14:paraId="138BDFA2">
                  <w:pPr>
                    <w:pStyle w:val="43"/>
                    <w:bidi w:val="0"/>
                    <w:rPr>
                      <w:rFonts w:hint="default"/>
                      <w:color w:val="auto"/>
                    </w:rPr>
                  </w:pPr>
                  <w:r>
                    <w:rPr>
                      <w:rFonts w:hint="default"/>
                      <w:color w:val="auto"/>
                    </w:rPr>
                    <w:t>噪声预测值</w:t>
                  </w:r>
                </w:p>
              </w:tc>
            </w:tr>
            <w:tr w14:paraId="749DC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757" w:type="pct"/>
                  <w:vMerge w:val="continue"/>
                  <w:noWrap w:val="0"/>
                  <w:vAlign w:val="center"/>
                </w:tcPr>
                <w:p w14:paraId="4C70BC89">
                  <w:pPr>
                    <w:pStyle w:val="43"/>
                    <w:bidi w:val="0"/>
                    <w:rPr>
                      <w:rFonts w:hint="default"/>
                      <w:color w:val="auto"/>
                    </w:rPr>
                  </w:pPr>
                </w:p>
              </w:tc>
              <w:tc>
                <w:tcPr>
                  <w:tcW w:w="319" w:type="pct"/>
                  <w:noWrap w:val="0"/>
                  <w:vAlign w:val="center"/>
                </w:tcPr>
                <w:p w14:paraId="3B5E86FA">
                  <w:pPr>
                    <w:pStyle w:val="43"/>
                    <w:bidi w:val="0"/>
                    <w:rPr>
                      <w:rFonts w:hint="default"/>
                      <w:color w:val="auto"/>
                    </w:rPr>
                  </w:pPr>
                  <w:r>
                    <w:rPr>
                      <w:rFonts w:hint="default"/>
                      <w:color w:val="auto"/>
                    </w:rPr>
                    <w:t>5m</w:t>
                  </w:r>
                </w:p>
              </w:tc>
              <w:tc>
                <w:tcPr>
                  <w:tcW w:w="391" w:type="pct"/>
                  <w:noWrap w:val="0"/>
                  <w:vAlign w:val="center"/>
                </w:tcPr>
                <w:p w14:paraId="34002E5D">
                  <w:pPr>
                    <w:pStyle w:val="43"/>
                    <w:bidi w:val="0"/>
                    <w:rPr>
                      <w:rFonts w:hint="default"/>
                      <w:color w:val="auto"/>
                    </w:rPr>
                  </w:pPr>
                  <w:r>
                    <w:rPr>
                      <w:rFonts w:hint="default"/>
                      <w:color w:val="auto"/>
                    </w:rPr>
                    <w:t>10m</w:t>
                  </w:r>
                </w:p>
              </w:tc>
              <w:tc>
                <w:tcPr>
                  <w:tcW w:w="392" w:type="pct"/>
                  <w:noWrap w:val="0"/>
                  <w:vAlign w:val="center"/>
                </w:tcPr>
                <w:p w14:paraId="6E87B0FF">
                  <w:pPr>
                    <w:pStyle w:val="43"/>
                    <w:bidi w:val="0"/>
                    <w:rPr>
                      <w:rFonts w:hint="default"/>
                      <w:color w:val="auto"/>
                    </w:rPr>
                  </w:pPr>
                  <w:r>
                    <w:rPr>
                      <w:rFonts w:hint="default"/>
                      <w:color w:val="auto"/>
                    </w:rPr>
                    <w:t>20m</w:t>
                  </w:r>
                </w:p>
              </w:tc>
              <w:tc>
                <w:tcPr>
                  <w:tcW w:w="392" w:type="pct"/>
                  <w:noWrap w:val="0"/>
                  <w:vAlign w:val="center"/>
                </w:tcPr>
                <w:p w14:paraId="2DA9C80A">
                  <w:pPr>
                    <w:pStyle w:val="43"/>
                    <w:bidi w:val="0"/>
                    <w:rPr>
                      <w:rFonts w:hint="default"/>
                      <w:color w:val="auto"/>
                    </w:rPr>
                  </w:pPr>
                  <w:r>
                    <w:rPr>
                      <w:rFonts w:hint="default"/>
                      <w:color w:val="auto"/>
                    </w:rPr>
                    <w:t>50m</w:t>
                  </w:r>
                </w:p>
              </w:tc>
              <w:tc>
                <w:tcPr>
                  <w:tcW w:w="417" w:type="pct"/>
                  <w:noWrap w:val="0"/>
                  <w:vAlign w:val="center"/>
                </w:tcPr>
                <w:p w14:paraId="46CCC948">
                  <w:pPr>
                    <w:pStyle w:val="43"/>
                    <w:bidi w:val="0"/>
                    <w:rPr>
                      <w:rFonts w:hint="default"/>
                      <w:color w:val="auto"/>
                    </w:rPr>
                  </w:pPr>
                  <w:r>
                    <w:rPr>
                      <w:rFonts w:hint="default"/>
                      <w:color w:val="auto"/>
                    </w:rPr>
                    <w:t>60m</w:t>
                  </w:r>
                </w:p>
              </w:tc>
              <w:tc>
                <w:tcPr>
                  <w:tcW w:w="465" w:type="pct"/>
                  <w:noWrap w:val="0"/>
                  <w:vAlign w:val="center"/>
                </w:tcPr>
                <w:p w14:paraId="367062A6">
                  <w:pPr>
                    <w:pStyle w:val="43"/>
                    <w:bidi w:val="0"/>
                    <w:rPr>
                      <w:rFonts w:hint="default"/>
                      <w:color w:val="auto"/>
                    </w:rPr>
                  </w:pPr>
                  <w:r>
                    <w:rPr>
                      <w:rFonts w:hint="default"/>
                      <w:color w:val="auto"/>
                    </w:rPr>
                    <w:t>100m</w:t>
                  </w:r>
                </w:p>
              </w:tc>
              <w:tc>
                <w:tcPr>
                  <w:tcW w:w="465" w:type="pct"/>
                  <w:noWrap w:val="0"/>
                  <w:vAlign w:val="center"/>
                </w:tcPr>
                <w:p w14:paraId="3CF58A9F">
                  <w:pPr>
                    <w:pStyle w:val="43"/>
                    <w:bidi w:val="0"/>
                    <w:rPr>
                      <w:rFonts w:hint="default"/>
                      <w:color w:val="auto"/>
                    </w:rPr>
                  </w:pPr>
                  <w:r>
                    <w:rPr>
                      <w:rFonts w:hint="default"/>
                      <w:color w:val="auto"/>
                    </w:rPr>
                    <w:t>150m</w:t>
                  </w:r>
                </w:p>
              </w:tc>
              <w:tc>
                <w:tcPr>
                  <w:tcW w:w="465" w:type="pct"/>
                  <w:noWrap w:val="0"/>
                  <w:vAlign w:val="center"/>
                </w:tcPr>
                <w:p w14:paraId="2DD47B89">
                  <w:pPr>
                    <w:pStyle w:val="43"/>
                    <w:bidi w:val="0"/>
                    <w:rPr>
                      <w:rFonts w:hint="default"/>
                      <w:color w:val="auto"/>
                    </w:rPr>
                  </w:pPr>
                  <w:r>
                    <w:rPr>
                      <w:rFonts w:hint="default"/>
                      <w:color w:val="auto"/>
                    </w:rPr>
                    <w:t>200m</w:t>
                  </w:r>
                </w:p>
              </w:tc>
              <w:tc>
                <w:tcPr>
                  <w:tcW w:w="465" w:type="pct"/>
                  <w:noWrap w:val="0"/>
                  <w:vAlign w:val="center"/>
                </w:tcPr>
                <w:p w14:paraId="77D37B37">
                  <w:pPr>
                    <w:pStyle w:val="43"/>
                    <w:bidi w:val="0"/>
                    <w:rPr>
                      <w:rFonts w:hint="default"/>
                      <w:color w:val="auto"/>
                    </w:rPr>
                  </w:pPr>
                  <w:r>
                    <w:rPr>
                      <w:rFonts w:hint="default"/>
                      <w:color w:val="auto"/>
                    </w:rPr>
                    <w:t>300m</w:t>
                  </w:r>
                </w:p>
              </w:tc>
              <w:tc>
                <w:tcPr>
                  <w:tcW w:w="468" w:type="pct"/>
                  <w:noWrap w:val="0"/>
                  <w:vAlign w:val="center"/>
                </w:tcPr>
                <w:p w14:paraId="39180471">
                  <w:pPr>
                    <w:pStyle w:val="43"/>
                    <w:bidi w:val="0"/>
                    <w:rPr>
                      <w:rFonts w:hint="default"/>
                      <w:color w:val="auto"/>
                    </w:rPr>
                  </w:pPr>
                  <w:r>
                    <w:rPr>
                      <w:rFonts w:hint="default"/>
                      <w:color w:val="auto"/>
                    </w:rPr>
                    <w:t>400m</w:t>
                  </w:r>
                </w:p>
              </w:tc>
            </w:tr>
            <w:tr w14:paraId="698AD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pct"/>
                  <w:noWrap w:val="0"/>
                  <w:vAlign w:val="center"/>
                </w:tcPr>
                <w:p w14:paraId="24AF858E">
                  <w:pPr>
                    <w:pStyle w:val="43"/>
                    <w:bidi w:val="0"/>
                    <w:rPr>
                      <w:rFonts w:hint="default"/>
                      <w:color w:val="auto"/>
                      <w:lang w:val="en-US"/>
                    </w:rPr>
                  </w:pPr>
                  <w:r>
                    <w:rPr>
                      <w:rFonts w:hint="eastAsia"/>
                      <w:color w:val="auto"/>
                      <w:lang w:val="en-US" w:eastAsia="zh-CN"/>
                    </w:rPr>
                    <w:t>推土机</w:t>
                  </w:r>
                </w:p>
              </w:tc>
              <w:tc>
                <w:tcPr>
                  <w:tcW w:w="319" w:type="pct"/>
                  <w:noWrap w:val="0"/>
                  <w:vAlign w:val="center"/>
                </w:tcPr>
                <w:p w14:paraId="4F164C99">
                  <w:pPr>
                    <w:pStyle w:val="43"/>
                    <w:bidi w:val="0"/>
                    <w:rPr>
                      <w:rFonts w:hint="eastAsia" w:eastAsia="宋体"/>
                      <w:color w:val="auto"/>
                      <w:lang w:val="en-US" w:eastAsia="zh-CN"/>
                    </w:rPr>
                  </w:pPr>
                  <w:r>
                    <w:rPr>
                      <w:rFonts w:hint="default"/>
                      <w:color w:val="auto"/>
                    </w:rPr>
                    <w:t>8</w:t>
                  </w:r>
                  <w:r>
                    <w:rPr>
                      <w:rFonts w:hint="eastAsia"/>
                      <w:color w:val="auto"/>
                      <w:lang w:val="en-US" w:eastAsia="zh-CN"/>
                    </w:rPr>
                    <w:t>3</w:t>
                  </w:r>
                </w:p>
              </w:tc>
              <w:tc>
                <w:tcPr>
                  <w:tcW w:w="391" w:type="pct"/>
                  <w:noWrap w:val="0"/>
                  <w:vAlign w:val="center"/>
                </w:tcPr>
                <w:p w14:paraId="1B946CA5">
                  <w:pPr>
                    <w:pStyle w:val="43"/>
                    <w:bidi w:val="0"/>
                    <w:rPr>
                      <w:rFonts w:hint="eastAsia" w:eastAsia="宋体"/>
                      <w:color w:val="auto"/>
                      <w:lang w:val="en-US" w:eastAsia="zh-CN"/>
                    </w:rPr>
                  </w:pPr>
                  <w:r>
                    <w:rPr>
                      <w:rFonts w:hint="default"/>
                      <w:color w:val="auto"/>
                    </w:rPr>
                    <w:t>7</w:t>
                  </w:r>
                  <w:r>
                    <w:rPr>
                      <w:rFonts w:hint="eastAsia"/>
                      <w:color w:val="auto"/>
                      <w:lang w:val="en-US" w:eastAsia="zh-CN"/>
                    </w:rPr>
                    <w:t>7</w:t>
                  </w:r>
                </w:p>
              </w:tc>
              <w:tc>
                <w:tcPr>
                  <w:tcW w:w="392" w:type="pct"/>
                  <w:noWrap w:val="0"/>
                  <w:vAlign w:val="center"/>
                </w:tcPr>
                <w:p w14:paraId="72D6BB4C">
                  <w:pPr>
                    <w:pStyle w:val="43"/>
                    <w:bidi w:val="0"/>
                    <w:rPr>
                      <w:rFonts w:hint="default" w:eastAsia="宋体"/>
                      <w:color w:val="auto"/>
                      <w:lang w:val="en-US" w:eastAsia="zh-CN"/>
                    </w:rPr>
                  </w:pPr>
                  <w:r>
                    <w:rPr>
                      <w:rFonts w:hint="eastAsia"/>
                      <w:color w:val="auto"/>
                      <w:lang w:val="en-US" w:eastAsia="zh-CN"/>
                    </w:rPr>
                    <w:t>70</w:t>
                  </w:r>
                </w:p>
              </w:tc>
              <w:tc>
                <w:tcPr>
                  <w:tcW w:w="392" w:type="pct"/>
                  <w:noWrap w:val="0"/>
                  <w:vAlign w:val="center"/>
                </w:tcPr>
                <w:p w14:paraId="61C9A193">
                  <w:pPr>
                    <w:pStyle w:val="43"/>
                    <w:bidi w:val="0"/>
                    <w:rPr>
                      <w:rFonts w:hint="default" w:eastAsia="宋体"/>
                      <w:color w:val="auto"/>
                      <w:lang w:val="en-US" w:eastAsia="zh-CN"/>
                    </w:rPr>
                  </w:pPr>
                  <w:r>
                    <w:rPr>
                      <w:rFonts w:hint="eastAsia"/>
                      <w:color w:val="auto"/>
                      <w:lang w:val="en-US" w:eastAsia="zh-CN"/>
                    </w:rPr>
                    <w:t>63</w:t>
                  </w:r>
                </w:p>
              </w:tc>
              <w:tc>
                <w:tcPr>
                  <w:tcW w:w="417" w:type="pct"/>
                  <w:noWrap w:val="0"/>
                  <w:vAlign w:val="center"/>
                </w:tcPr>
                <w:p w14:paraId="2746E815">
                  <w:pPr>
                    <w:pStyle w:val="43"/>
                    <w:bidi w:val="0"/>
                    <w:rPr>
                      <w:rFonts w:hint="default"/>
                      <w:color w:val="auto"/>
                    </w:rPr>
                  </w:pPr>
                  <w:r>
                    <w:rPr>
                      <w:rFonts w:hint="eastAsia"/>
                      <w:color w:val="auto"/>
                      <w:lang w:val="en-US" w:eastAsia="zh-CN"/>
                    </w:rPr>
                    <w:t>61</w:t>
                  </w:r>
                  <w:r>
                    <w:rPr>
                      <w:rFonts w:hint="default"/>
                      <w:color w:val="auto"/>
                    </w:rPr>
                    <w:t>.4</w:t>
                  </w:r>
                </w:p>
              </w:tc>
              <w:tc>
                <w:tcPr>
                  <w:tcW w:w="465" w:type="pct"/>
                  <w:noWrap w:val="0"/>
                  <w:vAlign w:val="center"/>
                </w:tcPr>
                <w:p w14:paraId="067C8F16">
                  <w:pPr>
                    <w:pStyle w:val="43"/>
                    <w:bidi w:val="0"/>
                    <w:rPr>
                      <w:rFonts w:hint="eastAsia" w:eastAsia="宋体"/>
                      <w:color w:val="auto"/>
                      <w:lang w:val="en-US" w:eastAsia="zh-CN"/>
                    </w:rPr>
                  </w:pPr>
                  <w:r>
                    <w:rPr>
                      <w:rFonts w:hint="default"/>
                      <w:color w:val="auto"/>
                    </w:rPr>
                    <w:t>5</w:t>
                  </w:r>
                  <w:r>
                    <w:rPr>
                      <w:rFonts w:hint="eastAsia"/>
                      <w:color w:val="auto"/>
                      <w:lang w:val="en-US" w:eastAsia="zh-CN"/>
                    </w:rPr>
                    <w:t>7</w:t>
                  </w:r>
                </w:p>
              </w:tc>
              <w:tc>
                <w:tcPr>
                  <w:tcW w:w="465" w:type="pct"/>
                  <w:noWrap w:val="0"/>
                  <w:vAlign w:val="center"/>
                </w:tcPr>
                <w:p w14:paraId="0B3C23B7">
                  <w:pPr>
                    <w:pStyle w:val="43"/>
                    <w:bidi w:val="0"/>
                    <w:rPr>
                      <w:rFonts w:hint="default"/>
                      <w:color w:val="auto"/>
                    </w:rPr>
                  </w:pPr>
                  <w:r>
                    <w:rPr>
                      <w:rFonts w:hint="default"/>
                      <w:color w:val="auto"/>
                    </w:rPr>
                    <w:t>5</w:t>
                  </w:r>
                  <w:r>
                    <w:rPr>
                      <w:rFonts w:hint="eastAsia"/>
                      <w:color w:val="auto"/>
                      <w:lang w:val="en-US" w:eastAsia="zh-CN"/>
                    </w:rPr>
                    <w:t>3</w:t>
                  </w:r>
                  <w:r>
                    <w:rPr>
                      <w:rFonts w:hint="default"/>
                      <w:color w:val="auto"/>
                    </w:rPr>
                    <w:t>.5</w:t>
                  </w:r>
                </w:p>
              </w:tc>
              <w:tc>
                <w:tcPr>
                  <w:tcW w:w="465" w:type="pct"/>
                  <w:noWrap w:val="0"/>
                  <w:vAlign w:val="center"/>
                </w:tcPr>
                <w:p w14:paraId="4BE2CBCF">
                  <w:pPr>
                    <w:pStyle w:val="43"/>
                    <w:bidi w:val="0"/>
                    <w:rPr>
                      <w:rFonts w:hint="default" w:eastAsia="宋体"/>
                      <w:color w:val="auto"/>
                      <w:lang w:val="en-US" w:eastAsia="zh-CN"/>
                    </w:rPr>
                  </w:pPr>
                  <w:r>
                    <w:rPr>
                      <w:rFonts w:hint="eastAsia"/>
                      <w:color w:val="auto"/>
                      <w:lang w:val="en-US" w:eastAsia="zh-CN"/>
                    </w:rPr>
                    <w:t>51</w:t>
                  </w:r>
                </w:p>
              </w:tc>
              <w:tc>
                <w:tcPr>
                  <w:tcW w:w="465" w:type="pct"/>
                  <w:noWrap w:val="0"/>
                  <w:vAlign w:val="center"/>
                </w:tcPr>
                <w:p w14:paraId="4C531C40">
                  <w:pPr>
                    <w:pStyle w:val="43"/>
                    <w:bidi w:val="0"/>
                    <w:rPr>
                      <w:rFonts w:hint="default"/>
                      <w:color w:val="auto"/>
                    </w:rPr>
                  </w:pPr>
                  <w:r>
                    <w:rPr>
                      <w:rFonts w:hint="default"/>
                      <w:color w:val="auto"/>
                    </w:rPr>
                    <w:t>4</w:t>
                  </w:r>
                  <w:r>
                    <w:rPr>
                      <w:rFonts w:hint="eastAsia"/>
                      <w:color w:val="auto"/>
                      <w:lang w:val="en-US" w:eastAsia="zh-CN"/>
                    </w:rPr>
                    <w:t>7</w:t>
                  </w:r>
                  <w:r>
                    <w:rPr>
                      <w:rFonts w:hint="default"/>
                      <w:color w:val="auto"/>
                    </w:rPr>
                    <w:t>.4</w:t>
                  </w:r>
                </w:p>
              </w:tc>
              <w:tc>
                <w:tcPr>
                  <w:tcW w:w="468" w:type="pct"/>
                  <w:noWrap w:val="0"/>
                  <w:vAlign w:val="center"/>
                </w:tcPr>
                <w:p w14:paraId="4ED760E4">
                  <w:pPr>
                    <w:pStyle w:val="43"/>
                    <w:bidi w:val="0"/>
                    <w:rPr>
                      <w:rFonts w:hint="default"/>
                      <w:color w:val="auto"/>
                    </w:rPr>
                  </w:pPr>
                  <w:r>
                    <w:rPr>
                      <w:rFonts w:hint="default"/>
                      <w:color w:val="auto"/>
                    </w:rPr>
                    <w:t>4</w:t>
                  </w:r>
                  <w:r>
                    <w:rPr>
                      <w:rFonts w:hint="eastAsia"/>
                      <w:color w:val="auto"/>
                      <w:lang w:val="en-US" w:eastAsia="zh-CN"/>
                    </w:rPr>
                    <w:t>4</w:t>
                  </w:r>
                  <w:r>
                    <w:rPr>
                      <w:rFonts w:hint="default"/>
                      <w:color w:val="auto"/>
                    </w:rPr>
                    <w:t>.9</w:t>
                  </w:r>
                </w:p>
              </w:tc>
            </w:tr>
            <w:tr w14:paraId="5A88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pct"/>
                  <w:noWrap w:val="0"/>
                  <w:vAlign w:val="center"/>
                </w:tcPr>
                <w:p w14:paraId="20C61AEE">
                  <w:pPr>
                    <w:pStyle w:val="43"/>
                    <w:bidi w:val="0"/>
                    <w:rPr>
                      <w:color w:val="auto"/>
                    </w:rPr>
                  </w:pPr>
                  <w:r>
                    <w:rPr>
                      <w:rFonts w:hint="default"/>
                      <w:color w:val="auto"/>
                    </w:rPr>
                    <w:t>挖掘机</w:t>
                  </w:r>
                </w:p>
              </w:tc>
              <w:tc>
                <w:tcPr>
                  <w:tcW w:w="319" w:type="pct"/>
                  <w:noWrap w:val="0"/>
                  <w:vAlign w:val="center"/>
                </w:tcPr>
                <w:p w14:paraId="6C4002C0">
                  <w:pPr>
                    <w:pStyle w:val="43"/>
                    <w:bidi w:val="0"/>
                    <w:rPr>
                      <w:rFonts w:hint="default"/>
                      <w:color w:val="auto"/>
                    </w:rPr>
                  </w:pPr>
                  <w:r>
                    <w:rPr>
                      <w:rFonts w:hint="default"/>
                      <w:color w:val="auto"/>
                    </w:rPr>
                    <w:t>81</w:t>
                  </w:r>
                </w:p>
              </w:tc>
              <w:tc>
                <w:tcPr>
                  <w:tcW w:w="391" w:type="pct"/>
                  <w:noWrap w:val="0"/>
                  <w:vAlign w:val="center"/>
                </w:tcPr>
                <w:p w14:paraId="02302DE8">
                  <w:pPr>
                    <w:pStyle w:val="43"/>
                    <w:bidi w:val="0"/>
                    <w:rPr>
                      <w:rFonts w:hint="default"/>
                      <w:color w:val="auto"/>
                    </w:rPr>
                  </w:pPr>
                  <w:r>
                    <w:rPr>
                      <w:rFonts w:hint="default"/>
                      <w:color w:val="auto"/>
                    </w:rPr>
                    <w:t>75</w:t>
                  </w:r>
                </w:p>
              </w:tc>
              <w:tc>
                <w:tcPr>
                  <w:tcW w:w="392" w:type="pct"/>
                  <w:noWrap w:val="0"/>
                  <w:vAlign w:val="center"/>
                </w:tcPr>
                <w:p w14:paraId="16386F63">
                  <w:pPr>
                    <w:pStyle w:val="43"/>
                    <w:bidi w:val="0"/>
                    <w:rPr>
                      <w:rFonts w:hint="default"/>
                      <w:color w:val="auto"/>
                    </w:rPr>
                  </w:pPr>
                  <w:r>
                    <w:rPr>
                      <w:rFonts w:hint="default"/>
                      <w:color w:val="auto"/>
                    </w:rPr>
                    <w:t>69</w:t>
                  </w:r>
                </w:p>
              </w:tc>
              <w:tc>
                <w:tcPr>
                  <w:tcW w:w="392" w:type="pct"/>
                  <w:noWrap w:val="0"/>
                  <w:vAlign w:val="center"/>
                </w:tcPr>
                <w:p w14:paraId="12611764">
                  <w:pPr>
                    <w:pStyle w:val="43"/>
                    <w:bidi w:val="0"/>
                    <w:rPr>
                      <w:rFonts w:hint="default"/>
                      <w:color w:val="auto"/>
                    </w:rPr>
                  </w:pPr>
                  <w:r>
                    <w:rPr>
                      <w:rFonts w:hint="default"/>
                      <w:color w:val="auto"/>
                    </w:rPr>
                    <w:t>61</w:t>
                  </w:r>
                </w:p>
              </w:tc>
              <w:tc>
                <w:tcPr>
                  <w:tcW w:w="417" w:type="pct"/>
                  <w:noWrap w:val="0"/>
                  <w:vAlign w:val="center"/>
                </w:tcPr>
                <w:p w14:paraId="0455847E">
                  <w:pPr>
                    <w:pStyle w:val="43"/>
                    <w:bidi w:val="0"/>
                    <w:rPr>
                      <w:rFonts w:hint="default"/>
                      <w:color w:val="auto"/>
                    </w:rPr>
                  </w:pPr>
                  <w:r>
                    <w:rPr>
                      <w:rFonts w:hint="default"/>
                      <w:color w:val="auto"/>
                    </w:rPr>
                    <w:t>59.4</w:t>
                  </w:r>
                </w:p>
              </w:tc>
              <w:tc>
                <w:tcPr>
                  <w:tcW w:w="465" w:type="pct"/>
                  <w:noWrap w:val="0"/>
                  <w:vAlign w:val="center"/>
                </w:tcPr>
                <w:p w14:paraId="0648C8B7">
                  <w:pPr>
                    <w:pStyle w:val="43"/>
                    <w:bidi w:val="0"/>
                    <w:rPr>
                      <w:rFonts w:hint="default"/>
                      <w:color w:val="auto"/>
                    </w:rPr>
                  </w:pPr>
                  <w:r>
                    <w:rPr>
                      <w:rFonts w:hint="default"/>
                      <w:color w:val="auto"/>
                    </w:rPr>
                    <w:t>55</w:t>
                  </w:r>
                </w:p>
              </w:tc>
              <w:tc>
                <w:tcPr>
                  <w:tcW w:w="465" w:type="pct"/>
                  <w:noWrap w:val="0"/>
                  <w:vAlign w:val="center"/>
                </w:tcPr>
                <w:p w14:paraId="16C63F05">
                  <w:pPr>
                    <w:pStyle w:val="43"/>
                    <w:bidi w:val="0"/>
                    <w:rPr>
                      <w:rFonts w:hint="default"/>
                      <w:color w:val="auto"/>
                    </w:rPr>
                  </w:pPr>
                  <w:r>
                    <w:rPr>
                      <w:rFonts w:hint="default"/>
                      <w:color w:val="auto"/>
                    </w:rPr>
                    <w:t>51.5</w:t>
                  </w:r>
                </w:p>
              </w:tc>
              <w:tc>
                <w:tcPr>
                  <w:tcW w:w="465" w:type="pct"/>
                  <w:noWrap w:val="0"/>
                  <w:vAlign w:val="center"/>
                </w:tcPr>
                <w:p w14:paraId="112D560B">
                  <w:pPr>
                    <w:pStyle w:val="43"/>
                    <w:bidi w:val="0"/>
                    <w:rPr>
                      <w:rFonts w:hint="default"/>
                      <w:color w:val="auto"/>
                    </w:rPr>
                  </w:pPr>
                  <w:r>
                    <w:rPr>
                      <w:rFonts w:hint="default"/>
                      <w:color w:val="auto"/>
                    </w:rPr>
                    <w:t>49</w:t>
                  </w:r>
                </w:p>
              </w:tc>
              <w:tc>
                <w:tcPr>
                  <w:tcW w:w="465" w:type="pct"/>
                  <w:noWrap w:val="0"/>
                  <w:vAlign w:val="center"/>
                </w:tcPr>
                <w:p w14:paraId="1FD894EC">
                  <w:pPr>
                    <w:pStyle w:val="43"/>
                    <w:bidi w:val="0"/>
                    <w:rPr>
                      <w:rFonts w:hint="default"/>
                      <w:color w:val="auto"/>
                    </w:rPr>
                  </w:pPr>
                  <w:r>
                    <w:rPr>
                      <w:rFonts w:hint="default"/>
                      <w:color w:val="auto"/>
                    </w:rPr>
                    <w:t>45.4</w:t>
                  </w:r>
                </w:p>
              </w:tc>
              <w:tc>
                <w:tcPr>
                  <w:tcW w:w="468" w:type="pct"/>
                  <w:noWrap w:val="0"/>
                  <w:vAlign w:val="center"/>
                </w:tcPr>
                <w:p w14:paraId="07E43AD1">
                  <w:pPr>
                    <w:pStyle w:val="43"/>
                    <w:bidi w:val="0"/>
                    <w:rPr>
                      <w:rFonts w:hint="default"/>
                      <w:color w:val="auto"/>
                    </w:rPr>
                  </w:pPr>
                  <w:r>
                    <w:rPr>
                      <w:rFonts w:hint="default"/>
                      <w:color w:val="auto"/>
                    </w:rPr>
                    <w:t>42.9</w:t>
                  </w:r>
                </w:p>
              </w:tc>
            </w:tr>
            <w:tr w14:paraId="5BD69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pct"/>
                  <w:noWrap w:val="0"/>
                  <w:vAlign w:val="center"/>
                </w:tcPr>
                <w:p w14:paraId="74EA0349">
                  <w:pPr>
                    <w:pStyle w:val="43"/>
                    <w:bidi w:val="0"/>
                    <w:rPr>
                      <w:rFonts w:hint="default"/>
                      <w:color w:val="auto"/>
                    </w:rPr>
                  </w:pPr>
                  <w:r>
                    <w:rPr>
                      <w:rFonts w:hint="default"/>
                      <w:color w:val="auto"/>
                    </w:rPr>
                    <w:t>运输车辆</w:t>
                  </w:r>
                </w:p>
              </w:tc>
              <w:tc>
                <w:tcPr>
                  <w:tcW w:w="319" w:type="pct"/>
                  <w:noWrap w:val="0"/>
                  <w:vAlign w:val="center"/>
                </w:tcPr>
                <w:p w14:paraId="44461146">
                  <w:pPr>
                    <w:pStyle w:val="43"/>
                    <w:bidi w:val="0"/>
                    <w:rPr>
                      <w:rFonts w:hint="default"/>
                      <w:color w:val="auto"/>
                    </w:rPr>
                  </w:pPr>
                  <w:r>
                    <w:rPr>
                      <w:rFonts w:hint="default"/>
                      <w:color w:val="auto"/>
                    </w:rPr>
                    <w:t>80</w:t>
                  </w:r>
                </w:p>
              </w:tc>
              <w:tc>
                <w:tcPr>
                  <w:tcW w:w="391" w:type="pct"/>
                  <w:noWrap w:val="0"/>
                  <w:vAlign w:val="center"/>
                </w:tcPr>
                <w:p w14:paraId="0073152A">
                  <w:pPr>
                    <w:pStyle w:val="43"/>
                    <w:bidi w:val="0"/>
                    <w:rPr>
                      <w:rFonts w:hint="default"/>
                      <w:color w:val="auto"/>
                    </w:rPr>
                  </w:pPr>
                  <w:r>
                    <w:rPr>
                      <w:rFonts w:hint="default"/>
                      <w:color w:val="auto"/>
                    </w:rPr>
                    <w:t>74</w:t>
                  </w:r>
                </w:p>
              </w:tc>
              <w:tc>
                <w:tcPr>
                  <w:tcW w:w="392" w:type="pct"/>
                  <w:noWrap w:val="0"/>
                  <w:vAlign w:val="center"/>
                </w:tcPr>
                <w:p w14:paraId="2C918964">
                  <w:pPr>
                    <w:pStyle w:val="43"/>
                    <w:bidi w:val="0"/>
                    <w:rPr>
                      <w:rFonts w:hint="default"/>
                      <w:color w:val="auto"/>
                    </w:rPr>
                  </w:pPr>
                  <w:r>
                    <w:rPr>
                      <w:rFonts w:hint="default"/>
                      <w:color w:val="auto"/>
                    </w:rPr>
                    <w:t>68</w:t>
                  </w:r>
                </w:p>
              </w:tc>
              <w:tc>
                <w:tcPr>
                  <w:tcW w:w="392" w:type="pct"/>
                  <w:noWrap w:val="0"/>
                  <w:vAlign w:val="center"/>
                </w:tcPr>
                <w:p w14:paraId="0FB32439">
                  <w:pPr>
                    <w:pStyle w:val="43"/>
                    <w:bidi w:val="0"/>
                    <w:rPr>
                      <w:rFonts w:hint="default"/>
                      <w:color w:val="auto"/>
                    </w:rPr>
                  </w:pPr>
                  <w:r>
                    <w:rPr>
                      <w:rFonts w:hint="default"/>
                      <w:color w:val="auto"/>
                    </w:rPr>
                    <w:t>60</w:t>
                  </w:r>
                </w:p>
              </w:tc>
              <w:tc>
                <w:tcPr>
                  <w:tcW w:w="417" w:type="pct"/>
                  <w:noWrap w:val="0"/>
                  <w:vAlign w:val="center"/>
                </w:tcPr>
                <w:p w14:paraId="629AB360">
                  <w:pPr>
                    <w:pStyle w:val="43"/>
                    <w:bidi w:val="0"/>
                    <w:rPr>
                      <w:rFonts w:hint="default"/>
                      <w:color w:val="auto"/>
                    </w:rPr>
                  </w:pPr>
                  <w:r>
                    <w:rPr>
                      <w:rFonts w:hint="default"/>
                      <w:color w:val="auto"/>
                    </w:rPr>
                    <w:t>58.4</w:t>
                  </w:r>
                </w:p>
              </w:tc>
              <w:tc>
                <w:tcPr>
                  <w:tcW w:w="465" w:type="pct"/>
                  <w:noWrap w:val="0"/>
                  <w:vAlign w:val="center"/>
                </w:tcPr>
                <w:p w14:paraId="67C6B1D0">
                  <w:pPr>
                    <w:pStyle w:val="43"/>
                    <w:bidi w:val="0"/>
                    <w:rPr>
                      <w:rFonts w:hint="default"/>
                      <w:color w:val="auto"/>
                    </w:rPr>
                  </w:pPr>
                  <w:r>
                    <w:rPr>
                      <w:rFonts w:hint="default"/>
                      <w:color w:val="auto"/>
                    </w:rPr>
                    <w:t>54</w:t>
                  </w:r>
                </w:p>
              </w:tc>
              <w:tc>
                <w:tcPr>
                  <w:tcW w:w="465" w:type="pct"/>
                  <w:noWrap w:val="0"/>
                  <w:vAlign w:val="center"/>
                </w:tcPr>
                <w:p w14:paraId="5473AD03">
                  <w:pPr>
                    <w:pStyle w:val="43"/>
                    <w:bidi w:val="0"/>
                    <w:rPr>
                      <w:rFonts w:hint="default"/>
                      <w:color w:val="auto"/>
                    </w:rPr>
                  </w:pPr>
                  <w:r>
                    <w:rPr>
                      <w:rFonts w:hint="default"/>
                      <w:color w:val="auto"/>
                    </w:rPr>
                    <w:t>50.5</w:t>
                  </w:r>
                </w:p>
              </w:tc>
              <w:tc>
                <w:tcPr>
                  <w:tcW w:w="465" w:type="pct"/>
                  <w:noWrap w:val="0"/>
                  <w:vAlign w:val="center"/>
                </w:tcPr>
                <w:p w14:paraId="5D15B5DD">
                  <w:pPr>
                    <w:pStyle w:val="43"/>
                    <w:bidi w:val="0"/>
                    <w:rPr>
                      <w:rFonts w:hint="default"/>
                      <w:color w:val="auto"/>
                    </w:rPr>
                  </w:pPr>
                  <w:r>
                    <w:rPr>
                      <w:rFonts w:hint="default"/>
                      <w:color w:val="auto"/>
                    </w:rPr>
                    <w:t>48</w:t>
                  </w:r>
                </w:p>
              </w:tc>
              <w:tc>
                <w:tcPr>
                  <w:tcW w:w="465" w:type="pct"/>
                  <w:noWrap w:val="0"/>
                  <w:vAlign w:val="center"/>
                </w:tcPr>
                <w:p w14:paraId="6EB9EE04">
                  <w:pPr>
                    <w:pStyle w:val="43"/>
                    <w:bidi w:val="0"/>
                    <w:rPr>
                      <w:rFonts w:hint="default"/>
                      <w:color w:val="auto"/>
                    </w:rPr>
                  </w:pPr>
                  <w:r>
                    <w:rPr>
                      <w:rFonts w:hint="default"/>
                      <w:color w:val="auto"/>
                    </w:rPr>
                    <w:t>43.4</w:t>
                  </w:r>
                </w:p>
              </w:tc>
              <w:tc>
                <w:tcPr>
                  <w:tcW w:w="468" w:type="pct"/>
                  <w:noWrap w:val="0"/>
                  <w:vAlign w:val="center"/>
                </w:tcPr>
                <w:p w14:paraId="6A939B6D">
                  <w:pPr>
                    <w:pStyle w:val="43"/>
                    <w:bidi w:val="0"/>
                    <w:rPr>
                      <w:rFonts w:hint="default"/>
                      <w:color w:val="auto"/>
                    </w:rPr>
                  </w:pPr>
                  <w:r>
                    <w:rPr>
                      <w:rFonts w:hint="default"/>
                      <w:color w:val="auto"/>
                    </w:rPr>
                    <w:t>40.9</w:t>
                  </w:r>
                </w:p>
              </w:tc>
            </w:tr>
          </w:tbl>
          <w:p w14:paraId="0EFC11FF">
            <w:pPr>
              <w:pStyle w:val="46"/>
              <w:bidi w:val="0"/>
              <w:rPr>
                <w:rFonts w:hint="default"/>
                <w:color w:val="auto"/>
                <w:lang w:val="en-US" w:eastAsia="zh-CN"/>
              </w:rPr>
            </w:pPr>
            <w:r>
              <w:rPr>
                <w:rFonts w:hint="default"/>
                <w:color w:val="auto"/>
              </w:rPr>
              <w:t>本项目夜间不进行</w:t>
            </w:r>
            <w:r>
              <w:rPr>
                <w:rFonts w:hint="eastAsia"/>
                <w:color w:val="auto"/>
                <w:lang w:val="en-US" w:eastAsia="zh-CN"/>
              </w:rPr>
              <w:t>工作</w:t>
            </w:r>
            <w:r>
              <w:rPr>
                <w:rFonts w:hint="default"/>
                <w:color w:val="auto"/>
              </w:rPr>
              <w:t>，因此距场界50m处，昼间噪声均满足《建筑施工噪声排放标准》（GB 12523－20</w:t>
            </w:r>
            <w:r>
              <w:rPr>
                <w:rFonts w:hint="eastAsia"/>
                <w:color w:val="auto"/>
                <w:lang w:val="en-US" w:eastAsia="zh-CN"/>
              </w:rPr>
              <w:t>25</w:t>
            </w:r>
            <w:r>
              <w:rPr>
                <w:rFonts w:hint="default"/>
                <w:color w:val="auto"/>
              </w:rPr>
              <w:t>）中施</w:t>
            </w:r>
            <w:r>
              <w:rPr>
                <w:rFonts w:hint="eastAsia"/>
                <w:color w:val="auto"/>
                <w:lang w:val="en-US" w:eastAsia="zh-CN"/>
              </w:rPr>
              <w:t>工噪声要求，昼间是70dB(A）</w:t>
            </w:r>
            <w:r>
              <w:rPr>
                <w:rFonts w:hint="default"/>
                <w:color w:val="auto"/>
              </w:rPr>
              <w:t>。</w:t>
            </w:r>
          </w:p>
          <w:p w14:paraId="614E4382">
            <w:pPr>
              <w:pStyle w:val="45"/>
              <w:bidi w:val="0"/>
              <w:rPr>
                <w:rFonts w:hint="eastAsia"/>
                <w:color w:val="auto"/>
                <w:lang w:val="en-US" w:eastAsia="zh-CN"/>
              </w:rPr>
            </w:pPr>
            <w:r>
              <w:rPr>
                <w:rFonts w:hint="eastAsia"/>
                <w:color w:val="auto"/>
                <w:lang w:val="en-US" w:eastAsia="zh-CN"/>
              </w:rPr>
              <w:t>5固体废物影响分析</w:t>
            </w:r>
          </w:p>
          <w:p w14:paraId="6ECAA1F9">
            <w:pPr>
              <w:pStyle w:val="46"/>
              <w:bidi w:val="0"/>
              <w:rPr>
                <w:rFonts w:hint="eastAsia" w:eastAsia="宋体"/>
                <w:color w:val="auto"/>
                <w:lang w:eastAsia="zh-CN"/>
              </w:rPr>
            </w:pPr>
            <w:r>
              <w:rPr>
                <w:rFonts w:hint="default"/>
                <w:color w:val="auto"/>
              </w:rPr>
              <w:t>（1）</w:t>
            </w:r>
            <w:r>
              <w:rPr>
                <w:rFonts w:hint="eastAsia"/>
                <w:color w:val="auto"/>
                <w:lang w:val="en-US" w:eastAsia="zh-CN"/>
              </w:rPr>
              <w:t>土石方</w:t>
            </w:r>
          </w:p>
          <w:p w14:paraId="796267DF">
            <w:pPr>
              <w:pStyle w:val="46"/>
              <w:bidi w:val="0"/>
              <w:rPr>
                <w:rFonts w:hint="eastAsia"/>
                <w:color w:val="auto"/>
              </w:rPr>
            </w:pPr>
            <w:r>
              <w:rPr>
                <w:rFonts w:hint="eastAsia"/>
                <w:color w:val="auto"/>
              </w:rPr>
              <w:t>根据工程分析，</w:t>
            </w:r>
            <w:r>
              <w:rPr>
                <w:rFonts w:hint="eastAsia"/>
                <w:color w:val="auto"/>
                <w:lang w:val="en-US" w:eastAsia="zh-CN"/>
              </w:rPr>
              <w:t>施工期的</w:t>
            </w:r>
            <w:r>
              <w:rPr>
                <w:rFonts w:hint="eastAsia"/>
                <w:color w:val="auto"/>
              </w:rPr>
              <w:t>土石方主要</w:t>
            </w:r>
            <w:r>
              <w:rPr>
                <w:rFonts w:hint="eastAsia"/>
                <w:color w:val="auto"/>
                <w:lang w:val="en-US" w:eastAsia="zh-CN"/>
              </w:rPr>
              <w:t>是临时营地、进矿道路土地平整</w:t>
            </w:r>
            <w:r>
              <w:rPr>
                <w:rFonts w:hint="eastAsia"/>
                <w:color w:val="auto"/>
              </w:rPr>
              <w:t>产生的，</w:t>
            </w:r>
            <w:r>
              <w:rPr>
                <w:rFonts w:hint="eastAsia"/>
                <w:color w:val="auto"/>
                <w:lang w:val="en-US" w:eastAsia="zh-CN"/>
              </w:rPr>
              <w:t>临时堆放在临时营地及进矿道路一侧，并用彩条布苫盖，探矿结束后全部回填。</w:t>
            </w:r>
            <w:r>
              <w:rPr>
                <w:rFonts w:hint="eastAsia"/>
                <w:color w:val="auto"/>
              </w:rPr>
              <w:t>无弃土产生，对周边环境影响较小。</w:t>
            </w:r>
          </w:p>
          <w:p w14:paraId="72372FFF">
            <w:pPr>
              <w:pStyle w:val="46"/>
              <w:bidi w:val="0"/>
              <w:rPr>
                <w:rFonts w:hint="default"/>
                <w:color w:val="auto"/>
              </w:rPr>
            </w:pPr>
            <w:r>
              <w:rPr>
                <w:rFonts w:hint="default"/>
                <w:color w:val="auto"/>
              </w:rPr>
              <w:t>（</w:t>
            </w:r>
            <w:r>
              <w:rPr>
                <w:rFonts w:hint="eastAsia"/>
                <w:color w:val="auto"/>
                <w:lang w:val="en-US" w:eastAsia="zh-CN"/>
              </w:rPr>
              <w:t>2</w:t>
            </w:r>
            <w:r>
              <w:rPr>
                <w:rFonts w:hint="default"/>
                <w:color w:val="auto"/>
              </w:rPr>
              <w:t>）生活垃圾</w:t>
            </w:r>
          </w:p>
          <w:p w14:paraId="7447920A">
            <w:pPr>
              <w:pStyle w:val="46"/>
              <w:bidi w:val="0"/>
              <w:rPr>
                <w:rFonts w:hint="eastAsia" w:ascii="Times New Roman" w:hAnsi="Times New Roman" w:eastAsia="宋体" w:cs="宋体"/>
                <w:color w:val="auto"/>
                <w:lang w:val="en-US" w:eastAsia="zh-CN"/>
              </w:rPr>
            </w:pPr>
            <w:r>
              <w:rPr>
                <w:rFonts w:hint="default"/>
                <w:color w:val="auto"/>
              </w:rPr>
              <w:t>施工场地内生活垃圾主要包括废弃的各种生活用品以及饮食垃圾等，施工期间，每人每天产生生活垃圾以0.5kg计算，施工人员按照</w:t>
            </w:r>
            <w:r>
              <w:rPr>
                <w:rFonts w:hint="eastAsia"/>
                <w:color w:val="auto"/>
                <w:lang w:val="en-US" w:eastAsia="zh-CN"/>
              </w:rPr>
              <w:t>10</w:t>
            </w:r>
            <w:r>
              <w:rPr>
                <w:rFonts w:hint="default"/>
                <w:color w:val="auto"/>
              </w:rPr>
              <w:t>人</w:t>
            </w:r>
            <w:r>
              <w:rPr>
                <w:rFonts w:hint="eastAsia"/>
                <w:color w:val="auto"/>
                <w:lang w:eastAsia="zh-CN"/>
              </w:rPr>
              <w:t>计算</w:t>
            </w:r>
            <w:r>
              <w:rPr>
                <w:rFonts w:hint="default"/>
                <w:color w:val="auto"/>
              </w:rPr>
              <w:t>，</w:t>
            </w:r>
            <w:r>
              <w:rPr>
                <w:rFonts w:hint="eastAsia"/>
                <w:color w:val="auto"/>
                <w:lang w:val="en-US" w:eastAsia="zh-CN"/>
              </w:rPr>
              <w:t>施工期约30</w:t>
            </w:r>
            <w:r>
              <w:rPr>
                <w:rFonts w:hint="eastAsia"/>
                <w:color w:val="auto"/>
                <w:highlight w:val="none"/>
                <w:lang w:val="en-US" w:eastAsia="zh-CN"/>
              </w:rPr>
              <w:t>d，则</w:t>
            </w:r>
            <w:r>
              <w:rPr>
                <w:rFonts w:hint="default"/>
                <w:color w:val="auto"/>
                <w:highlight w:val="none"/>
              </w:rPr>
              <w:t>生活垃圾产生量为</w:t>
            </w:r>
            <w:r>
              <w:rPr>
                <w:rFonts w:hint="eastAsia"/>
                <w:color w:val="auto"/>
                <w:highlight w:val="none"/>
                <w:lang w:val="en-US" w:eastAsia="zh-CN"/>
              </w:rPr>
              <w:t>0.15</w:t>
            </w:r>
            <w:r>
              <w:rPr>
                <w:rFonts w:hint="default"/>
                <w:color w:val="auto"/>
                <w:highlight w:val="none"/>
              </w:rPr>
              <w:t>t。</w:t>
            </w:r>
            <w:r>
              <w:rPr>
                <w:rFonts w:hint="default" w:ascii="Times New Roman" w:hAnsi="Times New Roman" w:eastAsia="宋体" w:cs="宋体"/>
                <w:color w:val="auto"/>
                <w:lang w:val="en-US" w:eastAsia="zh-CN"/>
              </w:rPr>
              <w:t>施工营地内设置一定数量的垃圾桶，用于临时存放生活垃圾，最终统一收集后</w:t>
            </w:r>
            <w:r>
              <w:rPr>
                <w:rFonts w:hint="eastAsia" w:ascii="Times New Roman" w:hAnsi="Times New Roman" w:eastAsia="宋体" w:cs="Times New Roman"/>
                <w:color w:val="auto"/>
                <w:sz w:val="24"/>
                <w:szCs w:val="24"/>
                <w:lang w:val="en-US" w:eastAsia="zh-CN"/>
              </w:rPr>
              <w:t>交由环卫部门处理</w:t>
            </w:r>
            <w:r>
              <w:rPr>
                <w:rFonts w:hint="eastAsia" w:ascii="Times New Roman" w:hAnsi="Times New Roman" w:eastAsia="宋体" w:cs="宋体"/>
                <w:color w:val="auto"/>
                <w:lang w:val="en-US" w:eastAsia="zh-CN"/>
              </w:rPr>
              <w:t>。</w:t>
            </w:r>
          </w:p>
          <w:p w14:paraId="55933B56">
            <w:pPr>
              <w:pStyle w:val="46"/>
              <w:bidi w:val="0"/>
              <w:rPr>
                <w:rFonts w:hint="eastAsia" w:ascii="Times New Roman" w:hAnsi="Times New Roman" w:eastAsia="宋体" w:cs="宋体"/>
                <w:color w:val="auto"/>
                <w:lang w:val="en-US" w:eastAsia="zh-CN"/>
              </w:rPr>
            </w:pPr>
          </w:p>
        </w:tc>
      </w:tr>
      <w:tr w14:paraId="5F8136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98" w:hRule="atLeast"/>
          <w:jc w:val="center"/>
        </w:trPr>
        <w:tc>
          <w:tcPr>
            <w:tcW w:w="464" w:type="pct"/>
            <w:noWrap w:val="0"/>
            <w:tcMar>
              <w:left w:w="28" w:type="dxa"/>
              <w:right w:w="28" w:type="dxa"/>
            </w:tcMar>
            <w:vAlign w:val="center"/>
          </w:tcPr>
          <w:p w14:paraId="3410EBE7">
            <w:pPr>
              <w:pStyle w:val="17"/>
              <w:adjustRightInd w:val="0"/>
              <w:snapToGrid w:val="0"/>
              <w:spacing w:before="0" w:beforeAutospacing="0" w:after="0" w:afterAutospacing="0"/>
              <w:jc w:val="center"/>
              <w:rPr>
                <w:rFonts w:cs="宋体"/>
                <w:bCs/>
                <w:color w:val="auto"/>
                <w:kern w:val="2"/>
                <w:sz w:val="21"/>
                <w:szCs w:val="21"/>
              </w:rPr>
            </w:pPr>
            <w:r>
              <w:rPr>
                <w:rFonts w:hint="eastAsia" w:cs="宋体"/>
                <w:bCs/>
                <w:color w:val="auto"/>
                <w:spacing w:val="10"/>
                <w:kern w:val="2"/>
                <w:sz w:val="21"/>
                <w:szCs w:val="21"/>
                <w:lang w:val="en-US" w:eastAsia="zh-CN"/>
              </w:rPr>
              <w:t>勘探</w:t>
            </w:r>
            <w:r>
              <w:rPr>
                <w:rFonts w:hint="eastAsia" w:cs="宋体"/>
                <w:bCs/>
                <w:color w:val="auto"/>
                <w:spacing w:val="10"/>
                <w:kern w:val="2"/>
                <w:sz w:val="21"/>
                <w:szCs w:val="21"/>
              </w:rPr>
              <w:t>期生态环境影响分析</w:t>
            </w:r>
          </w:p>
        </w:tc>
        <w:tc>
          <w:tcPr>
            <w:tcW w:w="4535" w:type="pct"/>
            <w:noWrap w:val="0"/>
            <w:vAlign w:val="top"/>
          </w:tcPr>
          <w:p w14:paraId="4B48A8BC">
            <w:pPr>
              <w:widowControl w:val="0"/>
              <w:bidi w:val="0"/>
              <w:adjustRightInd w:val="0"/>
              <w:snapToGrid w:val="0"/>
              <w:spacing w:line="520" w:lineRule="exact"/>
              <w:jc w:val="left"/>
              <w:rPr>
                <w:rFonts w:hint="eastAsia" w:ascii="Times New Roman" w:hAnsi="Times New Roman" w:eastAsia="宋体" w:cs="宋体"/>
                <w:b/>
                <w:color w:val="auto"/>
                <w:kern w:val="0"/>
                <w:sz w:val="24"/>
                <w:szCs w:val="24"/>
                <w:lang w:val="en-US" w:eastAsia="zh-CN" w:bidi="ar-SA"/>
              </w:rPr>
            </w:pPr>
            <w:r>
              <w:rPr>
                <w:rFonts w:hint="eastAsia" w:ascii="Times New Roman" w:hAnsi="Times New Roman" w:eastAsia="宋体" w:cs="宋体"/>
                <w:b/>
                <w:color w:val="auto"/>
                <w:kern w:val="0"/>
                <w:sz w:val="24"/>
                <w:szCs w:val="24"/>
                <w:lang w:val="en-US" w:eastAsia="zh-CN" w:bidi="ar-SA"/>
              </w:rPr>
              <w:t>1生态影响分析</w:t>
            </w:r>
          </w:p>
          <w:p w14:paraId="4EE0928A">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jc w:val="left"/>
              <w:textAlignment w:val="auto"/>
              <w:rPr>
                <w:rFonts w:hint="eastAsia" w:ascii="Times New Roman" w:hAnsi="Times New Roman" w:eastAsia="宋体" w:cs="宋体"/>
                <w:b/>
                <w:color w:val="auto"/>
                <w:kern w:val="0"/>
                <w:sz w:val="24"/>
                <w:szCs w:val="24"/>
                <w:highlight w:val="none"/>
                <w:lang w:val="en-US" w:eastAsia="zh-CN" w:bidi="ar-SA"/>
              </w:rPr>
            </w:pPr>
            <w:r>
              <w:rPr>
                <w:rFonts w:hint="eastAsia" w:ascii="Times New Roman" w:hAnsi="Times New Roman" w:eastAsia="宋体" w:cs="宋体"/>
                <w:b/>
                <w:color w:val="auto"/>
                <w:kern w:val="0"/>
                <w:sz w:val="24"/>
                <w:szCs w:val="24"/>
                <w:highlight w:val="none"/>
                <w:lang w:val="en-US" w:eastAsia="zh-CN" w:bidi="ar-SA"/>
              </w:rPr>
              <w:t>1.1占地影响</w:t>
            </w:r>
          </w:p>
          <w:p w14:paraId="4552327F">
            <w:pPr>
              <w:keepNext w:val="0"/>
              <w:keepLines w:val="0"/>
              <w:pageBreakBefore w:val="0"/>
              <w:widowControl w:val="0"/>
              <w:kinsoku/>
              <w:wordWrap w:val="0"/>
              <w:overflowPunct/>
              <w:topLinePunct w:val="0"/>
              <w:autoSpaceDE/>
              <w:autoSpaceDN/>
              <w:bidi w:val="0"/>
              <w:adjustRightInd w:val="0"/>
              <w:snapToGrid w:val="0"/>
              <w:spacing w:line="520" w:lineRule="exact"/>
              <w:ind w:firstLine="480" w:firstLineChars="200"/>
              <w:jc w:val="left"/>
              <w:textAlignment w:val="auto"/>
              <w:rPr>
                <w:rFonts w:hint="default" w:cs="宋体"/>
                <w:color w:val="auto"/>
                <w:kern w:val="0"/>
                <w:sz w:val="24"/>
                <w:szCs w:val="24"/>
                <w:highlight w:val="none"/>
                <w:lang w:val="en-US" w:eastAsia="zh-CN" w:bidi="ar-SA"/>
              </w:rPr>
            </w:pPr>
            <w:r>
              <w:rPr>
                <w:rFonts w:hint="eastAsia" w:ascii="Times New Roman" w:hAnsi="Times New Roman" w:eastAsia="宋体" w:cs="宋体"/>
                <w:color w:val="auto"/>
                <w:kern w:val="0"/>
                <w:sz w:val="24"/>
                <w:szCs w:val="24"/>
                <w:lang w:val="en-US" w:eastAsia="zh-CN" w:bidi="ar-SA"/>
              </w:rPr>
              <w:t>本</w:t>
            </w:r>
            <w:r>
              <w:rPr>
                <w:rFonts w:hint="eastAsia" w:cs="宋体"/>
                <w:color w:val="auto"/>
                <w:kern w:val="0"/>
                <w:sz w:val="24"/>
                <w:szCs w:val="24"/>
                <w:lang w:val="en-US" w:eastAsia="zh-CN" w:bidi="ar-SA"/>
              </w:rPr>
              <w:t>项目勘探期</w:t>
            </w:r>
            <w:r>
              <w:rPr>
                <w:rFonts w:hint="eastAsia" w:ascii="Times New Roman" w:hAnsi="Times New Roman" w:eastAsia="宋体" w:cs="宋体"/>
                <w:color w:val="auto"/>
                <w:kern w:val="0"/>
                <w:sz w:val="24"/>
                <w:szCs w:val="24"/>
                <w:lang w:val="en-US" w:eastAsia="zh-CN" w:bidi="ar-SA"/>
              </w:rPr>
              <w:t>占地</w:t>
            </w:r>
            <w:r>
              <w:rPr>
                <w:rFonts w:hint="eastAsia" w:cs="宋体"/>
                <w:color w:val="auto"/>
                <w:kern w:val="0"/>
                <w:sz w:val="24"/>
                <w:szCs w:val="24"/>
                <w:lang w:val="en-US" w:eastAsia="zh-CN" w:bidi="ar-SA"/>
              </w:rPr>
              <w:t>为</w:t>
            </w:r>
            <w:r>
              <w:rPr>
                <w:rFonts w:hint="eastAsia" w:ascii="Times New Roman" w:hAnsi="Times New Roman" w:eastAsia="宋体" w:cs="宋体"/>
                <w:color w:val="auto"/>
                <w:kern w:val="0"/>
                <w:sz w:val="24"/>
                <w:szCs w:val="24"/>
                <w:lang w:val="en-US" w:eastAsia="zh-CN" w:bidi="ar-SA"/>
              </w:rPr>
              <w:t>勘探场地</w:t>
            </w:r>
            <w:r>
              <w:rPr>
                <w:rFonts w:hint="eastAsia" w:cs="宋体"/>
                <w:color w:val="auto"/>
                <w:kern w:val="0"/>
                <w:sz w:val="24"/>
                <w:szCs w:val="24"/>
                <w:lang w:val="en-US" w:eastAsia="zh-CN" w:bidi="ar-SA"/>
              </w:rPr>
              <w:t>和</w:t>
            </w:r>
            <w:r>
              <w:rPr>
                <w:rFonts w:hint="eastAsia" w:ascii="Times New Roman" w:hAnsi="Times New Roman" w:eastAsia="宋体" w:cs="宋体"/>
                <w:color w:val="auto"/>
                <w:kern w:val="0"/>
                <w:sz w:val="24"/>
                <w:szCs w:val="24"/>
                <w:lang w:val="en-US" w:eastAsia="zh-CN" w:bidi="ar-SA"/>
              </w:rPr>
              <w:t>临时堆渣场，均为临时占地。勘探场地</w:t>
            </w:r>
            <w:r>
              <w:rPr>
                <w:rFonts w:hint="eastAsia" w:cs="宋体"/>
                <w:color w:val="auto"/>
                <w:kern w:val="0"/>
                <w:sz w:val="24"/>
                <w:szCs w:val="24"/>
                <w:lang w:val="en-US" w:eastAsia="zh-CN" w:bidi="ar-SA"/>
              </w:rPr>
              <w:t>和临时堆渣场会占用一定面积，改变土地原有使用功能，造成资源浪费，临时堆土的压占会造成剥离后的表层土壤过于紧实，降低土壤的通透性和渗水性，对土壤环境、动植物以及区域景观生态产生不利的影响。</w:t>
            </w:r>
          </w:p>
          <w:p w14:paraId="0F9B0585">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jc w:val="left"/>
              <w:textAlignment w:val="auto"/>
              <w:rPr>
                <w:rFonts w:hint="eastAsia" w:ascii="Times New Roman" w:hAnsi="Times New Roman" w:eastAsia="宋体" w:cs="宋体"/>
                <w:b/>
                <w:color w:val="auto"/>
                <w:kern w:val="0"/>
                <w:sz w:val="24"/>
                <w:szCs w:val="24"/>
                <w:lang w:val="en-US" w:eastAsia="zh-CN" w:bidi="ar-SA"/>
              </w:rPr>
            </w:pPr>
            <w:r>
              <w:rPr>
                <w:rFonts w:hint="eastAsia" w:ascii="Times New Roman" w:hAnsi="Times New Roman" w:eastAsia="宋体" w:cs="宋体"/>
                <w:b/>
                <w:color w:val="auto"/>
                <w:kern w:val="0"/>
                <w:sz w:val="24"/>
                <w:szCs w:val="24"/>
                <w:lang w:val="en-US" w:eastAsia="zh-CN" w:bidi="ar-SA"/>
              </w:rPr>
              <w:t>1.2土壤环境的影响</w:t>
            </w:r>
          </w:p>
          <w:p w14:paraId="4433D6C2">
            <w:pPr>
              <w:pStyle w:val="46"/>
              <w:numPr>
                <w:ilvl w:val="0"/>
                <w:numId w:val="0"/>
              </w:numPr>
              <w:bidi w:val="0"/>
              <w:ind w:left="-60" w:leftChars="0" w:firstLine="480" w:firstLineChars="200"/>
              <w:rPr>
                <w:rFonts w:hint="eastAsia"/>
                <w:color w:val="auto"/>
              </w:rPr>
            </w:pPr>
            <w:r>
              <w:rPr>
                <w:rFonts w:hint="eastAsia" w:ascii="Times New Roman" w:hAnsi="Times New Roman" w:eastAsia="宋体" w:cs="宋体"/>
                <w:color w:val="auto"/>
                <w:kern w:val="0"/>
                <w:sz w:val="24"/>
                <w:szCs w:val="24"/>
                <w:lang w:val="en-US" w:eastAsia="zh-CN" w:bidi="ar-SA"/>
              </w:rPr>
              <w:t>（1）</w:t>
            </w:r>
            <w:r>
              <w:rPr>
                <w:rFonts w:hint="eastAsia"/>
                <w:color w:val="auto"/>
              </w:rPr>
              <w:t>槽探</w:t>
            </w:r>
          </w:p>
          <w:p w14:paraId="47B58CD2">
            <w:pPr>
              <w:pStyle w:val="46"/>
              <w:numPr>
                <w:ilvl w:val="0"/>
                <w:numId w:val="0"/>
              </w:numPr>
              <w:bidi w:val="0"/>
              <w:ind w:left="-60" w:leftChars="0" w:firstLine="480" w:firstLineChars="200"/>
              <w:rPr>
                <w:rFonts w:hint="eastAsia"/>
                <w:color w:val="auto"/>
              </w:rPr>
            </w:pPr>
            <w:r>
              <w:rPr>
                <w:rFonts w:hint="eastAsia"/>
                <w:color w:val="auto"/>
              </w:rPr>
              <w:t>本次勘探槽</w:t>
            </w:r>
            <w:r>
              <w:rPr>
                <w:rFonts w:hint="eastAsia"/>
                <w:color w:val="auto"/>
                <w:highlight w:val="none"/>
              </w:rPr>
              <w:t>探总工作量</w:t>
            </w:r>
            <w:r>
              <w:rPr>
                <w:rFonts w:hint="eastAsia"/>
                <w:color w:val="auto"/>
                <w:highlight w:val="none"/>
                <w:lang w:val="en-US" w:eastAsia="zh-CN"/>
              </w:rPr>
              <w:t>为800</w:t>
            </w:r>
            <w:r>
              <w:rPr>
                <w:rFonts w:hint="eastAsia"/>
                <w:color w:val="auto"/>
                <w:highlight w:val="none"/>
              </w:rPr>
              <w:t>m</w:t>
            </w:r>
            <w:r>
              <w:rPr>
                <w:rFonts w:hint="eastAsia"/>
                <w:color w:val="auto"/>
                <w:highlight w:val="none"/>
                <w:vertAlign w:val="superscript"/>
                <w:lang w:val="en-US" w:eastAsia="zh-CN"/>
              </w:rPr>
              <w:t>3</w:t>
            </w:r>
            <w:r>
              <w:rPr>
                <w:rFonts w:hint="eastAsia"/>
                <w:color w:val="auto"/>
                <w:highlight w:val="none"/>
              </w:rPr>
              <w:t>。探槽开挖时，必然会对原有土壤结构形成扰动，其结果会使土壤原有的</w:t>
            </w:r>
            <w:r>
              <w:rPr>
                <w:rFonts w:hint="eastAsia"/>
                <w:color w:val="auto"/>
              </w:rPr>
              <w:t>土层发生紊乱，团粒结构破坏，从而导致土壤环境恶化，进而影响地上植被的生长。</w:t>
            </w:r>
          </w:p>
          <w:p w14:paraId="6CB0EF7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lang w:val="en-US" w:eastAsia="zh-CN"/>
              </w:rPr>
              <w:t>）钻探</w:t>
            </w:r>
          </w:p>
          <w:p w14:paraId="47188110">
            <w:pPr>
              <w:keepNext w:val="0"/>
              <w:keepLines w:val="0"/>
              <w:pageBreakBefore w:val="0"/>
              <w:widowControl w:val="0"/>
              <w:kinsoku/>
              <w:wordWrap/>
              <w:overflowPunct/>
              <w:topLinePunct w:val="0"/>
              <w:bidi w:val="0"/>
              <w:adjustRightInd/>
              <w:snapToGrid/>
              <w:spacing w:line="520" w:lineRule="exact"/>
              <w:ind w:firstLine="480" w:firstLineChars="200"/>
              <w:textAlignment w:val="auto"/>
              <w:rPr>
                <w:rFonts w:hint="eastAsia"/>
                <w:color w:val="auto"/>
                <w:sz w:val="24"/>
              </w:rPr>
            </w:pPr>
            <w:r>
              <w:rPr>
                <w:rFonts w:hint="eastAsia"/>
                <w:color w:val="auto"/>
                <w:sz w:val="24"/>
              </w:rPr>
              <w:t>本次勘探</w:t>
            </w:r>
            <w:r>
              <w:rPr>
                <w:color w:val="auto"/>
                <w:sz w:val="24"/>
              </w:rPr>
              <w:t>共</w:t>
            </w:r>
            <w:r>
              <w:rPr>
                <w:color w:val="auto"/>
                <w:sz w:val="24"/>
                <w:highlight w:val="none"/>
              </w:rPr>
              <w:t>设计</w:t>
            </w:r>
            <w:r>
              <w:rPr>
                <w:rFonts w:hint="eastAsia"/>
                <w:color w:val="auto"/>
                <w:sz w:val="24"/>
                <w:highlight w:val="none"/>
              </w:rPr>
              <w:t>钻探工作量</w:t>
            </w:r>
            <w:r>
              <w:rPr>
                <w:rFonts w:hint="eastAsia"/>
                <w:color w:val="auto"/>
                <w:sz w:val="24"/>
                <w:highlight w:val="none"/>
                <w:lang w:val="en-US" w:eastAsia="zh-CN"/>
              </w:rPr>
              <w:t>550</w:t>
            </w:r>
            <w:r>
              <w:rPr>
                <w:rFonts w:hint="eastAsia"/>
                <w:color w:val="auto"/>
                <w:sz w:val="24"/>
                <w:highlight w:val="none"/>
              </w:rPr>
              <w:t>m</w:t>
            </w:r>
            <w:r>
              <w:rPr>
                <w:color w:val="auto"/>
                <w:sz w:val="24"/>
                <w:highlight w:val="none"/>
              </w:rPr>
              <w:t>，</w:t>
            </w:r>
            <w:r>
              <w:rPr>
                <w:rFonts w:hint="eastAsia"/>
                <w:color w:val="auto"/>
                <w:sz w:val="24"/>
                <w:highlight w:val="none"/>
                <w:lang w:val="en-US" w:eastAsia="zh-CN"/>
              </w:rPr>
              <w:t>占</w:t>
            </w:r>
            <w:r>
              <w:rPr>
                <w:rFonts w:hint="eastAsia"/>
                <w:color w:val="auto"/>
                <w:sz w:val="24"/>
                <w:highlight w:val="none"/>
              </w:rPr>
              <w:t>地面积较小且位于槽探坡面上，不新增占地。但是钻探施工</w:t>
            </w:r>
            <w:r>
              <w:rPr>
                <w:rFonts w:hint="eastAsia"/>
                <w:color w:val="auto"/>
                <w:sz w:val="24"/>
                <w:highlight w:val="none"/>
                <w:lang w:val="en-US" w:eastAsia="zh-CN"/>
              </w:rPr>
              <w:t>会</w:t>
            </w:r>
            <w:r>
              <w:rPr>
                <w:rFonts w:hint="eastAsia"/>
                <w:color w:val="auto"/>
                <w:sz w:val="24"/>
                <w:highlight w:val="none"/>
              </w:rPr>
              <w:t>对原有土壤结构形成扰动，导致土壤原有的</w:t>
            </w:r>
            <w:r>
              <w:rPr>
                <w:rFonts w:hint="eastAsia"/>
                <w:color w:val="auto"/>
                <w:sz w:val="24"/>
                <w:highlight w:val="none"/>
                <w:lang w:eastAsia="zh-CN"/>
              </w:rPr>
              <w:t>黏土层</w:t>
            </w:r>
            <w:r>
              <w:rPr>
                <w:rFonts w:hint="eastAsia"/>
                <w:color w:val="auto"/>
                <w:sz w:val="24"/>
                <w:highlight w:val="none"/>
              </w:rPr>
              <w:t>、亚</w:t>
            </w:r>
            <w:r>
              <w:rPr>
                <w:rFonts w:hint="eastAsia"/>
                <w:color w:val="auto"/>
                <w:sz w:val="24"/>
                <w:highlight w:val="none"/>
                <w:lang w:eastAsia="zh-CN"/>
              </w:rPr>
              <w:t>黏土</w:t>
            </w:r>
            <w:r>
              <w:rPr>
                <w:rFonts w:hint="eastAsia"/>
                <w:color w:val="auto"/>
                <w:sz w:val="24"/>
                <w:highlight w:val="none"/>
              </w:rPr>
              <w:t>层发生紊乱，团粒结构破坏。探坑开</w:t>
            </w:r>
            <w:r>
              <w:rPr>
                <w:rFonts w:hint="eastAsia"/>
                <w:color w:val="auto"/>
                <w:sz w:val="24"/>
              </w:rPr>
              <w:t>挖破坏最大的为砂、砾层，导致原有地质结构层分布紊乱，岩层纵向分布、横向分布纹路被破坏。</w:t>
            </w:r>
          </w:p>
          <w:p w14:paraId="15474BBA">
            <w:pPr>
              <w:pStyle w:val="46"/>
              <w:numPr>
                <w:ilvl w:val="0"/>
                <w:numId w:val="0"/>
              </w:numPr>
              <w:bidi w:val="0"/>
              <w:ind w:left="-60" w:leftChars="0" w:firstLine="480" w:firstLineChars="200"/>
              <w:rPr>
                <w:rFonts w:hint="eastAsia"/>
                <w:color w:val="auto"/>
              </w:rPr>
            </w:pPr>
            <w:r>
              <w:rPr>
                <w:rFonts w:hint="eastAsia" w:ascii="Times New Roman" w:hAnsi="Times New Roman" w:eastAsia="宋体" w:cs="宋体"/>
                <w:color w:val="auto"/>
                <w:kern w:val="0"/>
                <w:sz w:val="24"/>
                <w:szCs w:val="24"/>
                <w:lang w:val="en-US" w:eastAsia="zh-CN" w:bidi="ar-SA"/>
              </w:rPr>
              <w:t>（</w:t>
            </w:r>
            <w:r>
              <w:rPr>
                <w:rFonts w:hint="eastAsia" w:cs="宋体"/>
                <w:color w:val="auto"/>
                <w:kern w:val="0"/>
                <w:sz w:val="24"/>
                <w:szCs w:val="24"/>
                <w:lang w:val="en-US" w:eastAsia="zh-CN" w:bidi="ar-SA"/>
              </w:rPr>
              <w:t>2</w:t>
            </w:r>
            <w:r>
              <w:rPr>
                <w:rFonts w:hint="eastAsia" w:ascii="Times New Roman" w:hAnsi="Times New Roman" w:eastAsia="宋体" w:cs="宋体"/>
                <w:color w:val="auto"/>
                <w:kern w:val="0"/>
                <w:sz w:val="24"/>
                <w:szCs w:val="24"/>
                <w:lang w:val="en-US" w:eastAsia="zh-CN" w:bidi="ar-SA"/>
              </w:rPr>
              <w:t>）</w:t>
            </w:r>
            <w:r>
              <w:rPr>
                <w:rFonts w:hint="eastAsia"/>
                <w:color w:val="auto"/>
                <w:lang w:eastAsia="zh-CN"/>
              </w:rPr>
              <w:t>临时</w:t>
            </w:r>
            <w:r>
              <w:rPr>
                <w:rFonts w:hint="eastAsia"/>
                <w:color w:val="auto"/>
                <w:lang w:val="en-US" w:eastAsia="zh-CN"/>
              </w:rPr>
              <w:t>弃土堆放区</w:t>
            </w:r>
          </w:p>
          <w:p w14:paraId="452E1F26">
            <w:pPr>
              <w:pStyle w:val="46"/>
              <w:numPr>
                <w:ilvl w:val="0"/>
                <w:numId w:val="0"/>
              </w:numPr>
              <w:bidi w:val="0"/>
              <w:ind w:left="-60" w:leftChars="0" w:firstLine="480" w:firstLineChars="200"/>
              <w:rPr>
                <w:rFonts w:hint="eastAsia"/>
                <w:color w:val="auto"/>
              </w:rPr>
            </w:pPr>
            <w:r>
              <w:rPr>
                <w:rFonts w:hint="eastAsia"/>
                <w:color w:val="auto"/>
              </w:rPr>
              <w:t>本次探矿</w:t>
            </w:r>
            <w:r>
              <w:rPr>
                <w:rFonts w:hint="eastAsia"/>
                <w:color w:val="auto"/>
                <w:highlight w:val="none"/>
              </w:rPr>
              <w:t>勘探不设置固定堆渣场</w:t>
            </w:r>
            <w:r>
              <w:rPr>
                <w:color w:val="auto"/>
                <w:highlight w:val="none"/>
              </w:rPr>
              <w:t>，</w:t>
            </w:r>
            <w:r>
              <w:rPr>
                <w:rFonts w:hint="eastAsia"/>
                <w:color w:val="auto"/>
                <w:highlight w:val="none"/>
              </w:rPr>
              <w:t>堆渣均布置在</w:t>
            </w:r>
            <w:r>
              <w:rPr>
                <w:rFonts w:hint="eastAsia"/>
                <w:color w:val="auto"/>
                <w:highlight w:val="none"/>
                <w:lang w:val="en-US" w:eastAsia="zh-CN"/>
              </w:rPr>
              <w:t>坑探区一</w:t>
            </w:r>
            <w:r>
              <w:rPr>
                <w:rFonts w:hint="eastAsia"/>
                <w:color w:val="auto"/>
                <w:highlight w:val="none"/>
              </w:rPr>
              <w:t>侧空地上</w:t>
            </w:r>
            <w:r>
              <w:rPr>
                <w:rFonts w:hint="eastAsia"/>
                <w:color w:val="auto"/>
                <w:highlight w:val="none"/>
                <w:lang w:eastAsia="zh-CN"/>
              </w:rPr>
              <w:t>，</w:t>
            </w:r>
            <w:r>
              <w:rPr>
                <w:rFonts w:hint="eastAsia"/>
                <w:color w:val="auto"/>
                <w:highlight w:val="none"/>
                <w:lang w:val="en-US" w:eastAsia="zh-CN"/>
              </w:rPr>
              <w:t>占地约700m</w:t>
            </w:r>
            <w:r>
              <w:rPr>
                <w:rFonts w:hint="eastAsia"/>
                <w:color w:val="auto"/>
                <w:highlight w:val="none"/>
                <w:vertAlign w:val="superscript"/>
                <w:lang w:val="en-US" w:eastAsia="zh-CN"/>
              </w:rPr>
              <w:t>2</w:t>
            </w:r>
            <w:r>
              <w:rPr>
                <w:rFonts w:hint="eastAsia"/>
                <w:color w:val="auto"/>
                <w:highlight w:val="none"/>
              </w:rPr>
              <w:t>。</w:t>
            </w:r>
            <w:r>
              <w:rPr>
                <w:rFonts w:hint="eastAsia"/>
                <w:color w:val="auto"/>
                <w:highlight w:val="none"/>
                <w:lang w:val="en-US" w:eastAsia="zh-CN"/>
              </w:rPr>
              <w:t>勘探期</w:t>
            </w:r>
            <w:r>
              <w:rPr>
                <w:rFonts w:hint="eastAsia"/>
                <w:color w:val="auto"/>
                <w:highlight w:val="none"/>
              </w:rPr>
              <w:t>内</w:t>
            </w:r>
            <w:r>
              <w:rPr>
                <w:rFonts w:hint="eastAsia"/>
                <w:color w:val="auto"/>
                <w:highlight w:val="none"/>
                <w:lang w:val="en-US" w:eastAsia="zh-CN"/>
              </w:rPr>
              <w:t>堆土</w:t>
            </w:r>
            <w:r>
              <w:rPr>
                <w:rFonts w:hint="eastAsia"/>
                <w:color w:val="auto"/>
                <w:highlight w:val="none"/>
              </w:rPr>
              <w:t>的压占会造成土壤过于紧实，降低土壤的通透性和渗水性，对后期植物的生长会造</w:t>
            </w:r>
            <w:r>
              <w:rPr>
                <w:rFonts w:hint="eastAsia"/>
                <w:color w:val="auto"/>
              </w:rPr>
              <w:t>成不良影响。</w:t>
            </w:r>
          </w:p>
          <w:p w14:paraId="1707B44C">
            <w:pPr>
              <w:pStyle w:val="45"/>
              <w:keepNext w:val="0"/>
              <w:keepLines w:val="0"/>
              <w:pageBreakBefore w:val="0"/>
              <w:widowControl w:val="0"/>
              <w:kinsoku/>
              <w:wordWrap/>
              <w:overflowPunct/>
              <w:topLinePunct w:val="0"/>
              <w:autoSpaceDE/>
              <w:autoSpaceDN/>
              <w:bidi w:val="0"/>
              <w:adjustRightInd w:val="0"/>
              <w:snapToGrid w:val="0"/>
              <w:ind w:firstLine="482" w:firstLineChars="200"/>
              <w:textAlignment w:val="auto"/>
              <w:rPr>
                <w:rFonts w:hint="eastAsia"/>
                <w:color w:val="auto"/>
                <w:lang w:val="en-US" w:eastAsia="zh-CN"/>
              </w:rPr>
            </w:pPr>
            <w:r>
              <w:rPr>
                <w:rFonts w:hint="eastAsia"/>
                <w:color w:val="auto"/>
                <w:lang w:val="en-US" w:eastAsia="zh-CN"/>
              </w:rPr>
              <w:t>1.3陆生植物、动物的影响</w:t>
            </w:r>
          </w:p>
          <w:p w14:paraId="64D7C246">
            <w:pPr>
              <w:pStyle w:val="46"/>
              <w:bidi w:val="0"/>
              <w:rPr>
                <w:rFonts w:hint="default"/>
                <w:color w:val="auto"/>
                <w:lang w:val="en-US" w:eastAsia="zh-CN"/>
              </w:rPr>
            </w:pPr>
            <w:r>
              <w:rPr>
                <w:rFonts w:hint="eastAsia"/>
                <w:color w:val="auto"/>
                <w:lang w:val="en-US" w:eastAsia="zh-CN"/>
              </w:rPr>
              <w:t>（1）</w:t>
            </w:r>
            <w:r>
              <w:rPr>
                <w:rFonts w:hint="default" w:ascii="Times New Roman" w:hAnsi="Times New Roman" w:cs="Times New Roman"/>
                <w:color w:val="auto"/>
                <w:sz w:val="24"/>
                <w:highlight w:val="none"/>
              </w:rPr>
              <w:t>陆生植物的影响</w:t>
            </w:r>
          </w:p>
          <w:p w14:paraId="6B5D7144">
            <w:pPr>
              <w:pStyle w:val="46"/>
              <w:bidi w:val="0"/>
              <w:rPr>
                <w:rFonts w:hint="default"/>
                <w:color w:val="auto"/>
                <w:lang w:val="en-US" w:eastAsia="zh-CN"/>
              </w:rPr>
            </w:pPr>
            <w:r>
              <w:rPr>
                <w:rFonts w:hint="default"/>
                <w:color w:val="auto"/>
                <w:lang w:val="en-US" w:eastAsia="zh-CN"/>
              </w:rPr>
              <w:t>本项目占地性质属于临时占地，植被稀疏，</w:t>
            </w:r>
            <w:r>
              <w:rPr>
                <w:rFonts w:hint="default"/>
                <w:color w:val="auto"/>
                <w:highlight w:val="none"/>
                <w:lang w:val="en-US" w:eastAsia="zh-CN"/>
              </w:rPr>
              <w:t>主要植物为</w:t>
            </w:r>
            <w:r>
              <w:rPr>
                <w:rFonts w:hint="eastAsia"/>
                <w:color w:val="auto"/>
                <w:highlight w:val="none"/>
                <w:lang w:val="en-US" w:eastAsia="zh-CN"/>
              </w:rPr>
              <w:t>盐地碱蓬</w:t>
            </w:r>
            <w:r>
              <w:rPr>
                <w:rFonts w:hint="default"/>
                <w:color w:val="auto"/>
                <w:highlight w:val="none"/>
                <w:lang w:val="en-US" w:eastAsia="zh-CN"/>
              </w:rPr>
              <w:t>和</w:t>
            </w:r>
            <w:r>
              <w:rPr>
                <w:rFonts w:hint="eastAsia"/>
                <w:color w:val="auto"/>
                <w:highlight w:val="none"/>
                <w:lang w:val="en-US" w:eastAsia="zh-CN"/>
              </w:rPr>
              <w:t>蛛丝蓬</w:t>
            </w:r>
            <w:r>
              <w:rPr>
                <w:rFonts w:hint="default"/>
                <w:color w:val="auto"/>
                <w:lang w:val="en-US" w:eastAsia="zh-CN"/>
              </w:rPr>
              <w:t>，植被覆盖度</w:t>
            </w:r>
            <w:r>
              <w:rPr>
                <w:rFonts w:hint="eastAsia"/>
                <w:color w:val="auto"/>
                <w:lang w:val="en-US" w:eastAsia="zh-CN"/>
              </w:rPr>
              <w:t>较少</w:t>
            </w:r>
            <w:r>
              <w:rPr>
                <w:rFonts w:hint="default"/>
                <w:color w:val="auto"/>
                <w:lang w:val="en-US" w:eastAsia="zh-CN"/>
              </w:rPr>
              <w:t>，</w:t>
            </w:r>
            <w:r>
              <w:rPr>
                <w:rFonts w:hint="eastAsia"/>
                <w:color w:val="auto"/>
                <w:lang w:val="en-US" w:eastAsia="zh-CN"/>
              </w:rPr>
              <w:t>主要</w:t>
            </w:r>
            <w:r>
              <w:rPr>
                <w:rFonts w:hint="default"/>
                <w:color w:val="auto"/>
                <w:lang w:val="en-US" w:eastAsia="zh-CN"/>
              </w:rPr>
              <w:t>为</w:t>
            </w:r>
            <w:r>
              <w:rPr>
                <w:rFonts w:hint="eastAsia"/>
                <w:color w:val="auto"/>
                <w:lang w:val="en-US" w:eastAsia="zh-CN"/>
              </w:rPr>
              <w:t>裸岩石砾地</w:t>
            </w:r>
            <w:r>
              <w:rPr>
                <w:rFonts w:hint="default"/>
                <w:color w:val="auto"/>
                <w:lang w:val="en-US" w:eastAsia="zh-CN"/>
              </w:rPr>
              <w:t>。</w:t>
            </w:r>
            <w:r>
              <w:rPr>
                <w:rFonts w:hint="eastAsia"/>
                <w:color w:val="auto"/>
                <w:sz w:val="24"/>
                <w:highlight w:val="none"/>
                <w:lang w:eastAsia="zh-CN"/>
              </w:rPr>
              <w:t>项目所在地植被盖度较低，无表土和腐殖土</w:t>
            </w:r>
            <w:r>
              <w:rPr>
                <w:rFonts w:hint="default"/>
                <w:color w:val="auto"/>
                <w:lang w:val="en-US" w:eastAsia="zh-CN"/>
              </w:rPr>
              <w:t>。探矿过程中的车辆行驶、设备安装等活动会直接碾压、铲除植被，导致植被数量进一步减少，一些适应低覆盖度环境的特殊植物品种可能面临生存威胁，影响区域植物多样性。草地生态系统具有固碳、调节气候、保持水土等功能。低覆盖度草地虽功能相对较弱，但依然有其生态价值。临时占地会使草地面积减少，削弱这些生态系统功能，如降低土壤的固碳能力，增加局部地区的水土流失风险。</w:t>
            </w:r>
          </w:p>
          <w:p w14:paraId="324094CD">
            <w:pPr>
              <w:pStyle w:val="46"/>
              <w:numPr>
                <w:ilvl w:val="0"/>
                <w:numId w:val="0"/>
              </w:numPr>
              <w:bidi w:val="0"/>
              <w:ind w:left="0" w:leftChars="0" w:firstLine="480" w:firstLineChars="200"/>
              <w:rPr>
                <w:rFonts w:hint="eastAsia"/>
                <w:color w:val="auto"/>
                <w:lang w:val="en-US" w:eastAsia="zh-CN"/>
              </w:rPr>
            </w:pPr>
            <w:r>
              <w:rPr>
                <w:rFonts w:hint="eastAsia" w:ascii="Times New Roman" w:hAnsi="Times New Roman" w:eastAsia="宋体" w:cs="宋体"/>
                <w:color w:val="auto"/>
                <w:kern w:val="0"/>
                <w:sz w:val="24"/>
                <w:szCs w:val="24"/>
                <w:lang w:val="en-US" w:eastAsia="zh-CN" w:bidi="ar-SA"/>
              </w:rPr>
              <w:t>（</w:t>
            </w:r>
            <w:r>
              <w:rPr>
                <w:rFonts w:hint="eastAsia" w:cs="宋体"/>
                <w:color w:val="auto"/>
                <w:kern w:val="0"/>
                <w:sz w:val="24"/>
                <w:szCs w:val="24"/>
                <w:lang w:val="en-US" w:eastAsia="zh-CN" w:bidi="ar-SA"/>
              </w:rPr>
              <w:t>2</w:t>
            </w:r>
            <w:r>
              <w:rPr>
                <w:rFonts w:hint="eastAsia" w:ascii="Times New Roman" w:hAnsi="Times New Roman" w:eastAsia="宋体" w:cs="宋体"/>
                <w:color w:val="auto"/>
                <w:kern w:val="0"/>
                <w:sz w:val="24"/>
                <w:szCs w:val="24"/>
                <w:lang w:val="en-US" w:eastAsia="zh-CN" w:bidi="ar-SA"/>
              </w:rPr>
              <w:t>）</w:t>
            </w:r>
            <w:r>
              <w:rPr>
                <w:rFonts w:hint="eastAsia"/>
                <w:color w:val="auto"/>
                <w:lang w:val="en-US" w:eastAsia="zh-CN"/>
              </w:rPr>
              <w:t>陆生动物的影响</w:t>
            </w:r>
          </w:p>
          <w:p w14:paraId="7AE43F51">
            <w:pPr>
              <w:pStyle w:val="46"/>
              <w:bidi w:val="0"/>
              <w:rPr>
                <w:rFonts w:hint="default"/>
                <w:color w:val="auto"/>
              </w:rPr>
            </w:pPr>
            <w:r>
              <w:rPr>
                <w:rFonts w:hint="default"/>
                <w:color w:val="auto"/>
              </w:rPr>
              <w:t>工程占地和人类的活动将破坏野生动物赖以生存的环境。区域内各种野生动物经过长期的适应已形成较稳定的取食、饮水、栖息活动范围和分布，</w:t>
            </w:r>
            <w:r>
              <w:rPr>
                <w:rFonts w:hint="default"/>
                <w:color w:val="auto"/>
                <w:lang w:eastAsia="zh-CN"/>
              </w:rPr>
              <w:t>勘探</w:t>
            </w:r>
            <w:r>
              <w:rPr>
                <w:rFonts w:hint="default"/>
                <w:color w:val="auto"/>
              </w:rPr>
              <w:t>过程中的</w:t>
            </w:r>
            <w:r>
              <w:rPr>
                <w:rFonts w:hint="default"/>
                <w:color w:val="auto"/>
                <w:lang w:eastAsia="zh-CN"/>
              </w:rPr>
              <w:t>槽探</w:t>
            </w:r>
            <w:r>
              <w:rPr>
                <w:rFonts w:hint="default"/>
                <w:color w:val="auto"/>
              </w:rPr>
              <w:t>和地面建设占地将使原有的野生动物的分布、栖息活动范围受到压缩。槽探</w:t>
            </w:r>
            <w:r>
              <w:rPr>
                <w:rFonts w:hint="default"/>
                <w:color w:val="auto"/>
                <w:lang w:val="en-US" w:eastAsia="zh-CN"/>
              </w:rPr>
              <w:t>过程中以及机械设备的轰鸣声</w:t>
            </w:r>
            <w:r>
              <w:rPr>
                <w:rFonts w:hint="default"/>
                <w:color w:val="auto"/>
              </w:rPr>
              <w:t>会极大地改变野生动物的行为模式。许多动物对环境变化极为敏感，施工区域周边原本活动的野生动物，会因槽探作业产生的震动和</w:t>
            </w:r>
            <w:r>
              <w:rPr>
                <w:rFonts w:hint="eastAsia"/>
                <w:color w:val="auto"/>
                <w:lang w:eastAsia="zh-CN"/>
              </w:rPr>
              <w:t>噪声</w:t>
            </w:r>
            <w:r>
              <w:rPr>
                <w:rFonts w:hint="default"/>
                <w:color w:val="auto"/>
              </w:rPr>
              <w:t>，而选择主动避开该区域。</w:t>
            </w:r>
            <w:r>
              <w:rPr>
                <w:rFonts w:hint="default"/>
                <w:color w:val="auto"/>
                <w:lang w:val="en-US" w:eastAsia="zh-CN"/>
              </w:rPr>
              <w:t>槽探作业导致的地表震动，会让它们误以为是天敌来袭，进而频繁更换栖息地，这可能导致其远离原本丰富的食物资源地，影响其正常的生存与繁衍。</w:t>
            </w:r>
          </w:p>
          <w:p w14:paraId="2A1DB27F">
            <w:pPr>
              <w:pStyle w:val="46"/>
              <w:bidi w:val="0"/>
              <w:rPr>
                <w:rFonts w:hint="default" w:ascii="Times New Roman" w:hAnsi="Times New Roman" w:cs="Times New Roman"/>
                <w:color w:val="auto"/>
              </w:rPr>
            </w:pPr>
            <w:r>
              <w:rPr>
                <w:rFonts w:hint="default"/>
                <w:color w:val="auto"/>
              </w:rPr>
              <w:t>人为活动的干扰使得开发区域上空活动的鸟类相对于人类未干扰区要少，而使得局部地段中的爬行类</w:t>
            </w:r>
            <w:r>
              <w:rPr>
                <w:rFonts w:hint="default"/>
                <w:color w:val="auto"/>
                <w:lang w:eastAsia="zh-CN"/>
              </w:rPr>
              <w:t>（</w:t>
            </w:r>
            <w:r>
              <w:rPr>
                <w:rFonts w:hint="default"/>
                <w:color w:val="auto"/>
              </w:rPr>
              <w:t>啮齿类</w:t>
            </w:r>
            <w:r>
              <w:rPr>
                <w:rFonts w:hint="default"/>
                <w:color w:val="auto"/>
                <w:lang w:eastAsia="zh-CN"/>
              </w:rPr>
              <w:t>）</w:t>
            </w:r>
            <w:r>
              <w:rPr>
                <w:rFonts w:hint="default"/>
                <w:color w:val="auto"/>
              </w:rPr>
              <w:t>和昆虫数量有所增加或活动频度增大。这些占地影响对地面活动的野生动物种类产生隔离作用，使原分布区内的种类向外扩，野生动物对新环境适应后其活动和分布范围亦将恢复。由于评价区域不是动物的栖息地，故该建设项目对动物区域性生境不会产生明显影响。</w:t>
            </w:r>
          </w:p>
          <w:p w14:paraId="2B72FE6F">
            <w:pPr>
              <w:pStyle w:val="45"/>
              <w:keepNext w:val="0"/>
              <w:keepLines w:val="0"/>
              <w:pageBreakBefore w:val="0"/>
              <w:widowControl w:val="0"/>
              <w:kinsoku/>
              <w:wordWrap/>
              <w:overflowPunct/>
              <w:topLinePunct w:val="0"/>
              <w:autoSpaceDE/>
              <w:autoSpaceDN/>
              <w:bidi w:val="0"/>
              <w:adjustRightInd w:val="0"/>
              <w:snapToGrid w:val="0"/>
              <w:ind w:firstLine="482" w:firstLineChars="200"/>
              <w:textAlignment w:val="auto"/>
              <w:rPr>
                <w:rFonts w:hint="default"/>
                <w:color w:val="auto"/>
              </w:rPr>
            </w:pPr>
            <w:r>
              <w:rPr>
                <w:rFonts w:hint="eastAsia"/>
                <w:color w:val="auto"/>
                <w:lang w:val="en-US" w:eastAsia="zh-CN"/>
              </w:rPr>
              <w:t>1.4</w:t>
            </w:r>
            <w:r>
              <w:rPr>
                <w:rFonts w:hint="default"/>
                <w:color w:val="auto"/>
              </w:rPr>
              <w:t>自然景观影响</w:t>
            </w:r>
          </w:p>
          <w:p w14:paraId="0B49A217">
            <w:pPr>
              <w:pStyle w:val="46"/>
              <w:bidi w:val="0"/>
              <w:rPr>
                <w:rFonts w:hint="eastAsia"/>
                <w:color w:val="auto"/>
                <w:lang w:val="en-US" w:eastAsia="zh-CN"/>
              </w:rPr>
            </w:pPr>
            <w:r>
              <w:rPr>
                <w:rFonts w:hint="default"/>
                <w:color w:val="auto"/>
                <w:lang w:val="en-US" w:eastAsia="zh-CN"/>
              </w:rPr>
              <w:t>项目评价区范围内无自然风景区和名胜古迹，矿区范围内无珍稀植物及古树名木，无风景名胜及特殊文物保护单位等视觉景观敏感点。因此对于较大范围的生态景观，以及景区风貌来说，影响面很小。由于</w:t>
            </w:r>
            <w:r>
              <w:rPr>
                <w:rFonts w:hint="eastAsia"/>
                <w:color w:val="auto"/>
                <w:lang w:val="en-US" w:eastAsia="zh-CN"/>
              </w:rPr>
              <w:t>勘探期会</w:t>
            </w:r>
            <w:r>
              <w:rPr>
                <w:rFonts w:hint="default"/>
                <w:color w:val="auto"/>
                <w:lang w:val="en-US" w:eastAsia="zh-CN"/>
              </w:rPr>
              <w:t>破坏原有地形地貌，改变原有地表形态，破坏了原有区域自然景观的整体性，与周围自然景观环境的不协调，对区域景观生态产生暂时不利的影响。</w:t>
            </w:r>
          </w:p>
          <w:p w14:paraId="17E716A1">
            <w:pPr>
              <w:pStyle w:val="46"/>
              <w:keepNext w:val="0"/>
              <w:keepLines w:val="0"/>
              <w:pageBreakBefore w:val="0"/>
              <w:widowControl w:val="0"/>
              <w:kinsoku/>
              <w:wordWrap w:val="0"/>
              <w:overflowPunct/>
              <w:topLinePunct w:val="0"/>
              <w:autoSpaceDE/>
              <w:autoSpaceDN/>
              <w:bidi w:val="0"/>
              <w:adjustRightInd w:val="0"/>
              <w:snapToGrid w:val="0"/>
              <w:ind w:firstLine="482" w:firstLineChars="200"/>
              <w:jc w:val="both"/>
              <w:textAlignment w:val="auto"/>
              <w:rPr>
                <w:rFonts w:hint="eastAsia"/>
                <w:color w:val="auto"/>
                <w:lang w:val="en-US" w:eastAsia="zh-CN"/>
              </w:rPr>
            </w:pPr>
            <w:r>
              <w:rPr>
                <w:rStyle w:val="58"/>
                <w:rFonts w:hint="eastAsia"/>
                <w:color w:val="auto"/>
                <w:lang w:val="en-US" w:eastAsia="zh-CN"/>
              </w:rPr>
              <w:t>1.5土地沙化的影响</w:t>
            </w:r>
          </w:p>
          <w:p w14:paraId="3DA240CB">
            <w:pPr>
              <w:pStyle w:val="46"/>
              <w:bidi w:val="0"/>
              <w:rPr>
                <w:rFonts w:hint="default"/>
                <w:color w:val="auto"/>
                <w:lang w:val="en-US" w:eastAsia="zh-CN"/>
              </w:rPr>
            </w:pPr>
            <w:r>
              <w:rPr>
                <w:rFonts w:hint="default"/>
                <w:color w:val="auto"/>
                <w:lang w:val="en-US" w:eastAsia="zh-CN"/>
              </w:rPr>
              <w:t>矿山勘查时，各类机械设备</w:t>
            </w:r>
            <w:r>
              <w:rPr>
                <w:rFonts w:hint="eastAsia"/>
                <w:color w:val="auto"/>
                <w:lang w:val="en-US" w:eastAsia="zh-CN"/>
              </w:rPr>
              <w:t>的活动会</w:t>
            </w:r>
            <w:r>
              <w:rPr>
                <w:rFonts w:hint="default"/>
                <w:color w:val="auto"/>
                <w:lang w:val="en-US" w:eastAsia="zh-CN"/>
              </w:rPr>
              <w:t>直接碾压和铲除地表植被</w:t>
            </w:r>
            <w:r>
              <w:rPr>
                <w:rFonts w:hint="eastAsia"/>
                <w:color w:val="auto"/>
                <w:lang w:val="en-US" w:eastAsia="zh-CN"/>
              </w:rPr>
              <w:t>，</w:t>
            </w:r>
            <w:r>
              <w:rPr>
                <w:rFonts w:hint="default"/>
                <w:color w:val="auto"/>
                <w:lang w:val="en-US" w:eastAsia="zh-CN"/>
              </w:rPr>
              <w:t>在干旱半干旱地区，植被本身就稀疏脆弱，一旦遭到破坏，地表失去植被的固沙作用，松散的土壤直接暴露</w:t>
            </w:r>
            <w:r>
              <w:rPr>
                <w:rFonts w:hint="eastAsia"/>
                <w:color w:val="auto"/>
                <w:lang w:val="en-US" w:eastAsia="zh-CN"/>
              </w:rPr>
              <w:t>，在风力作用下加速土地沙化进程；</w:t>
            </w:r>
            <w:r>
              <w:rPr>
                <w:rFonts w:hint="default"/>
                <w:color w:val="auto"/>
                <w:lang w:val="en-US" w:eastAsia="zh-CN"/>
              </w:rPr>
              <w:t>机械的反复碾压使</w:t>
            </w:r>
            <w:r>
              <w:rPr>
                <w:rFonts w:hint="eastAsia"/>
                <w:color w:val="auto"/>
                <w:lang w:val="en-US" w:eastAsia="zh-CN"/>
              </w:rPr>
              <w:t>得</w:t>
            </w:r>
            <w:r>
              <w:rPr>
                <w:rFonts w:hint="default"/>
                <w:color w:val="auto"/>
                <w:lang w:val="en-US" w:eastAsia="zh-CN"/>
              </w:rPr>
              <w:t>原本相对稳定的土壤结构遭到破坏</w:t>
            </w:r>
            <w:r>
              <w:rPr>
                <w:rFonts w:hint="eastAsia"/>
                <w:color w:val="auto"/>
                <w:lang w:val="en-US" w:eastAsia="zh-CN"/>
              </w:rPr>
              <w:t>，</w:t>
            </w:r>
            <w:r>
              <w:rPr>
                <w:rFonts w:hint="default"/>
                <w:color w:val="auto"/>
                <w:lang w:val="en-US" w:eastAsia="zh-CN"/>
              </w:rPr>
              <w:t>土壤孔隙度减小，通气性和透水性变差，土壤微生物活动受到抑制，进一步削弱了土壤的抗风蚀能力</w:t>
            </w:r>
            <w:r>
              <w:rPr>
                <w:rFonts w:hint="eastAsia"/>
                <w:color w:val="auto"/>
                <w:lang w:val="en-US" w:eastAsia="zh-CN"/>
              </w:rPr>
              <w:t>；槽探等勘查活动会产生临时堆土，在风力作用下，细小颗粒被吹扬，增加空气中沙尘含量，同时周边土壤被侵蚀，导致土地沙化范围扩大。</w:t>
            </w:r>
          </w:p>
          <w:p w14:paraId="32ED9E23">
            <w:pPr>
              <w:pStyle w:val="45"/>
              <w:keepNext w:val="0"/>
              <w:keepLines w:val="0"/>
              <w:pageBreakBefore w:val="0"/>
              <w:widowControl w:val="0"/>
              <w:kinsoku/>
              <w:wordWrap/>
              <w:overflowPunct/>
              <w:topLinePunct w:val="0"/>
              <w:autoSpaceDE/>
              <w:autoSpaceDN/>
              <w:bidi w:val="0"/>
              <w:adjustRightInd w:val="0"/>
              <w:snapToGrid w:val="0"/>
              <w:ind w:firstLine="482" w:firstLineChars="200"/>
              <w:textAlignment w:val="auto"/>
              <w:rPr>
                <w:rFonts w:hint="eastAsia"/>
                <w:color w:val="auto"/>
                <w:lang w:val="en-US" w:eastAsia="zh-CN"/>
              </w:rPr>
            </w:pPr>
            <w:r>
              <w:rPr>
                <w:rFonts w:hint="eastAsia"/>
                <w:color w:val="auto"/>
                <w:lang w:val="en-US" w:eastAsia="zh-CN"/>
              </w:rPr>
              <w:t>1.6水土流失的影响</w:t>
            </w:r>
          </w:p>
          <w:p w14:paraId="5A7E9D12">
            <w:pPr>
              <w:pStyle w:val="46"/>
              <w:bidi w:val="0"/>
              <w:rPr>
                <w:rFonts w:hint="eastAsia"/>
                <w:color w:val="auto"/>
                <w:lang w:eastAsia="zh-CN"/>
              </w:rPr>
            </w:pPr>
            <w:r>
              <w:rPr>
                <w:rFonts w:hint="eastAsia"/>
                <w:color w:val="auto"/>
                <w:lang w:val="en-US" w:eastAsia="zh-CN"/>
              </w:rPr>
              <w:t>项目勘查</w:t>
            </w:r>
            <w:r>
              <w:rPr>
                <w:rFonts w:hint="eastAsia"/>
                <w:color w:val="auto"/>
              </w:rPr>
              <w:t>过程中，</w:t>
            </w:r>
            <w:r>
              <w:rPr>
                <w:rFonts w:hint="eastAsia"/>
                <w:color w:val="auto"/>
                <w:lang w:val="en-US" w:eastAsia="zh-CN"/>
              </w:rPr>
              <w:t>槽</w:t>
            </w:r>
            <w:r>
              <w:rPr>
                <w:rFonts w:hint="eastAsia"/>
                <w:color w:val="auto"/>
                <w:lang w:eastAsia="zh-CN"/>
              </w:rPr>
              <w:t>探作业会产生</w:t>
            </w:r>
            <w:r>
              <w:rPr>
                <w:rFonts w:hint="eastAsia"/>
                <w:color w:val="auto"/>
                <w:lang w:val="en-US" w:eastAsia="zh-CN"/>
              </w:rPr>
              <w:t>临时堆土</w:t>
            </w:r>
            <w:r>
              <w:rPr>
                <w:rFonts w:hint="eastAsia"/>
                <w:color w:val="auto"/>
                <w:lang w:eastAsia="zh-CN"/>
              </w:rPr>
              <w:t>，如果不妥善处理，随意堆放，不仅占用大量土地，还容易成为水土流失的物质源；临时堆存的</w:t>
            </w:r>
            <w:r>
              <w:rPr>
                <w:rFonts w:hint="eastAsia"/>
                <w:color w:val="auto"/>
                <w:lang w:val="en-US" w:eastAsia="zh-CN"/>
              </w:rPr>
              <w:t>土石</w:t>
            </w:r>
            <w:r>
              <w:rPr>
                <w:rFonts w:hint="eastAsia"/>
                <w:color w:val="auto"/>
                <w:lang w:eastAsia="zh-CN"/>
              </w:rPr>
              <w:t>在降雨、风力等作用下极易发生崩塌、滑坡等现象。矿山勘查中的挖填作业改变了原有的地形地貌，使原本相对稳定的地形变得起伏不平，</w:t>
            </w:r>
            <w:r>
              <w:rPr>
                <w:rFonts w:hint="eastAsia"/>
                <w:color w:val="auto"/>
                <w:lang w:val="en-US" w:eastAsia="zh-CN"/>
              </w:rPr>
              <w:t>可能会</w:t>
            </w:r>
            <w:r>
              <w:rPr>
                <w:rFonts w:hint="eastAsia"/>
                <w:color w:val="auto"/>
                <w:lang w:eastAsia="zh-CN"/>
              </w:rPr>
              <w:t>造成局部地形高差增大，坡面变陡，增加了坡面径流的流速和冲刷力，使土壤侵蚀加剧。人员的活动，会对周边地表植被造成践踏破坏，降低覆盖度，使地表失去植被的有效保护，进而加剧水土流失。</w:t>
            </w:r>
          </w:p>
          <w:p w14:paraId="75925515">
            <w:pPr>
              <w:pStyle w:val="45"/>
              <w:keepNext w:val="0"/>
              <w:keepLines w:val="0"/>
              <w:pageBreakBefore w:val="0"/>
              <w:widowControl w:val="0"/>
              <w:kinsoku/>
              <w:wordWrap/>
              <w:overflowPunct/>
              <w:topLinePunct w:val="0"/>
              <w:autoSpaceDE/>
              <w:autoSpaceDN/>
              <w:bidi w:val="0"/>
              <w:adjustRightInd w:val="0"/>
              <w:snapToGrid w:val="0"/>
              <w:ind w:firstLine="482" w:firstLineChars="200"/>
              <w:textAlignment w:val="auto"/>
              <w:rPr>
                <w:rFonts w:hint="eastAsia"/>
                <w:color w:val="auto"/>
                <w:lang w:val="en-US" w:eastAsia="zh-CN"/>
              </w:rPr>
            </w:pPr>
            <w:r>
              <w:rPr>
                <w:rFonts w:hint="eastAsia"/>
                <w:color w:val="auto"/>
                <w:lang w:val="en-US" w:eastAsia="zh-CN"/>
              </w:rPr>
              <w:t>1.7生态系统的影响</w:t>
            </w:r>
          </w:p>
          <w:p w14:paraId="2B833AC7">
            <w:pPr>
              <w:pStyle w:val="46"/>
              <w:bidi w:val="0"/>
              <w:rPr>
                <w:rFonts w:hint="default"/>
                <w:color w:val="auto"/>
                <w:lang w:val="en-US" w:eastAsia="zh-CN"/>
              </w:rPr>
            </w:pPr>
            <w:r>
              <w:rPr>
                <w:rFonts w:hint="default"/>
                <w:color w:val="auto"/>
                <w:lang w:val="en-US" w:eastAsia="zh-CN"/>
              </w:rPr>
              <w:t>在勘查期地质测量和槽探工作中，勘查设备的运行、人员活动，会直接导致勘查区域内的植被遭到破坏，植被的破坏不仅影响区域内的景观，还会降低植物的固碳能力，减少氧气释放，削弱生态系统的调节功能。槽探等挖掘作业会严重破坏土壤原有的结构和层次，使土壤质量下降，不利于植物的生长和生态系统的恢复。</w:t>
            </w:r>
          </w:p>
          <w:p w14:paraId="543E6275">
            <w:pPr>
              <w:pStyle w:val="45"/>
              <w:bidi w:val="0"/>
              <w:rPr>
                <w:rFonts w:hint="default"/>
                <w:color w:val="auto"/>
                <w:lang w:val="en-US" w:eastAsia="zh-CN"/>
              </w:rPr>
            </w:pPr>
            <w:r>
              <w:rPr>
                <w:rFonts w:hint="eastAsia"/>
                <w:color w:val="auto"/>
                <w:lang w:val="en-US" w:eastAsia="zh-CN"/>
              </w:rPr>
              <w:t>2</w:t>
            </w:r>
            <w:r>
              <w:rPr>
                <w:rFonts w:hint="eastAsia"/>
                <w:color w:val="auto"/>
              </w:rPr>
              <w:t>大气环境</w:t>
            </w:r>
            <w:r>
              <w:rPr>
                <w:rFonts w:hint="eastAsia"/>
                <w:color w:val="auto"/>
                <w:lang w:val="en-US" w:eastAsia="zh-CN"/>
              </w:rPr>
              <w:t>影响分析</w:t>
            </w:r>
          </w:p>
          <w:p w14:paraId="1A49C44D">
            <w:pPr>
              <w:pStyle w:val="45"/>
              <w:keepNext w:val="0"/>
              <w:keepLines w:val="0"/>
              <w:pageBreakBefore w:val="0"/>
              <w:widowControl w:val="0"/>
              <w:kinsoku/>
              <w:wordWrap/>
              <w:overflowPunct/>
              <w:topLinePunct w:val="0"/>
              <w:autoSpaceDE/>
              <w:autoSpaceDN/>
              <w:bidi w:val="0"/>
              <w:adjustRightInd w:val="0"/>
              <w:snapToGrid w:val="0"/>
              <w:ind w:firstLine="482" w:firstLineChars="200"/>
              <w:textAlignment w:val="auto"/>
              <w:rPr>
                <w:rFonts w:hint="eastAsia"/>
                <w:color w:val="auto"/>
              </w:rPr>
            </w:pPr>
            <w:r>
              <w:rPr>
                <w:rFonts w:hint="eastAsia"/>
                <w:color w:val="auto"/>
                <w:lang w:val="en-US" w:eastAsia="zh-CN"/>
              </w:rPr>
              <w:t>2.1勘探过程中产生的</w:t>
            </w:r>
            <w:r>
              <w:rPr>
                <w:rFonts w:hint="eastAsia"/>
                <w:color w:val="auto"/>
              </w:rPr>
              <w:t>扬尘</w:t>
            </w:r>
          </w:p>
          <w:p w14:paraId="1DED9ABC">
            <w:pPr>
              <w:pStyle w:val="46"/>
              <w:bidi w:val="0"/>
              <w:rPr>
                <w:rFonts w:hint="default"/>
                <w:color w:val="auto"/>
              </w:rPr>
            </w:pPr>
            <w:r>
              <w:rPr>
                <w:rFonts w:hint="default"/>
                <w:color w:val="auto"/>
              </w:rPr>
              <w:t>大气污染物主要产生在工程</w:t>
            </w:r>
            <w:r>
              <w:rPr>
                <w:rFonts w:hint="eastAsia"/>
                <w:color w:val="auto"/>
                <w:lang w:eastAsia="zh-CN"/>
              </w:rPr>
              <w:t>勘探期</w:t>
            </w:r>
            <w:r>
              <w:rPr>
                <w:rFonts w:hint="default"/>
                <w:color w:val="auto"/>
              </w:rPr>
              <w:t>，对工程沿线及车辆运输道路附近的大气环境都会产生影响。</w:t>
            </w:r>
          </w:p>
          <w:p w14:paraId="4308E493">
            <w:pPr>
              <w:pStyle w:val="46"/>
              <w:bidi w:val="0"/>
              <w:rPr>
                <w:rFonts w:hint="default"/>
                <w:color w:val="auto"/>
              </w:rPr>
            </w:pPr>
            <w:r>
              <w:rPr>
                <w:rFonts w:hint="eastAsia"/>
                <w:color w:val="auto"/>
                <w:lang w:val="en-US" w:eastAsia="zh-CN"/>
              </w:rPr>
              <w:t>勘探期</w:t>
            </w:r>
            <w:r>
              <w:rPr>
                <w:rFonts w:hint="default"/>
                <w:color w:val="auto"/>
              </w:rPr>
              <w:t>施工及车辆运输扬尘：</w:t>
            </w:r>
            <w:r>
              <w:rPr>
                <w:rFonts w:hint="eastAsia"/>
                <w:color w:val="auto"/>
                <w:lang w:val="en-US" w:eastAsia="zh-CN"/>
              </w:rPr>
              <w:t>勘探期工程</w:t>
            </w:r>
            <w:r>
              <w:rPr>
                <w:rFonts w:hint="default"/>
                <w:color w:val="auto"/>
              </w:rPr>
              <w:t>开挖、勘探材料装卸等会使作业点周围200m范围内产生较大扬尘，易形成扬尘的工区主要是工作道路区等。另外，材料运输过程中公路沿线也易造成扬尘。一般来说，道路局部积尘较多的地方，载重汽车经过时会掀起较多的扬尘，影响范围大约在宽60m、高4</w:t>
            </w:r>
            <w:r>
              <w:rPr>
                <w:rFonts w:hint="eastAsia"/>
                <w:color w:val="auto"/>
                <w:lang w:eastAsia="zh-CN"/>
              </w:rPr>
              <w:t>～</w:t>
            </w:r>
            <w:r>
              <w:rPr>
                <w:rFonts w:hint="default"/>
                <w:color w:val="auto"/>
              </w:rPr>
              <w:t>5m的范围内。从本工程勘探场地和交通沿线的位置看，施工及车辆运输扬尘对周围环境影响较小。</w:t>
            </w:r>
          </w:p>
          <w:p w14:paraId="18569CE6">
            <w:pPr>
              <w:pStyle w:val="45"/>
              <w:keepNext w:val="0"/>
              <w:keepLines w:val="0"/>
              <w:pageBreakBefore w:val="0"/>
              <w:widowControl w:val="0"/>
              <w:kinsoku/>
              <w:wordWrap/>
              <w:overflowPunct/>
              <w:topLinePunct w:val="0"/>
              <w:autoSpaceDE/>
              <w:autoSpaceDN/>
              <w:bidi w:val="0"/>
              <w:adjustRightInd w:val="0"/>
              <w:snapToGrid w:val="0"/>
              <w:ind w:firstLine="482" w:firstLineChars="200"/>
              <w:textAlignment w:val="auto"/>
              <w:rPr>
                <w:rFonts w:hint="default"/>
                <w:color w:val="auto"/>
                <w:lang w:val="en-US" w:eastAsia="zh-CN"/>
              </w:rPr>
            </w:pPr>
            <w:r>
              <w:rPr>
                <w:rFonts w:hint="eastAsia"/>
                <w:color w:val="auto"/>
                <w:lang w:val="en-US" w:eastAsia="zh-CN"/>
              </w:rPr>
              <w:t>2.2临时堆场</w:t>
            </w:r>
          </w:p>
          <w:p w14:paraId="36A99BE5">
            <w:pPr>
              <w:pStyle w:val="46"/>
              <w:bidi w:val="0"/>
              <w:rPr>
                <w:rFonts w:hint="default"/>
                <w:color w:val="auto"/>
              </w:rPr>
            </w:pPr>
            <w:r>
              <w:rPr>
                <w:rFonts w:hint="default"/>
                <w:color w:val="auto"/>
              </w:rPr>
              <w:t>槽探施工产生的土石方临时堆放在槽探两侧时，会通过风力起尘和车辆及人为活动扬尘对大气环境产生影响。在风力作用下，表面干燥的细颗粒物会扬起形成扬尘，不过，</w:t>
            </w:r>
            <w:r>
              <w:rPr>
                <w:rFonts w:hint="eastAsia"/>
                <w:color w:val="auto"/>
                <w:lang w:val="en-US" w:eastAsia="zh-CN"/>
              </w:rPr>
              <w:t>本项目</w:t>
            </w:r>
            <w:r>
              <w:rPr>
                <w:rFonts w:hint="default"/>
                <w:color w:val="auto"/>
              </w:rPr>
              <w:t>采用彩布条覆盖土石方临时堆场并配合定期洒水降尘，可通过物理阻隔与增加颗粒湿度双重作用减轻扬尘污染。彩布条能有效覆盖堆体表面，削弱风力对干燥颗粒的扰动，降低起尘动力；洒水则通过增加土石方湿度，提升颗粒黏附性，抑制细颗粒物扬起。</w:t>
            </w:r>
          </w:p>
          <w:p w14:paraId="16996719">
            <w:pPr>
              <w:pStyle w:val="45"/>
              <w:keepNext w:val="0"/>
              <w:keepLines w:val="0"/>
              <w:pageBreakBefore w:val="0"/>
              <w:widowControl w:val="0"/>
              <w:kinsoku/>
              <w:wordWrap/>
              <w:overflowPunct/>
              <w:topLinePunct w:val="0"/>
              <w:autoSpaceDE/>
              <w:autoSpaceDN/>
              <w:bidi w:val="0"/>
              <w:adjustRightInd w:val="0"/>
              <w:snapToGrid w:val="0"/>
              <w:ind w:firstLine="482" w:firstLineChars="200"/>
              <w:textAlignment w:val="auto"/>
              <w:rPr>
                <w:rFonts w:hint="eastAsia"/>
                <w:color w:val="auto"/>
                <w:lang w:val="en-US" w:eastAsia="zh-CN"/>
              </w:rPr>
            </w:pPr>
            <w:r>
              <w:rPr>
                <w:rFonts w:hint="eastAsia"/>
                <w:color w:val="auto"/>
                <w:lang w:val="en-US" w:eastAsia="zh-CN"/>
              </w:rPr>
              <w:t>2.3燃油废气</w:t>
            </w:r>
          </w:p>
          <w:p w14:paraId="74874A02">
            <w:pPr>
              <w:pStyle w:val="46"/>
              <w:bidi w:val="0"/>
              <w:rPr>
                <w:rFonts w:hint="eastAsia"/>
                <w:color w:val="auto"/>
              </w:rPr>
            </w:pPr>
            <w:r>
              <w:rPr>
                <w:rFonts w:hint="eastAsia"/>
                <w:color w:val="auto"/>
                <w:lang w:val="en-US" w:eastAsia="zh-CN"/>
              </w:rPr>
              <w:t>工作区</w:t>
            </w:r>
            <w:r>
              <w:rPr>
                <w:rFonts w:hint="eastAsia"/>
                <w:color w:val="auto"/>
              </w:rPr>
              <w:t>的燃油设备主要是</w:t>
            </w:r>
            <w:r>
              <w:rPr>
                <w:rFonts w:hint="eastAsia"/>
                <w:color w:val="auto"/>
                <w:lang w:val="en-US" w:eastAsia="zh-CN"/>
              </w:rPr>
              <w:t>勘探</w:t>
            </w:r>
            <w:r>
              <w:rPr>
                <w:rFonts w:hint="eastAsia"/>
                <w:color w:val="auto"/>
              </w:rPr>
              <w:t>机械和运输车辆，其排放的尾气在</w:t>
            </w:r>
            <w:r>
              <w:rPr>
                <w:rFonts w:hint="eastAsia"/>
                <w:color w:val="auto"/>
                <w:lang w:val="en-US" w:eastAsia="zh-CN"/>
              </w:rPr>
              <w:t>勘探</w:t>
            </w:r>
            <w:r>
              <w:rPr>
                <w:rFonts w:hint="eastAsia"/>
                <w:color w:val="auto"/>
              </w:rPr>
              <w:t>期间对</w:t>
            </w:r>
            <w:r>
              <w:rPr>
                <w:rFonts w:hint="eastAsia"/>
                <w:color w:val="auto"/>
                <w:lang w:val="en-US" w:eastAsia="zh-CN"/>
              </w:rPr>
              <w:t>勘探</w:t>
            </w:r>
            <w:r>
              <w:rPr>
                <w:rFonts w:hint="eastAsia"/>
                <w:color w:val="auto"/>
              </w:rPr>
              <w:t>作业点和交通道路附近大气环境造成污染。</w:t>
            </w:r>
          </w:p>
          <w:p w14:paraId="4A42CC9D">
            <w:pPr>
              <w:pStyle w:val="46"/>
              <w:bidi w:val="0"/>
              <w:rPr>
                <w:rFonts w:hint="eastAsia"/>
                <w:color w:val="auto"/>
              </w:rPr>
            </w:pPr>
            <w:r>
              <w:rPr>
                <w:rFonts w:hint="eastAsia"/>
                <w:color w:val="auto"/>
              </w:rPr>
              <w:t>运输车辆的废气是沿交通路线沿程排放，</w:t>
            </w:r>
            <w:r>
              <w:rPr>
                <w:rFonts w:hint="eastAsia"/>
                <w:color w:val="auto"/>
                <w:lang w:val="en-US" w:eastAsia="zh-CN"/>
              </w:rPr>
              <w:t>勘探</w:t>
            </w:r>
            <w:r>
              <w:rPr>
                <w:rFonts w:hint="eastAsia"/>
                <w:color w:val="auto"/>
              </w:rPr>
              <w:t>机械的废气基本是以点源形成排放，工程</w:t>
            </w:r>
            <w:r>
              <w:rPr>
                <w:rFonts w:hint="eastAsia"/>
                <w:color w:val="auto"/>
                <w:lang w:val="en-US" w:eastAsia="zh-CN"/>
              </w:rPr>
              <w:t>勘探</w:t>
            </w:r>
            <w:r>
              <w:rPr>
                <w:rFonts w:hint="eastAsia"/>
                <w:color w:val="auto"/>
              </w:rPr>
              <w:t>区地形开阔</w:t>
            </w:r>
            <w:r>
              <w:rPr>
                <w:rFonts w:hint="eastAsia"/>
                <w:color w:val="auto"/>
                <w:lang w:eastAsia="zh-CN"/>
              </w:rPr>
              <w:t>，</w:t>
            </w:r>
            <w:r>
              <w:rPr>
                <w:rFonts w:hint="eastAsia"/>
                <w:color w:val="auto"/>
              </w:rPr>
              <w:t>空气流通性好</w:t>
            </w:r>
            <w:r>
              <w:rPr>
                <w:rFonts w:hint="eastAsia"/>
                <w:color w:val="auto"/>
                <w:lang w:eastAsia="zh-CN"/>
              </w:rPr>
              <w:t>，</w:t>
            </w:r>
            <w:r>
              <w:rPr>
                <w:rFonts w:hint="eastAsia"/>
                <w:color w:val="auto"/>
              </w:rPr>
              <w:t>排放废气中的各项污染物能够很快扩散，不会引起局部大气环境质量的恶化。加之废气排放的不连续性和工程施工期有限，排放的废气对区域的环境空气质量影响较小。</w:t>
            </w:r>
          </w:p>
          <w:p w14:paraId="7CE19D5E">
            <w:pPr>
              <w:pStyle w:val="46"/>
              <w:bidi w:val="0"/>
              <w:rPr>
                <w:color w:val="auto"/>
              </w:rPr>
            </w:pPr>
            <w:r>
              <w:rPr>
                <w:rFonts w:hint="eastAsia"/>
                <w:color w:val="auto"/>
              </w:rPr>
              <w:t>探矿期间将在营地内布置柴油发电机供生活用电。发电机工作期间油料燃烧将排放少量的尾气。</w:t>
            </w:r>
            <w:r>
              <w:rPr>
                <w:rFonts w:hint="eastAsia"/>
                <w:color w:val="auto"/>
                <w:lang w:val="en-US" w:eastAsia="zh-CN"/>
              </w:rPr>
              <w:t>勘探</w:t>
            </w:r>
            <w:r>
              <w:rPr>
                <w:color w:val="auto"/>
              </w:rPr>
              <w:t>机械设备燃烧燃油过程中将产生CO、NOx、SO</w:t>
            </w:r>
            <w:r>
              <w:rPr>
                <w:color w:val="auto"/>
                <w:vertAlign w:val="subscript"/>
              </w:rPr>
              <w:t>2</w:t>
            </w:r>
            <w:r>
              <w:rPr>
                <w:color w:val="auto"/>
              </w:rPr>
              <w:t>、碳氢化合物污染物。</w:t>
            </w:r>
          </w:p>
          <w:p w14:paraId="3DF8AC60">
            <w:pPr>
              <w:pStyle w:val="46"/>
              <w:bidi w:val="0"/>
              <w:rPr>
                <w:rFonts w:hint="eastAsia"/>
                <w:color w:val="auto"/>
              </w:rPr>
            </w:pPr>
            <w:r>
              <w:rPr>
                <w:rFonts w:hint="eastAsia"/>
                <w:color w:val="auto"/>
              </w:rPr>
              <w:t>探矿期内使用柴油量约</w:t>
            </w:r>
            <w:r>
              <w:rPr>
                <w:rFonts w:hint="eastAsia"/>
                <w:color w:val="auto"/>
                <w:highlight w:val="none"/>
                <w:lang w:val="en-US" w:eastAsia="zh-CN"/>
              </w:rPr>
              <w:t>10</w:t>
            </w:r>
            <w:r>
              <w:rPr>
                <w:rFonts w:hint="eastAsia"/>
                <w:color w:val="auto"/>
                <w:highlight w:val="none"/>
              </w:rPr>
              <w:t>t</w:t>
            </w:r>
            <w:r>
              <w:rPr>
                <w:rFonts w:hint="eastAsia"/>
                <w:color w:val="auto"/>
              </w:rPr>
              <w:t>，</w:t>
            </w:r>
            <w:r>
              <w:rPr>
                <w:rFonts w:hint="eastAsia"/>
                <w:color w:val="auto"/>
                <w:lang w:val="en-US" w:eastAsia="zh-CN"/>
              </w:rPr>
              <w:t>参照同类项目，</w:t>
            </w:r>
            <w:r>
              <w:rPr>
                <w:color w:val="auto"/>
              </w:rPr>
              <w:t>柴油燃烧排放有害气体量详见</w:t>
            </w:r>
            <w:r>
              <w:rPr>
                <w:rFonts w:hint="eastAsia"/>
                <w:color w:val="auto"/>
              </w:rPr>
              <w:t>表</w:t>
            </w:r>
            <w:r>
              <w:rPr>
                <w:rFonts w:hint="eastAsia"/>
                <w:color w:val="auto"/>
                <w:lang w:val="en-US" w:eastAsia="zh-CN"/>
              </w:rPr>
              <w:t>4-2</w:t>
            </w:r>
            <w:r>
              <w:rPr>
                <w:color w:val="auto"/>
              </w:rPr>
              <w:t>。</w:t>
            </w:r>
          </w:p>
          <w:p w14:paraId="1517BB90">
            <w:pPr>
              <w:pStyle w:val="47"/>
              <w:bidi w:val="0"/>
              <w:rPr>
                <w:rFonts w:hint="eastAsia"/>
                <w:color w:val="auto"/>
                <w:sz w:val="24"/>
                <w:szCs w:val="24"/>
              </w:rPr>
            </w:pPr>
            <w:r>
              <w:rPr>
                <w:rFonts w:hint="eastAsia"/>
                <w:color w:val="auto"/>
                <w:sz w:val="24"/>
                <w:szCs w:val="24"/>
              </w:rPr>
              <w:t>表</w:t>
            </w:r>
            <w:r>
              <w:rPr>
                <w:rFonts w:hint="eastAsia"/>
                <w:color w:val="auto"/>
                <w:sz w:val="24"/>
                <w:szCs w:val="24"/>
                <w:lang w:val="en-US" w:eastAsia="zh-CN"/>
              </w:rPr>
              <w:t xml:space="preserve">4-2    </w:t>
            </w:r>
            <w:r>
              <w:rPr>
                <w:rFonts w:hint="eastAsia"/>
                <w:color w:val="auto"/>
                <w:sz w:val="24"/>
                <w:szCs w:val="24"/>
              </w:rPr>
              <w:t>柴油排放的有</w:t>
            </w:r>
            <w:r>
              <w:rPr>
                <w:rFonts w:hint="eastAsia"/>
                <w:color w:val="auto"/>
                <w:sz w:val="24"/>
                <w:szCs w:val="24"/>
                <w:highlight w:val="none"/>
              </w:rPr>
              <w:t>害物质表</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5"/>
              <w:gridCol w:w="1385"/>
              <w:gridCol w:w="1511"/>
              <w:gridCol w:w="1245"/>
              <w:gridCol w:w="1778"/>
            </w:tblGrid>
            <w:tr w14:paraId="07CEE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148" w:type="pct"/>
                  <w:noWrap w:val="0"/>
                  <w:vAlign w:val="center"/>
                </w:tcPr>
                <w:p w14:paraId="33806BDA">
                  <w:pPr>
                    <w:pStyle w:val="43"/>
                    <w:bidi w:val="0"/>
                    <w:rPr>
                      <w:color w:val="auto"/>
                    </w:rPr>
                  </w:pPr>
                  <w:r>
                    <w:rPr>
                      <w:color w:val="auto"/>
                    </w:rPr>
                    <w:t>有害物质</w:t>
                  </w:r>
                </w:p>
              </w:tc>
              <w:tc>
                <w:tcPr>
                  <w:tcW w:w="901" w:type="pct"/>
                  <w:noWrap w:val="0"/>
                  <w:vAlign w:val="center"/>
                </w:tcPr>
                <w:p w14:paraId="26D14AD6">
                  <w:pPr>
                    <w:pStyle w:val="43"/>
                    <w:bidi w:val="0"/>
                    <w:rPr>
                      <w:color w:val="auto"/>
                    </w:rPr>
                  </w:pPr>
                  <w:r>
                    <w:rPr>
                      <w:color w:val="auto"/>
                    </w:rPr>
                    <w:t>SO</w:t>
                  </w:r>
                  <w:r>
                    <w:rPr>
                      <w:color w:val="auto"/>
                      <w:vertAlign w:val="subscript"/>
                    </w:rPr>
                    <w:t>2</w:t>
                  </w:r>
                </w:p>
              </w:tc>
              <w:tc>
                <w:tcPr>
                  <w:tcW w:w="983" w:type="pct"/>
                  <w:noWrap w:val="0"/>
                  <w:vAlign w:val="center"/>
                </w:tcPr>
                <w:p w14:paraId="6473D1D1">
                  <w:pPr>
                    <w:pStyle w:val="43"/>
                    <w:bidi w:val="0"/>
                    <w:rPr>
                      <w:color w:val="auto"/>
                    </w:rPr>
                  </w:pPr>
                  <w:r>
                    <w:rPr>
                      <w:color w:val="auto"/>
                    </w:rPr>
                    <w:t>CO</w:t>
                  </w:r>
                </w:p>
              </w:tc>
              <w:tc>
                <w:tcPr>
                  <w:tcW w:w="810" w:type="pct"/>
                  <w:noWrap w:val="0"/>
                  <w:vAlign w:val="center"/>
                </w:tcPr>
                <w:p w14:paraId="18425E5C">
                  <w:pPr>
                    <w:pStyle w:val="43"/>
                    <w:bidi w:val="0"/>
                    <w:rPr>
                      <w:rFonts w:hint="eastAsia" w:eastAsia="宋体"/>
                      <w:color w:val="auto"/>
                      <w:lang w:val="en-US" w:eastAsia="zh-CN"/>
                    </w:rPr>
                  </w:pPr>
                  <w:r>
                    <w:rPr>
                      <w:color w:val="auto"/>
                    </w:rPr>
                    <w:t>NO</w:t>
                  </w:r>
                  <w:r>
                    <w:rPr>
                      <w:rFonts w:hint="eastAsia"/>
                      <w:color w:val="auto"/>
                      <w:vertAlign w:val="subscript"/>
                      <w:lang w:val="en-US" w:eastAsia="zh-CN"/>
                    </w:rPr>
                    <w:t>X</w:t>
                  </w:r>
                </w:p>
              </w:tc>
              <w:tc>
                <w:tcPr>
                  <w:tcW w:w="1156" w:type="pct"/>
                  <w:noWrap w:val="0"/>
                  <w:vAlign w:val="center"/>
                </w:tcPr>
                <w:p w14:paraId="3219FE98">
                  <w:pPr>
                    <w:pStyle w:val="43"/>
                    <w:bidi w:val="0"/>
                    <w:rPr>
                      <w:color w:val="auto"/>
                    </w:rPr>
                  </w:pPr>
                  <w:r>
                    <w:rPr>
                      <w:color w:val="auto"/>
                    </w:rPr>
                    <w:t>碳氢化合物</w:t>
                  </w:r>
                </w:p>
              </w:tc>
            </w:tr>
            <w:tr w14:paraId="70E60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148" w:type="pct"/>
                  <w:noWrap w:val="0"/>
                  <w:vAlign w:val="center"/>
                </w:tcPr>
                <w:p w14:paraId="0ABA88B4">
                  <w:pPr>
                    <w:pStyle w:val="43"/>
                    <w:bidi w:val="0"/>
                    <w:rPr>
                      <w:color w:val="auto"/>
                    </w:rPr>
                  </w:pPr>
                  <w:r>
                    <w:rPr>
                      <w:color w:val="auto"/>
                    </w:rPr>
                    <w:t>排放量（kg</w:t>
                  </w:r>
                  <w:r>
                    <w:rPr>
                      <w:rFonts w:hint="eastAsia"/>
                      <w:color w:val="auto"/>
                    </w:rPr>
                    <w:t>/t</w:t>
                  </w:r>
                  <w:r>
                    <w:rPr>
                      <w:color w:val="auto"/>
                    </w:rPr>
                    <w:t>）</w:t>
                  </w:r>
                </w:p>
              </w:tc>
              <w:tc>
                <w:tcPr>
                  <w:tcW w:w="901" w:type="pct"/>
                  <w:noWrap w:val="0"/>
                  <w:vAlign w:val="center"/>
                </w:tcPr>
                <w:p w14:paraId="21899E75">
                  <w:pPr>
                    <w:pStyle w:val="43"/>
                    <w:bidi w:val="0"/>
                    <w:rPr>
                      <w:color w:val="auto"/>
                    </w:rPr>
                  </w:pPr>
                  <w:r>
                    <w:rPr>
                      <w:color w:val="auto"/>
                    </w:rPr>
                    <w:t>3.522</w:t>
                  </w:r>
                </w:p>
              </w:tc>
              <w:tc>
                <w:tcPr>
                  <w:tcW w:w="983" w:type="pct"/>
                  <w:noWrap w:val="0"/>
                  <w:vAlign w:val="center"/>
                </w:tcPr>
                <w:p w14:paraId="0CEC258B">
                  <w:pPr>
                    <w:pStyle w:val="43"/>
                    <w:bidi w:val="0"/>
                    <w:rPr>
                      <w:color w:val="auto"/>
                    </w:rPr>
                  </w:pPr>
                  <w:r>
                    <w:rPr>
                      <w:color w:val="auto"/>
                    </w:rPr>
                    <w:t>29.349</w:t>
                  </w:r>
                </w:p>
              </w:tc>
              <w:tc>
                <w:tcPr>
                  <w:tcW w:w="810" w:type="pct"/>
                  <w:noWrap w:val="0"/>
                  <w:vAlign w:val="center"/>
                </w:tcPr>
                <w:p w14:paraId="606E4C4F">
                  <w:pPr>
                    <w:pStyle w:val="43"/>
                    <w:bidi w:val="0"/>
                    <w:rPr>
                      <w:color w:val="auto"/>
                    </w:rPr>
                  </w:pPr>
                  <w:r>
                    <w:rPr>
                      <w:color w:val="auto"/>
                    </w:rPr>
                    <w:t>48.263</w:t>
                  </w:r>
                </w:p>
              </w:tc>
              <w:tc>
                <w:tcPr>
                  <w:tcW w:w="1156" w:type="pct"/>
                  <w:noWrap w:val="0"/>
                  <w:vAlign w:val="center"/>
                </w:tcPr>
                <w:p w14:paraId="78D1A01A">
                  <w:pPr>
                    <w:pStyle w:val="43"/>
                    <w:bidi w:val="0"/>
                    <w:rPr>
                      <w:color w:val="auto"/>
                    </w:rPr>
                  </w:pPr>
                  <w:r>
                    <w:rPr>
                      <w:color w:val="auto"/>
                    </w:rPr>
                    <w:t>4.826</w:t>
                  </w:r>
                </w:p>
              </w:tc>
            </w:tr>
            <w:tr w14:paraId="29CE7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148" w:type="pct"/>
                  <w:noWrap w:val="0"/>
                  <w:vAlign w:val="center"/>
                </w:tcPr>
                <w:p w14:paraId="53A878D7">
                  <w:pPr>
                    <w:pStyle w:val="43"/>
                    <w:bidi w:val="0"/>
                    <w:rPr>
                      <w:rFonts w:hint="eastAsia"/>
                      <w:color w:val="auto"/>
                    </w:rPr>
                  </w:pPr>
                  <w:r>
                    <w:rPr>
                      <w:rFonts w:hint="eastAsia"/>
                      <w:color w:val="auto"/>
                    </w:rPr>
                    <w:t>探矿期内</w:t>
                  </w:r>
                  <w:r>
                    <w:rPr>
                      <w:color w:val="auto"/>
                    </w:rPr>
                    <w:t>（kg）</w:t>
                  </w:r>
                </w:p>
              </w:tc>
              <w:tc>
                <w:tcPr>
                  <w:tcW w:w="901" w:type="pct"/>
                  <w:noWrap w:val="0"/>
                  <w:vAlign w:val="center"/>
                </w:tcPr>
                <w:p w14:paraId="6F044029">
                  <w:pPr>
                    <w:pStyle w:val="43"/>
                    <w:bidi w:val="0"/>
                    <w:rPr>
                      <w:rFonts w:hint="default"/>
                      <w:color w:val="auto"/>
                      <w:lang w:val="en-US" w:eastAsia="zh-CN"/>
                    </w:rPr>
                  </w:pPr>
                  <w:r>
                    <w:rPr>
                      <w:rFonts w:hint="eastAsia"/>
                      <w:color w:val="auto"/>
                      <w:lang w:val="en-US" w:eastAsia="zh-CN"/>
                    </w:rPr>
                    <w:t>35.22</w:t>
                  </w:r>
                </w:p>
              </w:tc>
              <w:tc>
                <w:tcPr>
                  <w:tcW w:w="983" w:type="pct"/>
                  <w:noWrap w:val="0"/>
                  <w:vAlign w:val="center"/>
                </w:tcPr>
                <w:p w14:paraId="6657AD4D">
                  <w:pPr>
                    <w:pStyle w:val="43"/>
                    <w:bidi w:val="0"/>
                    <w:jc w:val="center"/>
                    <w:rPr>
                      <w:rFonts w:hint="default"/>
                      <w:color w:val="auto"/>
                      <w:lang w:val="en-US" w:eastAsia="zh-CN"/>
                    </w:rPr>
                  </w:pPr>
                  <w:r>
                    <w:rPr>
                      <w:rFonts w:hint="eastAsia"/>
                      <w:color w:val="auto"/>
                      <w:lang w:val="en-US" w:eastAsia="zh-CN"/>
                    </w:rPr>
                    <w:t>293.49</w:t>
                  </w:r>
                </w:p>
              </w:tc>
              <w:tc>
                <w:tcPr>
                  <w:tcW w:w="810" w:type="pct"/>
                  <w:noWrap w:val="0"/>
                  <w:vAlign w:val="center"/>
                </w:tcPr>
                <w:p w14:paraId="0EFCEC5F">
                  <w:pPr>
                    <w:jc w:val="center"/>
                    <w:rPr>
                      <w:rFonts w:hint="default" w:eastAsia="宋体"/>
                      <w:color w:val="auto"/>
                      <w:lang w:val="en-US" w:eastAsia="zh-CN"/>
                    </w:rPr>
                  </w:pPr>
                  <w:r>
                    <w:rPr>
                      <w:rFonts w:hint="eastAsia"/>
                      <w:color w:val="auto"/>
                      <w:lang w:val="en-US" w:eastAsia="zh-CN"/>
                    </w:rPr>
                    <w:t>482.63</w:t>
                  </w:r>
                </w:p>
              </w:tc>
              <w:tc>
                <w:tcPr>
                  <w:tcW w:w="1156" w:type="pct"/>
                  <w:noWrap w:val="0"/>
                  <w:vAlign w:val="center"/>
                </w:tcPr>
                <w:p w14:paraId="33F8C337">
                  <w:pPr>
                    <w:pStyle w:val="43"/>
                    <w:bidi w:val="0"/>
                    <w:rPr>
                      <w:rFonts w:hint="default" w:eastAsia="宋体"/>
                      <w:color w:val="auto"/>
                      <w:lang w:val="en-US" w:eastAsia="zh-CN"/>
                    </w:rPr>
                  </w:pPr>
                  <w:r>
                    <w:rPr>
                      <w:rFonts w:hint="eastAsia"/>
                      <w:color w:val="auto"/>
                      <w:lang w:val="en-US" w:eastAsia="zh-CN"/>
                    </w:rPr>
                    <w:t>48.26</w:t>
                  </w:r>
                </w:p>
              </w:tc>
            </w:tr>
          </w:tbl>
          <w:p w14:paraId="4F91C811">
            <w:pPr>
              <w:pStyle w:val="45"/>
              <w:bidi w:val="0"/>
              <w:rPr>
                <w:rFonts w:hint="default"/>
                <w:color w:val="auto"/>
                <w:lang w:val="en-US" w:eastAsia="zh-CN"/>
              </w:rPr>
            </w:pPr>
            <w:r>
              <w:rPr>
                <w:rFonts w:hint="eastAsia"/>
                <w:color w:val="auto"/>
                <w:lang w:val="en-US" w:eastAsia="zh-CN"/>
              </w:rPr>
              <w:t>3废水环境影响分析</w:t>
            </w:r>
          </w:p>
          <w:p w14:paraId="206E3B31">
            <w:pPr>
              <w:pStyle w:val="46"/>
              <w:bidi w:val="0"/>
              <w:rPr>
                <w:rFonts w:hint="eastAsia"/>
                <w:color w:val="auto"/>
              </w:rPr>
            </w:pPr>
            <w:r>
              <w:rPr>
                <w:rFonts w:hint="eastAsia"/>
                <w:color w:val="auto"/>
              </w:rPr>
              <w:t>（1）生活污水</w:t>
            </w:r>
          </w:p>
          <w:p w14:paraId="473511DC">
            <w:pPr>
              <w:pStyle w:val="46"/>
              <w:bidi w:val="0"/>
              <w:rPr>
                <w:rFonts w:hint="eastAsia"/>
                <w:color w:val="auto"/>
              </w:rPr>
            </w:pPr>
            <w:r>
              <w:rPr>
                <w:rFonts w:hint="eastAsia"/>
                <w:color w:val="auto"/>
              </w:rPr>
              <w:t>本次探矿野外作业人员约</w:t>
            </w:r>
            <w:r>
              <w:rPr>
                <w:rFonts w:hint="eastAsia"/>
                <w:color w:val="auto"/>
                <w:lang w:val="en-US" w:eastAsia="zh-CN"/>
              </w:rPr>
              <w:t>10</w:t>
            </w:r>
            <w:r>
              <w:rPr>
                <w:rFonts w:hint="eastAsia"/>
                <w:color w:val="auto"/>
              </w:rPr>
              <w:t>人。勘探人员日常洗漱</w:t>
            </w:r>
            <w:r>
              <w:rPr>
                <w:rFonts w:hint="eastAsia"/>
                <w:color w:val="auto"/>
                <w:lang w:val="en-US" w:eastAsia="zh-CN"/>
              </w:rPr>
              <w:t>和</w:t>
            </w:r>
            <w:r>
              <w:rPr>
                <w:rFonts w:hint="eastAsia"/>
                <w:color w:val="auto"/>
              </w:rPr>
              <w:t>生活所产生的污水间断排放，主要含COD、BOD</w:t>
            </w:r>
            <w:r>
              <w:rPr>
                <w:rFonts w:hint="eastAsia"/>
                <w:color w:val="auto"/>
                <w:vertAlign w:val="subscript"/>
              </w:rPr>
              <w:t>5</w:t>
            </w:r>
            <w:r>
              <w:rPr>
                <w:rFonts w:hint="eastAsia"/>
                <w:color w:val="auto"/>
              </w:rPr>
              <w:t>、SS等污染物</w:t>
            </w:r>
            <w:r>
              <w:rPr>
                <w:rFonts w:hint="eastAsia"/>
                <w:color w:val="auto"/>
                <w:lang w:eastAsia="zh-CN"/>
              </w:rPr>
              <w:t>，</w:t>
            </w:r>
            <w:r>
              <w:rPr>
                <w:rFonts w:hint="eastAsia"/>
                <w:color w:val="auto"/>
                <w:lang w:val="en-US" w:eastAsia="zh-CN"/>
              </w:rPr>
              <w:t>勘探</w:t>
            </w:r>
            <w:r>
              <w:rPr>
                <w:rFonts w:hint="eastAsia"/>
                <w:color w:val="auto"/>
              </w:rPr>
              <w:t>期内共产生生活污水</w:t>
            </w:r>
            <w:r>
              <w:rPr>
                <w:rFonts w:hint="eastAsia"/>
                <w:color w:val="auto"/>
                <w:highlight w:val="none"/>
                <w:lang w:val="en-US" w:eastAsia="zh-CN"/>
              </w:rPr>
              <w:t>43.2</w:t>
            </w:r>
            <w:r>
              <w:rPr>
                <w:rFonts w:hint="eastAsia"/>
                <w:color w:val="auto"/>
              </w:rPr>
              <w:t>m</w:t>
            </w:r>
            <w:r>
              <w:rPr>
                <w:rFonts w:hint="eastAsia"/>
                <w:color w:val="auto"/>
                <w:vertAlign w:val="superscript"/>
              </w:rPr>
              <w:t>3</w:t>
            </w:r>
            <w:r>
              <w:rPr>
                <w:rFonts w:hint="eastAsia"/>
                <w:color w:val="auto"/>
              </w:rPr>
              <w:t>。生活污水包括粪便污水</w:t>
            </w:r>
            <w:r>
              <w:rPr>
                <w:rFonts w:hint="eastAsia"/>
                <w:color w:val="auto"/>
                <w:lang w:val="en-US" w:eastAsia="zh-CN"/>
              </w:rPr>
              <w:t>和洗漱用水</w:t>
            </w:r>
            <w:r>
              <w:rPr>
                <w:rFonts w:hint="eastAsia"/>
                <w:color w:val="auto"/>
              </w:rPr>
              <w:t>等，类比一般生活污水污染物产生浓度，主要污染物中COD、BOD</w:t>
            </w:r>
            <w:r>
              <w:rPr>
                <w:rFonts w:hint="eastAsia"/>
                <w:color w:val="auto"/>
                <w:vertAlign w:val="subscript"/>
                <w:lang w:val="en-US" w:eastAsia="zh-CN"/>
              </w:rPr>
              <w:t>5</w:t>
            </w:r>
            <w:r>
              <w:rPr>
                <w:rFonts w:hint="eastAsia"/>
                <w:color w:val="auto"/>
              </w:rPr>
              <w:t>、SS、NH</w:t>
            </w:r>
            <w:r>
              <w:rPr>
                <w:rFonts w:hint="eastAsia"/>
                <w:color w:val="auto"/>
                <w:vertAlign w:val="subscript"/>
                <w:lang w:val="en-US" w:eastAsia="zh-CN"/>
              </w:rPr>
              <w:t>4</w:t>
            </w:r>
            <w:r>
              <w:rPr>
                <w:rFonts w:hint="eastAsia"/>
                <w:color w:val="auto"/>
              </w:rPr>
              <w:t>-N、动植物油的排放浓度分别为</w:t>
            </w:r>
            <w:r>
              <w:rPr>
                <w:rFonts w:hint="eastAsia"/>
                <w:color w:val="auto"/>
                <w:lang w:eastAsia="zh-CN"/>
              </w:rPr>
              <w:t>：</w:t>
            </w:r>
            <w:r>
              <w:rPr>
                <w:rFonts w:hint="eastAsia"/>
                <w:color w:val="auto"/>
              </w:rPr>
              <w:t>320mg/m</w:t>
            </w:r>
            <w:r>
              <w:rPr>
                <w:rFonts w:hint="eastAsia"/>
                <w:color w:val="auto"/>
                <w:vertAlign w:val="superscript"/>
              </w:rPr>
              <w:t>3</w:t>
            </w:r>
            <w:r>
              <w:rPr>
                <w:rFonts w:hint="eastAsia"/>
                <w:color w:val="auto"/>
                <w:lang w:eastAsia="zh-CN"/>
              </w:rPr>
              <w:t>、</w:t>
            </w:r>
            <w:r>
              <w:rPr>
                <w:rFonts w:hint="eastAsia"/>
                <w:color w:val="auto"/>
              </w:rPr>
              <w:t>200mg/m</w:t>
            </w:r>
            <w:r>
              <w:rPr>
                <w:rFonts w:hint="eastAsia"/>
                <w:color w:val="auto"/>
                <w:vertAlign w:val="superscript"/>
              </w:rPr>
              <w:t>3</w:t>
            </w:r>
            <w:r>
              <w:rPr>
                <w:rFonts w:hint="eastAsia"/>
                <w:color w:val="auto"/>
              </w:rPr>
              <w:t>、360mg/m</w:t>
            </w:r>
            <w:r>
              <w:rPr>
                <w:rFonts w:hint="eastAsia"/>
                <w:color w:val="auto"/>
                <w:vertAlign w:val="superscript"/>
              </w:rPr>
              <w:t>3</w:t>
            </w:r>
            <w:r>
              <w:rPr>
                <w:rFonts w:hint="eastAsia"/>
                <w:color w:val="auto"/>
              </w:rPr>
              <w:t>、25mg/m</w:t>
            </w:r>
            <w:r>
              <w:rPr>
                <w:rFonts w:hint="eastAsia"/>
                <w:color w:val="auto"/>
                <w:vertAlign w:val="superscript"/>
              </w:rPr>
              <w:t>3</w:t>
            </w:r>
            <w:r>
              <w:rPr>
                <w:rFonts w:hint="eastAsia"/>
                <w:color w:val="auto"/>
              </w:rPr>
              <w:t>、30mg/m</w:t>
            </w:r>
            <w:r>
              <w:rPr>
                <w:rFonts w:hint="eastAsia"/>
                <w:color w:val="auto"/>
                <w:vertAlign w:val="superscript"/>
              </w:rPr>
              <w:t>3</w:t>
            </w:r>
            <w:r>
              <w:rPr>
                <w:rFonts w:hint="eastAsia"/>
                <w:color w:val="auto"/>
              </w:rPr>
              <w:t>。</w:t>
            </w:r>
            <w:r>
              <w:rPr>
                <w:rFonts w:hint="eastAsia"/>
                <w:color w:val="auto"/>
                <w:shd w:val="clear" w:color="auto" w:fill="auto"/>
                <w:lang w:val="en-US" w:eastAsia="zh-CN"/>
              </w:rPr>
              <w:t>生活污水排入一体化污水处理设施后，其出水标准可达到《农村生活污水处理排放标准》（DB654275-2019）表2中C级标准，用于洒水抑尘，全部自然蒸干，不与地表水体发生水力联系，对周围环境影响较小。</w:t>
            </w:r>
          </w:p>
          <w:p w14:paraId="4434AE69">
            <w:pPr>
              <w:pStyle w:val="46"/>
              <w:bidi w:val="0"/>
              <w:rPr>
                <w:rFonts w:hint="default"/>
                <w:color w:val="auto"/>
                <w:lang w:val="en-US" w:eastAsia="zh-CN"/>
              </w:rPr>
            </w:pPr>
            <w:r>
              <w:rPr>
                <w:rFonts w:hint="eastAsia"/>
                <w:color w:val="auto"/>
                <w:lang w:eastAsia="zh-CN"/>
              </w:rPr>
              <w:t>（</w:t>
            </w:r>
            <w:r>
              <w:rPr>
                <w:rFonts w:hint="eastAsia"/>
                <w:color w:val="auto"/>
                <w:lang w:val="en-US" w:eastAsia="zh-CN"/>
              </w:rPr>
              <w:t>2）设备冲洗水</w:t>
            </w:r>
          </w:p>
          <w:p w14:paraId="7287F039">
            <w:pPr>
              <w:pStyle w:val="46"/>
              <w:bidi w:val="0"/>
              <w:rPr>
                <w:rFonts w:hint="eastAsia"/>
                <w:color w:val="auto"/>
                <w:lang w:val="en-US" w:eastAsia="zh-CN"/>
              </w:rPr>
            </w:pPr>
            <w:r>
              <w:rPr>
                <w:rFonts w:hint="eastAsia"/>
                <w:color w:val="auto"/>
                <w:lang w:val="en-US" w:eastAsia="zh-CN"/>
              </w:rPr>
              <w:t>设备冲洗水经沉淀池处理后用于洒水降尘，蒸发逸散、不外排。</w:t>
            </w:r>
          </w:p>
          <w:p w14:paraId="3DB0CF09">
            <w:pPr>
              <w:pStyle w:val="45"/>
              <w:bidi w:val="0"/>
              <w:rPr>
                <w:rFonts w:hint="default"/>
                <w:color w:val="auto"/>
                <w:lang w:val="en-US" w:eastAsia="zh-CN"/>
              </w:rPr>
            </w:pPr>
            <w:r>
              <w:rPr>
                <w:rFonts w:hint="eastAsia"/>
                <w:color w:val="auto"/>
                <w:lang w:val="en-US" w:eastAsia="zh-CN"/>
              </w:rPr>
              <w:t>4</w:t>
            </w:r>
            <w:r>
              <w:rPr>
                <w:rFonts w:hint="default"/>
                <w:color w:val="auto"/>
                <w:lang w:val="en-US" w:eastAsia="zh-CN"/>
              </w:rPr>
              <w:t>噪声</w:t>
            </w:r>
            <w:r>
              <w:rPr>
                <w:rFonts w:hint="eastAsia"/>
                <w:color w:val="auto"/>
                <w:lang w:val="en-US" w:eastAsia="zh-CN"/>
              </w:rPr>
              <w:t>环境影响分析</w:t>
            </w:r>
          </w:p>
          <w:p w14:paraId="21E163C7">
            <w:pPr>
              <w:pStyle w:val="46"/>
              <w:bidi w:val="0"/>
              <w:rPr>
                <w:color w:val="auto"/>
              </w:rPr>
            </w:pPr>
            <w:r>
              <w:rPr>
                <w:rFonts w:hint="eastAsia"/>
                <w:color w:val="auto"/>
              </w:rPr>
              <w:t>根据工程分析可知，</w:t>
            </w:r>
            <w:r>
              <w:rPr>
                <w:rFonts w:hint="eastAsia"/>
                <w:color w:val="auto"/>
                <w:lang w:val="en-US" w:eastAsia="zh-CN"/>
              </w:rPr>
              <w:t>勘探</w:t>
            </w:r>
            <w:r>
              <w:rPr>
                <w:rFonts w:hint="eastAsia"/>
                <w:color w:val="auto"/>
              </w:rPr>
              <w:t>期的噪声来自</w:t>
            </w:r>
            <w:r>
              <w:rPr>
                <w:rFonts w:hint="eastAsia"/>
                <w:color w:val="auto"/>
                <w:lang w:val="en-US" w:eastAsia="zh-CN"/>
              </w:rPr>
              <w:t>柴油发电机</w:t>
            </w:r>
            <w:r>
              <w:rPr>
                <w:rFonts w:hint="eastAsia"/>
                <w:color w:val="auto"/>
              </w:rPr>
              <w:t>，噪声源强一般为</w:t>
            </w:r>
            <w:r>
              <w:rPr>
                <w:rFonts w:hint="eastAsia"/>
                <w:color w:val="auto"/>
                <w:lang w:val="en-US" w:eastAsia="zh-CN"/>
              </w:rPr>
              <w:t>80</w:t>
            </w:r>
            <w:r>
              <w:rPr>
                <w:rFonts w:hint="eastAsia"/>
                <w:color w:val="auto"/>
              </w:rPr>
              <w:t>~</w:t>
            </w:r>
            <w:r>
              <w:rPr>
                <w:rFonts w:hint="eastAsia"/>
                <w:color w:val="auto"/>
                <w:lang w:val="en-US" w:eastAsia="zh-CN"/>
              </w:rPr>
              <w:t>81</w:t>
            </w:r>
            <w:r>
              <w:rPr>
                <w:color w:val="auto"/>
              </w:rPr>
              <w:t>dB</w:t>
            </w:r>
            <w:r>
              <w:rPr>
                <w:rFonts w:hint="eastAsia"/>
                <w:color w:val="auto"/>
                <w:lang w:eastAsia="zh-CN"/>
              </w:rPr>
              <w:t>（</w:t>
            </w:r>
            <w:r>
              <w:rPr>
                <w:color w:val="auto"/>
              </w:rPr>
              <w:t>A</w:t>
            </w:r>
            <w:r>
              <w:rPr>
                <w:rFonts w:hint="eastAsia"/>
                <w:color w:val="auto"/>
                <w:lang w:eastAsia="zh-CN"/>
              </w:rPr>
              <w:t>）</w:t>
            </w:r>
            <w:r>
              <w:rPr>
                <w:rFonts w:hint="eastAsia"/>
                <w:color w:val="auto"/>
              </w:rPr>
              <w:t>，特点为暂时的短期间歇性行为，无规律性。</w:t>
            </w:r>
          </w:p>
          <w:p w14:paraId="193607A2">
            <w:pPr>
              <w:pStyle w:val="46"/>
              <w:bidi w:val="0"/>
              <w:rPr>
                <w:color w:val="auto"/>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lang w:val="en-US" w:eastAsia="zh-CN"/>
              </w:rPr>
              <w:t>勘探</w:t>
            </w:r>
            <w:r>
              <w:rPr>
                <w:rFonts w:hint="eastAsia"/>
                <w:color w:val="auto"/>
              </w:rPr>
              <w:t>期施工噪声预测</w:t>
            </w:r>
          </w:p>
          <w:p w14:paraId="22C90F4A">
            <w:pPr>
              <w:pStyle w:val="46"/>
              <w:bidi w:val="0"/>
              <w:rPr>
                <w:color w:val="auto"/>
              </w:rPr>
            </w:pPr>
            <w:r>
              <w:rPr>
                <w:rFonts w:hint="eastAsia"/>
                <w:color w:val="auto"/>
                <w:lang w:val="en-US" w:eastAsia="zh-CN"/>
              </w:rPr>
              <w:t>勘探</w:t>
            </w:r>
            <w:r>
              <w:rPr>
                <w:rFonts w:hint="eastAsia"/>
                <w:color w:val="auto"/>
              </w:rPr>
              <w:t>期施工噪声可近似视为点声源处理，其衰减模式如下：</w:t>
            </w:r>
          </w:p>
          <w:p w14:paraId="507BFE8D">
            <w:pPr>
              <w:pStyle w:val="46"/>
              <w:bidi w:val="0"/>
              <w:rPr>
                <w:color w:val="auto"/>
              </w:rPr>
            </w:pPr>
            <w:r>
              <w:rPr>
                <w:rFonts w:hint="eastAsia"/>
                <w:color w:val="auto"/>
              </w:rPr>
              <w:t>Lp=Lpo-20Lg</w:t>
            </w:r>
            <w:r>
              <w:rPr>
                <w:rFonts w:hint="eastAsia"/>
                <w:color w:val="auto"/>
                <w:lang w:eastAsia="zh-CN"/>
              </w:rPr>
              <w:t>（</w:t>
            </w:r>
            <w:r>
              <w:rPr>
                <w:rFonts w:hint="eastAsia"/>
                <w:color w:val="auto"/>
              </w:rPr>
              <w:t>r/ro</w:t>
            </w:r>
            <w:r>
              <w:rPr>
                <w:rFonts w:hint="eastAsia"/>
                <w:color w:val="auto"/>
                <w:lang w:eastAsia="zh-CN"/>
              </w:rPr>
              <w:t>）</w:t>
            </w:r>
            <w:r>
              <w:rPr>
                <w:rFonts w:hint="eastAsia"/>
                <w:color w:val="auto"/>
              </w:rPr>
              <w:t>－△L</w:t>
            </w:r>
          </w:p>
          <w:p w14:paraId="6D0C46DE">
            <w:pPr>
              <w:pStyle w:val="46"/>
              <w:bidi w:val="0"/>
              <w:rPr>
                <w:color w:val="auto"/>
              </w:rPr>
            </w:pPr>
            <w:r>
              <w:rPr>
                <w:rFonts w:hint="eastAsia"/>
                <w:color w:val="auto"/>
              </w:rPr>
              <w:t>式中：Lp——距声源rm处的施工噪声预测值，dB</w:t>
            </w:r>
            <w:r>
              <w:rPr>
                <w:rFonts w:hint="eastAsia"/>
                <w:color w:val="auto"/>
                <w:lang w:eastAsia="zh-CN"/>
              </w:rPr>
              <w:t>（</w:t>
            </w:r>
            <w:r>
              <w:rPr>
                <w:rFonts w:hint="eastAsia"/>
                <w:color w:val="auto"/>
              </w:rPr>
              <w:t>A</w:t>
            </w:r>
            <w:r>
              <w:rPr>
                <w:rFonts w:hint="eastAsia"/>
                <w:color w:val="auto"/>
                <w:lang w:eastAsia="zh-CN"/>
              </w:rPr>
              <w:t>）</w:t>
            </w:r>
            <w:r>
              <w:rPr>
                <w:rFonts w:hint="eastAsia"/>
                <w:color w:val="auto"/>
              </w:rPr>
              <w:t>；</w:t>
            </w:r>
          </w:p>
          <w:p w14:paraId="2693D5ED">
            <w:pPr>
              <w:pStyle w:val="46"/>
              <w:bidi w:val="0"/>
              <w:rPr>
                <w:color w:val="auto"/>
              </w:rPr>
            </w:pPr>
            <w:r>
              <w:rPr>
                <w:rFonts w:hint="eastAsia"/>
                <w:color w:val="auto"/>
              </w:rPr>
              <w:t xml:space="preserve">      Lpo——距声源rom处的参考声级，dB</w:t>
            </w:r>
            <w:r>
              <w:rPr>
                <w:rFonts w:hint="eastAsia"/>
                <w:color w:val="auto"/>
                <w:lang w:eastAsia="zh-CN"/>
              </w:rPr>
              <w:t>（</w:t>
            </w:r>
            <w:r>
              <w:rPr>
                <w:rFonts w:hint="eastAsia"/>
                <w:color w:val="auto"/>
              </w:rPr>
              <w:t>A</w:t>
            </w:r>
            <w:r>
              <w:rPr>
                <w:rFonts w:hint="eastAsia"/>
                <w:color w:val="auto"/>
                <w:lang w:eastAsia="zh-CN"/>
              </w:rPr>
              <w:t>）</w:t>
            </w:r>
            <w:r>
              <w:rPr>
                <w:rFonts w:hint="eastAsia"/>
                <w:color w:val="auto"/>
              </w:rPr>
              <w:t>；</w:t>
            </w:r>
          </w:p>
          <w:p w14:paraId="6B4D268E">
            <w:pPr>
              <w:pStyle w:val="46"/>
              <w:bidi w:val="0"/>
              <w:ind w:firstLine="1200" w:firstLineChars="500"/>
              <w:rPr>
                <w:color w:val="auto"/>
              </w:rPr>
            </w:pPr>
            <w:r>
              <w:rPr>
                <w:rFonts w:hint="eastAsia"/>
                <w:color w:val="auto"/>
              </w:rPr>
              <w:t>ro——Lpo噪声的测点距离（1m），m；</w:t>
            </w:r>
          </w:p>
          <w:p w14:paraId="7948DF02">
            <w:pPr>
              <w:pStyle w:val="46"/>
              <w:bidi w:val="0"/>
              <w:ind w:firstLine="1200" w:firstLineChars="500"/>
              <w:rPr>
                <w:color w:val="auto"/>
              </w:rPr>
            </w:pPr>
            <w:r>
              <w:rPr>
                <w:rFonts w:hint="eastAsia"/>
                <w:color w:val="auto"/>
              </w:rPr>
              <w:t>△L——采取各种措施后的噪声衰减量，dB</w:t>
            </w:r>
            <w:r>
              <w:rPr>
                <w:rFonts w:hint="eastAsia"/>
                <w:color w:val="auto"/>
                <w:lang w:eastAsia="zh-CN"/>
              </w:rPr>
              <w:t>（</w:t>
            </w:r>
            <w:r>
              <w:rPr>
                <w:rFonts w:hint="eastAsia"/>
                <w:color w:val="auto"/>
              </w:rPr>
              <w:t>A</w:t>
            </w:r>
            <w:r>
              <w:rPr>
                <w:rFonts w:hint="eastAsia"/>
                <w:color w:val="auto"/>
                <w:lang w:eastAsia="zh-CN"/>
              </w:rPr>
              <w:t>）</w:t>
            </w:r>
            <w:r>
              <w:rPr>
                <w:rFonts w:hint="eastAsia"/>
                <w:color w:val="auto"/>
              </w:rPr>
              <w:t>。</w:t>
            </w:r>
          </w:p>
          <w:p w14:paraId="563F8F27">
            <w:pPr>
              <w:pStyle w:val="46"/>
              <w:bidi w:val="0"/>
              <w:rPr>
                <w:color w:val="auto"/>
              </w:rPr>
            </w:pPr>
            <w:r>
              <w:rPr>
                <w:rFonts w:hint="eastAsia"/>
                <w:color w:val="auto"/>
                <w:lang w:val="en-US" w:eastAsia="zh-CN"/>
              </w:rPr>
              <w:t>勘探</w:t>
            </w:r>
            <w:r>
              <w:rPr>
                <w:rFonts w:hint="eastAsia"/>
                <w:color w:val="auto"/>
              </w:rPr>
              <w:t>期主要噪声源主要为</w:t>
            </w:r>
            <w:r>
              <w:rPr>
                <w:rFonts w:hint="eastAsia"/>
                <w:color w:val="auto"/>
                <w:lang w:val="en-US" w:eastAsia="zh-CN"/>
              </w:rPr>
              <w:t>柴油发电机</w:t>
            </w:r>
            <w:r>
              <w:rPr>
                <w:rFonts w:hint="eastAsia"/>
                <w:color w:val="auto"/>
              </w:rPr>
              <w:t>。</w:t>
            </w:r>
          </w:p>
          <w:p w14:paraId="49ED4594">
            <w:pPr>
              <w:pStyle w:val="46"/>
              <w:bidi w:val="0"/>
              <w:rPr>
                <w:color w:val="auto"/>
              </w:rPr>
            </w:pP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color w:val="auto"/>
                <w:lang w:val="en-US" w:eastAsia="zh-CN"/>
              </w:rPr>
              <w:t>勘探</w:t>
            </w:r>
            <w:r>
              <w:rPr>
                <w:rFonts w:hint="eastAsia"/>
                <w:color w:val="auto"/>
              </w:rPr>
              <w:t>期噪声预测结果及分析</w:t>
            </w:r>
          </w:p>
          <w:p w14:paraId="1E0D72AA">
            <w:pPr>
              <w:pStyle w:val="46"/>
              <w:bidi w:val="0"/>
              <w:rPr>
                <w:color w:val="auto"/>
              </w:rPr>
            </w:pPr>
            <w:r>
              <w:rPr>
                <w:rFonts w:hint="eastAsia"/>
                <w:color w:val="auto"/>
              </w:rPr>
              <w:t>运用上式对</w:t>
            </w:r>
            <w:r>
              <w:rPr>
                <w:rFonts w:hint="eastAsia"/>
                <w:color w:val="auto"/>
                <w:lang w:val="en-US" w:eastAsia="zh-CN"/>
              </w:rPr>
              <w:t>勘探过程中</w:t>
            </w:r>
            <w:r>
              <w:rPr>
                <w:rFonts w:hint="eastAsia"/>
                <w:color w:val="auto"/>
              </w:rPr>
              <w:t>机械噪声的环境影响进行预测计算，其结果如表</w:t>
            </w:r>
            <w:r>
              <w:rPr>
                <w:rFonts w:hint="eastAsia"/>
                <w:color w:val="auto"/>
                <w:lang w:val="en-US" w:eastAsia="zh-CN"/>
              </w:rPr>
              <w:t>4-3</w:t>
            </w:r>
            <w:r>
              <w:rPr>
                <w:rFonts w:hint="eastAsia"/>
                <w:color w:val="auto"/>
              </w:rPr>
              <w:t>所示。</w:t>
            </w:r>
          </w:p>
          <w:p w14:paraId="730093C9">
            <w:pPr>
              <w:pStyle w:val="47"/>
              <w:bidi w:val="0"/>
              <w:rPr>
                <w:color w:val="auto"/>
                <w:sz w:val="24"/>
                <w:szCs w:val="24"/>
                <w:highlight w:val="none"/>
              </w:rPr>
            </w:pPr>
            <w:r>
              <w:rPr>
                <w:rFonts w:hint="default"/>
                <w:color w:val="auto"/>
                <w:sz w:val="24"/>
                <w:szCs w:val="24"/>
                <w:highlight w:val="none"/>
              </w:rPr>
              <w:t>表</w:t>
            </w:r>
            <w:r>
              <w:rPr>
                <w:rFonts w:hint="default"/>
                <w:color w:val="auto"/>
                <w:sz w:val="24"/>
                <w:szCs w:val="24"/>
                <w:highlight w:val="none"/>
                <w:lang w:val="en-US" w:eastAsia="zh-CN"/>
              </w:rPr>
              <w:t>4-</w:t>
            </w:r>
            <w:r>
              <w:rPr>
                <w:rFonts w:hint="eastAsia"/>
                <w:color w:val="auto"/>
                <w:sz w:val="24"/>
                <w:szCs w:val="24"/>
                <w:highlight w:val="none"/>
                <w:lang w:val="en-US" w:eastAsia="zh-CN"/>
              </w:rPr>
              <w:t>3</w:t>
            </w:r>
            <w:r>
              <w:rPr>
                <w:rFonts w:hint="default"/>
                <w:color w:val="auto"/>
                <w:sz w:val="24"/>
                <w:szCs w:val="24"/>
                <w:highlight w:val="none"/>
              </w:rPr>
              <w:t xml:space="preserve">  </w:t>
            </w:r>
            <w:r>
              <w:rPr>
                <w:rFonts w:hint="eastAsia"/>
                <w:color w:val="auto"/>
                <w:sz w:val="24"/>
                <w:szCs w:val="24"/>
                <w:highlight w:val="none"/>
                <w:lang w:val="en-US" w:eastAsia="zh-CN"/>
              </w:rPr>
              <w:t xml:space="preserve"> </w:t>
            </w:r>
            <w:r>
              <w:rPr>
                <w:rFonts w:hint="default"/>
                <w:color w:val="auto"/>
                <w:sz w:val="24"/>
                <w:szCs w:val="24"/>
                <w:highlight w:val="none"/>
              </w:rPr>
              <w:t xml:space="preserve"> 项目主要</w:t>
            </w:r>
            <w:r>
              <w:rPr>
                <w:rFonts w:hint="eastAsia"/>
                <w:color w:val="auto"/>
                <w:sz w:val="24"/>
                <w:szCs w:val="24"/>
                <w:highlight w:val="none"/>
              </w:rPr>
              <w:t>机械在不同距离处的噪声预测值</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4"/>
              <w:gridCol w:w="485"/>
              <w:gridCol w:w="590"/>
              <w:gridCol w:w="590"/>
              <w:gridCol w:w="590"/>
              <w:gridCol w:w="590"/>
              <w:gridCol w:w="695"/>
              <w:gridCol w:w="695"/>
              <w:gridCol w:w="695"/>
              <w:gridCol w:w="695"/>
              <w:gridCol w:w="695"/>
            </w:tblGrid>
            <w:tr w14:paraId="0468A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051" w:type="pct"/>
                  <w:vMerge w:val="restart"/>
                  <w:noWrap w:val="0"/>
                  <w:vAlign w:val="center"/>
                </w:tcPr>
                <w:p w14:paraId="09E10876">
                  <w:pPr>
                    <w:pStyle w:val="43"/>
                    <w:bidi w:val="0"/>
                    <w:rPr>
                      <w:rFonts w:hint="default"/>
                      <w:color w:val="auto"/>
                    </w:rPr>
                  </w:pPr>
                  <w:r>
                    <w:rPr>
                      <w:rFonts w:hint="default"/>
                      <w:color w:val="auto"/>
                    </w:rPr>
                    <w:t>机械类型</w:t>
                  </w:r>
                </w:p>
              </w:tc>
              <w:tc>
                <w:tcPr>
                  <w:tcW w:w="3948" w:type="pct"/>
                  <w:gridSpan w:val="10"/>
                  <w:noWrap w:val="0"/>
                  <w:vAlign w:val="center"/>
                </w:tcPr>
                <w:p w14:paraId="2B3147DF">
                  <w:pPr>
                    <w:pStyle w:val="43"/>
                    <w:bidi w:val="0"/>
                    <w:rPr>
                      <w:rFonts w:hint="default"/>
                      <w:color w:val="auto"/>
                    </w:rPr>
                  </w:pPr>
                  <w:r>
                    <w:rPr>
                      <w:rFonts w:hint="default"/>
                      <w:color w:val="auto"/>
                    </w:rPr>
                    <w:t>噪声预测值</w:t>
                  </w:r>
                </w:p>
              </w:tc>
            </w:tr>
            <w:tr w14:paraId="53AAB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1" w:type="pct"/>
                  <w:vMerge w:val="continue"/>
                  <w:noWrap w:val="0"/>
                  <w:vAlign w:val="center"/>
                </w:tcPr>
                <w:p w14:paraId="7D1B61F6">
                  <w:pPr>
                    <w:pStyle w:val="43"/>
                    <w:bidi w:val="0"/>
                    <w:rPr>
                      <w:rFonts w:hint="default"/>
                      <w:color w:val="auto"/>
                    </w:rPr>
                  </w:pPr>
                </w:p>
              </w:tc>
              <w:tc>
                <w:tcPr>
                  <w:tcW w:w="300" w:type="pct"/>
                  <w:noWrap w:val="0"/>
                  <w:vAlign w:val="center"/>
                </w:tcPr>
                <w:p w14:paraId="1FFBA99D">
                  <w:pPr>
                    <w:pStyle w:val="43"/>
                    <w:bidi w:val="0"/>
                    <w:rPr>
                      <w:rFonts w:hint="default"/>
                      <w:color w:val="auto"/>
                    </w:rPr>
                  </w:pPr>
                  <w:r>
                    <w:rPr>
                      <w:rFonts w:hint="default"/>
                      <w:color w:val="auto"/>
                    </w:rPr>
                    <w:t>5m</w:t>
                  </w:r>
                </w:p>
              </w:tc>
              <w:tc>
                <w:tcPr>
                  <w:tcW w:w="367" w:type="pct"/>
                  <w:noWrap w:val="0"/>
                  <w:vAlign w:val="center"/>
                </w:tcPr>
                <w:p w14:paraId="06906382">
                  <w:pPr>
                    <w:pStyle w:val="43"/>
                    <w:bidi w:val="0"/>
                    <w:rPr>
                      <w:rFonts w:hint="default"/>
                      <w:color w:val="auto"/>
                    </w:rPr>
                  </w:pPr>
                  <w:r>
                    <w:rPr>
                      <w:rFonts w:hint="default"/>
                      <w:color w:val="auto"/>
                    </w:rPr>
                    <w:t>10m</w:t>
                  </w:r>
                </w:p>
              </w:tc>
              <w:tc>
                <w:tcPr>
                  <w:tcW w:w="367" w:type="pct"/>
                  <w:noWrap w:val="0"/>
                  <w:vAlign w:val="center"/>
                </w:tcPr>
                <w:p w14:paraId="4DF82818">
                  <w:pPr>
                    <w:pStyle w:val="43"/>
                    <w:bidi w:val="0"/>
                    <w:rPr>
                      <w:rFonts w:hint="default"/>
                      <w:color w:val="auto"/>
                    </w:rPr>
                  </w:pPr>
                  <w:r>
                    <w:rPr>
                      <w:rFonts w:hint="default"/>
                      <w:color w:val="auto"/>
                    </w:rPr>
                    <w:t>20m</w:t>
                  </w:r>
                </w:p>
              </w:tc>
              <w:tc>
                <w:tcPr>
                  <w:tcW w:w="368" w:type="pct"/>
                  <w:noWrap w:val="0"/>
                  <w:vAlign w:val="center"/>
                </w:tcPr>
                <w:p w14:paraId="448C9550">
                  <w:pPr>
                    <w:pStyle w:val="43"/>
                    <w:bidi w:val="0"/>
                    <w:rPr>
                      <w:rFonts w:hint="default"/>
                      <w:color w:val="auto"/>
                    </w:rPr>
                  </w:pPr>
                  <w:r>
                    <w:rPr>
                      <w:rFonts w:hint="default"/>
                      <w:color w:val="auto"/>
                    </w:rPr>
                    <w:t>50m</w:t>
                  </w:r>
                </w:p>
              </w:tc>
              <w:tc>
                <w:tcPr>
                  <w:tcW w:w="368" w:type="pct"/>
                  <w:noWrap w:val="0"/>
                  <w:vAlign w:val="center"/>
                </w:tcPr>
                <w:p w14:paraId="12FA6C60">
                  <w:pPr>
                    <w:pStyle w:val="43"/>
                    <w:bidi w:val="0"/>
                    <w:rPr>
                      <w:rFonts w:hint="default"/>
                      <w:color w:val="auto"/>
                    </w:rPr>
                  </w:pPr>
                  <w:r>
                    <w:rPr>
                      <w:rFonts w:hint="default"/>
                      <w:color w:val="auto"/>
                    </w:rPr>
                    <w:t>60m</w:t>
                  </w:r>
                </w:p>
              </w:tc>
              <w:tc>
                <w:tcPr>
                  <w:tcW w:w="432" w:type="pct"/>
                  <w:noWrap w:val="0"/>
                  <w:vAlign w:val="center"/>
                </w:tcPr>
                <w:p w14:paraId="5F15CA82">
                  <w:pPr>
                    <w:pStyle w:val="43"/>
                    <w:bidi w:val="0"/>
                    <w:rPr>
                      <w:rFonts w:hint="default"/>
                      <w:color w:val="auto"/>
                    </w:rPr>
                  </w:pPr>
                  <w:r>
                    <w:rPr>
                      <w:rFonts w:hint="default"/>
                      <w:color w:val="auto"/>
                    </w:rPr>
                    <w:t>100m</w:t>
                  </w:r>
                </w:p>
              </w:tc>
              <w:tc>
                <w:tcPr>
                  <w:tcW w:w="432" w:type="pct"/>
                  <w:noWrap w:val="0"/>
                  <w:vAlign w:val="center"/>
                </w:tcPr>
                <w:p w14:paraId="5E3C9B5A">
                  <w:pPr>
                    <w:pStyle w:val="43"/>
                    <w:bidi w:val="0"/>
                    <w:rPr>
                      <w:rFonts w:hint="default"/>
                      <w:color w:val="auto"/>
                    </w:rPr>
                  </w:pPr>
                  <w:r>
                    <w:rPr>
                      <w:rFonts w:hint="default"/>
                      <w:color w:val="auto"/>
                    </w:rPr>
                    <w:t>150m</w:t>
                  </w:r>
                </w:p>
              </w:tc>
              <w:tc>
                <w:tcPr>
                  <w:tcW w:w="432" w:type="pct"/>
                  <w:noWrap w:val="0"/>
                  <w:vAlign w:val="center"/>
                </w:tcPr>
                <w:p w14:paraId="01874583">
                  <w:pPr>
                    <w:pStyle w:val="43"/>
                    <w:bidi w:val="0"/>
                    <w:rPr>
                      <w:rFonts w:hint="default"/>
                      <w:color w:val="auto"/>
                    </w:rPr>
                  </w:pPr>
                  <w:r>
                    <w:rPr>
                      <w:rFonts w:hint="default"/>
                      <w:color w:val="auto"/>
                    </w:rPr>
                    <w:t>200m</w:t>
                  </w:r>
                </w:p>
              </w:tc>
              <w:tc>
                <w:tcPr>
                  <w:tcW w:w="432" w:type="pct"/>
                  <w:noWrap w:val="0"/>
                  <w:vAlign w:val="center"/>
                </w:tcPr>
                <w:p w14:paraId="51D5AB44">
                  <w:pPr>
                    <w:pStyle w:val="43"/>
                    <w:bidi w:val="0"/>
                    <w:rPr>
                      <w:rFonts w:hint="default"/>
                      <w:color w:val="auto"/>
                    </w:rPr>
                  </w:pPr>
                  <w:r>
                    <w:rPr>
                      <w:rFonts w:hint="default"/>
                      <w:color w:val="auto"/>
                    </w:rPr>
                    <w:t>300m</w:t>
                  </w:r>
                </w:p>
              </w:tc>
              <w:tc>
                <w:tcPr>
                  <w:tcW w:w="447" w:type="pct"/>
                  <w:noWrap w:val="0"/>
                  <w:vAlign w:val="center"/>
                </w:tcPr>
                <w:p w14:paraId="7927788B">
                  <w:pPr>
                    <w:pStyle w:val="43"/>
                    <w:bidi w:val="0"/>
                    <w:rPr>
                      <w:rFonts w:hint="default"/>
                      <w:color w:val="auto"/>
                    </w:rPr>
                  </w:pPr>
                  <w:r>
                    <w:rPr>
                      <w:rFonts w:hint="default"/>
                      <w:color w:val="auto"/>
                    </w:rPr>
                    <w:t>400m</w:t>
                  </w:r>
                </w:p>
              </w:tc>
            </w:tr>
            <w:tr w14:paraId="406EA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1051" w:type="pct"/>
                  <w:noWrap w:val="0"/>
                  <w:vAlign w:val="center"/>
                </w:tcPr>
                <w:p w14:paraId="115E223C">
                  <w:pPr>
                    <w:pStyle w:val="43"/>
                    <w:bidi w:val="0"/>
                    <w:rPr>
                      <w:rFonts w:hint="eastAsia" w:eastAsia="宋体"/>
                      <w:color w:val="auto"/>
                      <w:lang w:val="en-US" w:eastAsia="zh-CN"/>
                    </w:rPr>
                  </w:pPr>
                  <w:r>
                    <w:rPr>
                      <w:rFonts w:hint="eastAsia"/>
                      <w:color w:val="auto"/>
                      <w:lang w:val="en-US" w:eastAsia="zh-CN"/>
                    </w:rPr>
                    <w:t>柴油发电机</w:t>
                  </w:r>
                </w:p>
              </w:tc>
              <w:tc>
                <w:tcPr>
                  <w:tcW w:w="497" w:type="dxa"/>
                  <w:noWrap w:val="0"/>
                  <w:vAlign w:val="center"/>
                </w:tcPr>
                <w:p w14:paraId="5C6DBD92">
                  <w:pPr>
                    <w:pStyle w:val="43"/>
                    <w:bidi w:val="0"/>
                    <w:rPr>
                      <w:rFonts w:hint="default"/>
                      <w:color w:val="auto"/>
                    </w:rPr>
                  </w:pPr>
                  <w:r>
                    <w:rPr>
                      <w:rFonts w:hint="default"/>
                      <w:color w:val="auto"/>
                    </w:rPr>
                    <w:t>80</w:t>
                  </w:r>
                </w:p>
              </w:tc>
              <w:tc>
                <w:tcPr>
                  <w:tcW w:w="608" w:type="dxa"/>
                  <w:noWrap w:val="0"/>
                  <w:vAlign w:val="center"/>
                </w:tcPr>
                <w:p w14:paraId="43673C6A">
                  <w:pPr>
                    <w:pStyle w:val="43"/>
                    <w:bidi w:val="0"/>
                    <w:rPr>
                      <w:rFonts w:hint="default"/>
                      <w:color w:val="auto"/>
                    </w:rPr>
                  </w:pPr>
                  <w:r>
                    <w:rPr>
                      <w:rFonts w:hint="default"/>
                      <w:color w:val="auto"/>
                    </w:rPr>
                    <w:t>74</w:t>
                  </w:r>
                </w:p>
              </w:tc>
              <w:tc>
                <w:tcPr>
                  <w:tcW w:w="608" w:type="dxa"/>
                  <w:noWrap w:val="0"/>
                  <w:vAlign w:val="center"/>
                </w:tcPr>
                <w:p w14:paraId="17CED78B">
                  <w:pPr>
                    <w:pStyle w:val="43"/>
                    <w:bidi w:val="0"/>
                    <w:rPr>
                      <w:rFonts w:hint="default"/>
                      <w:color w:val="auto"/>
                    </w:rPr>
                  </w:pPr>
                  <w:r>
                    <w:rPr>
                      <w:rFonts w:hint="default"/>
                      <w:color w:val="auto"/>
                    </w:rPr>
                    <w:t>68</w:t>
                  </w:r>
                </w:p>
              </w:tc>
              <w:tc>
                <w:tcPr>
                  <w:tcW w:w="611" w:type="dxa"/>
                  <w:noWrap w:val="0"/>
                  <w:vAlign w:val="center"/>
                </w:tcPr>
                <w:p w14:paraId="175E1B53">
                  <w:pPr>
                    <w:pStyle w:val="43"/>
                    <w:bidi w:val="0"/>
                    <w:rPr>
                      <w:rFonts w:hint="default"/>
                      <w:color w:val="auto"/>
                    </w:rPr>
                  </w:pPr>
                  <w:r>
                    <w:rPr>
                      <w:rFonts w:hint="default"/>
                      <w:color w:val="auto"/>
                    </w:rPr>
                    <w:t>60</w:t>
                  </w:r>
                </w:p>
              </w:tc>
              <w:tc>
                <w:tcPr>
                  <w:tcW w:w="611" w:type="dxa"/>
                  <w:noWrap w:val="0"/>
                  <w:vAlign w:val="center"/>
                </w:tcPr>
                <w:p w14:paraId="5B9CDCDF">
                  <w:pPr>
                    <w:pStyle w:val="43"/>
                    <w:bidi w:val="0"/>
                    <w:rPr>
                      <w:rFonts w:hint="default"/>
                      <w:color w:val="auto"/>
                    </w:rPr>
                  </w:pPr>
                  <w:r>
                    <w:rPr>
                      <w:rFonts w:hint="default"/>
                      <w:color w:val="auto"/>
                    </w:rPr>
                    <w:t>58.4</w:t>
                  </w:r>
                </w:p>
              </w:tc>
              <w:tc>
                <w:tcPr>
                  <w:tcW w:w="717" w:type="dxa"/>
                  <w:noWrap w:val="0"/>
                  <w:vAlign w:val="center"/>
                </w:tcPr>
                <w:p w14:paraId="380C3593">
                  <w:pPr>
                    <w:pStyle w:val="43"/>
                    <w:bidi w:val="0"/>
                    <w:rPr>
                      <w:rFonts w:hint="default"/>
                      <w:color w:val="auto"/>
                    </w:rPr>
                  </w:pPr>
                  <w:r>
                    <w:rPr>
                      <w:rFonts w:hint="default"/>
                      <w:color w:val="auto"/>
                    </w:rPr>
                    <w:t>54</w:t>
                  </w:r>
                </w:p>
              </w:tc>
              <w:tc>
                <w:tcPr>
                  <w:tcW w:w="717" w:type="dxa"/>
                  <w:noWrap w:val="0"/>
                  <w:vAlign w:val="center"/>
                </w:tcPr>
                <w:p w14:paraId="4C75DB7C">
                  <w:pPr>
                    <w:pStyle w:val="43"/>
                    <w:bidi w:val="0"/>
                    <w:rPr>
                      <w:rFonts w:hint="default"/>
                      <w:color w:val="auto"/>
                    </w:rPr>
                  </w:pPr>
                  <w:r>
                    <w:rPr>
                      <w:rFonts w:hint="default"/>
                      <w:color w:val="auto"/>
                    </w:rPr>
                    <w:t>50.5</w:t>
                  </w:r>
                </w:p>
              </w:tc>
              <w:tc>
                <w:tcPr>
                  <w:tcW w:w="717" w:type="dxa"/>
                  <w:noWrap w:val="0"/>
                  <w:vAlign w:val="center"/>
                </w:tcPr>
                <w:p w14:paraId="529A846C">
                  <w:pPr>
                    <w:pStyle w:val="43"/>
                    <w:bidi w:val="0"/>
                    <w:rPr>
                      <w:rFonts w:hint="default"/>
                      <w:color w:val="auto"/>
                    </w:rPr>
                  </w:pPr>
                  <w:r>
                    <w:rPr>
                      <w:rFonts w:hint="default"/>
                      <w:color w:val="auto"/>
                    </w:rPr>
                    <w:t>48</w:t>
                  </w:r>
                </w:p>
              </w:tc>
              <w:tc>
                <w:tcPr>
                  <w:tcW w:w="717" w:type="dxa"/>
                  <w:noWrap w:val="0"/>
                  <w:vAlign w:val="center"/>
                </w:tcPr>
                <w:p w14:paraId="1E5D318B">
                  <w:pPr>
                    <w:pStyle w:val="43"/>
                    <w:bidi w:val="0"/>
                    <w:rPr>
                      <w:rFonts w:hint="default"/>
                      <w:color w:val="auto"/>
                    </w:rPr>
                  </w:pPr>
                  <w:r>
                    <w:rPr>
                      <w:rFonts w:hint="default"/>
                      <w:color w:val="auto"/>
                    </w:rPr>
                    <w:t>43.4</w:t>
                  </w:r>
                </w:p>
              </w:tc>
              <w:tc>
                <w:tcPr>
                  <w:tcW w:w="747" w:type="dxa"/>
                  <w:noWrap w:val="0"/>
                  <w:vAlign w:val="center"/>
                </w:tcPr>
                <w:p w14:paraId="55756740">
                  <w:pPr>
                    <w:pStyle w:val="43"/>
                    <w:bidi w:val="0"/>
                    <w:rPr>
                      <w:rFonts w:hint="default"/>
                      <w:color w:val="auto"/>
                    </w:rPr>
                  </w:pPr>
                  <w:r>
                    <w:rPr>
                      <w:rFonts w:hint="default"/>
                      <w:color w:val="auto"/>
                    </w:rPr>
                    <w:t>40.9</w:t>
                  </w:r>
                </w:p>
              </w:tc>
            </w:tr>
          </w:tbl>
          <w:p w14:paraId="0D10FCA6">
            <w:pPr>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default" w:ascii="Times New Roman" w:hAnsi="Times New Roman"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lang w:val="en-US" w:eastAsia="zh-CN"/>
              </w:rPr>
              <w:t>本项目夜间不进行工作，因此距场界50m处，</w:t>
            </w:r>
            <w:r>
              <w:rPr>
                <w:rFonts w:hint="default" w:ascii="Times New Roman" w:hAnsi="Times New Roman" w:eastAsia="宋体" w:cs="Times New Roman"/>
                <w:color w:val="auto"/>
                <w:kern w:val="0"/>
                <w:sz w:val="24"/>
                <w:lang w:val="en-US" w:eastAsia="zh-CN"/>
              </w:rPr>
              <w:t>昼间噪声均</w:t>
            </w:r>
            <w:r>
              <w:rPr>
                <w:rFonts w:hint="eastAsia" w:cs="Times New Roman"/>
                <w:color w:val="auto"/>
                <w:kern w:val="0"/>
                <w:sz w:val="24"/>
                <w:lang w:val="en-US" w:eastAsia="zh-CN"/>
              </w:rPr>
              <w:t>满足</w:t>
            </w:r>
            <w:r>
              <w:rPr>
                <w:rFonts w:hint="default" w:ascii="Times New Roman" w:hAnsi="Times New Roman" w:eastAsia="宋体" w:cs="Times New Roman"/>
                <w:color w:val="auto"/>
                <w:kern w:val="0"/>
                <w:sz w:val="24"/>
                <w:lang w:val="en-US" w:eastAsia="zh-CN"/>
              </w:rPr>
              <w:t>《建筑施工噪声排放标准》（GB12523-2025）</w:t>
            </w:r>
            <w:r>
              <w:rPr>
                <w:rFonts w:hint="eastAsia" w:ascii="Times New Roman" w:hAnsi="Times New Roman" w:eastAsia="宋体" w:cs="Times New Roman"/>
                <w:color w:val="auto"/>
                <w:kern w:val="0"/>
                <w:sz w:val="24"/>
                <w:lang w:val="en-US" w:eastAsia="zh-CN"/>
              </w:rPr>
              <w:t>标准。</w:t>
            </w:r>
            <w:r>
              <w:rPr>
                <w:rFonts w:hint="default" w:ascii="Times New Roman" w:hAnsi="Times New Roman" w:eastAsia="宋体" w:cs="Times New Roman"/>
                <w:color w:val="auto"/>
                <w:kern w:val="0"/>
                <w:sz w:val="24"/>
                <w:lang w:val="en-US" w:eastAsia="zh-CN"/>
              </w:rPr>
              <w:t>本</w:t>
            </w:r>
            <w:r>
              <w:rPr>
                <w:rFonts w:hint="default" w:ascii="Times New Roman" w:hAnsi="Times New Roman" w:cs="Times New Roman"/>
                <w:color w:val="auto"/>
                <w:kern w:val="0"/>
                <w:sz w:val="24"/>
                <w:szCs w:val="24"/>
                <w:highlight w:val="none"/>
                <w:lang w:val="en-US" w:eastAsia="zh-CN"/>
              </w:rPr>
              <w:t>项目周边10km范围内无居民区等声环境敏感点，因此本项目</w:t>
            </w:r>
            <w:r>
              <w:rPr>
                <w:rFonts w:hint="eastAsia" w:cs="Times New Roman"/>
                <w:color w:val="auto"/>
                <w:kern w:val="0"/>
                <w:sz w:val="24"/>
                <w:szCs w:val="24"/>
                <w:highlight w:val="none"/>
                <w:lang w:val="en-US" w:eastAsia="zh-CN"/>
              </w:rPr>
              <w:t>探</w:t>
            </w:r>
            <w:r>
              <w:rPr>
                <w:rFonts w:hint="default" w:ascii="Times New Roman" w:hAnsi="Times New Roman" w:cs="Times New Roman"/>
                <w:color w:val="auto"/>
                <w:kern w:val="0"/>
                <w:sz w:val="24"/>
                <w:szCs w:val="24"/>
                <w:highlight w:val="none"/>
                <w:lang w:val="en-US" w:eastAsia="zh-CN"/>
              </w:rPr>
              <w:t>矿区噪声对周围声环境影响很小，不会造成不良影响。</w:t>
            </w:r>
          </w:p>
          <w:p w14:paraId="566722E6">
            <w:pPr>
              <w:pStyle w:val="45"/>
              <w:bidi w:val="0"/>
              <w:rPr>
                <w:rFonts w:hint="default"/>
                <w:color w:val="auto"/>
                <w:lang w:val="en-US" w:eastAsia="zh-CN"/>
              </w:rPr>
            </w:pPr>
            <w:r>
              <w:rPr>
                <w:rFonts w:hint="eastAsia"/>
                <w:color w:val="auto"/>
                <w:lang w:val="en-US" w:eastAsia="zh-CN"/>
              </w:rPr>
              <w:t>5</w:t>
            </w:r>
            <w:r>
              <w:rPr>
                <w:color w:val="auto"/>
              </w:rPr>
              <w:t>固体废物</w:t>
            </w:r>
            <w:r>
              <w:rPr>
                <w:rFonts w:hint="eastAsia"/>
                <w:color w:val="auto"/>
                <w:lang w:val="en-US" w:eastAsia="zh-CN"/>
              </w:rPr>
              <w:t>环境影响分析</w:t>
            </w:r>
          </w:p>
          <w:p w14:paraId="1711737F">
            <w:pPr>
              <w:pStyle w:val="46"/>
              <w:bidi w:val="0"/>
              <w:rPr>
                <w:rFonts w:hint="eastAsia"/>
                <w:color w:val="auto"/>
              </w:rPr>
            </w:pPr>
            <w:r>
              <w:rPr>
                <w:rFonts w:hint="eastAsia"/>
                <w:color w:val="auto"/>
              </w:rPr>
              <w:t>本项目固体废物主要为</w:t>
            </w:r>
            <w:r>
              <w:rPr>
                <w:rFonts w:hint="eastAsia"/>
                <w:color w:val="auto"/>
                <w:lang w:eastAsia="zh-CN"/>
              </w:rPr>
              <w:t>槽探开挖</w:t>
            </w:r>
            <w:r>
              <w:rPr>
                <w:rFonts w:hint="eastAsia"/>
                <w:color w:val="auto"/>
              </w:rPr>
              <w:t>产生的临时土石方、员工的生活垃圾等。</w:t>
            </w:r>
          </w:p>
          <w:p w14:paraId="0B3FF9A2">
            <w:pPr>
              <w:pStyle w:val="46"/>
              <w:bidi w:val="0"/>
              <w:rPr>
                <w:rFonts w:hint="eastAsia" w:eastAsia="宋体"/>
                <w:color w:val="auto"/>
                <w:lang w:val="en-US" w:eastAsia="zh-CN"/>
              </w:rPr>
            </w:pPr>
            <w:r>
              <w:rPr>
                <w:rFonts w:hint="eastAsia"/>
                <w:color w:val="auto"/>
              </w:rPr>
              <w:t>（1）</w:t>
            </w:r>
            <w:r>
              <w:rPr>
                <w:rFonts w:hint="eastAsia"/>
                <w:color w:val="auto"/>
                <w:lang w:val="en-US" w:eastAsia="zh-CN"/>
              </w:rPr>
              <w:t>土石方</w:t>
            </w:r>
          </w:p>
          <w:p w14:paraId="2E50376B">
            <w:pPr>
              <w:pStyle w:val="46"/>
              <w:bidi w:val="0"/>
              <w:rPr>
                <w:rFonts w:hint="eastAsia"/>
                <w:color w:val="auto"/>
              </w:rPr>
            </w:pPr>
            <w:r>
              <w:rPr>
                <w:rFonts w:hint="eastAsia"/>
                <w:color w:val="auto"/>
              </w:rPr>
              <w:t>根据工程分析，</w:t>
            </w:r>
            <w:r>
              <w:rPr>
                <w:rFonts w:hint="eastAsia"/>
                <w:color w:val="auto"/>
                <w:lang w:val="en-US" w:eastAsia="zh-CN"/>
              </w:rPr>
              <w:t>本项目</w:t>
            </w:r>
            <w:r>
              <w:rPr>
                <w:rFonts w:hint="eastAsia"/>
                <w:color w:val="auto"/>
              </w:rPr>
              <w:t>勘探期</w:t>
            </w:r>
            <w:r>
              <w:rPr>
                <w:rFonts w:hint="eastAsia"/>
                <w:color w:val="auto"/>
                <w:lang w:val="en-US" w:eastAsia="zh-CN"/>
              </w:rPr>
              <w:t>的</w:t>
            </w:r>
            <w:r>
              <w:rPr>
                <w:rFonts w:hint="eastAsia"/>
                <w:color w:val="auto"/>
              </w:rPr>
              <w:t>土石方主要</w:t>
            </w:r>
            <w:r>
              <w:rPr>
                <w:rFonts w:hint="eastAsia"/>
                <w:color w:val="auto"/>
                <w:lang w:val="en-US" w:eastAsia="zh-CN"/>
              </w:rPr>
              <w:t>是</w:t>
            </w:r>
            <w:r>
              <w:rPr>
                <w:rFonts w:hint="eastAsia"/>
                <w:color w:val="auto"/>
                <w:sz w:val="24"/>
                <w:highlight w:val="none"/>
              </w:rPr>
              <w:t>槽探、</w:t>
            </w:r>
            <w:r>
              <w:rPr>
                <w:rFonts w:hint="eastAsia"/>
                <w:color w:val="auto"/>
                <w:sz w:val="24"/>
                <w:highlight w:val="none"/>
                <w:lang w:val="en-US" w:eastAsia="zh-CN"/>
              </w:rPr>
              <w:t>钻探过程中</w:t>
            </w:r>
            <w:r>
              <w:rPr>
                <w:rFonts w:hint="eastAsia"/>
                <w:color w:val="auto"/>
              </w:rPr>
              <w:t>产生的，</w:t>
            </w:r>
            <w:r>
              <w:rPr>
                <w:rFonts w:hint="eastAsia"/>
                <w:color w:val="auto"/>
                <w:sz w:val="24"/>
                <w:highlight w:val="none"/>
              </w:rPr>
              <w:t>属于一般固废</w:t>
            </w:r>
            <w:r>
              <w:rPr>
                <w:rFonts w:hint="eastAsia"/>
                <w:color w:val="auto"/>
                <w:sz w:val="24"/>
                <w:highlight w:val="none"/>
                <w:lang w:eastAsia="zh-CN"/>
              </w:rPr>
              <w:t>，</w:t>
            </w:r>
            <w:r>
              <w:rPr>
                <w:rFonts w:hint="eastAsia"/>
                <w:color w:val="auto"/>
                <w:sz w:val="24"/>
                <w:highlight w:val="none"/>
                <w:lang w:val="en-US" w:eastAsia="zh-CN"/>
              </w:rPr>
              <w:t>挖出后堆放在槽探区一侧</w:t>
            </w:r>
            <w:r>
              <w:rPr>
                <w:rFonts w:hint="eastAsia"/>
                <w:color w:val="auto"/>
              </w:rPr>
              <w:t>，</w:t>
            </w:r>
            <w:r>
              <w:rPr>
                <w:rFonts w:hint="eastAsia"/>
                <w:color w:val="auto"/>
                <w:sz w:val="24"/>
                <w:highlight w:val="none"/>
                <w:lang w:val="en-US" w:eastAsia="zh-CN"/>
              </w:rPr>
              <w:t>使用彩条布覆盖并定期洒水，</w:t>
            </w:r>
            <w:r>
              <w:rPr>
                <w:rFonts w:hint="eastAsia"/>
                <w:color w:val="auto"/>
              </w:rPr>
              <w:t>待工程结束后土石方全部回填于原位并进行平整，防止水土流失，无弃土产生，对周边环境影响较小。</w:t>
            </w:r>
          </w:p>
          <w:p w14:paraId="3FE2410A">
            <w:pPr>
              <w:pStyle w:val="46"/>
              <w:bidi w:val="0"/>
              <w:rPr>
                <w:rFonts w:hint="eastAsia"/>
                <w:color w:val="auto"/>
                <w:lang w:val="en-US" w:eastAsia="zh-CN"/>
              </w:rPr>
            </w:pP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color w:val="auto"/>
                <w:sz w:val="24"/>
                <w:highlight w:val="none"/>
                <w:lang w:eastAsia="zh-CN"/>
              </w:rPr>
              <w:t>钻井岩芯</w:t>
            </w:r>
            <w:r>
              <w:rPr>
                <w:rFonts w:hint="eastAsia"/>
                <w:color w:val="auto"/>
                <w:sz w:val="24"/>
                <w:highlight w:val="none"/>
              </w:rPr>
              <w:t>和泥浆</w:t>
            </w:r>
          </w:p>
          <w:p w14:paraId="0CC91BF2">
            <w:pPr>
              <w:spacing w:line="520" w:lineRule="exact"/>
              <w:ind w:firstLine="480" w:firstLineChars="200"/>
              <w:rPr>
                <w:rFonts w:hint="eastAsia"/>
                <w:b w:val="0"/>
                <w:bCs w:val="0"/>
                <w:color w:val="auto"/>
                <w:sz w:val="24"/>
                <w:highlight w:val="none"/>
              </w:rPr>
            </w:pPr>
            <w:r>
              <w:rPr>
                <w:rFonts w:hint="eastAsia"/>
                <w:b w:val="0"/>
                <w:bCs w:val="0"/>
                <w:color w:val="auto"/>
                <w:sz w:val="24"/>
                <w:highlight w:val="none"/>
                <w:lang w:val="en-US" w:eastAsia="zh-CN"/>
              </w:rPr>
              <w:t>本项目钻探过程钻取的</w:t>
            </w:r>
            <w:r>
              <w:rPr>
                <w:rFonts w:hint="eastAsia"/>
                <w:b w:val="0"/>
                <w:bCs w:val="0"/>
                <w:color w:val="auto"/>
                <w:sz w:val="24"/>
                <w:highlight w:val="none"/>
                <w:lang w:eastAsia="zh-CN"/>
              </w:rPr>
              <w:t>钻井岩芯</w:t>
            </w:r>
            <w:r>
              <w:rPr>
                <w:rFonts w:hint="eastAsia"/>
                <w:b w:val="0"/>
                <w:bCs w:val="0"/>
                <w:color w:val="auto"/>
                <w:sz w:val="24"/>
                <w:highlight w:val="none"/>
              </w:rPr>
              <w:t>由地质勘探队统一收集，最终交至单位</w:t>
            </w:r>
            <w:r>
              <w:rPr>
                <w:rFonts w:hint="eastAsia"/>
                <w:b w:val="0"/>
                <w:bCs w:val="0"/>
                <w:color w:val="auto"/>
                <w:sz w:val="24"/>
                <w:highlight w:val="none"/>
                <w:lang w:eastAsia="zh-CN"/>
              </w:rPr>
              <w:t>岩芯</w:t>
            </w:r>
            <w:r>
              <w:rPr>
                <w:rFonts w:hint="eastAsia"/>
                <w:b w:val="0"/>
                <w:bCs w:val="0"/>
                <w:color w:val="auto"/>
                <w:sz w:val="24"/>
                <w:highlight w:val="none"/>
              </w:rPr>
              <w:t>库统一保管，不能随意丢弃。</w:t>
            </w:r>
          </w:p>
          <w:p w14:paraId="7259FF64">
            <w:pPr>
              <w:spacing w:line="520" w:lineRule="exact"/>
              <w:ind w:firstLine="480" w:firstLineChars="200"/>
              <w:rPr>
                <w:color w:val="auto"/>
              </w:rPr>
            </w:pPr>
            <w:r>
              <w:rPr>
                <w:rFonts w:hint="eastAsia"/>
                <w:color w:val="auto"/>
                <w:sz w:val="24"/>
                <w:highlight w:val="none"/>
                <w:lang w:val="en-US" w:eastAsia="zh-CN"/>
              </w:rPr>
              <w:t>本项目废弃钻井泥浆产生量约为9.6m</w:t>
            </w:r>
            <w:r>
              <w:rPr>
                <w:rFonts w:hint="eastAsia"/>
                <w:color w:val="auto"/>
                <w:sz w:val="24"/>
                <w:highlight w:val="none"/>
                <w:vertAlign w:val="superscript"/>
                <w:lang w:val="en-US" w:eastAsia="zh-CN"/>
              </w:rPr>
              <w:t>3</w:t>
            </w:r>
            <w:r>
              <w:rPr>
                <w:rFonts w:hint="eastAsia"/>
                <w:color w:val="auto"/>
                <w:sz w:val="24"/>
                <w:highlight w:val="none"/>
                <w:vertAlign w:val="baseline"/>
                <w:lang w:val="en-US" w:eastAsia="zh-CN"/>
              </w:rPr>
              <w:t>，项目使用的泥浆</w:t>
            </w:r>
            <w:r>
              <w:rPr>
                <w:rFonts w:hint="eastAsia"/>
                <w:color w:val="auto"/>
                <w:sz w:val="24"/>
                <w:highlight w:val="none"/>
                <w:lang w:val="en-US" w:eastAsia="zh-CN"/>
              </w:rPr>
              <w:t>为水基钻井泥浆，以粘土、水作为基础配浆材料，本项目采用的水基泥浆钻</w:t>
            </w:r>
            <w:r>
              <w:rPr>
                <w:rFonts w:hint="eastAsia"/>
                <w:color w:val="auto"/>
                <w:sz w:val="24"/>
                <w:lang w:val="en-US" w:eastAsia="zh-CN"/>
              </w:rPr>
              <w:t>井泥浆属无毒无害物质，呈碱性。不含易燃、易爆、有毒物质，循环使用，待工程结束后</w:t>
            </w:r>
            <w:r>
              <w:rPr>
                <w:rFonts w:hint="eastAsia"/>
                <w:color w:val="auto"/>
                <w:sz w:val="24"/>
              </w:rPr>
              <w:t>，</w:t>
            </w:r>
            <w:r>
              <w:rPr>
                <w:rFonts w:hint="eastAsia"/>
                <w:color w:val="auto"/>
                <w:sz w:val="24"/>
                <w:lang w:val="en-US" w:eastAsia="zh-CN"/>
              </w:rPr>
              <w:t>固化填埋。</w:t>
            </w:r>
          </w:p>
          <w:p w14:paraId="55D57CB8">
            <w:pPr>
              <w:pStyle w:val="46"/>
              <w:bidi w:val="0"/>
              <w:rPr>
                <w:rFonts w:hint="eastAsia"/>
                <w:color w:val="auto"/>
              </w:rPr>
            </w:pPr>
            <w:r>
              <w:rPr>
                <w:rFonts w:hint="eastAsia"/>
                <w:color w:val="auto"/>
              </w:rPr>
              <w:t>（</w:t>
            </w:r>
            <w:r>
              <w:rPr>
                <w:rFonts w:hint="eastAsia"/>
                <w:color w:val="auto"/>
                <w:lang w:val="en-US" w:eastAsia="zh-CN"/>
              </w:rPr>
              <w:t>3</w:t>
            </w:r>
            <w:r>
              <w:rPr>
                <w:rFonts w:hint="eastAsia"/>
                <w:color w:val="auto"/>
              </w:rPr>
              <w:t>）生活垃圾</w:t>
            </w:r>
          </w:p>
          <w:p w14:paraId="05B0E9BB">
            <w:pPr>
              <w:pStyle w:val="46"/>
              <w:bidi w:val="0"/>
              <w:rPr>
                <w:rFonts w:hint="eastAsia"/>
                <w:color w:val="auto"/>
                <w:shd w:val="clear" w:color="auto" w:fill="auto"/>
                <w:lang w:eastAsia="zh-CN"/>
              </w:rPr>
            </w:pPr>
            <w:r>
              <w:rPr>
                <w:rFonts w:hint="eastAsia"/>
                <w:color w:val="auto"/>
              </w:rPr>
              <w:t>来自勘探人员日常生活，以纸张、塑料瓶为主，属一般固废。本项目野外探矿作业人员约</w:t>
            </w:r>
            <w:r>
              <w:rPr>
                <w:rFonts w:hint="eastAsia"/>
                <w:color w:val="auto"/>
                <w:lang w:val="en-US" w:eastAsia="zh-CN"/>
              </w:rPr>
              <w:t>10</w:t>
            </w:r>
            <w:r>
              <w:rPr>
                <w:rFonts w:hint="eastAsia"/>
                <w:color w:val="auto"/>
              </w:rPr>
              <w:t>人，</w:t>
            </w:r>
            <w:r>
              <w:rPr>
                <w:rFonts w:hint="eastAsia"/>
                <w:color w:val="auto"/>
                <w:lang w:val="en-US" w:eastAsia="zh-CN"/>
              </w:rPr>
              <w:t>勘</w:t>
            </w:r>
            <w:r>
              <w:rPr>
                <w:rFonts w:hint="eastAsia"/>
                <w:color w:val="auto"/>
                <w:highlight w:val="none"/>
                <w:lang w:val="en-US" w:eastAsia="zh-CN"/>
              </w:rPr>
              <w:t>探期共工作180d</w:t>
            </w:r>
            <w:r>
              <w:rPr>
                <w:rFonts w:hint="eastAsia"/>
                <w:color w:val="auto"/>
                <w:highlight w:val="none"/>
              </w:rPr>
              <w:t>。按每人每天产生0.5kg生活垃圾计算，则生活垃圾产生量为</w:t>
            </w:r>
            <w:r>
              <w:rPr>
                <w:rFonts w:hint="eastAsia"/>
                <w:color w:val="auto"/>
                <w:highlight w:val="none"/>
                <w:lang w:val="en-US" w:eastAsia="zh-CN"/>
              </w:rPr>
              <w:t>0.9</w:t>
            </w:r>
            <w:r>
              <w:rPr>
                <w:rFonts w:hint="eastAsia"/>
                <w:color w:val="auto"/>
                <w:highlight w:val="none"/>
              </w:rPr>
              <w:t>t</w:t>
            </w:r>
            <w:r>
              <w:rPr>
                <w:rFonts w:hint="eastAsia"/>
                <w:color w:val="auto"/>
                <w:highlight w:val="none"/>
                <w:lang w:eastAsia="zh-CN"/>
              </w:rPr>
              <w:t>，施工营地内设置一定数量</w:t>
            </w:r>
            <w:r>
              <w:rPr>
                <w:rFonts w:hint="eastAsia"/>
                <w:color w:val="auto"/>
                <w:lang w:eastAsia="zh-CN"/>
              </w:rPr>
              <w:t>的垃圾桶，用于临时存放生活垃圾，</w:t>
            </w:r>
            <w:r>
              <w:rPr>
                <w:rFonts w:hint="eastAsia"/>
                <w:color w:val="auto"/>
                <w:shd w:val="clear" w:color="auto" w:fill="auto"/>
                <w:lang w:eastAsia="zh-CN"/>
              </w:rPr>
              <w:t>最终统一收集后</w:t>
            </w:r>
            <w:r>
              <w:rPr>
                <w:rFonts w:hint="eastAsia"/>
                <w:color w:val="auto"/>
                <w:shd w:val="clear" w:color="auto" w:fill="auto"/>
                <w:lang w:val="en-US" w:eastAsia="zh-CN"/>
              </w:rPr>
              <w:t>交由附近村镇环卫部门处置</w:t>
            </w:r>
            <w:r>
              <w:rPr>
                <w:rFonts w:hint="eastAsia"/>
                <w:color w:val="auto"/>
                <w:shd w:val="clear" w:color="auto" w:fill="auto"/>
                <w:lang w:eastAsia="zh-CN"/>
              </w:rPr>
              <w:t>。</w:t>
            </w:r>
          </w:p>
          <w:p w14:paraId="7F2F9D69">
            <w:pPr>
              <w:adjustRightInd w:val="0"/>
              <w:snapToGrid w:val="0"/>
              <w:rPr>
                <w:rFonts w:ascii="宋体" w:hAnsi="宋体" w:cs="宋体"/>
                <w:bCs/>
                <w:color w:val="auto"/>
                <w:szCs w:val="21"/>
              </w:rPr>
            </w:pPr>
          </w:p>
        </w:tc>
      </w:tr>
      <w:tr w14:paraId="1CD3F1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31" w:hRule="atLeast"/>
          <w:jc w:val="center"/>
        </w:trPr>
        <w:tc>
          <w:tcPr>
            <w:tcW w:w="464" w:type="pct"/>
            <w:noWrap w:val="0"/>
            <w:vAlign w:val="center"/>
          </w:tcPr>
          <w:p w14:paraId="5CBC10D6">
            <w:pPr>
              <w:pStyle w:val="17"/>
              <w:adjustRightInd w:val="0"/>
              <w:snapToGrid w:val="0"/>
              <w:spacing w:before="0" w:beforeAutospacing="0" w:after="0" w:afterAutospacing="0"/>
              <w:jc w:val="center"/>
              <w:rPr>
                <w:rFonts w:cs="宋体"/>
                <w:bCs/>
                <w:color w:val="auto"/>
                <w:kern w:val="2"/>
                <w:sz w:val="21"/>
                <w:szCs w:val="21"/>
              </w:rPr>
            </w:pPr>
            <w:r>
              <w:rPr>
                <w:rFonts w:hint="eastAsia" w:cs="宋体"/>
                <w:bCs/>
                <w:color w:val="auto"/>
                <w:kern w:val="2"/>
                <w:sz w:val="21"/>
                <w:szCs w:val="21"/>
              </w:rPr>
              <w:t>选址选线环境合理性分析</w:t>
            </w:r>
          </w:p>
        </w:tc>
        <w:tc>
          <w:tcPr>
            <w:tcW w:w="4535" w:type="pct"/>
            <w:noWrap w:val="0"/>
            <w:vAlign w:val="top"/>
          </w:tcPr>
          <w:p w14:paraId="792DCEBC">
            <w:pPr>
              <w:pStyle w:val="46"/>
              <w:bidi w:val="0"/>
              <w:rPr>
                <w:color w:val="auto"/>
              </w:rPr>
            </w:pPr>
            <w:r>
              <w:rPr>
                <w:rFonts w:hint="eastAsia"/>
                <w:color w:val="auto"/>
                <w:highlight w:val="none"/>
                <w:lang w:val="en-US" w:eastAsia="zh-CN"/>
              </w:rPr>
              <w:t>勘探</w:t>
            </w:r>
            <w:r>
              <w:rPr>
                <w:rFonts w:hint="eastAsia"/>
                <w:color w:val="auto"/>
                <w:highlight w:val="none"/>
              </w:rPr>
              <w:t>区位于</w:t>
            </w:r>
            <w:r>
              <w:rPr>
                <w:rFonts w:hint="eastAsia"/>
                <w:color w:val="auto"/>
              </w:rPr>
              <w:t>新疆维吾尔自治区</w:t>
            </w:r>
            <w:r>
              <w:rPr>
                <w:rFonts w:hint="eastAsia"/>
                <w:color w:val="auto"/>
                <w:lang w:val="en-US" w:eastAsia="zh-CN"/>
              </w:rPr>
              <w:t>巴音郭楞蒙古自治州且末县库拉木勒克乡，距且末县城东南95°方向约122km处</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勘探</w:t>
            </w:r>
            <w:r>
              <w:rPr>
                <w:rFonts w:hint="default" w:ascii="Times New Roman" w:hAnsi="Times New Roman" w:cs="Times New Roman"/>
                <w:color w:val="auto"/>
                <w:highlight w:val="none"/>
              </w:rPr>
              <w:t>区中心点坐标</w:t>
            </w:r>
            <w:r>
              <w:rPr>
                <w:rFonts w:hint="eastAsia" w:cs="Times New Roman"/>
                <w:color w:val="auto"/>
                <w:highlight w:val="none"/>
                <w:lang w:eastAsia="zh-CN"/>
              </w:rPr>
              <w:t>：</w:t>
            </w:r>
            <w:r>
              <w:rPr>
                <w:rFonts w:hint="default" w:ascii="Times New Roman" w:hAnsi="Times New Roman" w:cs="Times New Roman"/>
                <w:color w:val="auto"/>
                <w:szCs w:val="21"/>
                <w:lang w:val="en-US" w:eastAsia="zh-CN"/>
              </w:rPr>
              <w:t>东经</w:t>
            </w:r>
            <w:r>
              <w:rPr>
                <w:rFonts w:hint="default" w:ascii="Times New Roman" w:hAnsi="Times New Roman" w:cs="Times New Roman"/>
                <w:color w:val="auto"/>
                <w:szCs w:val="21"/>
              </w:rPr>
              <w:t>86°56′8.727″</w:t>
            </w:r>
            <w:r>
              <w:rPr>
                <w:rFonts w:hint="default" w:ascii="Times New Roman" w:hAnsi="Times New Roman" w:cs="Times New Roman"/>
                <w:color w:val="auto"/>
                <w:szCs w:val="21"/>
                <w:lang w:eastAsia="zh-CN"/>
              </w:rPr>
              <w:t>，</w:t>
            </w:r>
            <w:r>
              <w:rPr>
                <w:rFonts w:hint="default" w:ascii="Times New Roman" w:hAnsi="Times New Roman" w:cs="Times New Roman"/>
                <w:color w:val="auto"/>
                <w:szCs w:val="21"/>
                <w:lang w:val="en-US" w:eastAsia="zh-CN"/>
              </w:rPr>
              <w:t>北纬</w:t>
            </w:r>
            <w:r>
              <w:rPr>
                <w:rFonts w:hint="default" w:ascii="Times New Roman" w:hAnsi="Times New Roman" w:cs="Times New Roman"/>
                <w:color w:val="auto"/>
                <w:szCs w:val="21"/>
              </w:rPr>
              <w:t>38°6′44.227″</w:t>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highlight w:val="none"/>
              </w:rPr>
              <w:t>工作区面积</w:t>
            </w:r>
            <w:r>
              <w:rPr>
                <w:rFonts w:hint="eastAsia" w:cs="Times New Roman"/>
                <w:color w:val="auto"/>
                <w:highlight w:val="none"/>
                <w:lang w:val="en-US" w:eastAsia="zh-CN"/>
              </w:rPr>
              <w:t>3.2</w:t>
            </w:r>
            <w:r>
              <w:rPr>
                <w:rFonts w:hint="default" w:ascii="Times New Roman" w:hAnsi="Times New Roman" w:cs="Times New Roman"/>
                <w:color w:val="auto"/>
                <w:highlight w:val="none"/>
              </w:rPr>
              <w:t>平方</w:t>
            </w:r>
            <w:r>
              <w:rPr>
                <w:rFonts w:hint="default" w:ascii="Times New Roman" w:hAnsi="Times New Roman" w:cs="Times New Roman"/>
                <w:color w:val="auto"/>
                <w:highlight w:val="none"/>
                <w:lang w:val="en-US" w:eastAsia="zh-CN"/>
              </w:rPr>
              <w:t>公里，</w:t>
            </w:r>
            <w:r>
              <w:rPr>
                <w:rFonts w:hint="default" w:ascii="Times New Roman" w:hAnsi="Times New Roman" w:cs="Times New Roman"/>
                <w:color w:val="auto"/>
                <w:highlight w:val="none"/>
              </w:rPr>
              <w:t>行政区划隶属</w:t>
            </w:r>
            <w:r>
              <w:rPr>
                <w:rFonts w:hint="eastAsia"/>
                <w:color w:val="auto"/>
                <w:lang w:val="en-US" w:eastAsia="zh-CN"/>
              </w:rPr>
              <w:t>且末县库拉木勒克乡</w:t>
            </w:r>
            <w:r>
              <w:rPr>
                <w:rFonts w:hint="default" w:ascii="Times New Roman" w:hAnsi="Times New Roman" w:cs="Times New Roman"/>
                <w:color w:val="auto"/>
                <w:highlight w:val="none"/>
              </w:rPr>
              <w:t>管辖。项目区及周围区域外环境关系较单纯，无重要保护文物、风景名胜</w:t>
            </w:r>
            <w:r>
              <w:rPr>
                <w:rFonts w:hint="default" w:ascii="Times New Roman" w:hAnsi="Times New Roman" w:cs="Times New Roman"/>
                <w:color w:val="auto"/>
              </w:rPr>
              <w:t>区、</w:t>
            </w:r>
            <w:r>
              <w:rPr>
                <w:rFonts w:hint="eastAsia"/>
                <w:color w:val="auto"/>
              </w:rPr>
              <w:t>水源保护地、生态敏感点等明显的环境制约因子</w:t>
            </w:r>
            <w:r>
              <w:rPr>
                <w:rFonts w:hint="eastAsia"/>
                <w:color w:val="auto"/>
                <w:lang w:eastAsia="zh-CN"/>
              </w:rPr>
              <w:t>。</w:t>
            </w:r>
          </w:p>
          <w:p w14:paraId="6DEA7ECD">
            <w:pPr>
              <w:pStyle w:val="46"/>
              <w:bidi w:val="0"/>
              <w:rPr>
                <w:rFonts w:hint="eastAsia"/>
                <w:color w:val="auto"/>
                <w:lang w:val="en-US" w:eastAsia="zh-CN"/>
              </w:rPr>
            </w:pPr>
            <w:r>
              <w:rPr>
                <w:rFonts w:hint="default"/>
                <w:color w:val="auto"/>
              </w:rPr>
              <w:t>根据</w:t>
            </w:r>
            <w:r>
              <w:rPr>
                <w:rFonts w:hint="eastAsia"/>
                <w:color w:val="auto"/>
                <w:lang w:eastAsia="zh-CN"/>
              </w:rPr>
              <w:t>《产业结构调整指导目录（2024年本）》</w:t>
            </w:r>
            <w:r>
              <w:rPr>
                <w:rFonts w:hint="default"/>
                <w:color w:val="auto"/>
              </w:rPr>
              <w:t>，</w:t>
            </w:r>
            <w:r>
              <w:rPr>
                <w:rFonts w:hint="default"/>
                <w:color w:val="auto"/>
                <w:lang w:val="en-US" w:eastAsia="zh-CN"/>
              </w:rPr>
              <w:t>本项目属于</w:t>
            </w:r>
            <w:r>
              <w:rPr>
                <w:rFonts w:hint="eastAsia"/>
                <w:color w:val="auto"/>
                <w:lang w:val="en-US" w:eastAsia="zh-CN"/>
              </w:rPr>
              <w:t>矿产资源开发项目，</w:t>
            </w:r>
            <w:r>
              <w:rPr>
                <w:rFonts w:hint="default"/>
                <w:color w:val="auto"/>
              </w:rPr>
              <w:t>属于</w:t>
            </w:r>
            <w:r>
              <w:rPr>
                <w:rFonts w:hint="eastAsia"/>
                <w:color w:val="auto"/>
                <w:lang w:val="en-US" w:eastAsia="zh-CN"/>
              </w:rPr>
              <w:t>允许</w:t>
            </w:r>
            <w:r>
              <w:rPr>
                <w:rFonts w:hint="default"/>
                <w:color w:val="auto"/>
              </w:rPr>
              <w:t>类项目</w:t>
            </w:r>
            <w:r>
              <w:rPr>
                <w:rFonts w:hint="eastAsia"/>
                <w:color w:val="auto"/>
                <w:lang w:eastAsia="zh-CN"/>
              </w:rPr>
              <w:t>，</w:t>
            </w:r>
            <w:r>
              <w:rPr>
                <w:rFonts w:hint="default"/>
                <w:color w:val="auto"/>
                <w:lang w:val="en-US" w:eastAsia="zh-CN"/>
              </w:rPr>
              <w:t>项目不属于高污染、高能耗行业；项目已取得该区域的探矿权，探矿证号：</w:t>
            </w:r>
            <w:r>
              <w:rPr>
                <w:rFonts w:hint="eastAsia"/>
                <w:color w:val="auto"/>
                <w:lang w:val="en-US" w:eastAsia="zh-CN"/>
              </w:rPr>
              <w:t>T6528002024127040058244，</w:t>
            </w:r>
            <w:r>
              <w:rPr>
                <w:rFonts w:hint="default"/>
                <w:color w:val="auto"/>
                <w:lang w:val="en-US" w:eastAsia="zh-CN"/>
              </w:rPr>
              <w:t>符合产业政策和环境准入要求。</w:t>
            </w:r>
          </w:p>
          <w:p w14:paraId="18D373B0">
            <w:pPr>
              <w:pStyle w:val="46"/>
              <w:bidi w:val="0"/>
              <w:rPr>
                <w:rFonts w:hint="default"/>
                <w:color w:val="auto"/>
              </w:rPr>
            </w:pPr>
            <w:r>
              <w:rPr>
                <w:rFonts w:hint="default"/>
                <w:color w:val="auto"/>
              </w:rPr>
              <w:t>根据《新疆维吾尔自治区重点行业生态环境准入条件（2024年）》</w:t>
            </w:r>
            <w:r>
              <w:rPr>
                <w:rFonts w:hint="default"/>
                <w:color w:val="auto"/>
                <w:lang w:eastAsia="zh-CN"/>
              </w:rPr>
              <w:t>：禁止在自然保护区、世界自然遗产地、风景名胜区、森林公园、地质公园、重要湿地、饮用水水源保护区等重点保护区域内及其它法律法规禁止的区域进行污染环境的任何开发活动。</w:t>
            </w:r>
            <w:r>
              <w:rPr>
                <w:rFonts w:hint="default"/>
                <w:color w:val="auto"/>
              </w:rPr>
              <w:t>根据现场勘查，</w:t>
            </w:r>
            <w:r>
              <w:rPr>
                <w:rFonts w:hint="default"/>
                <w:color w:val="auto"/>
                <w:lang w:eastAsia="zh-CN"/>
              </w:rPr>
              <w:t>勘探</w:t>
            </w:r>
            <w:r>
              <w:rPr>
                <w:rFonts w:hint="default"/>
                <w:color w:val="auto"/>
              </w:rPr>
              <w:t>区</w:t>
            </w:r>
            <w:r>
              <w:rPr>
                <w:rFonts w:hint="default"/>
                <w:color w:val="auto"/>
                <w:lang w:eastAsia="zh-CN"/>
              </w:rPr>
              <w:t>不涉及自然保护区、世界自然遗产地、风景名胜区、森林公园、地质公园、重要湿地、饮用水水源保护区等重点保护区域，</w:t>
            </w:r>
            <w:r>
              <w:rPr>
                <w:rFonts w:hint="default"/>
                <w:color w:val="auto"/>
              </w:rPr>
              <w:t>因此本项目选址符合《新疆维吾尔自治区重点行业生态环境准入条件（2024年）》的相关要求。</w:t>
            </w:r>
          </w:p>
          <w:p w14:paraId="6FD29FDD">
            <w:pPr>
              <w:pStyle w:val="46"/>
              <w:bidi w:val="0"/>
              <w:rPr>
                <w:rFonts w:hint="default"/>
                <w:color w:val="auto"/>
                <w:lang w:eastAsia="zh-CN"/>
              </w:rPr>
            </w:pPr>
            <w:r>
              <w:rPr>
                <w:rFonts w:hint="default"/>
                <w:color w:val="auto"/>
              </w:rPr>
              <w:t>本项目为</w:t>
            </w:r>
            <w:r>
              <w:rPr>
                <w:rFonts w:hint="default"/>
                <w:color w:val="auto"/>
                <w:lang w:val="en-US" w:eastAsia="zh-CN"/>
              </w:rPr>
              <w:t>矿产资源开发项目</w:t>
            </w:r>
            <w:r>
              <w:rPr>
                <w:rFonts w:hint="default"/>
                <w:color w:val="auto"/>
              </w:rPr>
              <w:t>，</w:t>
            </w:r>
            <w:r>
              <w:rPr>
                <w:rFonts w:hint="default"/>
                <w:color w:val="auto"/>
                <w:lang w:eastAsia="zh-CN"/>
              </w:rPr>
              <w:t>根据</w:t>
            </w:r>
            <w:r>
              <w:rPr>
                <w:rFonts w:hint="default"/>
                <w:color w:val="auto"/>
              </w:rPr>
              <w:t>《新疆维吾尔自治区主体功能区规划》</w:t>
            </w:r>
            <w:r>
              <w:rPr>
                <w:rFonts w:hint="eastAsia"/>
                <w:color w:val="auto"/>
                <w:lang w:eastAsia="zh-CN"/>
              </w:rPr>
              <w:t>，</w:t>
            </w:r>
            <w:r>
              <w:rPr>
                <w:rFonts w:hint="default"/>
                <w:color w:val="auto"/>
              </w:rPr>
              <w:t>评价区属</w:t>
            </w:r>
            <w:r>
              <w:rPr>
                <w:rFonts w:hint="eastAsia"/>
                <w:color w:val="auto"/>
                <w:lang w:eastAsia="zh-CN"/>
              </w:rPr>
              <w:t>“</w:t>
            </w:r>
            <w:r>
              <w:rPr>
                <w:rFonts w:hint="eastAsia"/>
                <w:color w:val="auto"/>
                <w:lang w:val="en-US" w:eastAsia="zh-CN"/>
              </w:rPr>
              <w:t>阿尔金草原荒漠化防治生态功能区</w:t>
            </w:r>
            <w:r>
              <w:rPr>
                <w:rFonts w:hint="eastAsia"/>
                <w:color w:val="auto"/>
                <w:lang w:eastAsia="zh-CN"/>
              </w:rPr>
              <w:t>”，</w:t>
            </w:r>
            <w:r>
              <w:rPr>
                <w:rFonts w:hint="default"/>
                <w:color w:val="auto"/>
                <w:lang w:eastAsia="zh-CN"/>
              </w:rPr>
              <w:t>开挖土石方统一存放</w:t>
            </w:r>
            <w:r>
              <w:rPr>
                <w:rFonts w:hint="eastAsia"/>
                <w:color w:val="auto"/>
                <w:lang w:eastAsia="zh-CN"/>
              </w:rPr>
              <w:t>，</w:t>
            </w:r>
            <w:r>
              <w:rPr>
                <w:rFonts w:hint="default"/>
                <w:color w:val="auto"/>
                <w:lang w:eastAsia="zh-CN"/>
              </w:rPr>
              <w:t>并使用彩条布</w:t>
            </w:r>
            <w:r>
              <w:rPr>
                <w:rFonts w:hint="eastAsia"/>
                <w:color w:val="auto"/>
                <w:lang w:eastAsia="zh-CN"/>
              </w:rPr>
              <w:t>、</w:t>
            </w:r>
            <w:r>
              <w:rPr>
                <w:rFonts w:hint="eastAsia"/>
                <w:color w:val="auto"/>
                <w:lang w:val="en-US" w:eastAsia="zh-CN"/>
              </w:rPr>
              <w:t>篷布</w:t>
            </w:r>
            <w:r>
              <w:rPr>
                <w:rFonts w:hint="default"/>
                <w:color w:val="auto"/>
                <w:lang w:eastAsia="zh-CN"/>
              </w:rPr>
              <w:t>等对剥离</w:t>
            </w:r>
            <w:r>
              <w:rPr>
                <w:rFonts w:hint="eastAsia"/>
                <w:color w:val="auto"/>
                <w:lang w:val="en-US" w:eastAsia="zh-CN"/>
              </w:rPr>
              <w:t>土石进行覆盖</w:t>
            </w:r>
            <w:r>
              <w:rPr>
                <w:rFonts w:hint="default"/>
                <w:color w:val="auto"/>
                <w:lang w:eastAsia="zh-CN"/>
              </w:rPr>
              <w:t>，防止雨水冲刷滚落。规划路线行走尽可能少使用车辆，严格控制电池、塑料等有害垃圾的使用，垃圾统一收集并定点处理，爱护地表植物，不惊吓，不捕捉野生动物。工作结束后及时恢复地表植被。符合《新疆维吾尔自治区主体功能区规划》相关要求。</w:t>
            </w:r>
          </w:p>
          <w:p w14:paraId="5707A0F2">
            <w:pPr>
              <w:pStyle w:val="46"/>
              <w:bidi w:val="0"/>
              <w:rPr>
                <w:rFonts w:hint="default"/>
                <w:color w:val="auto"/>
                <w:lang w:eastAsia="zh-CN"/>
              </w:rPr>
            </w:pPr>
            <w:r>
              <w:rPr>
                <w:rFonts w:hint="default"/>
                <w:color w:val="auto"/>
                <w:lang w:eastAsia="zh-CN"/>
              </w:rPr>
              <w:t>因此，本项目选址合理。</w:t>
            </w:r>
          </w:p>
          <w:p w14:paraId="1E071ABC">
            <w:pPr>
              <w:pStyle w:val="46"/>
              <w:bidi w:val="0"/>
              <w:rPr>
                <w:rFonts w:hint="default"/>
                <w:color w:val="auto"/>
                <w:lang w:eastAsia="zh-CN"/>
              </w:rPr>
            </w:pPr>
          </w:p>
          <w:p w14:paraId="230FFF71">
            <w:pPr>
              <w:pStyle w:val="46"/>
              <w:bidi w:val="0"/>
              <w:rPr>
                <w:rFonts w:hint="default"/>
                <w:color w:val="auto"/>
                <w:lang w:eastAsia="zh-CN"/>
              </w:rPr>
            </w:pPr>
          </w:p>
          <w:p w14:paraId="166D53AE">
            <w:pPr>
              <w:pStyle w:val="46"/>
              <w:bidi w:val="0"/>
              <w:rPr>
                <w:rFonts w:hint="default"/>
                <w:color w:val="auto"/>
                <w:lang w:eastAsia="zh-CN"/>
              </w:rPr>
            </w:pPr>
          </w:p>
          <w:p w14:paraId="1471B77C">
            <w:pPr>
              <w:pStyle w:val="46"/>
              <w:bidi w:val="0"/>
              <w:rPr>
                <w:rFonts w:hint="default"/>
                <w:color w:val="auto"/>
                <w:lang w:eastAsia="zh-CN"/>
              </w:rPr>
            </w:pPr>
          </w:p>
          <w:p w14:paraId="007A29EE">
            <w:pPr>
              <w:pStyle w:val="46"/>
              <w:bidi w:val="0"/>
              <w:rPr>
                <w:rFonts w:hint="default"/>
                <w:color w:val="auto"/>
                <w:lang w:eastAsia="zh-CN"/>
              </w:rPr>
            </w:pPr>
          </w:p>
          <w:p w14:paraId="6AE9199F">
            <w:pPr>
              <w:pStyle w:val="46"/>
              <w:bidi w:val="0"/>
              <w:rPr>
                <w:rFonts w:hint="default"/>
                <w:color w:val="auto"/>
                <w:lang w:eastAsia="zh-CN"/>
              </w:rPr>
            </w:pPr>
          </w:p>
          <w:p w14:paraId="656C2296">
            <w:pPr>
              <w:pStyle w:val="46"/>
              <w:bidi w:val="0"/>
              <w:rPr>
                <w:rFonts w:hint="default"/>
                <w:color w:val="auto"/>
                <w:lang w:val="en-US" w:eastAsia="zh-CN"/>
              </w:rPr>
            </w:pPr>
          </w:p>
          <w:p w14:paraId="22B504B1">
            <w:pPr>
              <w:adjustRightInd w:val="0"/>
              <w:snapToGrid w:val="0"/>
              <w:rPr>
                <w:rFonts w:ascii="宋体" w:hAnsi="宋体" w:cs="宋体"/>
                <w:bCs/>
                <w:color w:val="auto"/>
                <w:szCs w:val="21"/>
              </w:rPr>
            </w:pPr>
          </w:p>
        </w:tc>
      </w:tr>
    </w:tbl>
    <w:p w14:paraId="7AC1EDC1">
      <w:pPr>
        <w:pStyle w:val="17"/>
        <w:jc w:val="center"/>
        <w:rPr>
          <w:rFonts w:ascii="黑体" w:hAnsi="黑体" w:eastAsia="黑体"/>
          <w:snapToGrid w:val="0"/>
          <w:color w:val="auto"/>
          <w:sz w:val="36"/>
          <w:szCs w:val="36"/>
        </w:rPr>
        <w:sectPr>
          <w:pgSz w:w="11906" w:h="16838"/>
          <w:pgMar w:top="1440" w:right="1800" w:bottom="1440" w:left="1800" w:header="851" w:footer="1077" w:gutter="0"/>
          <w:cols w:space="720" w:num="1"/>
          <w:docGrid w:linePitch="312" w:charSpace="0"/>
        </w:sectPr>
      </w:pPr>
    </w:p>
    <w:p w14:paraId="5CC79FA9">
      <w:pPr>
        <w:pStyle w:val="17"/>
        <w:adjustRightInd w:val="0"/>
        <w:snapToGrid w:val="0"/>
        <w:spacing w:before="0" w:beforeAutospacing="0" w:after="0" w:afterAutospacing="0" w:line="14" w:lineRule="auto"/>
        <w:jc w:val="center"/>
        <w:outlineLvl w:val="0"/>
        <w:rPr>
          <w:rFonts w:hint="eastAsia" w:ascii="黑体" w:hAnsi="黑体" w:eastAsia="黑体"/>
          <w:snapToGrid w:val="0"/>
          <w:color w:val="auto"/>
          <w:sz w:val="30"/>
          <w:szCs w:val="30"/>
        </w:rPr>
      </w:pPr>
    </w:p>
    <w:p w14:paraId="4B3FDB5B">
      <w:pPr>
        <w:pStyle w:val="17"/>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五、主要生态环境保护措施</w:t>
      </w:r>
    </w:p>
    <w:tbl>
      <w:tblPr>
        <w:tblStyle w:val="20"/>
        <w:tblW w:w="513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9"/>
        <w:gridCol w:w="7920"/>
      </w:tblGrid>
      <w:tr w14:paraId="4BAFE5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82" w:hRule="atLeast"/>
          <w:jc w:val="center"/>
        </w:trPr>
        <w:tc>
          <w:tcPr>
            <w:tcW w:w="432" w:type="pct"/>
            <w:noWrap w:val="0"/>
            <w:tcMar>
              <w:left w:w="28" w:type="dxa"/>
              <w:right w:w="28" w:type="dxa"/>
            </w:tcMar>
            <w:vAlign w:val="center"/>
          </w:tcPr>
          <w:p w14:paraId="35F2F2BB">
            <w:pPr>
              <w:adjustRightInd w:val="0"/>
              <w:snapToGrid w:val="0"/>
              <w:jc w:val="center"/>
              <w:rPr>
                <w:rFonts w:ascii="宋体" w:hAnsi="宋体"/>
                <w:bCs/>
                <w:color w:val="auto"/>
                <w:szCs w:val="21"/>
              </w:rPr>
            </w:pPr>
            <w:r>
              <w:rPr>
                <w:rFonts w:hint="eastAsia" w:ascii="宋体" w:hAnsi="宋体" w:cs="宋体"/>
                <w:bCs/>
                <w:color w:val="auto"/>
                <w:spacing w:val="10"/>
                <w:szCs w:val="21"/>
              </w:rPr>
              <w:t>施工期生态环境保护措施</w:t>
            </w:r>
          </w:p>
        </w:tc>
        <w:tc>
          <w:tcPr>
            <w:tcW w:w="4567" w:type="pct"/>
            <w:noWrap w:val="0"/>
            <w:vAlign w:val="top"/>
          </w:tcPr>
          <w:p w14:paraId="2289928E">
            <w:pPr>
              <w:pStyle w:val="45"/>
              <w:bidi w:val="0"/>
              <w:rPr>
                <w:rFonts w:hint="eastAsia"/>
                <w:color w:val="auto"/>
                <w:lang w:val="en-US" w:eastAsia="zh-CN"/>
              </w:rPr>
            </w:pPr>
            <w:r>
              <w:rPr>
                <w:rFonts w:hint="eastAsia"/>
                <w:color w:val="auto"/>
                <w:lang w:val="en-US" w:eastAsia="zh-CN"/>
              </w:rPr>
              <w:t>1</w:t>
            </w:r>
            <w:r>
              <w:rPr>
                <w:rFonts w:hint="eastAsia"/>
                <w:color w:val="auto"/>
              </w:rPr>
              <w:t>施工期</w:t>
            </w:r>
            <w:r>
              <w:rPr>
                <w:rFonts w:hint="eastAsia"/>
                <w:color w:val="auto"/>
                <w:lang w:val="en-US" w:eastAsia="zh-CN"/>
              </w:rPr>
              <w:t>生态</w:t>
            </w:r>
            <w:r>
              <w:rPr>
                <w:rFonts w:hint="eastAsia"/>
                <w:color w:val="auto"/>
              </w:rPr>
              <w:t>环境</w:t>
            </w:r>
            <w:r>
              <w:rPr>
                <w:rFonts w:hint="eastAsia"/>
                <w:color w:val="auto"/>
                <w:lang w:val="en-US" w:eastAsia="zh-CN"/>
              </w:rPr>
              <w:t>保护措施</w:t>
            </w:r>
          </w:p>
          <w:p w14:paraId="7CA6187D">
            <w:pPr>
              <w:pStyle w:val="45"/>
              <w:keepNext w:val="0"/>
              <w:keepLines w:val="0"/>
              <w:pageBreakBefore w:val="0"/>
              <w:widowControl w:val="0"/>
              <w:kinsoku/>
              <w:wordWrap/>
              <w:overflowPunct/>
              <w:topLinePunct w:val="0"/>
              <w:autoSpaceDE/>
              <w:autoSpaceDN/>
              <w:bidi w:val="0"/>
              <w:adjustRightInd w:val="0"/>
              <w:snapToGrid w:val="0"/>
              <w:ind w:firstLine="482" w:firstLineChars="200"/>
              <w:textAlignment w:val="auto"/>
              <w:rPr>
                <w:rFonts w:hint="eastAsia"/>
                <w:color w:val="auto"/>
                <w:lang w:val="en-US" w:eastAsia="zh-CN"/>
              </w:rPr>
            </w:pPr>
            <w:r>
              <w:rPr>
                <w:rFonts w:hint="eastAsia"/>
                <w:color w:val="auto"/>
                <w:lang w:val="en-US" w:eastAsia="zh-CN"/>
              </w:rPr>
              <w:t>1.1对地表扰动的生态保护措施</w:t>
            </w:r>
          </w:p>
          <w:p w14:paraId="1157BA53">
            <w:pPr>
              <w:pStyle w:val="46"/>
              <w:rPr>
                <w:rFonts w:hint="default"/>
                <w:b w:val="0"/>
                <w:bCs w:val="0"/>
                <w:color w:val="auto"/>
                <w:lang w:val="en-US" w:eastAsia="zh-CN"/>
              </w:rPr>
            </w:pPr>
            <w:r>
              <w:rPr>
                <w:rFonts w:hint="default"/>
                <w:color w:val="auto"/>
                <w:lang w:eastAsia="zh-CN"/>
              </w:rPr>
              <w:t>（</w:t>
            </w:r>
            <w:r>
              <w:rPr>
                <w:rFonts w:hint="default"/>
                <w:color w:val="auto"/>
                <w:lang w:val="en-US" w:eastAsia="zh-CN"/>
              </w:rPr>
              <w:t>1</w:t>
            </w:r>
            <w:r>
              <w:rPr>
                <w:rFonts w:hint="default"/>
                <w:b w:val="0"/>
                <w:bCs w:val="0"/>
                <w:color w:val="auto"/>
                <w:lang w:eastAsia="zh-CN"/>
              </w:rPr>
              <w:t>）</w:t>
            </w:r>
            <w:r>
              <w:rPr>
                <w:rFonts w:hint="eastAsia"/>
                <w:b w:val="0"/>
                <w:bCs w:val="0"/>
                <w:color w:val="auto"/>
                <w:lang w:val="en-US" w:eastAsia="zh-CN"/>
              </w:rPr>
              <w:t>选择植被覆盖度较低、地势平坦的区域作为临时生活营地。</w:t>
            </w:r>
          </w:p>
          <w:p w14:paraId="5381CB5E">
            <w:pPr>
              <w:pStyle w:val="46"/>
              <w:rPr>
                <w:rFonts w:hint="eastAsia"/>
                <w:color w:val="auto"/>
              </w:rPr>
            </w:pPr>
            <w:r>
              <w:rPr>
                <w:rFonts w:hint="default"/>
                <w:color w:val="auto"/>
              </w:rPr>
              <w:t>（2）</w:t>
            </w:r>
            <w:r>
              <w:rPr>
                <w:rFonts w:hint="eastAsia"/>
                <w:color w:val="auto"/>
                <w:lang w:val="en-US" w:eastAsia="zh-CN"/>
              </w:rPr>
              <w:t>在进行场地平整时，尽量使用小型挖掘机械或人工作业，减少对周围环境的扰动。</w:t>
            </w:r>
          </w:p>
          <w:p w14:paraId="278E3047">
            <w:pPr>
              <w:pStyle w:val="46"/>
              <w:bidi w:val="0"/>
              <w:rPr>
                <w:rFonts w:hint="default"/>
                <w:color w:val="auto"/>
              </w:rPr>
            </w:pPr>
            <w:r>
              <w:rPr>
                <w:rFonts w:hint="eastAsia"/>
                <w:color w:val="auto"/>
                <w:lang w:val="en-US" w:eastAsia="zh-CN"/>
              </w:rPr>
              <w:t>（3）</w:t>
            </w:r>
            <w:r>
              <w:rPr>
                <w:rFonts w:hint="default" w:ascii="Times New Roman" w:hAnsi="Times New Roman" w:eastAsia="宋体" w:cs="Times New Roman"/>
                <w:color w:val="auto"/>
                <w:sz w:val="24"/>
                <w:szCs w:val="24"/>
                <w:highlight w:val="none"/>
              </w:rPr>
              <w:t>工程建设过程中，严格控制施工范围，工程建设过程中，严格控制施工范围，</w:t>
            </w:r>
            <w:r>
              <w:rPr>
                <w:rFonts w:hint="default"/>
                <w:color w:val="auto"/>
              </w:rPr>
              <w:t>及时拆除、清理临时设施，各类施工应进行清理，平整场地使扰动过的地表与周围的景观相协调。</w:t>
            </w:r>
          </w:p>
          <w:p w14:paraId="15C0352E">
            <w:pPr>
              <w:pStyle w:val="46"/>
              <w:bidi w:val="0"/>
              <w:rPr>
                <w:rFonts w:hint="default" w:ascii="Times New Roman" w:hAnsi="Times New Roman" w:eastAsia="宋体" w:cs="宋体"/>
                <w:b w:val="0"/>
                <w:color w:val="auto"/>
                <w:kern w:val="0"/>
                <w:sz w:val="24"/>
                <w:szCs w:val="24"/>
                <w:lang w:val="en-US" w:eastAsia="zh-CN" w:bidi="ar-SA"/>
              </w:rPr>
            </w:pPr>
            <w:r>
              <w:rPr>
                <w:rFonts w:hint="eastAsia"/>
                <w:color w:val="auto"/>
                <w:lang w:eastAsia="zh-CN"/>
              </w:rPr>
              <w:t>（</w:t>
            </w:r>
            <w:r>
              <w:rPr>
                <w:rFonts w:hint="eastAsia"/>
                <w:color w:val="auto"/>
                <w:lang w:val="en-US" w:eastAsia="zh-CN"/>
              </w:rPr>
              <w:t>4</w:t>
            </w:r>
            <w:r>
              <w:rPr>
                <w:rFonts w:hint="eastAsia"/>
                <w:color w:val="auto"/>
                <w:lang w:eastAsia="zh-CN"/>
              </w:rPr>
              <w:t>）</w:t>
            </w:r>
            <w:r>
              <w:rPr>
                <w:rFonts w:hint="eastAsia"/>
                <w:color w:val="auto"/>
                <w:lang w:val="en-US" w:eastAsia="zh-CN"/>
              </w:rPr>
              <w:t>施工结束土方回填时</w:t>
            </w:r>
            <w:r>
              <w:rPr>
                <w:rFonts w:hint="eastAsia" w:ascii="Times New Roman" w:hAnsi="Times New Roman" w:eastAsia="宋体" w:cs="宋体"/>
                <w:b w:val="0"/>
                <w:color w:val="auto"/>
                <w:kern w:val="0"/>
                <w:sz w:val="24"/>
                <w:szCs w:val="24"/>
                <w:lang w:val="en-US" w:eastAsia="zh-CN" w:bidi="ar-SA"/>
              </w:rPr>
              <w:t>采用机械与人工相结合的方式，确保回填均匀，平整周边地形，使其与周边地形地貌相协调，最终使其自然恢复。</w:t>
            </w:r>
          </w:p>
          <w:p w14:paraId="63B1DE27">
            <w:pPr>
              <w:pStyle w:val="45"/>
              <w:keepNext w:val="0"/>
              <w:keepLines w:val="0"/>
              <w:pageBreakBefore w:val="0"/>
              <w:widowControl w:val="0"/>
              <w:kinsoku/>
              <w:wordWrap/>
              <w:overflowPunct/>
              <w:topLinePunct w:val="0"/>
              <w:autoSpaceDE/>
              <w:autoSpaceDN/>
              <w:bidi w:val="0"/>
              <w:adjustRightInd w:val="0"/>
              <w:snapToGrid w:val="0"/>
              <w:ind w:firstLine="482" w:firstLineChars="200"/>
              <w:textAlignment w:val="auto"/>
              <w:rPr>
                <w:rFonts w:hint="default"/>
                <w:color w:val="auto"/>
                <w:lang w:val="en-US" w:eastAsia="zh-CN"/>
              </w:rPr>
            </w:pPr>
            <w:r>
              <w:rPr>
                <w:rFonts w:hint="eastAsia"/>
                <w:color w:val="auto"/>
                <w:lang w:val="en-US" w:eastAsia="zh-CN"/>
              </w:rPr>
              <w:t>1.2对野生动植物的保护措施</w:t>
            </w:r>
          </w:p>
          <w:p w14:paraId="05B6EB99">
            <w:pPr>
              <w:pStyle w:val="46"/>
              <w:bidi w:val="0"/>
              <w:rPr>
                <w:rFonts w:hint="default"/>
                <w:color w:val="auto"/>
                <w:lang w:val="en-US" w:eastAsia="zh-CN"/>
              </w:rPr>
            </w:pPr>
            <w:r>
              <w:rPr>
                <w:rFonts w:hint="eastAsia"/>
                <w:color w:val="auto"/>
                <w:lang w:val="en-US" w:eastAsia="zh-CN"/>
              </w:rPr>
              <w:t>（1）优化施工场地的选址</w:t>
            </w:r>
            <w:r>
              <w:rPr>
                <w:rFonts w:hint="default"/>
                <w:color w:val="auto"/>
              </w:rPr>
              <w:t>，严格限定施工作业带范围。</w:t>
            </w:r>
            <w:r>
              <w:rPr>
                <w:rFonts w:hint="eastAsia"/>
                <w:color w:val="auto"/>
                <w:lang w:val="en-US" w:eastAsia="zh-CN"/>
              </w:rPr>
              <w:t>施工营地、临时堆土区应布置在植被较少的区域，尽量减少对植被的破坏。</w:t>
            </w:r>
          </w:p>
          <w:p w14:paraId="1F8EB9E7">
            <w:pPr>
              <w:pStyle w:val="46"/>
              <w:bidi w:val="0"/>
              <w:rPr>
                <w:rFonts w:hint="default"/>
                <w:color w:val="auto"/>
              </w:rPr>
            </w:pPr>
            <w:r>
              <w:rPr>
                <w:rFonts w:hint="eastAsia"/>
                <w:color w:val="auto"/>
                <w:lang w:val="en-US" w:eastAsia="zh-CN"/>
              </w:rPr>
              <w:t>（2）</w:t>
            </w:r>
            <w:r>
              <w:rPr>
                <w:rFonts w:hint="default"/>
                <w:color w:val="auto"/>
              </w:rPr>
              <w:t>优化施工组织，尽量减少施工过程中动用的土石方数量，减少植被破坏量。</w:t>
            </w:r>
          </w:p>
          <w:p w14:paraId="5B9FFC9C">
            <w:pPr>
              <w:pStyle w:val="46"/>
              <w:bidi w:val="0"/>
              <w:rPr>
                <w:rFonts w:hint="eastAsia"/>
                <w:color w:val="auto"/>
                <w:lang w:val="en-US" w:eastAsia="zh-CN"/>
              </w:rPr>
            </w:pPr>
            <w:r>
              <w:rPr>
                <w:rFonts w:hint="default"/>
                <w:color w:val="auto"/>
              </w:rPr>
              <w:t>（</w:t>
            </w:r>
            <w:r>
              <w:rPr>
                <w:rFonts w:hint="eastAsia"/>
                <w:color w:val="auto"/>
                <w:lang w:val="en-US" w:eastAsia="zh-CN"/>
              </w:rPr>
              <w:t>3</w:t>
            </w:r>
            <w:r>
              <w:rPr>
                <w:rFonts w:hint="default"/>
                <w:color w:val="auto"/>
              </w:rPr>
              <w:t>）</w:t>
            </w:r>
            <w:r>
              <w:rPr>
                <w:rFonts w:hint="default"/>
                <w:color w:val="auto"/>
                <w:lang w:val="en-US" w:eastAsia="zh-CN"/>
              </w:rPr>
              <w:t>加强对施工人员进行宣传教育，强化保护野生动物的观念，不得捕猎。车辆行驶过程中不得鸣笛惊吓野生动物。</w:t>
            </w:r>
          </w:p>
          <w:p w14:paraId="3659D7A9">
            <w:pPr>
              <w:pStyle w:val="46"/>
              <w:bidi w:val="0"/>
              <w:rPr>
                <w:rFonts w:hint="default"/>
                <w:color w:val="auto"/>
              </w:rPr>
            </w:pPr>
            <w:r>
              <w:rPr>
                <w:rFonts w:hint="eastAsia"/>
                <w:color w:val="auto"/>
                <w:lang w:val="en-US" w:eastAsia="zh-CN"/>
              </w:rPr>
              <w:t>（4）</w:t>
            </w:r>
            <w:r>
              <w:rPr>
                <w:rFonts w:hint="default"/>
                <w:color w:val="auto"/>
              </w:rPr>
              <w:t>施工时，避免大型挖掘设备，尽量使用小型挖掘机械或人工作业，尽量缩短工期，减少因施工造成对</w:t>
            </w:r>
            <w:r>
              <w:rPr>
                <w:rFonts w:hint="eastAsia"/>
                <w:color w:val="auto"/>
                <w:lang w:val="en-US" w:eastAsia="zh-CN"/>
              </w:rPr>
              <w:t>动植物</w:t>
            </w:r>
            <w:r>
              <w:rPr>
                <w:rFonts w:hint="default"/>
                <w:color w:val="auto"/>
              </w:rPr>
              <w:t>的影响。</w:t>
            </w:r>
          </w:p>
          <w:p w14:paraId="5873F815">
            <w:pPr>
              <w:pStyle w:val="45"/>
              <w:keepNext w:val="0"/>
              <w:keepLines w:val="0"/>
              <w:pageBreakBefore w:val="0"/>
              <w:widowControl w:val="0"/>
              <w:kinsoku/>
              <w:wordWrap/>
              <w:overflowPunct/>
              <w:topLinePunct w:val="0"/>
              <w:autoSpaceDE/>
              <w:autoSpaceDN/>
              <w:bidi w:val="0"/>
              <w:adjustRightInd w:val="0"/>
              <w:snapToGrid w:val="0"/>
              <w:ind w:firstLine="482" w:firstLineChars="200"/>
              <w:textAlignment w:val="auto"/>
              <w:rPr>
                <w:rFonts w:hint="default" w:ascii="Times New Roman" w:hAnsi="Times New Roman" w:eastAsia="宋体" w:cs="宋体"/>
                <w:color w:val="auto"/>
                <w:lang w:val="en-US" w:eastAsia="zh-CN"/>
              </w:rPr>
            </w:pPr>
            <w:r>
              <w:rPr>
                <w:rFonts w:hint="eastAsia" w:ascii="Times New Roman" w:hAnsi="Times New Roman" w:eastAsia="宋体" w:cs="宋体"/>
                <w:color w:val="auto"/>
                <w:lang w:val="en-US" w:eastAsia="zh-CN"/>
              </w:rPr>
              <w:t>1.3</w:t>
            </w:r>
            <w:r>
              <w:rPr>
                <w:rFonts w:hint="default" w:ascii="Times New Roman" w:hAnsi="Times New Roman" w:eastAsia="宋体" w:cs="宋体"/>
                <w:color w:val="auto"/>
                <w:lang w:val="en-US" w:eastAsia="zh-CN"/>
              </w:rPr>
              <w:t>施工期</w:t>
            </w:r>
            <w:r>
              <w:rPr>
                <w:rFonts w:hint="eastAsia" w:ascii="Times New Roman" w:hAnsi="Times New Roman" w:eastAsia="宋体" w:cs="宋体"/>
                <w:color w:val="auto"/>
                <w:lang w:val="en-US" w:eastAsia="zh-CN"/>
              </w:rPr>
              <w:t>防沙治沙</w:t>
            </w:r>
            <w:r>
              <w:rPr>
                <w:rFonts w:hint="default" w:ascii="Times New Roman" w:hAnsi="Times New Roman" w:eastAsia="宋体" w:cs="宋体"/>
                <w:color w:val="auto"/>
                <w:lang w:val="en-US" w:eastAsia="zh-CN"/>
              </w:rPr>
              <w:t>措施</w:t>
            </w:r>
          </w:p>
          <w:p w14:paraId="308DE00F">
            <w:pPr>
              <w:pStyle w:val="46"/>
              <w:bidi w:val="0"/>
              <w:rPr>
                <w:rFonts w:hint="eastAsia"/>
                <w:color w:val="auto"/>
                <w:lang w:val="en-US" w:eastAsia="zh-CN"/>
              </w:rPr>
            </w:pPr>
            <w:r>
              <w:rPr>
                <w:rFonts w:hint="default"/>
                <w:color w:val="auto"/>
                <w:lang w:val="en-US" w:eastAsia="zh-CN"/>
              </w:rPr>
              <w:t>项目</w:t>
            </w:r>
            <w:r>
              <w:rPr>
                <w:rFonts w:hint="eastAsia"/>
                <w:color w:val="auto"/>
                <w:lang w:val="en-US" w:eastAsia="zh-CN"/>
              </w:rPr>
              <w:t>施工时间短，范围小，对区域土地沙化影响较小。采取以下防沙治沙措施：</w:t>
            </w:r>
          </w:p>
          <w:p w14:paraId="5FE136AF">
            <w:pPr>
              <w:pStyle w:val="46"/>
              <w:bidi w:val="0"/>
              <w:rPr>
                <w:rFonts w:hint="eastAsia"/>
                <w:color w:val="auto"/>
                <w:lang w:val="en-US" w:eastAsia="zh-CN"/>
              </w:rPr>
            </w:pPr>
            <w:r>
              <w:rPr>
                <w:rFonts w:hint="eastAsia"/>
                <w:color w:val="auto"/>
                <w:lang w:val="en-US" w:eastAsia="zh-CN"/>
              </w:rPr>
              <w:t>①</w:t>
            </w:r>
            <w:r>
              <w:rPr>
                <w:rFonts w:hint="default"/>
                <w:color w:val="auto"/>
                <w:lang w:val="en-US" w:eastAsia="zh-CN"/>
              </w:rPr>
              <w:t>施工结束后对场地进行平整和清理，尽量利用施工时产生的表层土对临时占地进行覆盖</w:t>
            </w:r>
            <w:r>
              <w:rPr>
                <w:rFonts w:hint="eastAsia"/>
                <w:color w:val="auto"/>
                <w:lang w:val="en-US" w:eastAsia="zh-CN"/>
              </w:rPr>
              <w:t>。</w:t>
            </w:r>
          </w:p>
          <w:p w14:paraId="7E998235">
            <w:pPr>
              <w:pStyle w:val="46"/>
              <w:bidi w:val="0"/>
              <w:rPr>
                <w:rFonts w:hint="default"/>
                <w:color w:val="auto"/>
                <w:lang w:val="en-US" w:eastAsia="zh-CN"/>
              </w:rPr>
            </w:pPr>
            <w:r>
              <w:rPr>
                <w:rFonts w:hint="eastAsia"/>
                <w:color w:val="auto"/>
                <w:lang w:val="en-US" w:eastAsia="zh-CN"/>
              </w:rPr>
              <w:t>②合理规划机械行驶路线，避免不必要的重复碾压。</w:t>
            </w:r>
          </w:p>
          <w:p w14:paraId="00B97D8B">
            <w:pPr>
              <w:pStyle w:val="46"/>
              <w:bidi w:val="0"/>
              <w:rPr>
                <w:rFonts w:hint="default"/>
                <w:color w:val="auto"/>
                <w:lang w:val="en-US" w:eastAsia="zh-CN"/>
              </w:rPr>
            </w:pPr>
            <w:r>
              <w:rPr>
                <w:rFonts w:hint="eastAsia"/>
                <w:color w:val="auto"/>
                <w:lang w:val="en-US" w:eastAsia="zh-CN"/>
              </w:rPr>
              <w:t>③严禁在大风大雨天气施工</w:t>
            </w:r>
            <w:r>
              <w:rPr>
                <w:rFonts w:hint="default"/>
                <w:color w:val="auto"/>
                <w:lang w:val="en-US" w:eastAsia="zh-CN"/>
              </w:rPr>
              <w:t>。</w:t>
            </w:r>
          </w:p>
          <w:p w14:paraId="726A6363">
            <w:pPr>
              <w:pStyle w:val="45"/>
              <w:keepNext w:val="0"/>
              <w:keepLines w:val="0"/>
              <w:pageBreakBefore w:val="0"/>
              <w:widowControl w:val="0"/>
              <w:kinsoku/>
              <w:wordWrap/>
              <w:overflowPunct/>
              <w:topLinePunct w:val="0"/>
              <w:autoSpaceDE/>
              <w:autoSpaceDN/>
              <w:bidi w:val="0"/>
              <w:adjustRightInd w:val="0"/>
              <w:snapToGrid w:val="0"/>
              <w:ind w:firstLine="482" w:firstLineChars="200"/>
              <w:textAlignment w:val="auto"/>
              <w:rPr>
                <w:rFonts w:hint="default" w:ascii="Times New Roman" w:hAnsi="Times New Roman" w:eastAsia="宋体" w:cs="宋体"/>
                <w:color w:val="auto"/>
                <w:lang w:val="en-US" w:eastAsia="zh-CN"/>
              </w:rPr>
            </w:pPr>
            <w:r>
              <w:rPr>
                <w:rFonts w:hint="eastAsia" w:ascii="Times New Roman" w:hAnsi="Times New Roman" w:eastAsia="宋体" w:cs="宋体"/>
                <w:color w:val="auto"/>
                <w:lang w:val="en-US" w:eastAsia="zh-CN"/>
              </w:rPr>
              <w:t>1.4施工期水土保持措施</w:t>
            </w:r>
          </w:p>
          <w:p w14:paraId="240B5B91">
            <w:pPr>
              <w:pStyle w:val="46"/>
              <w:bidi w:val="0"/>
              <w:rPr>
                <w:rFonts w:hint="default"/>
                <w:color w:val="auto"/>
                <w:lang w:val="en-US" w:eastAsia="zh-CN"/>
              </w:rPr>
            </w:pPr>
            <w:r>
              <w:rPr>
                <w:rFonts w:hint="default"/>
                <w:color w:val="auto"/>
                <w:lang w:val="en-US" w:eastAsia="zh-CN"/>
              </w:rPr>
              <w:t>项目施工过程中，各类工程活动如平整场地、搭建临时设施等会</w:t>
            </w:r>
            <w:r>
              <w:rPr>
                <w:rFonts w:hint="eastAsia"/>
                <w:color w:val="auto"/>
                <w:lang w:val="en-US" w:eastAsia="zh-CN"/>
              </w:rPr>
              <w:t>造成水土流失。采取以下水土保持措施：</w:t>
            </w:r>
          </w:p>
          <w:p w14:paraId="4EB265E6">
            <w:pPr>
              <w:pStyle w:val="46"/>
              <w:bidi w:val="0"/>
              <w:rPr>
                <w:rFonts w:hint="default"/>
                <w:color w:val="auto"/>
                <w:lang w:val="en-US" w:eastAsia="zh-CN"/>
              </w:rPr>
            </w:pPr>
            <w:r>
              <w:rPr>
                <w:rFonts w:hint="eastAsia"/>
                <w:color w:val="auto"/>
                <w:lang w:val="en-US" w:eastAsia="zh-CN"/>
              </w:rPr>
              <w:t>①</w:t>
            </w:r>
            <w:r>
              <w:rPr>
                <w:rFonts w:hint="default"/>
                <w:color w:val="auto"/>
                <w:lang w:val="en-US" w:eastAsia="zh-CN"/>
              </w:rPr>
              <w:t>做好施工规划工作，合理布设施工场地，减少占用土地；</w:t>
            </w:r>
          </w:p>
          <w:p w14:paraId="3E82438C">
            <w:pPr>
              <w:pStyle w:val="46"/>
              <w:bidi w:val="0"/>
              <w:rPr>
                <w:rFonts w:hint="default"/>
                <w:color w:val="auto"/>
                <w:lang w:val="en-US" w:eastAsia="zh-CN"/>
              </w:rPr>
            </w:pPr>
            <w:r>
              <w:rPr>
                <w:rFonts w:hint="eastAsia"/>
                <w:color w:val="auto"/>
                <w:lang w:val="en-US" w:eastAsia="zh-CN"/>
              </w:rPr>
              <w:t>②</w:t>
            </w:r>
            <w:r>
              <w:rPr>
                <w:rFonts w:hint="default"/>
                <w:color w:val="auto"/>
                <w:lang w:val="en-US" w:eastAsia="zh-CN"/>
              </w:rPr>
              <w:t>控制人为活动，加强施工监理，防止施工人员及施工机械超范围的活动；</w:t>
            </w:r>
          </w:p>
          <w:p w14:paraId="54892468">
            <w:pPr>
              <w:pStyle w:val="46"/>
              <w:bidi w:val="0"/>
              <w:rPr>
                <w:rFonts w:hint="eastAsia"/>
                <w:color w:val="auto"/>
                <w:lang w:eastAsia="zh-CN"/>
              </w:rPr>
            </w:pPr>
            <w:r>
              <w:rPr>
                <w:rFonts w:hint="eastAsia"/>
                <w:color w:val="auto"/>
                <w:lang w:val="en-US" w:eastAsia="zh-CN"/>
              </w:rPr>
              <w:t>③</w:t>
            </w:r>
            <w:r>
              <w:rPr>
                <w:rFonts w:hint="default"/>
                <w:color w:val="auto"/>
                <w:lang w:val="en-US" w:eastAsia="zh-CN"/>
              </w:rPr>
              <w:t>结束后要对施工迹地进行清理平整与植被恢复工作，尽可能减少对植被的破坏。</w:t>
            </w:r>
          </w:p>
          <w:p w14:paraId="7DD8DFC5">
            <w:pPr>
              <w:pStyle w:val="45"/>
              <w:bidi w:val="0"/>
              <w:rPr>
                <w:color w:val="auto"/>
              </w:rPr>
            </w:pPr>
            <w:r>
              <w:rPr>
                <w:rFonts w:hint="eastAsia"/>
                <w:color w:val="auto"/>
                <w:lang w:val="en-US" w:eastAsia="zh-CN"/>
              </w:rPr>
              <w:t>2</w:t>
            </w:r>
            <w:r>
              <w:rPr>
                <w:rFonts w:hint="eastAsia"/>
                <w:color w:val="auto"/>
              </w:rPr>
              <w:t>施工期大气环境</w:t>
            </w:r>
            <w:r>
              <w:rPr>
                <w:rFonts w:hint="eastAsia"/>
                <w:color w:val="auto"/>
                <w:lang w:val="en-US" w:eastAsia="zh-CN"/>
              </w:rPr>
              <w:t>保护措施</w:t>
            </w:r>
          </w:p>
          <w:p w14:paraId="4D41195D">
            <w:pPr>
              <w:pStyle w:val="46"/>
              <w:numPr>
                <w:ilvl w:val="0"/>
                <w:numId w:val="0"/>
              </w:numPr>
              <w:bidi w:val="0"/>
              <w:ind w:firstLine="480" w:firstLineChars="200"/>
              <w:rPr>
                <w:rFonts w:hint="default"/>
                <w:color w:val="auto"/>
              </w:rPr>
            </w:pPr>
            <w:r>
              <w:rPr>
                <w:rFonts w:hint="default" w:ascii="Times New Roman" w:hAnsi="Times New Roman" w:eastAsia="宋体" w:cs="宋体"/>
                <w:color w:val="auto"/>
                <w:kern w:val="0"/>
                <w:sz w:val="24"/>
                <w:szCs w:val="24"/>
                <w:lang w:val="en-US" w:eastAsia="zh-CN" w:bidi="ar-SA"/>
              </w:rPr>
              <w:t>（1）</w:t>
            </w:r>
            <w:r>
              <w:rPr>
                <w:rFonts w:hint="default"/>
                <w:color w:val="auto"/>
              </w:rPr>
              <w:t>运输车辆应谨防运输车辆装载过满，并尽可能采取遮盖、密闭措施，苫布边缘至少要遮住槽帮上沿以下15cm，减少其沿途遗</w:t>
            </w:r>
            <w:r>
              <w:rPr>
                <w:rFonts w:hint="eastAsia"/>
                <w:color w:val="auto"/>
                <w:lang w:eastAsia="zh-CN"/>
              </w:rPr>
              <w:t>撒</w:t>
            </w:r>
            <w:r>
              <w:rPr>
                <w:rFonts w:hint="default"/>
                <w:color w:val="auto"/>
              </w:rPr>
              <w:t>，及时清扫散落在路面的泥土和灰尘定时洒水压尘，减少运输过程中的扬尘，防止因速度过快导致的汽车扬尘。</w:t>
            </w:r>
          </w:p>
          <w:p w14:paraId="733C7CB3">
            <w:pPr>
              <w:pStyle w:val="46"/>
              <w:numPr>
                <w:ilvl w:val="0"/>
                <w:numId w:val="0"/>
              </w:numPr>
              <w:bidi w:val="0"/>
              <w:ind w:firstLine="480" w:firstLineChars="200"/>
              <w:rPr>
                <w:rFonts w:hint="default"/>
                <w:color w:val="auto"/>
              </w:rPr>
            </w:pPr>
            <w:r>
              <w:rPr>
                <w:rFonts w:hint="default"/>
                <w:color w:val="auto"/>
              </w:rPr>
              <w:t>（2）施工工地道路积尘清理措施，定期对场区洒水，保持下垫面和空气湿润，减少起尘量，洒水频率视天气情况调整，原则上施工期每天进行4次洒水降尘。</w:t>
            </w:r>
          </w:p>
          <w:p w14:paraId="57900142">
            <w:pPr>
              <w:pStyle w:val="46"/>
              <w:numPr>
                <w:ilvl w:val="0"/>
                <w:numId w:val="0"/>
              </w:numPr>
              <w:bidi w:val="0"/>
              <w:ind w:firstLine="480" w:firstLineChars="200"/>
              <w:rPr>
                <w:rFonts w:hint="default"/>
                <w:color w:val="auto"/>
              </w:rPr>
            </w:pPr>
            <w:r>
              <w:rPr>
                <w:rFonts w:hint="default"/>
                <w:color w:val="auto"/>
              </w:rPr>
              <w:t>（3）施工期间场地平整过程中，对暂时开挖的土方进行防护，使用防雨、防尘的苫</w:t>
            </w:r>
            <w:r>
              <w:rPr>
                <w:rFonts w:hint="eastAsia"/>
                <w:color w:val="auto"/>
                <w:lang w:val="en-US" w:eastAsia="zh-CN"/>
              </w:rPr>
              <w:t>布</w:t>
            </w:r>
            <w:r>
              <w:rPr>
                <w:rFonts w:hint="default"/>
                <w:color w:val="auto"/>
              </w:rPr>
              <w:t>遮挡，减少风力起尘。</w:t>
            </w:r>
          </w:p>
          <w:p w14:paraId="5690D2A9">
            <w:pPr>
              <w:pStyle w:val="46"/>
              <w:numPr>
                <w:ilvl w:val="0"/>
                <w:numId w:val="0"/>
              </w:numPr>
              <w:bidi w:val="0"/>
              <w:ind w:firstLine="480" w:firstLineChars="200"/>
              <w:rPr>
                <w:rFonts w:hint="default"/>
                <w:color w:val="auto"/>
              </w:rPr>
            </w:pPr>
            <w:r>
              <w:rPr>
                <w:rFonts w:hint="default"/>
                <w:color w:val="auto"/>
              </w:rPr>
              <w:t>（4）对施工人员进行环保方面的教育，提高设备原料利用率，不用设备时及时关闭，减少废气排放；在装卸进程中，禁止野蛮作业，减少作业扬尘，并为施工人员配备防尘口罩等防尘用品。</w:t>
            </w:r>
          </w:p>
          <w:p w14:paraId="5E0FA3BC">
            <w:pPr>
              <w:pStyle w:val="46"/>
              <w:numPr>
                <w:ilvl w:val="0"/>
                <w:numId w:val="0"/>
              </w:numPr>
              <w:bidi w:val="0"/>
              <w:ind w:firstLine="480" w:firstLineChars="200"/>
              <w:rPr>
                <w:color w:val="auto"/>
                <w:szCs w:val="24"/>
                <w:highlight w:val="none"/>
              </w:rPr>
            </w:pPr>
            <w:r>
              <w:rPr>
                <w:rFonts w:hint="default"/>
                <w:color w:val="auto"/>
              </w:rPr>
              <w:t>（5）尽量选用低能耗、低污染排放的施工机械、车辆，加强对本项目施工期所使用的机械设备的维护及保养，尽量减少因机械、车辆状况不佳造成的空气污染，降低尾气中有害成分的浓度。</w:t>
            </w:r>
          </w:p>
          <w:p w14:paraId="54CEE3C5">
            <w:pPr>
              <w:pStyle w:val="45"/>
              <w:bidi w:val="0"/>
              <w:rPr>
                <w:color w:val="auto"/>
              </w:rPr>
            </w:pPr>
            <w:r>
              <w:rPr>
                <w:rFonts w:hint="eastAsia"/>
                <w:color w:val="auto"/>
                <w:lang w:val="en-US" w:eastAsia="zh-CN"/>
              </w:rPr>
              <w:t>3</w:t>
            </w:r>
            <w:r>
              <w:rPr>
                <w:rFonts w:hint="eastAsia"/>
                <w:color w:val="auto"/>
              </w:rPr>
              <w:t>施工期水环境</w:t>
            </w:r>
            <w:r>
              <w:rPr>
                <w:rFonts w:hint="eastAsia"/>
                <w:color w:val="auto"/>
                <w:lang w:val="en-US" w:eastAsia="zh-CN"/>
              </w:rPr>
              <w:t>保护措施</w:t>
            </w:r>
          </w:p>
          <w:p w14:paraId="4A56C218">
            <w:pPr>
              <w:pStyle w:val="46"/>
              <w:bidi w:val="0"/>
              <w:rPr>
                <w:rFonts w:hint="eastAsia"/>
                <w:color w:val="auto"/>
                <w:lang w:val="en-US" w:eastAsia="zh-CN"/>
              </w:rPr>
            </w:pPr>
            <w:r>
              <w:rPr>
                <w:rFonts w:hint="eastAsia"/>
                <w:color w:val="auto"/>
                <w:lang w:val="en-US" w:eastAsia="zh-CN"/>
              </w:rPr>
              <w:t>本项目采取水环境保护措施如下：</w:t>
            </w:r>
          </w:p>
          <w:p w14:paraId="28E1C768">
            <w:pPr>
              <w:pStyle w:val="46"/>
              <w:bidi w:val="0"/>
              <w:rPr>
                <w:rFonts w:hint="eastAsia"/>
                <w:color w:val="auto"/>
                <w:lang w:val="en-US" w:eastAsia="zh-CN"/>
              </w:rPr>
            </w:pPr>
            <w:r>
              <w:rPr>
                <w:rFonts w:hint="eastAsia"/>
                <w:color w:val="auto"/>
                <w:lang w:val="en-US" w:eastAsia="zh-CN"/>
              </w:rPr>
              <w:t>（1）禁止在施工现场冲洗机械设备。</w:t>
            </w:r>
          </w:p>
          <w:p w14:paraId="1A4501F4">
            <w:pPr>
              <w:pStyle w:val="46"/>
              <w:bidi w:val="0"/>
              <w:rPr>
                <w:rFonts w:hint="eastAsia"/>
                <w:color w:val="auto"/>
                <w:lang w:val="en-US" w:eastAsia="zh-CN"/>
              </w:rPr>
            </w:pPr>
            <w:r>
              <w:rPr>
                <w:rFonts w:hint="eastAsia"/>
                <w:color w:val="auto"/>
                <w:lang w:val="en-US" w:eastAsia="zh-CN"/>
              </w:rPr>
              <w:t>（2）</w:t>
            </w:r>
            <w:r>
              <w:rPr>
                <w:rFonts w:hint="default" w:ascii="Times New Roman" w:hAnsi="Times New Roman" w:eastAsia="宋体" w:cs="Times New Roman"/>
                <w:color w:val="auto"/>
                <w:sz w:val="24"/>
                <w:szCs w:val="24"/>
                <w:highlight w:val="none"/>
              </w:rPr>
              <w:t>施工</w:t>
            </w:r>
            <w:r>
              <w:rPr>
                <w:rFonts w:hint="eastAsia" w:cs="Times New Roman"/>
                <w:color w:val="auto"/>
                <w:sz w:val="24"/>
                <w:szCs w:val="24"/>
                <w:highlight w:val="none"/>
                <w:lang w:val="en-US" w:eastAsia="zh-CN"/>
              </w:rPr>
              <w:t>期</w:t>
            </w:r>
            <w:r>
              <w:rPr>
                <w:rFonts w:hint="eastAsia"/>
                <w:color w:val="auto"/>
                <w:shd w:val="clear" w:color="auto" w:fill="auto"/>
                <w:lang w:val="en-US" w:eastAsia="zh-CN"/>
              </w:rPr>
              <w:t>生活污水排入一体化污水处理设施，达到《农村生活污水处理排放标准》（DB654275-2019）表2中C级标准后，用于洒水抑尘，</w:t>
            </w:r>
            <w:r>
              <w:rPr>
                <w:rFonts w:hint="default" w:ascii="Times New Roman" w:hAnsi="Times New Roman" w:eastAsia="宋体" w:cs="Times New Roman"/>
                <w:color w:val="auto"/>
                <w:sz w:val="24"/>
                <w:szCs w:val="24"/>
                <w:highlight w:val="none"/>
              </w:rPr>
              <w:t>不得排入地表水体</w:t>
            </w:r>
            <w:r>
              <w:rPr>
                <w:rFonts w:hint="eastAsia"/>
                <w:color w:val="auto"/>
                <w:lang w:val="en-US" w:eastAsia="zh-CN"/>
              </w:rPr>
              <w:t>。</w:t>
            </w:r>
          </w:p>
          <w:p w14:paraId="7DD01D97">
            <w:pPr>
              <w:pStyle w:val="46"/>
              <w:bidi w:val="0"/>
              <w:rPr>
                <w:rFonts w:hint="eastAsia"/>
                <w:color w:val="auto"/>
                <w:lang w:val="en-US" w:eastAsia="zh-CN"/>
              </w:rPr>
            </w:pPr>
            <w:r>
              <w:rPr>
                <w:rFonts w:hint="eastAsia"/>
                <w:color w:val="auto"/>
                <w:lang w:val="en-US" w:eastAsia="zh-CN"/>
              </w:rPr>
              <w:t>（3）合理规划施工区域，营地布置应远离季节性河流及冲沟。若无法避免，应采用对水系影响较小的方式，并设置防护设施，防止工程施工产生的废弃物进入水体，污染水质。</w:t>
            </w:r>
          </w:p>
          <w:p w14:paraId="2A15CDC3">
            <w:pPr>
              <w:pStyle w:val="45"/>
              <w:bidi w:val="0"/>
              <w:rPr>
                <w:rFonts w:hint="eastAsia"/>
                <w:color w:val="auto"/>
                <w:lang w:val="en-US" w:eastAsia="zh-CN"/>
              </w:rPr>
            </w:pPr>
            <w:r>
              <w:rPr>
                <w:rFonts w:hint="eastAsia"/>
                <w:color w:val="auto"/>
                <w:lang w:val="en-US" w:eastAsia="zh-CN"/>
              </w:rPr>
              <w:t>4</w:t>
            </w:r>
            <w:r>
              <w:rPr>
                <w:rFonts w:hint="eastAsia"/>
                <w:color w:val="auto"/>
              </w:rPr>
              <w:t>施工期噪声环境</w:t>
            </w:r>
            <w:r>
              <w:rPr>
                <w:rFonts w:hint="eastAsia"/>
                <w:color w:val="auto"/>
                <w:lang w:val="en-US" w:eastAsia="zh-CN"/>
              </w:rPr>
              <w:t>保护措施</w:t>
            </w:r>
          </w:p>
          <w:p w14:paraId="522BD2D7">
            <w:pPr>
              <w:pStyle w:val="46"/>
              <w:bidi w:val="0"/>
              <w:rPr>
                <w:rFonts w:hint="eastAsia"/>
                <w:color w:val="auto"/>
                <w:lang w:val="en-US" w:eastAsia="zh-CN"/>
              </w:rPr>
            </w:pPr>
            <w:r>
              <w:rPr>
                <w:rFonts w:hint="eastAsia"/>
                <w:color w:val="auto"/>
              </w:rPr>
              <w:t>本项目</w:t>
            </w:r>
            <w:r>
              <w:rPr>
                <w:rFonts w:hint="eastAsia"/>
                <w:color w:val="auto"/>
                <w:lang w:val="en-US" w:eastAsia="zh-CN"/>
              </w:rPr>
              <w:t>施工期</w:t>
            </w:r>
            <w:r>
              <w:rPr>
                <w:rFonts w:hint="eastAsia"/>
                <w:color w:val="auto"/>
              </w:rPr>
              <w:t>噪声的来源包括运输车辆</w:t>
            </w:r>
            <w:r>
              <w:rPr>
                <w:rFonts w:hint="eastAsia"/>
                <w:color w:val="auto"/>
                <w:lang w:eastAsia="zh-CN"/>
              </w:rPr>
              <w:t>、</w:t>
            </w:r>
            <w:r>
              <w:rPr>
                <w:rFonts w:hint="eastAsia"/>
                <w:color w:val="auto"/>
              </w:rPr>
              <w:t>挖机</w:t>
            </w:r>
            <w:r>
              <w:rPr>
                <w:rFonts w:hint="eastAsia"/>
                <w:color w:val="auto"/>
                <w:lang w:val="en-US" w:eastAsia="zh-CN"/>
              </w:rPr>
              <w:t>等</w:t>
            </w:r>
            <w:r>
              <w:rPr>
                <w:rFonts w:hint="eastAsia"/>
                <w:color w:val="auto"/>
              </w:rPr>
              <w:t>产生的噪声，</w:t>
            </w:r>
            <w:r>
              <w:rPr>
                <w:rFonts w:hint="eastAsia"/>
                <w:color w:val="auto"/>
                <w:lang w:val="en-US" w:eastAsia="zh-CN"/>
              </w:rPr>
              <w:t>项目周边50m范围内无环境敏感目标，对环境影响较小</w:t>
            </w:r>
            <w:r>
              <w:rPr>
                <w:rFonts w:hint="eastAsia"/>
                <w:color w:val="auto"/>
              </w:rPr>
              <w:t>。</w:t>
            </w:r>
            <w:r>
              <w:rPr>
                <w:rFonts w:hint="default"/>
                <w:color w:val="auto"/>
              </w:rPr>
              <w:t>控制措施</w:t>
            </w:r>
            <w:r>
              <w:rPr>
                <w:rFonts w:hint="eastAsia"/>
                <w:color w:val="auto"/>
                <w:lang w:val="en-US" w:eastAsia="zh-CN"/>
              </w:rPr>
              <w:t>如下</w:t>
            </w:r>
            <w:r>
              <w:rPr>
                <w:rFonts w:hint="eastAsia"/>
                <w:color w:val="auto"/>
                <w:lang w:eastAsia="zh-CN"/>
              </w:rPr>
              <w:t>：</w:t>
            </w:r>
          </w:p>
          <w:p w14:paraId="35966364">
            <w:pPr>
              <w:pStyle w:val="46"/>
              <w:bidi w:val="0"/>
              <w:rPr>
                <w:rFonts w:hint="default"/>
                <w:color w:val="auto"/>
              </w:rPr>
            </w:pPr>
            <w:r>
              <w:rPr>
                <w:rFonts w:hint="eastAsia"/>
                <w:color w:val="auto"/>
                <w:lang w:eastAsia="zh-CN"/>
              </w:rPr>
              <w:t>（</w:t>
            </w:r>
            <w:r>
              <w:rPr>
                <w:rFonts w:hint="eastAsia"/>
                <w:color w:val="auto"/>
                <w:lang w:val="en-US" w:eastAsia="zh-CN"/>
              </w:rPr>
              <w:t>1</w:t>
            </w:r>
            <w:r>
              <w:rPr>
                <w:rFonts w:hint="eastAsia"/>
                <w:color w:val="auto"/>
                <w:lang w:eastAsia="zh-CN"/>
              </w:rPr>
              <w:t>）</w:t>
            </w:r>
            <w:r>
              <w:rPr>
                <w:rFonts w:hint="default"/>
                <w:color w:val="auto"/>
              </w:rPr>
              <w:t>从声源上控制：</w:t>
            </w:r>
            <w:r>
              <w:rPr>
                <w:rFonts w:hint="eastAsia"/>
                <w:color w:val="auto"/>
                <w:lang w:eastAsia="zh-CN"/>
              </w:rPr>
              <w:t>使用</w:t>
            </w:r>
            <w:r>
              <w:rPr>
                <w:rFonts w:hint="default"/>
                <w:color w:val="auto"/>
              </w:rPr>
              <w:t>低噪声机械设备</w:t>
            </w:r>
            <w:r>
              <w:rPr>
                <w:rFonts w:hint="default"/>
                <w:color w:val="auto"/>
                <w:lang w:eastAsia="zh-CN"/>
              </w:rPr>
              <w:t>，</w:t>
            </w:r>
            <w:r>
              <w:rPr>
                <w:rFonts w:hint="default"/>
                <w:color w:val="auto"/>
              </w:rPr>
              <w:t>严格按操作规范使用各类机械。</w:t>
            </w:r>
          </w:p>
          <w:p w14:paraId="59FC6604">
            <w:pPr>
              <w:pStyle w:val="46"/>
              <w:bidi w:val="0"/>
              <w:rPr>
                <w:rFonts w:hint="default"/>
                <w:color w:val="auto"/>
              </w:rPr>
            </w:pPr>
            <w:r>
              <w:rPr>
                <w:rFonts w:hint="eastAsia"/>
                <w:color w:val="auto"/>
                <w:lang w:eastAsia="zh-CN"/>
              </w:rPr>
              <w:t>（</w:t>
            </w:r>
            <w:r>
              <w:rPr>
                <w:rFonts w:hint="eastAsia"/>
                <w:color w:val="auto"/>
                <w:lang w:val="en-US" w:eastAsia="zh-CN"/>
              </w:rPr>
              <w:t>2</w:t>
            </w:r>
            <w:r>
              <w:rPr>
                <w:rFonts w:hint="eastAsia"/>
                <w:color w:val="auto"/>
                <w:lang w:eastAsia="zh-CN"/>
              </w:rPr>
              <w:t>）</w:t>
            </w:r>
            <w:r>
              <w:rPr>
                <w:rFonts w:hint="default"/>
                <w:color w:val="auto"/>
              </w:rPr>
              <w:t>合理安排施工时间：首先制订施工计划时，应尽可能避免大量高噪声设备同时施工。</w:t>
            </w:r>
          </w:p>
          <w:p w14:paraId="047EED42">
            <w:pPr>
              <w:pStyle w:val="46"/>
              <w:bidi w:val="0"/>
              <w:rPr>
                <w:rFonts w:hint="default"/>
                <w:color w:val="auto"/>
              </w:rPr>
            </w:pPr>
            <w:r>
              <w:rPr>
                <w:rFonts w:hint="eastAsia"/>
                <w:color w:val="auto"/>
                <w:lang w:eastAsia="zh-CN"/>
              </w:rPr>
              <w:t>（</w:t>
            </w:r>
            <w:r>
              <w:rPr>
                <w:rFonts w:hint="eastAsia"/>
                <w:color w:val="auto"/>
                <w:lang w:val="en-US" w:eastAsia="zh-CN"/>
              </w:rPr>
              <w:t>3</w:t>
            </w:r>
            <w:r>
              <w:rPr>
                <w:rFonts w:hint="eastAsia"/>
                <w:color w:val="auto"/>
                <w:lang w:eastAsia="zh-CN"/>
              </w:rPr>
              <w:t>）</w:t>
            </w:r>
            <w:r>
              <w:rPr>
                <w:rFonts w:hint="default"/>
                <w:color w:val="auto"/>
              </w:rPr>
              <w:t>合理布置施工现场</w:t>
            </w:r>
            <w:r>
              <w:rPr>
                <w:rFonts w:hint="eastAsia"/>
                <w:color w:val="auto"/>
                <w:lang w:eastAsia="zh-CN"/>
              </w:rPr>
              <w:t>：</w:t>
            </w:r>
            <w:r>
              <w:rPr>
                <w:rFonts w:hint="default"/>
                <w:color w:val="auto"/>
              </w:rPr>
              <w:t>施工现场应合理布局，将施工中的固定噪声源相对集中摆放，闲置不用的设备立即关闭，降低施工噪声对周边声环境的影响。</w:t>
            </w:r>
          </w:p>
          <w:p w14:paraId="2BD35E01">
            <w:pPr>
              <w:pStyle w:val="46"/>
              <w:bidi w:val="0"/>
              <w:rPr>
                <w:rFonts w:hint="default"/>
                <w:color w:val="auto"/>
              </w:rPr>
            </w:pPr>
            <w:r>
              <w:rPr>
                <w:rFonts w:hint="default"/>
                <w:color w:val="auto"/>
              </w:rPr>
              <w:t>④车辆出入施工现场时应低速、禁鸣。</w:t>
            </w:r>
          </w:p>
          <w:p w14:paraId="6E063676">
            <w:pPr>
              <w:pStyle w:val="45"/>
              <w:bidi w:val="0"/>
              <w:rPr>
                <w:rFonts w:hint="default"/>
                <w:color w:val="auto"/>
                <w:lang w:val="en-US" w:eastAsia="zh-CN"/>
              </w:rPr>
            </w:pPr>
            <w:r>
              <w:rPr>
                <w:rFonts w:hint="default"/>
                <w:color w:val="auto"/>
                <w:lang w:val="en-US" w:eastAsia="zh-CN"/>
              </w:rPr>
              <w:t>5</w:t>
            </w:r>
            <w:r>
              <w:rPr>
                <w:rFonts w:hint="default"/>
                <w:color w:val="auto"/>
              </w:rPr>
              <w:t>施工期固废</w:t>
            </w:r>
            <w:r>
              <w:rPr>
                <w:rFonts w:hint="default"/>
                <w:color w:val="auto"/>
                <w:lang w:val="en-US" w:eastAsia="zh-CN"/>
              </w:rPr>
              <w:t>环境保护措施</w:t>
            </w:r>
          </w:p>
          <w:p w14:paraId="11F15513">
            <w:pPr>
              <w:pStyle w:val="46"/>
              <w:bidi w:val="0"/>
              <w:rPr>
                <w:rFonts w:hint="eastAsia"/>
                <w:color w:val="auto"/>
                <w:shd w:val="clear" w:color="auto" w:fill="auto"/>
                <w:lang w:val="en-US" w:eastAsia="zh-CN"/>
              </w:rPr>
            </w:pPr>
            <w:r>
              <w:rPr>
                <w:rFonts w:hint="default"/>
                <w:color w:val="auto"/>
              </w:rPr>
              <w:t>施工期固体</w:t>
            </w:r>
            <w:r>
              <w:rPr>
                <w:rFonts w:hint="eastAsia"/>
                <w:color w:val="auto"/>
              </w:rPr>
              <w:t>废物来自施工过程中</w:t>
            </w:r>
            <w:r>
              <w:rPr>
                <w:rFonts w:hint="eastAsia"/>
                <w:color w:val="auto"/>
                <w:lang w:val="en-US" w:eastAsia="zh-CN"/>
              </w:rPr>
              <w:t>土地平整所开挖</w:t>
            </w:r>
            <w:r>
              <w:rPr>
                <w:rFonts w:hint="eastAsia"/>
                <w:color w:val="auto"/>
              </w:rPr>
              <w:t>的</w:t>
            </w:r>
            <w:r>
              <w:rPr>
                <w:rFonts w:hint="eastAsia"/>
                <w:color w:val="auto"/>
                <w:lang w:val="en-US" w:eastAsia="zh-CN"/>
              </w:rPr>
              <w:t>土石方，全部堆放在临时堆场内，待项目勘探期结束后，全部回填，恢复原有地貌</w:t>
            </w:r>
            <w:r>
              <w:rPr>
                <w:rFonts w:hint="eastAsia"/>
                <w:color w:val="auto"/>
              </w:rPr>
              <w:t>。</w:t>
            </w:r>
            <w:r>
              <w:rPr>
                <w:rFonts w:hint="eastAsia"/>
                <w:color w:val="auto"/>
                <w:lang w:val="en-US" w:eastAsia="zh-CN"/>
              </w:rPr>
              <w:t>施工营地内设置一定数量的垃圾桶，用于临时存放生活垃圾，</w:t>
            </w:r>
            <w:r>
              <w:rPr>
                <w:rFonts w:hint="eastAsia"/>
                <w:color w:val="auto"/>
                <w:shd w:val="clear" w:color="auto" w:fill="auto"/>
                <w:lang w:val="en-US" w:eastAsia="zh-CN"/>
              </w:rPr>
              <w:t>最终统一收集后交由环卫部门处置。</w:t>
            </w:r>
          </w:p>
          <w:p w14:paraId="41F6A304">
            <w:pPr>
              <w:pStyle w:val="46"/>
              <w:numPr>
                <w:ilvl w:val="0"/>
                <w:numId w:val="0"/>
              </w:numPr>
              <w:bidi w:val="0"/>
              <w:ind w:firstLine="480" w:firstLineChars="200"/>
              <w:rPr>
                <w:rFonts w:hint="eastAsia" w:ascii="Times New Roman" w:hAnsi="Times New Roman" w:eastAsia="宋体" w:cs="宋体"/>
                <w:color w:val="auto"/>
                <w:lang w:val="en-US" w:eastAsia="zh-CN"/>
              </w:rPr>
            </w:pPr>
          </w:p>
        </w:tc>
      </w:tr>
      <w:tr w14:paraId="2B9E0D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03" w:hRule="atLeast"/>
          <w:jc w:val="center"/>
        </w:trPr>
        <w:tc>
          <w:tcPr>
            <w:tcW w:w="432" w:type="pct"/>
            <w:noWrap w:val="0"/>
            <w:tcMar>
              <w:left w:w="28" w:type="dxa"/>
              <w:right w:w="28" w:type="dxa"/>
            </w:tcMar>
            <w:vAlign w:val="center"/>
          </w:tcPr>
          <w:p w14:paraId="18D0D3F6">
            <w:pPr>
              <w:adjustRightInd w:val="0"/>
              <w:snapToGrid w:val="0"/>
              <w:jc w:val="center"/>
              <w:rPr>
                <w:rFonts w:ascii="宋体" w:hAnsi="宋体" w:cs="宋体"/>
                <w:bCs/>
                <w:color w:val="auto"/>
                <w:spacing w:val="10"/>
                <w:szCs w:val="21"/>
              </w:rPr>
            </w:pPr>
            <w:r>
              <w:rPr>
                <w:rFonts w:hint="eastAsia" w:ascii="宋体" w:hAnsi="宋体" w:cs="宋体"/>
                <w:bCs/>
                <w:color w:val="auto"/>
                <w:spacing w:val="10"/>
                <w:szCs w:val="21"/>
                <w:lang w:val="en-US" w:eastAsia="zh-CN"/>
              </w:rPr>
              <w:t>勘探</w:t>
            </w:r>
            <w:r>
              <w:rPr>
                <w:rFonts w:hint="eastAsia" w:ascii="宋体" w:hAnsi="宋体" w:cs="宋体"/>
                <w:bCs/>
                <w:color w:val="auto"/>
                <w:spacing w:val="10"/>
                <w:szCs w:val="21"/>
              </w:rPr>
              <w:t>期生态环境保护措施</w:t>
            </w:r>
          </w:p>
        </w:tc>
        <w:tc>
          <w:tcPr>
            <w:tcW w:w="4567" w:type="pct"/>
            <w:noWrap w:val="0"/>
            <w:vAlign w:val="top"/>
          </w:tcPr>
          <w:p w14:paraId="324881A8">
            <w:pPr>
              <w:pStyle w:val="45"/>
              <w:keepNext w:val="0"/>
              <w:keepLines w:val="0"/>
              <w:pageBreakBefore w:val="0"/>
              <w:widowControl w:val="0"/>
              <w:kinsoku/>
              <w:overflowPunct/>
              <w:topLinePunct w:val="0"/>
              <w:autoSpaceDE/>
              <w:autoSpaceDN/>
              <w:bidi w:val="0"/>
              <w:adjustRightInd w:val="0"/>
              <w:snapToGrid w:val="0"/>
              <w:textAlignment w:val="auto"/>
              <w:rPr>
                <w:rFonts w:hint="default"/>
                <w:color w:val="auto"/>
                <w:lang w:val="en-US" w:eastAsia="zh-CN"/>
              </w:rPr>
            </w:pPr>
            <w:r>
              <w:rPr>
                <w:rFonts w:hint="eastAsia" w:ascii="Times New Roman" w:hAnsi="Times New Roman" w:eastAsia="宋体" w:cs="Times New Roman"/>
                <w:b/>
                <w:bCs/>
                <w:color w:val="auto"/>
                <w:kern w:val="2"/>
                <w:szCs w:val="24"/>
                <w:lang w:val="en-US" w:eastAsia="zh-CN" w:bidi="ar-SA"/>
              </w:rPr>
              <w:t>1</w:t>
            </w:r>
            <w:r>
              <w:rPr>
                <w:rFonts w:hint="eastAsia"/>
                <w:color w:val="auto"/>
                <w:lang w:val="en-US" w:eastAsia="zh-CN"/>
              </w:rPr>
              <w:t>生态环境影响保护措施</w:t>
            </w:r>
          </w:p>
          <w:p w14:paraId="1AAF636D">
            <w:pPr>
              <w:pStyle w:val="45"/>
              <w:keepNext w:val="0"/>
              <w:keepLines w:val="0"/>
              <w:pageBreakBefore w:val="0"/>
              <w:widowControl w:val="0"/>
              <w:kinsoku/>
              <w:wordWrap/>
              <w:overflowPunct/>
              <w:topLinePunct w:val="0"/>
              <w:autoSpaceDE/>
              <w:autoSpaceDN/>
              <w:bidi w:val="0"/>
              <w:adjustRightInd w:val="0"/>
              <w:snapToGrid w:val="0"/>
              <w:ind w:firstLine="482" w:firstLineChars="200"/>
              <w:textAlignment w:val="auto"/>
              <w:rPr>
                <w:rFonts w:hint="eastAsia"/>
                <w:color w:val="auto"/>
                <w:lang w:eastAsia="zh-CN"/>
              </w:rPr>
            </w:pPr>
            <w:r>
              <w:rPr>
                <w:rFonts w:hint="eastAsia"/>
                <w:color w:val="auto"/>
                <w:lang w:val="en-US" w:eastAsia="zh-CN"/>
              </w:rPr>
              <w:t>1.1</w:t>
            </w:r>
            <w:r>
              <w:rPr>
                <w:rFonts w:hint="eastAsia"/>
                <w:color w:val="auto"/>
                <w:lang w:eastAsia="zh-CN"/>
              </w:rPr>
              <w:t>陆生生物</w:t>
            </w:r>
          </w:p>
          <w:p w14:paraId="57F2DBF5">
            <w:pPr>
              <w:pStyle w:val="46"/>
              <w:keepNext w:val="0"/>
              <w:keepLines w:val="0"/>
              <w:pageBreakBefore w:val="0"/>
              <w:widowControl w:val="0"/>
              <w:kinsoku/>
              <w:overflowPunct/>
              <w:topLinePunct w:val="0"/>
              <w:autoSpaceDE/>
              <w:autoSpaceDN/>
              <w:bidi w:val="0"/>
              <w:adjustRightInd w:val="0"/>
              <w:snapToGrid w:val="0"/>
              <w:textAlignment w:val="auto"/>
              <w:rPr>
                <w:rFonts w:hint="eastAsia"/>
                <w:color w:val="auto"/>
                <w:lang w:eastAsia="zh-CN"/>
              </w:rPr>
            </w:pPr>
            <w:r>
              <w:rPr>
                <w:rFonts w:hint="eastAsia"/>
                <w:color w:val="auto"/>
                <w:lang w:eastAsia="zh-CN"/>
              </w:rPr>
              <w:t>（</w:t>
            </w:r>
            <w:r>
              <w:rPr>
                <w:rFonts w:hint="eastAsia"/>
                <w:color w:val="auto"/>
                <w:lang w:val="en-US" w:eastAsia="zh-CN"/>
              </w:rPr>
              <w:t>1</w:t>
            </w:r>
            <w:r>
              <w:rPr>
                <w:rFonts w:hint="eastAsia"/>
                <w:color w:val="auto"/>
                <w:lang w:eastAsia="zh-CN"/>
              </w:rPr>
              <w:t>）植物植被</w:t>
            </w:r>
          </w:p>
          <w:p w14:paraId="117D6AD6">
            <w:pPr>
              <w:pStyle w:val="46"/>
              <w:keepNext w:val="0"/>
              <w:keepLines w:val="0"/>
              <w:pageBreakBefore w:val="0"/>
              <w:widowControl w:val="0"/>
              <w:kinsoku/>
              <w:overflowPunct/>
              <w:topLinePunct w:val="0"/>
              <w:autoSpaceDE/>
              <w:autoSpaceDN/>
              <w:bidi w:val="0"/>
              <w:adjustRightInd w:val="0"/>
              <w:snapToGrid w:val="0"/>
              <w:textAlignment w:val="auto"/>
              <w:rPr>
                <w:rFonts w:hint="default"/>
                <w:color w:val="auto"/>
              </w:rPr>
            </w:pPr>
            <w:r>
              <w:rPr>
                <w:rFonts w:hint="eastAsia"/>
                <w:color w:val="auto"/>
                <w:lang w:eastAsia="zh-CN"/>
              </w:rPr>
              <w:t>工作区地质活动</w:t>
            </w:r>
            <w:r>
              <w:rPr>
                <w:rFonts w:hint="eastAsia"/>
                <w:color w:val="auto"/>
                <w:lang w:val="en-US" w:eastAsia="zh-CN"/>
              </w:rPr>
              <w:t>主要为</w:t>
            </w:r>
            <w:r>
              <w:rPr>
                <w:rFonts w:hint="eastAsia" w:ascii="Times New Roman" w:hAnsi="Times New Roman" w:cs="Times New Roman"/>
                <w:color w:val="auto"/>
                <w:sz w:val="24"/>
                <w:szCs w:val="24"/>
                <w:lang w:val="en-US" w:eastAsia="zh-CN"/>
              </w:rPr>
              <w:t>槽探和钻探</w:t>
            </w:r>
            <w:r>
              <w:rPr>
                <w:rFonts w:hint="eastAsia"/>
                <w:color w:val="auto"/>
                <w:lang w:eastAsia="zh-CN"/>
              </w:rPr>
              <w:t>，</w:t>
            </w:r>
            <w:r>
              <w:rPr>
                <w:rFonts w:hint="eastAsia"/>
                <w:color w:val="auto"/>
                <w:lang w:val="en-US" w:eastAsia="zh-CN"/>
              </w:rPr>
              <w:t>运营</w:t>
            </w:r>
            <w:r>
              <w:rPr>
                <w:rFonts w:hint="eastAsia"/>
                <w:color w:val="auto"/>
                <w:lang w:eastAsia="zh-CN"/>
              </w:rPr>
              <w:t>过程中会对原有土地造成一定程度破坏。本次工程施工场地的布置将临时改变占地区土地利用状况，同样对一些植被造成损坏。</w:t>
            </w:r>
            <w:r>
              <w:rPr>
                <w:rFonts w:hint="default"/>
                <w:color w:val="auto"/>
              </w:rPr>
              <w:t>根据现场调查了解，矿区内自然植物类型单一，种类、数量均较少。评价区内未发现国家重点保护野生植物。由于</w:t>
            </w:r>
            <w:r>
              <w:rPr>
                <w:rFonts w:hint="eastAsia"/>
                <w:color w:val="auto"/>
                <w:lang w:val="en-US" w:eastAsia="zh-CN"/>
              </w:rPr>
              <w:t>探矿工程施工</w:t>
            </w:r>
            <w:r>
              <w:rPr>
                <w:rFonts w:hint="default"/>
                <w:color w:val="auto"/>
              </w:rPr>
              <w:t>，破坏了原有的植被和地貌景观，不可避免地要对地表植被造成破坏。</w:t>
            </w:r>
            <w:r>
              <w:rPr>
                <w:rFonts w:hint="default"/>
                <w:color w:val="auto"/>
                <w:lang w:val="en-US" w:eastAsia="zh-CN"/>
              </w:rPr>
              <w:t>勘探期间应采取以下措施：</w:t>
            </w:r>
          </w:p>
          <w:p w14:paraId="0F2ED11D">
            <w:pPr>
              <w:pStyle w:val="46"/>
              <w:keepNext w:val="0"/>
              <w:keepLines w:val="0"/>
              <w:pageBreakBefore w:val="0"/>
              <w:widowControl w:val="0"/>
              <w:kinsoku/>
              <w:overflowPunct/>
              <w:topLinePunct w:val="0"/>
              <w:autoSpaceDE/>
              <w:autoSpaceDN/>
              <w:bidi w:val="0"/>
              <w:adjustRightInd w:val="0"/>
              <w:snapToGrid w:val="0"/>
              <w:textAlignment w:val="auto"/>
              <w:rPr>
                <w:rFonts w:hint="eastAsia"/>
                <w:color w:val="auto"/>
                <w:lang w:val="en-US" w:eastAsia="zh-CN"/>
              </w:rPr>
            </w:pPr>
            <w:r>
              <w:rPr>
                <w:rFonts w:hint="eastAsia"/>
                <w:color w:val="auto"/>
                <w:lang w:val="en-US" w:eastAsia="zh-CN"/>
              </w:rPr>
              <w:t>①</w:t>
            </w:r>
            <w:r>
              <w:rPr>
                <w:rFonts w:hint="default"/>
                <w:color w:val="auto"/>
              </w:rPr>
              <w:t>本评价要求建设单位</w:t>
            </w:r>
            <w:r>
              <w:rPr>
                <w:rFonts w:hint="eastAsia"/>
                <w:color w:val="auto"/>
                <w:lang w:val="en-US" w:eastAsia="zh-CN"/>
              </w:rPr>
              <w:t>综合考虑地形、地质与植被分布，合理规划施工场地的布局，避免不必要的草地占用。优先选择植被覆盖度更低、生态敏感度相对较低的区域作为临时用地。</w:t>
            </w:r>
          </w:p>
          <w:p w14:paraId="40B1FCEA">
            <w:pPr>
              <w:pStyle w:val="46"/>
              <w:keepNext w:val="0"/>
              <w:keepLines w:val="0"/>
              <w:pageBreakBefore w:val="0"/>
              <w:widowControl w:val="0"/>
              <w:kinsoku/>
              <w:overflowPunct/>
              <w:topLinePunct w:val="0"/>
              <w:autoSpaceDE/>
              <w:autoSpaceDN/>
              <w:bidi w:val="0"/>
              <w:adjustRightInd w:val="0"/>
              <w:snapToGrid w:val="0"/>
              <w:textAlignment w:val="auto"/>
              <w:rPr>
                <w:rFonts w:hint="eastAsia"/>
                <w:color w:val="auto"/>
                <w:lang w:val="en-US" w:eastAsia="zh-CN"/>
              </w:rPr>
            </w:pPr>
            <w:r>
              <w:rPr>
                <w:rFonts w:hint="eastAsia"/>
                <w:color w:val="auto"/>
                <w:lang w:val="en-US" w:eastAsia="zh-CN"/>
              </w:rPr>
              <w:t>②尽量采用对草地破坏较小的施工工艺和设备，如使用小型、轻型设备，减少重型机械的碾压。在搬运设备和材料时，避免拖拽，防止对草地造成额外的损伤。</w:t>
            </w:r>
          </w:p>
          <w:p w14:paraId="6252B2DF">
            <w:pPr>
              <w:pStyle w:val="46"/>
              <w:keepNext w:val="0"/>
              <w:keepLines w:val="0"/>
              <w:pageBreakBefore w:val="0"/>
              <w:widowControl w:val="0"/>
              <w:kinsoku/>
              <w:overflowPunct/>
              <w:topLinePunct w:val="0"/>
              <w:autoSpaceDE/>
              <w:autoSpaceDN/>
              <w:bidi w:val="0"/>
              <w:adjustRightInd w:val="0"/>
              <w:snapToGrid w:val="0"/>
              <w:textAlignment w:val="auto"/>
              <w:rPr>
                <w:rFonts w:hint="default"/>
                <w:color w:val="auto"/>
              </w:rPr>
            </w:pPr>
            <w:r>
              <w:rPr>
                <w:rFonts w:hint="eastAsia"/>
                <w:color w:val="auto"/>
                <w:lang w:val="en-US" w:eastAsia="zh-CN"/>
              </w:rPr>
              <w:t>③</w:t>
            </w:r>
            <w:r>
              <w:rPr>
                <w:rFonts w:hint="default"/>
                <w:color w:val="auto"/>
              </w:rPr>
              <w:t>在</w:t>
            </w:r>
            <w:r>
              <w:rPr>
                <w:rFonts w:hint="eastAsia"/>
                <w:color w:val="auto"/>
                <w:lang w:val="en-US" w:eastAsia="zh-CN"/>
              </w:rPr>
              <w:t>勘探结束后</w:t>
            </w:r>
            <w:r>
              <w:rPr>
                <w:rFonts w:hint="default"/>
                <w:color w:val="auto"/>
              </w:rPr>
              <w:t>，</w:t>
            </w:r>
            <w:r>
              <w:rPr>
                <w:rFonts w:hint="eastAsia"/>
                <w:color w:val="auto"/>
                <w:lang w:val="en-US" w:eastAsia="zh-CN"/>
              </w:rPr>
              <w:t>及时开展植被恢复工作，</w:t>
            </w:r>
            <w:r>
              <w:rPr>
                <w:rFonts w:hint="default"/>
                <w:color w:val="auto"/>
              </w:rPr>
              <w:t>对</w:t>
            </w:r>
            <w:r>
              <w:rPr>
                <w:rFonts w:hint="eastAsia"/>
                <w:color w:val="auto"/>
                <w:lang w:val="en-US" w:eastAsia="zh-CN"/>
              </w:rPr>
              <w:t>勘探场地进行回填、</w:t>
            </w:r>
            <w:r>
              <w:rPr>
                <w:rFonts w:hint="default"/>
                <w:color w:val="auto"/>
              </w:rPr>
              <w:t>进行迹地清理平整，项目营运过程中形成的裸露地表经过一段时间后可逐渐恢复原有的生态环境，区域内生态环境能够得到改善。</w:t>
            </w:r>
          </w:p>
          <w:p w14:paraId="3B67727C">
            <w:pPr>
              <w:pStyle w:val="46"/>
              <w:keepNext w:val="0"/>
              <w:keepLines w:val="0"/>
              <w:pageBreakBefore w:val="0"/>
              <w:widowControl w:val="0"/>
              <w:kinsoku/>
              <w:overflowPunct/>
              <w:topLinePunct w:val="0"/>
              <w:autoSpaceDE/>
              <w:autoSpaceDN/>
              <w:bidi w:val="0"/>
              <w:adjustRightInd w:val="0"/>
              <w:snapToGrid w:val="0"/>
              <w:textAlignment w:val="auto"/>
              <w:rPr>
                <w:rFonts w:hint="eastAsia"/>
                <w:color w:val="auto"/>
              </w:rPr>
            </w:pPr>
            <w:r>
              <w:rPr>
                <w:rFonts w:hint="eastAsia"/>
                <w:color w:val="auto"/>
                <w:lang w:val="en-US" w:eastAsia="zh-CN"/>
              </w:rPr>
              <w:t>④</w:t>
            </w:r>
            <w:r>
              <w:rPr>
                <w:rFonts w:hint="eastAsia"/>
                <w:color w:val="auto"/>
              </w:rPr>
              <w:t>勘探过程中应注意</w:t>
            </w:r>
            <w:r>
              <w:rPr>
                <w:rFonts w:hint="eastAsia"/>
                <w:color w:val="auto"/>
                <w:lang w:eastAsia="zh-CN"/>
              </w:rPr>
              <w:t>避让</w:t>
            </w:r>
            <w:r>
              <w:rPr>
                <w:rFonts w:hint="eastAsia"/>
                <w:color w:val="auto"/>
              </w:rPr>
              <w:t>保护植物，不因项目建设对其生境造成破坏影响。</w:t>
            </w:r>
          </w:p>
          <w:p w14:paraId="481CD56F">
            <w:pPr>
              <w:pStyle w:val="46"/>
              <w:keepNext w:val="0"/>
              <w:keepLines w:val="0"/>
              <w:pageBreakBefore w:val="0"/>
              <w:widowControl w:val="0"/>
              <w:kinsoku/>
              <w:overflowPunct/>
              <w:topLinePunct w:val="0"/>
              <w:autoSpaceDE/>
              <w:autoSpaceDN/>
              <w:bidi w:val="0"/>
              <w:adjustRightInd w:val="0"/>
              <w:snapToGrid w:val="0"/>
              <w:textAlignment w:val="auto"/>
              <w:rPr>
                <w:rFonts w:hint="eastAsia"/>
                <w:color w:val="auto"/>
                <w:lang w:eastAsia="zh-CN"/>
              </w:rPr>
            </w:pP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color w:val="auto"/>
                <w:lang w:val="en-US" w:eastAsia="zh-CN"/>
              </w:rPr>
              <w:t>陆生</w:t>
            </w:r>
            <w:r>
              <w:rPr>
                <w:rFonts w:hint="eastAsia"/>
                <w:color w:val="auto"/>
                <w:lang w:eastAsia="zh-CN"/>
              </w:rPr>
              <w:t>动物</w:t>
            </w:r>
          </w:p>
          <w:p w14:paraId="067F2EB9">
            <w:pPr>
              <w:pStyle w:val="46"/>
              <w:keepNext w:val="0"/>
              <w:keepLines w:val="0"/>
              <w:pageBreakBefore w:val="0"/>
              <w:widowControl w:val="0"/>
              <w:kinsoku/>
              <w:overflowPunct/>
              <w:topLinePunct w:val="0"/>
              <w:autoSpaceDE/>
              <w:autoSpaceDN/>
              <w:bidi w:val="0"/>
              <w:adjustRightInd w:val="0"/>
              <w:snapToGrid w:val="0"/>
              <w:textAlignment w:val="auto"/>
              <w:rPr>
                <w:rFonts w:hint="default"/>
                <w:color w:val="auto"/>
                <w:lang w:val="en-US"/>
              </w:rPr>
            </w:pPr>
            <w:r>
              <w:rPr>
                <w:rFonts w:hint="eastAsia"/>
                <w:color w:val="auto"/>
                <w:lang w:eastAsia="zh-CN"/>
              </w:rPr>
              <w:t>经现场踏勘和资料分析，本项目</w:t>
            </w:r>
            <w:r>
              <w:rPr>
                <w:rFonts w:hint="eastAsia"/>
                <w:color w:val="auto"/>
                <w:lang w:val="en-US" w:eastAsia="zh-CN"/>
              </w:rPr>
              <w:t>可能涉及小型野生动物的栖息地</w:t>
            </w:r>
            <w:r>
              <w:rPr>
                <w:rFonts w:hint="eastAsia"/>
                <w:color w:val="auto"/>
                <w:lang w:eastAsia="zh-CN"/>
              </w:rPr>
              <w:t>，</w:t>
            </w:r>
            <w:r>
              <w:rPr>
                <w:rFonts w:hint="eastAsia"/>
                <w:color w:val="auto"/>
                <w:lang w:val="en-US" w:eastAsia="zh-CN"/>
              </w:rPr>
              <w:t>槽探开挖</w:t>
            </w:r>
            <w:r>
              <w:rPr>
                <w:rFonts w:hint="default"/>
                <w:color w:val="auto"/>
                <w:lang w:val="en-US" w:eastAsia="zh-CN"/>
              </w:rPr>
              <w:t>及</w:t>
            </w:r>
            <w:r>
              <w:rPr>
                <w:rFonts w:hint="eastAsia"/>
                <w:color w:val="auto"/>
                <w:lang w:val="en-US" w:eastAsia="zh-CN"/>
              </w:rPr>
              <w:t>施工</w:t>
            </w:r>
            <w:r>
              <w:rPr>
                <w:rFonts w:hint="default"/>
                <w:color w:val="auto"/>
              </w:rPr>
              <w:t>作业</w:t>
            </w:r>
            <w:r>
              <w:rPr>
                <w:rFonts w:hint="eastAsia"/>
                <w:color w:val="auto"/>
                <w:lang w:val="en-US" w:eastAsia="zh-CN"/>
              </w:rPr>
              <w:t>破坏地形地貌</w:t>
            </w:r>
            <w:r>
              <w:rPr>
                <w:rFonts w:hint="default"/>
                <w:color w:val="auto"/>
              </w:rPr>
              <w:t>的同时，也破坏了原有生态环</w:t>
            </w:r>
            <w:r>
              <w:rPr>
                <w:rFonts w:hint="eastAsia"/>
                <w:color w:val="auto"/>
                <w:lang w:eastAsia="zh-CN"/>
              </w:rPr>
              <w:t>境和</w:t>
            </w:r>
            <w:r>
              <w:rPr>
                <w:rFonts w:hint="default"/>
                <w:color w:val="auto"/>
              </w:rPr>
              <w:t>小型野生动物的栖息环境，加上机械噪声及人员活动产生的影响，</w:t>
            </w:r>
            <w:r>
              <w:rPr>
                <w:rFonts w:hint="eastAsia"/>
                <w:color w:val="auto"/>
                <w:lang w:val="en-US" w:eastAsia="zh-CN"/>
              </w:rPr>
              <w:t>会</w:t>
            </w:r>
            <w:r>
              <w:rPr>
                <w:rFonts w:hint="default"/>
                <w:color w:val="auto"/>
              </w:rPr>
              <w:t>对周围动物的生活造成干扰，使它们的生活受到威胁而迁徙，远离开采地周围。</w:t>
            </w:r>
            <w:r>
              <w:rPr>
                <w:rFonts w:hint="default"/>
                <w:color w:val="auto"/>
                <w:lang w:val="en-US" w:eastAsia="zh-CN"/>
              </w:rPr>
              <w:t>勘探期</w:t>
            </w:r>
            <w:r>
              <w:rPr>
                <w:rFonts w:hint="eastAsia"/>
                <w:color w:val="auto"/>
                <w:lang w:val="en-US" w:eastAsia="zh-CN"/>
              </w:rPr>
              <w:t>间应采取以下措施：</w:t>
            </w:r>
          </w:p>
          <w:p w14:paraId="47C5173C">
            <w:pPr>
              <w:pStyle w:val="46"/>
              <w:keepNext w:val="0"/>
              <w:keepLines w:val="0"/>
              <w:pageBreakBefore w:val="0"/>
              <w:widowControl w:val="0"/>
              <w:kinsoku/>
              <w:overflowPunct/>
              <w:topLinePunct w:val="0"/>
              <w:autoSpaceDE/>
              <w:autoSpaceDN/>
              <w:bidi w:val="0"/>
              <w:adjustRightInd w:val="0"/>
              <w:snapToGrid w:val="0"/>
              <w:textAlignment w:val="auto"/>
              <w:rPr>
                <w:rFonts w:hint="eastAsia"/>
                <w:color w:val="auto"/>
                <w:lang w:eastAsia="zh-CN"/>
              </w:rPr>
            </w:pPr>
            <w:r>
              <w:rPr>
                <w:rFonts w:hint="eastAsia"/>
                <w:color w:val="auto"/>
                <w:lang w:val="en-US" w:eastAsia="zh-CN"/>
              </w:rPr>
              <w:t>①勘探期间应</w:t>
            </w:r>
            <w:r>
              <w:rPr>
                <w:rFonts w:hint="eastAsia"/>
                <w:color w:val="auto"/>
                <w:lang w:eastAsia="zh-CN"/>
              </w:rPr>
              <w:t>严格规划行驶道路，尽可能减少对野生动物的扰动，</w:t>
            </w:r>
            <w:r>
              <w:rPr>
                <w:rFonts w:hint="eastAsia"/>
                <w:color w:val="auto"/>
                <w:lang w:val="en-US" w:eastAsia="zh-CN"/>
              </w:rPr>
              <w:t>尽量</w:t>
            </w:r>
            <w:r>
              <w:rPr>
                <w:rFonts w:hint="eastAsia"/>
                <w:color w:val="auto"/>
                <w:lang w:eastAsia="zh-CN"/>
              </w:rPr>
              <w:t>使用当地已有道路、牧道、不开辟新路线。对确需碾压地段，</w:t>
            </w:r>
            <w:r>
              <w:rPr>
                <w:rFonts w:hint="eastAsia"/>
                <w:color w:val="auto"/>
                <w:lang w:val="en-US" w:eastAsia="zh-CN"/>
              </w:rPr>
              <w:t>及时</w:t>
            </w:r>
            <w:r>
              <w:rPr>
                <w:rFonts w:hint="eastAsia"/>
                <w:color w:val="auto"/>
                <w:lang w:eastAsia="zh-CN"/>
              </w:rPr>
              <w:t>进行</w:t>
            </w:r>
            <w:r>
              <w:rPr>
                <w:rFonts w:hint="eastAsia"/>
                <w:color w:val="auto"/>
                <w:lang w:val="en-US" w:eastAsia="zh-CN"/>
              </w:rPr>
              <w:t>迹地</w:t>
            </w:r>
            <w:r>
              <w:rPr>
                <w:rFonts w:hint="eastAsia"/>
                <w:color w:val="auto"/>
                <w:lang w:eastAsia="zh-CN"/>
              </w:rPr>
              <w:t>的恢复治理，行驶时避让野生动物，不追逐，不惊吓。</w:t>
            </w:r>
          </w:p>
          <w:p w14:paraId="614BF778">
            <w:pPr>
              <w:pStyle w:val="46"/>
              <w:keepNext w:val="0"/>
              <w:keepLines w:val="0"/>
              <w:pageBreakBefore w:val="0"/>
              <w:widowControl w:val="0"/>
              <w:kinsoku/>
              <w:overflowPunct/>
              <w:topLinePunct w:val="0"/>
              <w:autoSpaceDE/>
              <w:autoSpaceDN/>
              <w:bidi w:val="0"/>
              <w:adjustRightInd w:val="0"/>
              <w:snapToGrid w:val="0"/>
              <w:textAlignment w:val="auto"/>
              <w:rPr>
                <w:rFonts w:hint="default"/>
                <w:color w:val="auto"/>
              </w:rPr>
            </w:pPr>
            <w:r>
              <w:rPr>
                <w:rFonts w:hint="eastAsia"/>
                <w:color w:val="auto"/>
                <w:lang w:val="en-US" w:eastAsia="zh-CN"/>
              </w:rPr>
              <w:t>②</w:t>
            </w:r>
            <w:r>
              <w:rPr>
                <w:rFonts w:hint="default"/>
                <w:color w:val="auto"/>
              </w:rPr>
              <w:t>根据调查，大部分野生动物都是夜间出没，因此</w:t>
            </w:r>
            <w:r>
              <w:rPr>
                <w:rFonts w:hint="default"/>
                <w:color w:val="auto"/>
                <w:lang w:val="en-US" w:eastAsia="zh-CN"/>
              </w:rPr>
              <w:t>建设</w:t>
            </w:r>
            <w:r>
              <w:rPr>
                <w:rFonts w:hint="default"/>
                <w:color w:val="auto"/>
              </w:rPr>
              <w:t>单位应该加强</w:t>
            </w:r>
            <w:r>
              <w:rPr>
                <w:rFonts w:hint="default"/>
                <w:color w:val="auto"/>
                <w:lang w:val="en-US" w:eastAsia="zh-CN"/>
              </w:rPr>
              <w:t>开采</w:t>
            </w:r>
            <w:r>
              <w:rPr>
                <w:rFonts w:hint="default"/>
                <w:color w:val="auto"/>
              </w:rPr>
              <w:t>管理，在</w:t>
            </w:r>
            <w:r>
              <w:rPr>
                <w:rFonts w:hint="eastAsia"/>
                <w:color w:val="auto"/>
                <w:lang w:val="en-US" w:eastAsia="zh-CN"/>
              </w:rPr>
              <w:t>勘探</w:t>
            </w:r>
            <w:r>
              <w:rPr>
                <w:rFonts w:hint="default"/>
                <w:color w:val="auto"/>
              </w:rPr>
              <w:t>过程中应尽量安排在白天，避免夜间</w:t>
            </w:r>
            <w:r>
              <w:rPr>
                <w:rFonts w:hint="eastAsia"/>
                <w:color w:val="auto"/>
                <w:lang w:val="en-US" w:eastAsia="zh-CN"/>
              </w:rPr>
              <w:t>作业</w:t>
            </w:r>
            <w:r>
              <w:rPr>
                <w:rFonts w:hint="default"/>
                <w:color w:val="auto"/>
              </w:rPr>
              <w:t>对野生动物的影响。</w:t>
            </w:r>
          </w:p>
          <w:p w14:paraId="2DB34147">
            <w:pPr>
              <w:pStyle w:val="46"/>
              <w:keepNext w:val="0"/>
              <w:keepLines w:val="0"/>
              <w:pageBreakBefore w:val="0"/>
              <w:widowControl w:val="0"/>
              <w:kinsoku/>
              <w:overflowPunct/>
              <w:topLinePunct w:val="0"/>
              <w:autoSpaceDE/>
              <w:autoSpaceDN/>
              <w:bidi w:val="0"/>
              <w:adjustRightInd w:val="0"/>
              <w:snapToGrid w:val="0"/>
              <w:textAlignment w:val="auto"/>
              <w:rPr>
                <w:rFonts w:hint="default"/>
                <w:color w:val="auto"/>
                <w:lang w:val="en-US" w:eastAsia="zh-CN"/>
              </w:rPr>
            </w:pPr>
            <w:r>
              <w:rPr>
                <w:rFonts w:hint="eastAsia"/>
                <w:color w:val="auto"/>
                <w:lang w:val="en-US" w:eastAsia="zh-CN"/>
              </w:rPr>
              <w:t>③</w:t>
            </w:r>
            <w:r>
              <w:rPr>
                <w:rFonts w:hint="default"/>
                <w:color w:val="auto"/>
                <w:lang w:val="en-US" w:eastAsia="zh-CN"/>
              </w:rPr>
              <w:t>加强员工对野生动物的保护意识，禁止捕捉野生动物，避免在野生动物的繁殖期、育幼期等敏感时期进行高强度作业</w:t>
            </w:r>
            <w:r>
              <w:rPr>
                <w:rFonts w:hint="eastAsia"/>
                <w:color w:val="auto"/>
                <w:lang w:val="en-US" w:eastAsia="zh-CN"/>
              </w:rPr>
              <w:t>，</w:t>
            </w:r>
            <w:r>
              <w:rPr>
                <w:rFonts w:hint="default"/>
                <w:color w:val="auto"/>
                <w:lang w:val="en-US" w:eastAsia="zh-CN"/>
              </w:rPr>
              <w:t>减少</w:t>
            </w:r>
            <w:r>
              <w:rPr>
                <w:rFonts w:hint="default"/>
                <w:color w:val="auto"/>
              </w:rPr>
              <w:t>作业人员在矿区作业区以外活动区域</w:t>
            </w:r>
            <w:r>
              <w:rPr>
                <w:rFonts w:hint="default"/>
                <w:color w:val="auto"/>
                <w:lang w:eastAsia="zh-CN"/>
              </w:rPr>
              <w:t>，</w:t>
            </w:r>
            <w:r>
              <w:rPr>
                <w:rFonts w:hint="default"/>
                <w:color w:val="auto"/>
                <w:lang w:val="en-US" w:eastAsia="zh-CN"/>
              </w:rPr>
              <w:t>避免惊吓野生动物。</w:t>
            </w:r>
          </w:p>
          <w:p w14:paraId="05AD3539">
            <w:pPr>
              <w:pStyle w:val="46"/>
              <w:keepNext w:val="0"/>
              <w:keepLines w:val="0"/>
              <w:pageBreakBefore w:val="0"/>
              <w:widowControl w:val="0"/>
              <w:kinsoku/>
              <w:overflowPunct/>
              <w:topLinePunct w:val="0"/>
              <w:autoSpaceDE/>
              <w:autoSpaceDN/>
              <w:bidi w:val="0"/>
              <w:adjustRightInd w:val="0"/>
              <w:snapToGrid w:val="0"/>
              <w:textAlignment w:val="auto"/>
              <w:rPr>
                <w:rFonts w:hint="default"/>
                <w:color w:val="auto"/>
              </w:rPr>
            </w:pPr>
            <w:r>
              <w:rPr>
                <w:rFonts w:hint="default"/>
                <w:color w:val="auto"/>
                <w:lang w:val="en-US" w:eastAsia="zh-CN"/>
              </w:rPr>
              <w:t>项目</w:t>
            </w:r>
            <w:r>
              <w:rPr>
                <w:rFonts w:hint="default"/>
                <w:color w:val="auto"/>
              </w:rPr>
              <w:t>分布的小型野生动物为当地常见类型，由于当地人为活动、车辆行驶频繁，这些动物已经对人为活动有一定的适应能力，因此，项目开采不会造成该区域某一物种消失，对这些动物的生存影响较小。</w:t>
            </w:r>
          </w:p>
          <w:p w14:paraId="6819F6B9">
            <w:pPr>
              <w:pStyle w:val="45"/>
              <w:keepNext w:val="0"/>
              <w:keepLines w:val="0"/>
              <w:pageBreakBefore w:val="0"/>
              <w:widowControl w:val="0"/>
              <w:kinsoku/>
              <w:wordWrap/>
              <w:overflowPunct/>
              <w:topLinePunct w:val="0"/>
              <w:autoSpaceDE/>
              <w:autoSpaceDN/>
              <w:bidi w:val="0"/>
              <w:adjustRightInd w:val="0"/>
              <w:snapToGrid w:val="0"/>
              <w:ind w:firstLine="482" w:firstLineChars="200"/>
              <w:textAlignment w:val="auto"/>
              <w:rPr>
                <w:rFonts w:hint="eastAsia"/>
                <w:color w:val="auto"/>
                <w:lang w:val="en-US" w:eastAsia="zh-CN"/>
              </w:rPr>
            </w:pPr>
            <w:r>
              <w:rPr>
                <w:rFonts w:hint="eastAsia"/>
                <w:color w:val="auto"/>
                <w:lang w:val="en-US" w:eastAsia="zh-CN"/>
              </w:rPr>
              <w:t>1.2土壤环境</w:t>
            </w:r>
          </w:p>
          <w:p w14:paraId="603A33A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color w:val="auto"/>
                <w:sz w:val="24"/>
                <w:szCs w:val="24"/>
                <w:lang w:val="en-US" w:eastAsia="zh-CN"/>
              </w:rPr>
            </w:pPr>
            <w:r>
              <w:rPr>
                <w:rFonts w:hint="eastAsia" w:cs="Times New Roman"/>
                <w:color w:val="auto"/>
                <w:sz w:val="24"/>
                <w:szCs w:val="24"/>
                <w:lang w:val="en-US" w:eastAsia="zh-CN"/>
              </w:rPr>
              <w:t>且末</w:t>
            </w:r>
            <w:r>
              <w:rPr>
                <w:rFonts w:hint="eastAsia" w:ascii="Times New Roman" w:hAnsi="Times New Roman" w:cs="Times New Roman"/>
                <w:color w:val="auto"/>
                <w:sz w:val="24"/>
                <w:szCs w:val="24"/>
                <w:lang w:val="en-US" w:eastAsia="zh-CN"/>
              </w:rPr>
              <w:t>县地处欧亚大陆腹地，远离海洋，降水极少，气候干燥且多大风，属典型的暖温带极端大陆性干旱荒漠气候，全县土壤</w:t>
            </w:r>
            <w:r>
              <w:rPr>
                <w:rFonts w:hint="default" w:ascii="Times New Roman" w:hAnsi="Times New Roman" w:cs="Times New Roman"/>
                <w:color w:val="auto"/>
                <w:sz w:val="24"/>
                <w:szCs w:val="24"/>
                <w:lang w:val="en-US" w:eastAsia="zh-CN"/>
              </w:rPr>
              <w:t>pH</w:t>
            </w:r>
            <w:r>
              <w:rPr>
                <w:rFonts w:hint="eastAsia" w:ascii="Times New Roman" w:hAnsi="Times New Roman" w:cs="Times New Roman"/>
                <w:color w:val="auto"/>
                <w:sz w:val="24"/>
                <w:szCs w:val="24"/>
                <w:lang w:val="en-US" w:eastAsia="zh-CN"/>
              </w:rPr>
              <w:t>值多在</w:t>
            </w:r>
            <w:r>
              <w:rPr>
                <w:rFonts w:hint="default" w:ascii="Times New Roman" w:hAnsi="Times New Roman" w:cs="Times New Roman"/>
                <w:color w:val="auto"/>
                <w:sz w:val="24"/>
                <w:szCs w:val="24"/>
                <w:lang w:val="en-US" w:eastAsia="zh-CN"/>
              </w:rPr>
              <w:t>8</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9</w:t>
            </w:r>
            <w:r>
              <w:rPr>
                <w:rFonts w:hint="eastAsia" w:ascii="Times New Roman" w:hAnsi="Times New Roman" w:cs="Times New Roman"/>
                <w:color w:val="auto"/>
                <w:sz w:val="24"/>
                <w:szCs w:val="24"/>
                <w:lang w:val="en-US" w:eastAsia="zh-CN"/>
              </w:rPr>
              <w:t>，有机质含量在</w:t>
            </w:r>
            <w:r>
              <w:rPr>
                <w:rFonts w:hint="default" w:ascii="Times New Roman" w:hAnsi="Times New Roman" w:cs="Times New Roman"/>
                <w:color w:val="auto"/>
                <w:sz w:val="24"/>
                <w:szCs w:val="24"/>
                <w:lang w:val="en-US" w:eastAsia="zh-CN"/>
              </w:rPr>
              <w:t>1%</w:t>
            </w:r>
            <w:r>
              <w:rPr>
                <w:rFonts w:hint="eastAsia" w:ascii="Times New Roman" w:hAnsi="Times New Roman" w:cs="Times New Roman"/>
                <w:color w:val="auto"/>
                <w:sz w:val="24"/>
                <w:szCs w:val="24"/>
                <w:lang w:val="en-US" w:eastAsia="zh-CN"/>
              </w:rPr>
              <w:t>以下，一般氮素含量在</w:t>
            </w:r>
            <w:r>
              <w:rPr>
                <w:rFonts w:hint="default" w:ascii="Times New Roman" w:hAnsi="Times New Roman" w:cs="Times New Roman"/>
                <w:color w:val="auto"/>
                <w:sz w:val="24"/>
                <w:szCs w:val="24"/>
                <w:lang w:val="en-US" w:eastAsia="zh-CN"/>
              </w:rPr>
              <w:t>0.6</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1ppm</w:t>
            </w:r>
            <w:r>
              <w:rPr>
                <w:rFonts w:hint="eastAsia" w:ascii="Times New Roman" w:hAnsi="Times New Roman" w:cs="Times New Roman"/>
                <w:color w:val="auto"/>
                <w:sz w:val="24"/>
                <w:szCs w:val="24"/>
                <w:lang w:val="en-US" w:eastAsia="zh-CN"/>
              </w:rPr>
              <w:t>，速磷含量多在</w:t>
            </w:r>
            <w:r>
              <w:rPr>
                <w:rFonts w:hint="default" w:ascii="Times New Roman" w:hAnsi="Times New Roman" w:cs="Times New Roman"/>
                <w:color w:val="auto"/>
                <w:sz w:val="24"/>
                <w:szCs w:val="24"/>
                <w:lang w:val="en-US" w:eastAsia="zh-CN"/>
              </w:rPr>
              <w:t>2.6</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10ppm</w:t>
            </w:r>
            <w:r>
              <w:rPr>
                <w:rFonts w:hint="eastAsia" w:ascii="Times New Roman" w:hAnsi="Times New Roman" w:cs="Times New Roman"/>
                <w:color w:val="auto"/>
                <w:sz w:val="24"/>
                <w:szCs w:val="24"/>
                <w:lang w:val="en-US" w:eastAsia="zh-CN"/>
              </w:rPr>
              <w:t>。总体评价为表层土壤有效微量元素的含量以硼、铁、铜元素较丰富，但普遍缺锌、缺锰。工程施工过程中的土方开挖、回填、机械碾压对土壤的理化性质和土壤肥力会产生一定不利影响。</w:t>
            </w:r>
          </w:p>
          <w:p w14:paraId="529CBB8C">
            <w:pPr>
              <w:pStyle w:val="46"/>
              <w:keepNext w:val="0"/>
              <w:keepLines w:val="0"/>
              <w:pageBreakBefore w:val="0"/>
              <w:widowControl w:val="0"/>
              <w:kinsoku/>
              <w:overflowPunct/>
              <w:topLinePunct w:val="0"/>
              <w:autoSpaceDE/>
              <w:autoSpaceDN/>
              <w:bidi w:val="0"/>
              <w:adjustRightInd w:val="0"/>
              <w:snapToGrid w:val="0"/>
              <w:textAlignment w:val="auto"/>
              <w:rPr>
                <w:rFonts w:hint="eastAsia"/>
                <w:color w:val="auto"/>
                <w:lang w:eastAsia="zh-CN"/>
              </w:rPr>
            </w:pPr>
            <w:r>
              <w:rPr>
                <w:rFonts w:hint="eastAsia"/>
                <w:color w:val="auto"/>
                <w:lang w:val="en-US" w:eastAsia="zh-CN"/>
              </w:rPr>
              <w:t>勘探期间</w:t>
            </w:r>
            <w:r>
              <w:rPr>
                <w:rFonts w:hint="default"/>
                <w:color w:val="auto"/>
                <w:lang w:val="en-US" w:eastAsia="zh-CN"/>
              </w:rPr>
              <w:t>应严格控制施工区域，尽可能缩小施工范围，减少开挖量和生态破</w:t>
            </w:r>
            <w:r>
              <w:rPr>
                <w:rFonts w:hint="eastAsia"/>
                <w:color w:val="auto"/>
                <w:lang w:val="en-US" w:eastAsia="zh-CN"/>
              </w:rPr>
              <w:t>坏</w:t>
            </w:r>
            <w:r>
              <w:rPr>
                <w:rFonts w:hint="default"/>
                <w:color w:val="auto"/>
                <w:lang w:val="en-US" w:eastAsia="zh-CN"/>
              </w:rPr>
              <w:t>面积，从而减少开挖和恢复面积；优化土石方平衡，减少水土流失。加强机械、车辆行驶路线的管理，划定明确的施工作业范围和行驶路线，严禁越界施工和偏离施工便道进行无监管活动</w:t>
            </w:r>
            <w:r>
              <w:rPr>
                <w:rFonts w:hint="eastAsia"/>
                <w:color w:val="auto"/>
                <w:lang w:val="en-US" w:eastAsia="zh-CN"/>
              </w:rPr>
              <w:t>，</w:t>
            </w:r>
            <w:r>
              <w:rPr>
                <w:rFonts w:hint="default"/>
                <w:color w:val="auto"/>
                <w:lang w:val="en-US" w:eastAsia="zh-CN"/>
              </w:rPr>
              <w:t>减少</w:t>
            </w:r>
            <w:r>
              <w:rPr>
                <w:rFonts w:hint="default"/>
                <w:color w:val="auto"/>
              </w:rPr>
              <w:t>作业人员在</w:t>
            </w:r>
            <w:r>
              <w:rPr>
                <w:rFonts w:hint="eastAsia"/>
                <w:color w:val="auto"/>
                <w:lang w:val="en-US" w:eastAsia="zh-CN"/>
              </w:rPr>
              <w:t>探</w:t>
            </w:r>
            <w:r>
              <w:rPr>
                <w:rFonts w:hint="default"/>
                <w:color w:val="auto"/>
              </w:rPr>
              <w:t>矿区作业区以外活动区域</w:t>
            </w:r>
            <w:r>
              <w:rPr>
                <w:rFonts w:hint="default"/>
                <w:color w:val="auto"/>
                <w:lang w:val="en-US" w:eastAsia="zh-CN"/>
              </w:rPr>
              <w:t>。</w:t>
            </w:r>
          </w:p>
          <w:p w14:paraId="23C3A5C9">
            <w:pPr>
              <w:pStyle w:val="45"/>
              <w:keepNext w:val="0"/>
              <w:keepLines w:val="0"/>
              <w:pageBreakBefore w:val="0"/>
              <w:widowControl w:val="0"/>
              <w:kinsoku/>
              <w:wordWrap/>
              <w:overflowPunct/>
              <w:topLinePunct w:val="0"/>
              <w:autoSpaceDE/>
              <w:autoSpaceDN/>
              <w:bidi w:val="0"/>
              <w:adjustRightInd w:val="0"/>
              <w:snapToGrid w:val="0"/>
              <w:ind w:firstLine="482" w:firstLineChars="200"/>
              <w:textAlignment w:val="auto"/>
              <w:rPr>
                <w:color w:val="auto"/>
              </w:rPr>
            </w:pPr>
            <w:r>
              <w:rPr>
                <w:rFonts w:hint="eastAsia"/>
                <w:color w:val="auto"/>
                <w:lang w:val="en-US" w:eastAsia="zh-CN"/>
              </w:rPr>
              <w:t>1.3自然</w:t>
            </w:r>
            <w:r>
              <w:rPr>
                <w:color w:val="auto"/>
              </w:rPr>
              <w:t>景观</w:t>
            </w:r>
          </w:p>
          <w:p w14:paraId="3D43EF0D">
            <w:pPr>
              <w:pStyle w:val="45"/>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b w:val="0"/>
                <w:bCs/>
                <w:color w:val="auto"/>
              </w:rPr>
            </w:pPr>
            <w:r>
              <w:rPr>
                <w:rFonts w:hint="eastAsia"/>
                <w:b w:val="0"/>
                <w:bCs/>
                <w:color w:val="auto"/>
              </w:rPr>
              <w:t>项目实施阶段，工程施工行为会对区域自然景观产生一定不利影响，项目实施过程中的开挖、弃渣堆放、生活区营地设置，行车道路、施工迹地等若不能全面处理，则可出现渣土、生活垃圾及造成的植被枯死的景象，进而引发斑块状和条带状地形地貌使自然景观的整体性美感遭受破坏。</w:t>
            </w:r>
          </w:p>
          <w:p w14:paraId="2C9CEDE0">
            <w:pPr>
              <w:pStyle w:val="46"/>
              <w:keepNext w:val="0"/>
              <w:keepLines w:val="0"/>
              <w:pageBreakBefore w:val="0"/>
              <w:widowControl w:val="0"/>
              <w:kinsoku/>
              <w:overflowPunct/>
              <w:topLinePunct w:val="0"/>
              <w:autoSpaceDE/>
              <w:autoSpaceDN/>
              <w:bidi w:val="0"/>
              <w:adjustRightInd w:val="0"/>
              <w:snapToGrid w:val="0"/>
              <w:textAlignment w:val="auto"/>
              <w:rPr>
                <w:rFonts w:hint="eastAsia"/>
                <w:color w:val="auto"/>
                <w:lang w:val="en-US" w:eastAsia="zh-CN"/>
              </w:rPr>
            </w:pPr>
            <w:r>
              <w:rPr>
                <w:rFonts w:hint="default"/>
                <w:color w:val="auto"/>
              </w:rPr>
              <w:t>项目</w:t>
            </w:r>
            <w:r>
              <w:rPr>
                <w:rFonts w:hint="eastAsia"/>
                <w:color w:val="auto"/>
                <w:lang w:val="en-US" w:eastAsia="zh-CN"/>
              </w:rPr>
              <w:t>须</w:t>
            </w:r>
            <w:r>
              <w:rPr>
                <w:rFonts w:hint="default"/>
                <w:color w:val="auto"/>
              </w:rPr>
              <w:t>制定具体的复垦方案，预留复垦保障资金，采取边</w:t>
            </w:r>
            <w:r>
              <w:rPr>
                <w:rFonts w:hint="eastAsia"/>
                <w:color w:val="auto"/>
                <w:lang w:val="en-US" w:eastAsia="zh-CN"/>
              </w:rPr>
              <w:t>开挖</w:t>
            </w:r>
            <w:r>
              <w:rPr>
                <w:rFonts w:hint="default"/>
                <w:color w:val="auto"/>
              </w:rPr>
              <w:t>边恢复</w:t>
            </w:r>
            <w:r>
              <w:rPr>
                <w:rFonts w:hint="eastAsia"/>
                <w:color w:val="auto"/>
                <w:lang w:val="en-US" w:eastAsia="zh-CN"/>
              </w:rPr>
              <w:t>开挖</w:t>
            </w:r>
            <w:r>
              <w:rPr>
                <w:rFonts w:hint="default"/>
                <w:color w:val="auto"/>
              </w:rPr>
              <w:t>迹地的方法，</w:t>
            </w:r>
            <w:r>
              <w:rPr>
                <w:rFonts w:hint="eastAsia"/>
                <w:color w:val="auto"/>
                <w:lang w:val="en-US" w:eastAsia="zh-CN"/>
              </w:rPr>
              <w:t>对施工迹地</w:t>
            </w:r>
            <w:r>
              <w:rPr>
                <w:rFonts w:hint="default"/>
                <w:color w:val="auto"/>
              </w:rPr>
              <w:t>进行恢复，</w:t>
            </w:r>
            <w:r>
              <w:rPr>
                <w:rFonts w:hint="eastAsia"/>
                <w:color w:val="auto"/>
                <w:lang w:val="en-US" w:eastAsia="zh-CN"/>
              </w:rPr>
              <w:t>确保项目区占地区域基本恢复到探矿前地貌。</w:t>
            </w:r>
          </w:p>
          <w:p w14:paraId="5ABBE3FB">
            <w:pPr>
              <w:pStyle w:val="45"/>
              <w:keepNext w:val="0"/>
              <w:keepLines w:val="0"/>
              <w:pageBreakBefore w:val="0"/>
              <w:widowControl w:val="0"/>
              <w:kinsoku/>
              <w:wordWrap/>
              <w:overflowPunct/>
              <w:topLinePunct w:val="0"/>
              <w:autoSpaceDE/>
              <w:autoSpaceDN/>
              <w:bidi w:val="0"/>
              <w:adjustRightInd w:val="0"/>
              <w:snapToGrid w:val="0"/>
              <w:ind w:firstLine="482" w:firstLineChars="200"/>
              <w:textAlignment w:val="auto"/>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1.4水土流失</w:t>
            </w:r>
          </w:p>
          <w:p w14:paraId="20FC7F48">
            <w:pPr>
              <w:pStyle w:val="46"/>
              <w:keepNext w:val="0"/>
              <w:keepLines w:val="0"/>
              <w:pageBreakBefore w:val="0"/>
              <w:widowControl w:val="0"/>
              <w:kinsoku/>
              <w:overflowPunct/>
              <w:topLinePunct w:val="0"/>
              <w:autoSpaceDE/>
              <w:autoSpaceDN/>
              <w:bidi w:val="0"/>
              <w:adjustRightInd w:val="0"/>
              <w:snapToGrid w:val="0"/>
              <w:textAlignment w:val="auto"/>
              <w:rPr>
                <w:rFonts w:hint="eastAsia"/>
                <w:color w:val="auto"/>
                <w:highlight w:val="none"/>
                <w:lang w:val="en-US" w:eastAsia="zh-CN"/>
              </w:rPr>
            </w:pPr>
            <w:r>
              <w:rPr>
                <w:rFonts w:hint="eastAsia"/>
                <w:color w:val="auto"/>
                <w:highlight w:val="none"/>
                <w:lang w:val="en-US" w:eastAsia="zh-CN"/>
              </w:rPr>
              <w:t>本项目</w:t>
            </w:r>
            <w:r>
              <w:rPr>
                <w:rFonts w:hint="default"/>
                <w:color w:val="auto"/>
                <w:highlight w:val="none"/>
              </w:rPr>
              <w:t>位于新疆维吾尔自治区巴音郭楞蒙古自治州且末县库拉木勒克乡，距且末县城东南95°方向约122km处</w:t>
            </w:r>
            <w:r>
              <w:rPr>
                <w:rFonts w:hint="eastAsia"/>
                <w:color w:val="auto"/>
                <w:highlight w:val="none"/>
                <w:lang w:eastAsia="zh-CN"/>
              </w:rPr>
              <w:t>。</w:t>
            </w:r>
            <w:r>
              <w:rPr>
                <w:rFonts w:hint="eastAsia"/>
                <w:color w:val="auto"/>
                <w:highlight w:val="none"/>
                <w:lang w:val="en-US" w:eastAsia="zh-CN"/>
              </w:rPr>
              <w:t>勘探区降雨量较低，基本无法形成径流。故项目区的水土流失以风蚀为主，勘探区采用了边开挖、边回填、边复垦的勘探方式，符合《新疆维吾尔自治区水土保持规划（2018-2030年）》的相关要求。</w:t>
            </w:r>
          </w:p>
          <w:p w14:paraId="6B636756">
            <w:pPr>
              <w:pStyle w:val="46"/>
              <w:keepNext w:val="0"/>
              <w:keepLines w:val="0"/>
              <w:pageBreakBefore w:val="0"/>
              <w:widowControl w:val="0"/>
              <w:kinsoku/>
              <w:overflowPunct/>
              <w:topLinePunct w:val="0"/>
              <w:autoSpaceDE/>
              <w:autoSpaceDN/>
              <w:bidi w:val="0"/>
              <w:adjustRightInd w:val="0"/>
              <w:snapToGrid w:val="0"/>
              <w:textAlignment w:val="auto"/>
              <w:rPr>
                <w:rFonts w:hint="eastAsia"/>
                <w:color w:val="auto"/>
              </w:rPr>
            </w:pPr>
            <w:r>
              <w:rPr>
                <w:rFonts w:hint="eastAsia"/>
                <w:color w:val="auto"/>
                <w:highlight w:val="none"/>
              </w:rPr>
              <w:t>本项目</w:t>
            </w:r>
            <w:r>
              <w:rPr>
                <w:rFonts w:hint="eastAsia"/>
                <w:color w:val="auto"/>
                <w:highlight w:val="none"/>
                <w:lang w:eastAsia="zh-CN"/>
              </w:rPr>
              <w:t>勘探</w:t>
            </w:r>
            <w:r>
              <w:rPr>
                <w:rFonts w:hint="eastAsia"/>
                <w:color w:val="auto"/>
                <w:highlight w:val="none"/>
              </w:rPr>
              <w:t>活动破坏了</w:t>
            </w:r>
            <w:r>
              <w:rPr>
                <w:rFonts w:hint="eastAsia"/>
                <w:color w:val="auto"/>
              </w:rPr>
              <w:t>地表植被，从而使路面、坡面土壤裸露，在风蚀和水蚀</w:t>
            </w:r>
            <w:r>
              <w:rPr>
                <w:rFonts w:hint="eastAsia"/>
                <w:color w:val="auto"/>
                <w:lang w:val="en-US" w:eastAsia="zh-CN"/>
              </w:rPr>
              <w:t>以及</w:t>
            </w:r>
            <w:r>
              <w:rPr>
                <w:rFonts w:ascii="Segoe UI" w:hAnsi="Segoe UI" w:eastAsia="Segoe UI" w:cs="Segoe UI"/>
                <w:i w:val="0"/>
                <w:iCs w:val="0"/>
                <w:caps w:val="0"/>
                <w:color w:val="auto"/>
                <w:spacing w:val="0"/>
                <w:sz w:val="24"/>
                <w:szCs w:val="24"/>
                <w:shd w:val="clear" w:fill="FFFFFF"/>
              </w:rPr>
              <w:t>冻融侵蚀</w:t>
            </w:r>
            <w:r>
              <w:rPr>
                <w:rFonts w:hint="eastAsia"/>
                <w:color w:val="auto"/>
              </w:rPr>
              <w:t>的作用下，不可避免地造成一定的水土流失。为减小水土流失的影响，评价要求企业采取以下措施：</w:t>
            </w:r>
          </w:p>
          <w:p w14:paraId="40AB2781">
            <w:pPr>
              <w:pStyle w:val="46"/>
              <w:keepNext w:val="0"/>
              <w:keepLines w:val="0"/>
              <w:pageBreakBefore w:val="0"/>
              <w:widowControl w:val="0"/>
              <w:kinsoku/>
              <w:overflowPunct/>
              <w:topLinePunct w:val="0"/>
              <w:autoSpaceDE/>
              <w:autoSpaceDN/>
              <w:bidi w:val="0"/>
              <w:adjustRightInd w:val="0"/>
              <w:snapToGrid w:val="0"/>
              <w:textAlignment w:val="auto"/>
              <w:rPr>
                <w:color w:val="auto"/>
              </w:rPr>
            </w:pPr>
            <w:r>
              <w:rPr>
                <w:rFonts w:hint="eastAsia"/>
                <w:color w:val="auto"/>
                <w:lang w:val="en-US" w:eastAsia="zh-CN"/>
              </w:rPr>
              <w:t>①临时堆土表面采用彩条布进行苫盖，减少降雨和风力对弃渣的侵蚀。</w:t>
            </w:r>
          </w:p>
          <w:p w14:paraId="6C32A36C">
            <w:pPr>
              <w:pStyle w:val="46"/>
              <w:keepNext w:val="0"/>
              <w:keepLines w:val="0"/>
              <w:pageBreakBefore w:val="0"/>
              <w:widowControl w:val="0"/>
              <w:kinsoku/>
              <w:overflowPunct/>
              <w:topLinePunct w:val="0"/>
              <w:autoSpaceDE/>
              <w:autoSpaceDN/>
              <w:bidi w:val="0"/>
              <w:adjustRightInd w:val="0"/>
              <w:snapToGrid w:val="0"/>
              <w:textAlignment w:val="auto"/>
              <w:rPr>
                <w:rFonts w:hint="eastAsia" w:eastAsia="宋体"/>
                <w:color w:val="auto"/>
                <w:lang w:eastAsia="zh-CN"/>
              </w:rPr>
            </w:pPr>
            <w:r>
              <w:rPr>
                <w:rFonts w:hint="eastAsia"/>
                <w:color w:val="auto"/>
                <w:lang w:val="en-US" w:eastAsia="zh-CN"/>
              </w:rPr>
              <w:t>②</w:t>
            </w:r>
            <w:r>
              <w:rPr>
                <w:rFonts w:hint="eastAsia"/>
                <w:color w:val="auto"/>
              </w:rPr>
              <w:t>加强管理，大风天气、雨季不得作业</w:t>
            </w:r>
            <w:r>
              <w:rPr>
                <w:rFonts w:hint="eastAsia"/>
                <w:color w:val="auto"/>
                <w:lang w:eastAsia="zh-CN"/>
              </w:rPr>
              <w:t>。</w:t>
            </w:r>
          </w:p>
          <w:p w14:paraId="0CCA5DA7">
            <w:pPr>
              <w:pStyle w:val="46"/>
              <w:keepNext w:val="0"/>
              <w:keepLines w:val="0"/>
              <w:pageBreakBefore w:val="0"/>
              <w:widowControl w:val="0"/>
              <w:kinsoku/>
              <w:overflowPunct/>
              <w:topLinePunct w:val="0"/>
              <w:autoSpaceDE/>
              <w:autoSpaceDN/>
              <w:bidi w:val="0"/>
              <w:adjustRightInd w:val="0"/>
              <w:snapToGrid w:val="0"/>
              <w:textAlignment w:val="auto"/>
              <w:rPr>
                <w:color w:val="auto"/>
              </w:rPr>
            </w:pPr>
            <w:r>
              <w:rPr>
                <w:rFonts w:hint="default"/>
                <w:color w:val="auto"/>
                <w:lang w:eastAsia="zh-CN"/>
              </w:rPr>
              <w:t>③</w:t>
            </w:r>
            <w:r>
              <w:rPr>
                <w:rFonts w:hint="eastAsia"/>
                <w:color w:val="auto"/>
                <w:lang w:eastAsia="zh-CN"/>
              </w:rPr>
              <w:t>勘探完成</w:t>
            </w:r>
            <w:r>
              <w:rPr>
                <w:rFonts w:hint="eastAsia"/>
                <w:color w:val="auto"/>
              </w:rPr>
              <w:t>后，将</w:t>
            </w:r>
            <w:r>
              <w:rPr>
                <w:rFonts w:hint="eastAsia"/>
                <w:color w:val="auto"/>
                <w:lang w:eastAsia="zh-CN"/>
              </w:rPr>
              <w:t>勘探区</w:t>
            </w:r>
            <w:r>
              <w:rPr>
                <w:rFonts w:hint="eastAsia"/>
                <w:color w:val="auto"/>
              </w:rPr>
              <w:t>土地进行复垦</w:t>
            </w:r>
            <w:r>
              <w:rPr>
                <w:rFonts w:hint="eastAsia"/>
                <w:color w:val="auto"/>
                <w:lang w:eastAsia="zh-CN"/>
              </w:rPr>
              <w:t>，对探坑</w:t>
            </w:r>
            <w:r>
              <w:rPr>
                <w:rFonts w:hint="eastAsia"/>
                <w:color w:val="auto"/>
              </w:rPr>
              <w:t>周边进行表层回填和迹地覆土恢复，及时对周围生态植被进行修复，增加区域防冲和固土能力，减小水土流失的影响。</w:t>
            </w:r>
          </w:p>
          <w:p w14:paraId="0D5D645A">
            <w:pPr>
              <w:pStyle w:val="46"/>
              <w:keepNext w:val="0"/>
              <w:keepLines w:val="0"/>
              <w:pageBreakBefore w:val="0"/>
              <w:widowControl w:val="0"/>
              <w:kinsoku/>
              <w:overflowPunct/>
              <w:topLinePunct w:val="0"/>
              <w:autoSpaceDE/>
              <w:autoSpaceDN/>
              <w:bidi w:val="0"/>
              <w:adjustRightInd w:val="0"/>
              <w:snapToGrid w:val="0"/>
              <w:textAlignment w:val="auto"/>
              <w:rPr>
                <w:rFonts w:hint="eastAsia"/>
                <w:color w:val="auto"/>
              </w:rPr>
            </w:pPr>
            <w:r>
              <w:rPr>
                <w:rFonts w:hint="eastAsia"/>
                <w:color w:val="auto"/>
              </w:rPr>
              <w:t>本项目在采取以上相关的水土保持措施后，可使采区内水土得以有效保持，不会对生态环境造成较大的影响。</w:t>
            </w:r>
          </w:p>
          <w:p w14:paraId="61AE714B">
            <w:pPr>
              <w:pStyle w:val="46"/>
              <w:keepNext w:val="0"/>
              <w:keepLines w:val="0"/>
              <w:pageBreakBefore w:val="0"/>
              <w:widowControl w:val="0"/>
              <w:kinsoku/>
              <w:wordWrap w:val="0"/>
              <w:overflowPunct/>
              <w:topLinePunct w:val="0"/>
              <w:autoSpaceDE/>
              <w:autoSpaceDN/>
              <w:bidi w:val="0"/>
              <w:adjustRightInd w:val="0"/>
              <w:snapToGrid w:val="0"/>
              <w:ind w:firstLine="482" w:firstLineChars="200"/>
              <w:textAlignment w:val="auto"/>
              <w:rPr>
                <w:rFonts w:hint="eastAsia" w:ascii="Times New Roman" w:hAnsi="Times New Roman" w:eastAsia="宋体" w:cs="宋体"/>
                <w:b/>
                <w:color w:val="auto"/>
                <w:kern w:val="0"/>
                <w:sz w:val="24"/>
                <w:szCs w:val="24"/>
                <w:lang w:val="en-US" w:eastAsia="zh-CN" w:bidi="ar-SA"/>
              </w:rPr>
            </w:pPr>
            <w:r>
              <w:rPr>
                <w:rFonts w:hint="eastAsia" w:ascii="Times New Roman" w:hAnsi="Times New Roman" w:eastAsia="宋体" w:cs="宋体"/>
                <w:b/>
                <w:color w:val="auto"/>
                <w:kern w:val="0"/>
                <w:sz w:val="24"/>
                <w:szCs w:val="24"/>
                <w:lang w:val="en-US" w:eastAsia="zh-CN" w:bidi="ar-SA"/>
              </w:rPr>
              <w:t>1.5</w:t>
            </w:r>
            <w:r>
              <w:rPr>
                <w:rFonts w:hint="eastAsia" w:cs="宋体"/>
                <w:b/>
                <w:color w:val="auto"/>
                <w:kern w:val="0"/>
                <w:sz w:val="24"/>
                <w:szCs w:val="24"/>
                <w:lang w:val="en-US" w:eastAsia="zh-CN" w:bidi="ar-SA"/>
              </w:rPr>
              <w:t>土地沙化</w:t>
            </w:r>
          </w:p>
          <w:p w14:paraId="06EBBC6B">
            <w:pPr>
              <w:pStyle w:val="46"/>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eastAsia"/>
                <w:color w:val="auto"/>
                <w:lang w:val="en-US" w:eastAsia="zh-CN"/>
              </w:rPr>
            </w:pPr>
            <w:r>
              <w:rPr>
                <w:rFonts w:hint="default"/>
                <w:color w:val="auto"/>
                <w:lang w:val="en-US" w:eastAsia="zh-CN"/>
              </w:rPr>
              <w:t>矿山勘查时，各类机械设备的活动</w:t>
            </w:r>
            <w:r>
              <w:rPr>
                <w:rFonts w:hint="eastAsia"/>
                <w:color w:val="auto"/>
                <w:lang w:val="en-US" w:eastAsia="zh-CN"/>
              </w:rPr>
              <w:t>会</w:t>
            </w:r>
            <w:r>
              <w:rPr>
                <w:rFonts w:hint="default"/>
                <w:color w:val="auto"/>
                <w:lang w:val="en-US" w:eastAsia="zh-CN"/>
              </w:rPr>
              <w:t>破坏地表植被</w:t>
            </w:r>
            <w:r>
              <w:rPr>
                <w:rFonts w:hint="eastAsia"/>
                <w:color w:val="auto"/>
                <w:lang w:val="en-US" w:eastAsia="zh-CN"/>
              </w:rPr>
              <w:t>，使其</w:t>
            </w:r>
            <w:r>
              <w:rPr>
                <w:rFonts w:hint="default"/>
                <w:color w:val="auto"/>
                <w:lang w:val="en-US" w:eastAsia="zh-CN"/>
              </w:rPr>
              <w:t>失去植被的固沙作用，</w:t>
            </w:r>
            <w:r>
              <w:rPr>
                <w:rFonts w:hint="eastAsia"/>
                <w:color w:val="auto"/>
                <w:lang w:val="en-US" w:eastAsia="zh-CN"/>
              </w:rPr>
              <w:t>加快</w:t>
            </w:r>
            <w:r>
              <w:rPr>
                <w:rFonts w:hint="default"/>
                <w:color w:val="auto"/>
                <w:lang w:val="en-US" w:eastAsia="zh-CN"/>
              </w:rPr>
              <w:t>土地沙化进程；机械碾压使土壤结构遭到破坏，进一步削弱了土壤的抗风蚀能力；勘查活动产生</w:t>
            </w:r>
            <w:r>
              <w:rPr>
                <w:rFonts w:hint="eastAsia"/>
                <w:color w:val="auto"/>
                <w:lang w:val="en-US" w:eastAsia="zh-CN"/>
              </w:rPr>
              <w:t>的临时堆土会</w:t>
            </w:r>
            <w:r>
              <w:rPr>
                <w:rFonts w:hint="default"/>
                <w:color w:val="auto"/>
                <w:lang w:val="en-US" w:eastAsia="zh-CN"/>
              </w:rPr>
              <w:t>增加空气中沙尘含量，同时周边土壤被侵蚀，导致土地沙化范围扩大。</w:t>
            </w:r>
            <w:r>
              <w:rPr>
                <w:rFonts w:hint="eastAsia"/>
                <w:color w:val="auto"/>
                <w:lang w:val="en-US" w:eastAsia="zh-CN"/>
              </w:rPr>
              <w:t>在勘查期间采取以下防沙治沙措施：</w:t>
            </w:r>
          </w:p>
          <w:p w14:paraId="4FB5EA26">
            <w:pPr>
              <w:pStyle w:val="46"/>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eastAsia"/>
                <w:color w:val="auto"/>
                <w:lang w:val="en-US" w:eastAsia="zh-CN"/>
              </w:rPr>
            </w:pPr>
            <w:r>
              <w:rPr>
                <w:rFonts w:hint="eastAsia"/>
                <w:color w:val="auto"/>
                <w:lang w:val="en-US" w:eastAsia="zh-CN"/>
              </w:rPr>
              <w:t>①</w:t>
            </w:r>
            <w:r>
              <w:rPr>
                <w:rFonts w:hint="default"/>
                <w:color w:val="auto"/>
                <w:lang w:val="en-US" w:eastAsia="zh-CN"/>
              </w:rPr>
              <w:t>在探槽</w:t>
            </w:r>
            <w:r>
              <w:rPr>
                <w:rFonts w:hint="eastAsia"/>
                <w:color w:val="auto"/>
                <w:lang w:val="en-US" w:eastAsia="zh-CN"/>
              </w:rPr>
              <w:t>附近</w:t>
            </w:r>
            <w:r>
              <w:rPr>
                <w:rFonts w:hint="default"/>
                <w:color w:val="auto"/>
                <w:lang w:val="en-US" w:eastAsia="zh-CN"/>
              </w:rPr>
              <w:t>设置临时堆场，</w:t>
            </w:r>
            <w:r>
              <w:rPr>
                <w:rFonts w:hint="eastAsia"/>
                <w:color w:val="auto"/>
                <w:lang w:val="en-US" w:eastAsia="zh-CN"/>
              </w:rPr>
              <w:t>堆土</w:t>
            </w:r>
            <w:r>
              <w:rPr>
                <w:rFonts w:hint="default"/>
                <w:color w:val="auto"/>
                <w:lang w:val="en-US" w:eastAsia="zh-CN"/>
              </w:rPr>
              <w:t>采用彩条布</w:t>
            </w:r>
            <w:r>
              <w:rPr>
                <w:rFonts w:hint="eastAsia"/>
                <w:color w:val="auto"/>
                <w:lang w:val="en-US" w:eastAsia="zh-CN"/>
              </w:rPr>
              <w:t>苫盖，减少风蚀。</w:t>
            </w:r>
          </w:p>
          <w:p w14:paraId="5797280A">
            <w:pPr>
              <w:pStyle w:val="46"/>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default"/>
                <w:color w:val="auto"/>
                <w:lang w:val="en-US" w:eastAsia="zh-CN"/>
              </w:rPr>
            </w:pPr>
            <w:r>
              <w:rPr>
                <w:rFonts w:hint="eastAsia"/>
                <w:color w:val="auto"/>
                <w:lang w:val="en-US" w:eastAsia="zh-CN"/>
              </w:rPr>
              <w:t>②在作业区域与周边植被之间设置隔离带，防止机械设备和人员误闯入造成植被破坏。</w:t>
            </w:r>
          </w:p>
          <w:p w14:paraId="57E3EE04">
            <w:pPr>
              <w:pStyle w:val="46"/>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default"/>
                <w:color w:val="auto"/>
                <w:lang w:val="en-US" w:eastAsia="zh-CN"/>
              </w:rPr>
            </w:pPr>
            <w:r>
              <w:rPr>
                <w:rFonts w:hint="eastAsia"/>
                <w:color w:val="auto"/>
                <w:lang w:val="en-US" w:eastAsia="zh-CN"/>
              </w:rPr>
              <w:t>③</w:t>
            </w:r>
            <w:r>
              <w:rPr>
                <w:rFonts w:hint="default"/>
                <w:color w:val="auto"/>
                <w:lang w:val="en-US" w:eastAsia="zh-CN"/>
              </w:rPr>
              <w:t>合理规划作业范围，在勘</w:t>
            </w:r>
            <w:r>
              <w:rPr>
                <w:rFonts w:hint="eastAsia"/>
                <w:color w:val="auto"/>
                <w:lang w:val="en-US" w:eastAsia="zh-CN"/>
              </w:rPr>
              <w:t>查</w:t>
            </w:r>
            <w:r>
              <w:rPr>
                <w:rFonts w:hint="default"/>
                <w:color w:val="auto"/>
                <w:lang w:val="en-US" w:eastAsia="zh-CN"/>
              </w:rPr>
              <w:t>结束后及时开展植被恢复工作。</w:t>
            </w:r>
          </w:p>
          <w:p w14:paraId="48180B47">
            <w:pPr>
              <w:pStyle w:val="45"/>
              <w:keepNext w:val="0"/>
              <w:keepLines w:val="0"/>
              <w:pageBreakBefore w:val="0"/>
              <w:widowControl w:val="0"/>
              <w:kinsoku/>
              <w:overflowPunct/>
              <w:topLinePunct w:val="0"/>
              <w:autoSpaceDE/>
              <w:autoSpaceDN/>
              <w:bidi w:val="0"/>
              <w:adjustRightInd w:val="0"/>
              <w:snapToGrid w:val="0"/>
              <w:textAlignment w:val="auto"/>
              <w:rPr>
                <w:rFonts w:hint="eastAsia"/>
                <w:color w:val="auto"/>
                <w:lang w:val="en-US" w:eastAsia="zh-CN"/>
              </w:rPr>
            </w:pPr>
            <w:r>
              <w:rPr>
                <w:rFonts w:hint="eastAsia"/>
                <w:color w:val="auto"/>
                <w:lang w:val="en-US" w:eastAsia="zh-CN"/>
              </w:rPr>
              <w:t>2勘探完成时的生态环境保护及恢复措施</w:t>
            </w:r>
          </w:p>
          <w:p w14:paraId="6902127D">
            <w:pPr>
              <w:pStyle w:val="46"/>
              <w:keepNext w:val="0"/>
              <w:keepLines w:val="0"/>
              <w:pageBreakBefore w:val="0"/>
              <w:widowControl w:val="0"/>
              <w:kinsoku/>
              <w:overflowPunct/>
              <w:topLinePunct w:val="0"/>
              <w:autoSpaceDE/>
              <w:autoSpaceDN/>
              <w:bidi w:val="0"/>
              <w:adjustRightInd w:val="0"/>
              <w:snapToGrid w:val="0"/>
              <w:textAlignment w:val="auto"/>
              <w:rPr>
                <w:rFonts w:hint="eastAsia"/>
                <w:color w:val="auto"/>
                <w:lang w:val="en-US" w:eastAsia="zh-CN"/>
              </w:rPr>
            </w:pPr>
            <w:r>
              <w:rPr>
                <w:rFonts w:hint="default"/>
                <w:color w:val="auto"/>
                <w:lang w:val="en-US" w:eastAsia="zh-CN"/>
              </w:rPr>
              <w:t>根据《矿山生态环境保护与恢复治理技术规范</w:t>
            </w:r>
            <w:r>
              <w:rPr>
                <w:rFonts w:hint="eastAsia"/>
                <w:color w:val="auto"/>
                <w:lang w:val="en-US" w:eastAsia="zh-CN"/>
              </w:rPr>
              <w:t>（</w:t>
            </w:r>
            <w:r>
              <w:rPr>
                <w:rFonts w:hint="default"/>
                <w:color w:val="auto"/>
                <w:lang w:val="en-US" w:eastAsia="zh-CN"/>
              </w:rPr>
              <w:t>试行</w:t>
            </w:r>
            <w:r>
              <w:rPr>
                <w:rFonts w:hint="eastAsia"/>
                <w:color w:val="auto"/>
                <w:lang w:val="en-US" w:eastAsia="zh-CN"/>
              </w:rPr>
              <w:t>）</w:t>
            </w:r>
            <w:r>
              <w:rPr>
                <w:rFonts w:hint="default"/>
                <w:color w:val="auto"/>
                <w:lang w:val="en-US" w:eastAsia="zh-CN"/>
              </w:rPr>
              <w:t>》</w:t>
            </w:r>
            <w:r>
              <w:rPr>
                <w:rFonts w:hint="eastAsia"/>
                <w:color w:val="auto"/>
                <w:lang w:val="en-US" w:eastAsia="zh-CN"/>
              </w:rPr>
              <w:t>（</w:t>
            </w:r>
            <w:r>
              <w:rPr>
                <w:rFonts w:hint="default"/>
                <w:color w:val="auto"/>
                <w:lang w:val="en-US" w:eastAsia="zh-CN"/>
              </w:rPr>
              <w:t>HJ 651-2013</w:t>
            </w:r>
            <w:r>
              <w:rPr>
                <w:rFonts w:hint="eastAsia"/>
                <w:color w:val="auto"/>
                <w:lang w:val="en-US" w:eastAsia="zh-CN"/>
              </w:rPr>
              <w:t>）、</w:t>
            </w:r>
            <w:r>
              <w:rPr>
                <w:rFonts w:hint="default"/>
                <w:color w:val="auto"/>
                <w:lang w:val="en-US" w:eastAsia="zh-CN"/>
              </w:rPr>
              <w:t>《裸露坡面植被恢复技术规范》（GB/T 38360-2019）</w:t>
            </w:r>
            <w:r>
              <w:rPr>
                <w:rFonts w:hint="eastAsia"/>
                <w:color w:val="auto"/>
                <w:lang w:val="en-US" w:eastAsia="zh-CN"/>
              </w:rPr>
              <w:t>、</w:t>
            </w:r>
            <w:r>
              <w:rPr>
                <w:rFonts w:hint="default"/>
                <w:color w:val="auto"/>
                <w:lang w:val="en-US" w:eastAsia="zh-CN"/>
              </w:rPr>
              <w:t>《新疆维吾尔自治区实施〈中华人民共和国防沙治沙法〉办法》，探矿完成</w:t>
            </w:r>
            <w:r>
              <w:rPr>
                <w:rFonts w:hint="eastAsia"/>
                <w:color w:val="auto"/>
                <w:lang w:val="en-US" w:eastAsia="zh-CN"/>
              </w:rPr>
              <w:t>后</w:t>
            </w:r>
            <w:r>
              <w:rPr>
                <w:rFonts w:hint="default"/>
                <w:color w:val="auto"/>
                <w:lang w:val="en-US" w:eastAsia="zh-CN"/>
              </w:rPr>
              <w:t>的保护措施及恢复如下</w:t>
            </w:r>
            <w:r>
              <w:rPr>
                <w:rFonts w:hint="eastAsia"/>
                <w:color w:val="auto"/>
                <w:lang w:val="en-US" w:eastAsia="zh-CN"/>
              </w:rPr>
              <w:t>。</w:t>
            </w:r>
          </w:p>
          <w:p w14:paraId="3376EC6B">
            <w:pPr>
              <w:pStyle w:val="46"/>
              <w:keepNext w:val="0"/>
              <w:keepLines w:val="0"/>
              <w:pageBreakBefore w:val="0"/>
              <w:widowControl w:val="0"/>
              <w:numPr>
                <w:ilvl w:val="0"/>
                <w:numId w:val="1"/>
              </w:numPr>
              <w:kinsoku/>
              <w:overflowPunct/>
              <w:topLinePunct w:val="0"/>
              <w:autoSpaceDE/>
              <w:autoSpaceDN/>
              <w:bidi w:val="0"/>
              <w:adjustRightInd w:val="0"/>
              <w:snapToGrid w:val="0"/>
              <w:textAlignment w:val="auto"/>
              <w:rPr>
                <w:rFonts w:hint="eastAsia"/>
                <w:color w:val="auto"/>
                <w:lang w:val="en-US" w:eastAsia="zh-CN"/>
              </w:rPr>
            </w:pPr>
            <w:r>
              <w:rPr>
                <w:rFonts w:hint="eastAsia"/>
                <w:color w:val="auto"/>
                <w:lang w:val="en-US" w:eastAsia="zh-CN"/>
              </w:rPr>
              <w:t>探矿活动结束后，应根据景观相似原则，对探矿活动造成的土壤、植被和地表景观破坏进行恢复。</w:t>
            </w:r>
          </w:p>
          <w:p w14:paraId="4FB5503C">
            <w:pPr>
              <w:pStyle w:val="46"/>
              <w:keepNext w:val="0"/>
              <w:keepLines w:val="0"/>
              <w:pageBreakBefore w:val="0"/>
              <w:widowControl w:val="0"/>
              <w:numPr>
                <w:ilvl w:val="0"/>
                <w:numId w:val="1"/>
              </w:numPr>
              <w:kinsoku/>
              <w:overflowPunct/>
              <w:topLinePunct w:val="0"/>
              <w:autoSpaceDE/>
              <w:autoSpaceDN/>
              <w:bidi w:val="0"/>
              <w:adjustRightInd w:val="0"/>
              <w:snapToGrid w:val="0"/>
              <w:textAlignment w:val="auto"/>
              <w:rPr>
                <w:rFonts w:hint="default"/>
                <w:color w:val="auto"/>
                <w:lang w:val="en-US" w:eastAsia="zh-CN"/>
              </w:rPr>
            </w:pPr>
            <w:r>
              <w:rPr>
                <w:rFonts w:hint="eastAsia"/>
                <w:color w:val="auto"/>
                <w:lang w:val="en-US" w:eastAsia="zh-CN"/>
              </w:rPr>
              <w:t>不再使用的帐篷、沉淀池等各项建筑和基础设施应按照以下要求全部拆除。</w:t>
            </w:r>
          </w:p>
          <w:p w14:paraId="4DAE21BD">
            <w:pPr>
              <w:pStyle w:val="46"/>
              <w:keepNext w:val="0"/>
              <w:keepLines w:val="0"/>
              <w:pageBreakBefore w:val="0"/>
              <w:widowControl w:val="0"/>
              <w:numPr>
                <w:ilvl w:val="0"/>
                <w:numId w:val="0"/>
              </w:numPr>
              <w:kinsoku/>
              <w:wordWrap w:val="0"/>
              <w:overflowPunct/>
              <w:topLinePunct w:val="0"/>
              <w:autoSpaceDE/>
              <w:autoSpaceDN/>
              <w:bidi w:val="0"/>
              <w:adjustRightInd w:val="0"/>
              <w:snapToGrid w:val="0"/>
              <w:ind w:firstLine="480" w:firstLineChars="200"/>
              <w:textAlignment w:val="auto"/>
              <w:rPr>
                <w:rFonts w:hint="eastAsia"/>
                <w:color w:val="auto"/>
                <w:lang w:val="en-US" w:eastAsia="zh-CN"/>
              </w:rPr>
            </w:pPr>
            <w:r>
              <w:rPr>
                <w:rFonts w:hint="eastAsia"/>
                <w:color w:val="auto"/>
                <w:lang w:val="en-US" w:eastAsia="zh-CN"/>
              </w:rPr>
              <w:t>①分类收集：将拆除产生的建筑垃圾、生活垃圾、危险废物等分类收集。</w:t>
            </w:r>
          </w:p>
          <w:p w14:paraId="7C416B66">
            <w:pPr>
              <w:pStyle w:val="46"/>
              <w:keepNext w:val="0"/>
              <w:keepLines w:val="0"/>
              <w:pageBreakBefore w:val="0"/>
              <w:widowControl w:val="0"/>
              <w:numPr>
                <w:ilvl w:val="0"/>
                <w:numId w:val="0"/>
              </w:numPr>
              <w:kinsoku/>
              <w:wordWrap w:val="0"/>
              <w:overflowPunct/>
              <w:topLinePunct w:val="0"/>
              <w:autoSpaceDE/>
              <w:autoSpaceDN/>
              <w:bidi w:val="0"/>
              <w:adjustRightInd w:val="0"/>
              <w:snapToGrid w:val="0"/>
              <w:ind w:firstLine="480" w:firstLineChars="200"/>
              <w:textAlignment w:val="auto"/>
              <w:rPr>
                <w:rFonts w:hint="eastAsia"/>
                <w:color w:val="auto"/>
                <w:lang w:val="en-US" w:eastAsia="zh-CN"/>
              </w:rPr>
            </w:pPr>
            <w:r>
              <w:rPr>
                <w:rFonts w:hint="eastAsia"/>
                <w:color w:val="auto"/>
                <w:lang w:val="en-US" w:eastAsia="zh-CN"/>
              </w:rPr>
              <w:t>②合规处置：建筑垃圾可回收部分送回收站，不可回收的运至指定消纳场；生活垃圾送至附近垃圾填埋场处理。</w:t>
            </w:r>
          </w:p>
          <w:p w14:paraId="471414CC">
            <w:pPr>
              <w:pStyle w:val="46"/>
              <w:keepNext w:val="0"/>
              <w:keepLines w:val="0"/>
              <w:pageBreakBefore w:val="0"/>
              <w:widowControl w:val="0"/>
              <w:numPr>
                <w:ilvl w:val="0"/>
                <w:numId w:val="0"/>
              </w:numPr>
              <w:kinsoku/>
              <w:wordWrap w:val="0"/>
              <w:overflowPunct/>
              <w:topLinePunct w:val="0"/>
              <w:autoSpaceDE/>
              <w:autoSpaceDN/>
              <w:bidi w:val="0"/>
              <w:adjustRightInd w:val="0"/>
              <w:snapToGrid w:val="0"/>
              <w:ind w:firstLine="480" w:firstLineChars="200"/>
              <w:textAlignment w:val="auto"/>
              <w:rPr>
                <w:rFonts w:hint="eastAsia"/>
                <w:color w:val="auto"/>
                <w:lang w:val="en-US" w:eastAsia="zh-CN"/>
              </w:rPr>
            </w:pPr>
            <w:r>
              <w:rPr>
                <w:rFonts w:hint="eastAsia"/>
                <w:color w:val="auto"/>
                <w:lang w:val="en-US" w:eastAsia="zh-CN"/>
              </w:rPr>
              <w:t>③拆除作业易产生扬尘，定期洒水降尘，干燥天气增加频次，保持地面湿润。</w:t>
            </w:r>
          </w:p>
          <w:p w14:paraId="6693FA20">
            <w:pPr>
              <w:pStyle w:val="46"/>
              <w:keepNext w:val="0"/>
              <w:keepLines w:val="0"/>
              <w:pageBreakBefore w:val="0"/>
              <w:widowControl w:val="0"/>
              <w:numPr>
                <w:ilvl w:val="0"/>
                <w:numId w:val="0"/>
              </w:numPr>
              <w:kinsoku/>
              <w:wordWrap w:val="0"/>
              <w:overflowPunct/>
              <w:topLinePunct w:val="0"/>
              <w:autoSpaceDE/>
              <w:autoSpaceDN/>
              <w:bidi w:val="0"/>
              <w:adjustRightInd w:val="0"/>
              <w:snapToGrid w:val="0"/>
              <w:ind w:firstLine="480" w:firstLineChars="200"/>
              <w:textAlignment w:val="auto"/>
              <w:rPr>
                <w:rFonts w:hint="default"/>
                <w:color w:val="auto"/>
                <w:lang w:val="en-US" w:eastAsia="zh-CN"/>
              </w:rPr>
            </w:pPr>
            <w:r>
              <w:rPr>
                <w:rFonts w:hint="eastAsia"/>
                <w:color w:val="auto"/>
                <w:lang w:val="en-US" w:eastAsia="zh-CN"/>
              </w:rPr>
              <w:t>④及时进行场地平整，并开展景观和植被恢复工作。</w:t>
            </w:r>
          </w:p>
          <w:p w14:paraId="3878BD88">
            <w:pPr>
              <w:pStyle w:val="46"/>
              <w:keepNext w:val="0"/>
              <w:keepLines w:val="0"/>
              <w:pageBreakBefore w:val="0"/>
              <w:widowControl w:val="0"/>
              <w:numPr>
                <w:ilvl w:val="0"/>
                <w:numId w:val="1"/>
              </w:numPr>
              <w:kinsoku/>
              <w:overflowPunct/>
              <w:topLinePunct w:val="0"/>
              <w:autoSpaceDE/>
              <w:autoSpaceDN/>
              <w:bidi w:val="0"/>
              <w:adjustRightInd w:val="0"/>
              <w:snapToGrid w:val="0"/>
              <w:textAlignment w:val="auto"/>
              <w:rPr>
                <w:rFonts w:hint="default"/>
                <w:color w:val="auto"/>
                <w:lang w:val="en-US" w:eastAsia="zh-CN"/>
              </w:rPr>
            </w:pPr>
            <w:r>
              <w:rPr>
                <w:rFonts w:hint="default"/>
                <w:color w:val="auto"/>
                <w:lang w:val="en-US" w:eastAsia="zh-CN"/>
              </w:rPr>
              <w:t>施工结束后土地应及时平整恢复，定期检查已回填恢复的探槽，尽可能恢复植被原貌</w:t>
            </w:r>
            <w:r>
              <w:rPr>
                <w:rFonts w:hint="eastAsia"/>
                <w:color w:val="auto"/>
                <w:lang w:val="en-US" w:eastAsia="zh-CN"/>
              </w:rPr>
              <w:t>。</w:t>
            </w:r>
          </w:p>
          <w:p w14:paraId="7A97A901">
            <w:pPr>
              <w:pStyle w:val="46"/>
              <w:keepNext w:val="0"/>
              <w:keepLines w:val="0"/>
              <w:pageBreakBefore w:val="0"/>
              <w:widowControl w:val="0"/>
              <w:numPr>
                <w:ilvl w:val="0"/>
                <w:numId w:val="1"/>
              </w:numPr>
              <w:kinsoku/>
              <w:overflowPunct/>
              <w:topLinePunct w:val="0"/>
              <w:autoSpaceDE/>
              <w:autoSpaceDN/>
              <w:bidi w:val="0"/>
              <w:adjustRightInd w:val="0"/>
              <w:snapToGrid w:val="0"/>
              <w:textAlignment w:val="auto"/>
              <w:rPr>
                <w:rFonts w:hint="default"/>
                <w:color w:val="auto"/>
                <w:lang w:val="en-US" w:eastAsia="zh-CN"/>
              </w:rPr>
            </w:pPr>
            <w:r>
              <w:rPr>
                <w:rFonts w:hint="default"/>
                <w:color w:val="auto"/>
                <w:lang w:val="en-US" w:eastAsia="zh-CN"/>
              </w:rPr>
              <w:t>勘探完成后，将勘探区土地进行复垦，对探坑周边进行表层回填和迹地覆土恢复，及时对周围生态植被进行修复，增加区域防冲和固土能力，减小水土流失的影响。</w:t>
            </w:r>
          </w:p>
          <w:p w14:paraId="0BD04AA5">
            <w:pPr>
              <w:pStyle w:val="46"/>
              <w:keepNext w:val="0"/>
              <w:keepLines w:val="0"/>
              <w:pageBreakBefore w:val="0"/>
              <w:widowControl w:val="0"/>
              <w:numPr>
                <w:ilvl w:val="0"/>
                <w:numId w:val="1"/>
              </w:numPr>
              <w:kinsoku/>
              <w:overflowPunct/>
              <w:topLinePunct w:val="0"/>
              <w:autoSpaceDE/>
              <w:autoSpaceDN/>
              <w:bidi w:val="0"/>
              <w:adjustRightInd w:val="0"/>
              <w:snapToGrid w:val="0"/>
              <w:textAlignment w:val="auto"/>
              <w:rPr>
                <w:rFonts w:hint="default"/>
                <w:color w:val="auto"/>
                <w:lang w:val="en-US" w:eastAsia="zh-CN"/>
              </w:rPr>
            </w:pPr>
            <w:r>
              <w:rPr>
                <w:rFonts w:hint="default"/>
                <w:color w:val="auto"/>
                <w:lang w:val="en-US" w:eastAsia="zh-CN"/>
              </w:rPr>
              <w:t>防沙治沙工作应当坚持预防为主、保护优先、因地制宜、突出重点、分区施策、以水定绿、科学防治、合理利用的原则</w:t>
            </w:r>
            <w:r>
              <w:rPr>
                <w:rFonts w:hint="eastAsia"/>
                <w:color w:val="auto"/>
                <w:lang w:val="en-US" w:eastAsia="zh-CN"/>
              </w:rPr>
              <w:t>。</w:t>
            </w:r>
            <w:r>
              <w:rPr>
                <w:rFonts w:hint="default"/>
                <w:color w:val="auto"/>
                <w:lang w:val="en-US" w:eastAsia="zh-CN"/>
              </w:rPr>
              <w:t>加强荒漠植被和野生动物栖息地保护</w:t>
            </w:r>
            <w:r>
              <w:rPr>
                <w:rFonts w:hint="eastAsia"/>
                <w:color w:val="auto"/>
                <w:lang w:val="en-US" w:eastAsia="zh-CN"/>
              </w:rPr>
              <w:t>，制止破坏或者损害荒漠生态系统功能的活动。</w:t>
            </w:r>
          </w:p>
          <w:p w14:paraId="457B25A5">
            <w:pPr>
              <w:pStyle w:val="57"/>
              <w:bidi w:val="0"/>
              <w:rPr>
                <w:rFonts w:hint="default"/>
                <w:color w:val="auto"/>
                <w:lang w:val="en-US" w:eastAsia="zh-CN"/>
              </w:rPr>
            </w:pPr>
            <w:r>
              <w:rPr>
                <w:rFonts w:hint="default"/>
                <w:color w:val="auto"/>
                <w:lang w:val="en-US" w:eastAsia="zh-CN"/>
              </w:rPr>
              <w:t>这些措施科学合理，既符合生态修复技术标准，又结合新疆地区防沙治沙的特殊需求，能够有效减少水土流失，恢复区域生态功能，实现勘探活动与生态环境保护的协调统一。</w:t>
            </w:r>
          </w:p>
          <w:p w14:paraId="08CF1DD5">
            <w:pPr>
              <w:pStyle w:val="45"/>
              <w:keepNext w:val="0"/>
              <w:keepLines w:val="0"/>
              <w:pageBreakBefore w:val="0"/>
              <w:widowControl w:val="0"/>
              <w:kinsoku/>
              <w:overflowPunct/>
              <w:topLinePunct w:val="0"/>
              <w:autoSpaceDE/>
              <w:autoSpaceDN/>
              <w:bidi w:val="0"/>
              <w:adjustRightInd w:val="0"/>
              <w:snapToGrid w:val="0"/>
              <w:textAlignment w:val="auto"/>
              <w:rPr>
                <w:rFonts w:hint="eastAsia"/>
                <w:color w:val="auto"/>
                <w:lang w:val="en-US" w:eastAsia="zh-CN"/>
              </w:rPr>
            </w:pPr>
            <w:r>
              <w:rPr>
                <w:rFonts w:hint="eastAsia"/>
                <w:color w:val="auto"/>
                <w:lang w:val="en-US" w:eastAsia="zh-CN"/>
              </w:rPr>
              <w:t>3大气环境保护措施</w:t>
            </w:r>
          </w:p>
          <w:p w14:paraId="783BA390">
            <w:pPr>
              <w:pStyle w:val="45"/>
              <w:keepNext w:val="0"/>
              <w:keepLines w:val="0"/>
              <w:pageBreakBefore w:val="0"/>
              <w:widowControl w:val="0"/>
              <w:kinsoku/>
              <w:wordWrap/>
              <w:overflowPunct/>
              <w:topLinePunct w:val="0"/>
              <w:autoSpaceDE/>
              <w:autoSpaceDN/>
              <w:bidi w:val="0"/>
              <w:adjustRightInd w:val="0"/>
              <w:snapToGrid w:val="0"/>
              <w:ind w:firstLine="482" w:firstLineChars="200"/>
              <w:textAlignment w:val="auto"/>
              <w:rPr>
                <w:rFonts w:hint="eastAsia"/>
                <w:color w:val="auto"/>
                <w:lang w:val="en-US" w:eastAsia="zh-CN"/>
              </w:rPr>
            </w:pPr>
            <w:r>
              <w:rPr>
                <w:rFonts w:hint="eastAsia"/>
                <w:color w:val="auto"/>
                <w:lang w:val="en-US" w:eastAsia="zh-CN"/>
              </w:rPr>
              <w:t>3.1开挖扬尘</w:t>
            </w:r>
          </w:p>
          <w:p w14:paraId="2E4C787A">
            <w:pPr>
              <w:pStyle w:val="46"/>
              <w:keepNext w:val="0"/>
              <w:keepLines w:val="0"/>
              <w:pageBreakBefore w:val="0"/>
              <w:widowControl w:val="0"/>
              <w:kinsoku/>
              <w:overflowPunct/>
              <w:topLinePunct w:val="0"/>
              <w:autoSpaceDE/>
              <w:autoSpaceDN/>
              <w:bidi w:val="0"/>
              <w:adjustRightInd w:val="0"/>
              <w:snapToGrid w:val="0"/>
              <w:textAlignment w:val="auto"/>
              <w:rPr>
                <w:color w:val="auto"/>
              </w:rPr>
            </w:pPr>
            <w:r>
              <w:rPr>
                <w:rFonts w:hint="eastAsia"/>
                <w:color w:val="auto"/>
                <w:lang w:val="en-US" w:eastAsia="zh-CN"/>
              </w:rPr>
              <w:t>勘探</w:t>
            </w:r>
            <w:r>
              <w:rPr>
                <w:color w:val="auto"/>
              </w:rPr>
              <w:t>过程中扬尘污染对该点及周围环境</w:t>
            </w:r>
            <w:r>
              <w:rPr>
                <w:rFonts w:hint="eastAsia"/>
                <w:color w:val="auto"/>
              </w:rPr>
              <w:t>产生一定的不利影响</w:t>
            </w:r>
            <w:r>
              <w:rPr>
                <w:color w:val="auto"/>
              </w:rPr>
              <w:t>。为避免扬尘污染</w:t>
            </w:r>
            <w:r>
              <w:rPr>
                <w:rFonts w:hint="eastAsia"/>
                <w:color w:val="auto"/>
              </w:rPr>
              <w:t>施工</w:t>
            </w:r>
            <w:r>
              <w:rPr>
                <w:color w:val="auto"/>
              </w:rPr>
              <w:t>场地，拟提出以下防治措施</w:t>
            </w:r>
            <w:r>
              <w:rPr>
                <w:rFonts w:hint="eastAsia"/>
                <w:color w:val="auto"/>
              </w:rPr>
              <w:t>：</w:t>
            </w:r>
          </w:p>
          <w:p w14:paraId="652BC4A8">
            <w:pPr>
              <w:pStyle w:val="46"/>
              <w:keepNext w:val="0"/>
              <w:keepLines w:val="0"/>
              <w:pageBreakBefore w:val="0"/>
              <w:widowControl w:val="0"/>
              <w:kinsoku/>
              <w:overflowPunct/>
              <w:topLinePunct w:val="0"/>
              <w:autoSpaceDE/>
              <w:autoSpaceDN/>
              <w:bidi w:val="0"/>
              <w:adjustRightInd w:val="0"/>
              <w:snapToGrid w:val="0"/>
              <w:textAlignment w:val="auto"/>
              <w:rPr>
                <w:color w:val="auto"/>
              </w:rPr>
            </w:pPr>
            <w:r>
              <w:rPr>
                <w:color w:val="auto"/>
              </w:rPr>
              <w:t>（1）施工前须制定控制工地扬尘方案，采取有效防尘措施，期间接受相关部门的监督检查。</w:t>
            </w:r>
          </w:p>
          <w:p w14:paraId="2CD3CC6F">
            <w:pPr>
              <w:pStyle w:val="46"/>
              <w:keepNext w:val="0"/>
              <w:keepLines w:val="0"/>
              <w:pageBreakBefore w:val="0"/>
              <w:widowControl w:val="0"/>
              <w:kinsoku/>
              <w:overflowPunct/>
              <w:topLinePunct w:val="0"/>
              <w:autoSpaceDE/>
              <w:autoSpaceDN/>
              <w:bidi w:val="0"/>
              <w:adjustRightInd w:val="0"/>
              <w:snapToGrid w:val="0"/>
              <w:textAlignment w:val="auto"/>
              <w:rPr>
                <w:color w:val="auto"/>
              </w:rPr>
            </w:pPr>
            <w:r>
              <w:rPr>
                <w:color w:val="auto"/>
              </w:rPr>
              <w:t>（</w:t>
            </w:r>
            <w:r>
              <w:rPr>
                <w:rFonts w:hint="eastAsia"/>
                <w:color w:val="auto"/>
              </w:rPr>
              <w:t>2</w:t>
            </w:r>
            <w:r>
              <w:rPr>
                <w:color w:val="auto"/>
              </w:rPr>
              <w:t>）现场合理布局，对道路常洒水，对易扬尘物料加盖苫布。</w:t>
            </w:r>
          </w:p>
          <w:p w14:paraId="26AEA90C">
            <w:pPr>
              <w:pStyle w:val="46"/>
              <w:keepNext w:val="0"/>
              <w:keepLines w:val="0"/>
              <w:pageBreakBefore w:val="0"/>
              <w:widowControl w:val="0"/>
              <w:kinsoku/>
              <w:overflowPunct/>
              <w:topLinePunct w:val="0"/>
              <w:autoSpaceDE/>
              <w:autoSpaceDN/>
              <w:bidi w:val="0"/>
              <w:adjustRightInd w:val="0"/>
              <w:snapToGrid w:val="0"/>
              <w:textAlignment w:val="auto"/>
              <w:rPr>
                <w:color w:val="auto"/>
              </w:rPr>
            </w:pPr>
            <w:r>
              <w:rPr>
                <w:color w:val="auto"/>
              </w:rPr>
              <w:t>（</w:t>
            </w:r>
            <w:r>
              <w:rPr>
                <w:rFonts w:hint="eastAsia"/>
                <w:color w:val="auto"/>
              </w:rPr>
              <w:t>3</w:t>
            </w:r>
            <w:r>
              <w:rPr>
                <w:color w:val="auto"/>
              </w:rPr>
              <w:t>）为进一步降低扬尘，要定期对路面和施工场</w:t>
            </w:r>
            <w:r>
              <w:rPr>
                <w:rFonts w:hint="eastAsia"/>
                <w:color w:val="auto"/>
              </w:rPr>
              <w:t>地</w:t>
            </w:r>
            <w:r>
              <w:rPr>
                <w:color w:val="auto"/>
              </w:rPr>
              <w:t>洒水，保持下垫面和空气湿润，减少起尘量，洒水频率视天气情况调整，原则上晴天每天不少于4次。</w:t>
            </w:r>
          </w:p>
          <w:p w14:paraId="7CE55CB1">
            <w:pPr>
              <w:pStyle w:val="46"/>
              <w:keepNext w:val="0"/>
              <w:keepLines w:val="0"/>
              <w:pageBreakBefore w:val="0"/>
              <w:widowControl w:val="0"/>
              <w:kinsoku/>
              <w:overflowPunct/>
              <w:topLinePunct w:val="0"/>
              <w:autoSpaceDE/>
              <w:autoSpaceDN/>
              <w:bidi w:val="0"/>
              <w:adjustRightInd w:val="0"/>
              <w:snapToGrid w:val="0"/>
              <w:textAlignment w:val="auto"/>
              <w:rPr>
                <w:color w:val="auto"/>
              </w:rPr>
            </w:pPr>
            <w:r>
              <w:rPr>
                <w:color w:val="auto"/>
              </w:rPr>
              <w:t>（</w:t>
            </w:r>
            <w:r>
              <w:rPr>
                <w:rFonts w:hint="eastAsia"/>
                <w:color w:val="auto"/>
              </w:rPr>
              <w:t>4</w:t>
            </w:r>
            <w:r>
              <w:rPr>
                <w:color w:val="auto"/>
              </w:rPr>
              <w:t>）4级以上大风天气，不得进行土方回填、转运以及其他可能产生扬尘污染的施工，并对场地做好遮掩工作。</w:t>
            </w:r>
          </w:p>
          <w:p w14:paraId="5F80DBF0">
            <w:pPr>
              <w:pStyle w:val="45"/>
              <w:keepNext w:val="0"/>
              <w:keepLines w:val="0"/>
              <w:pageBreakBefore w:val="0"/>
              <w:widowControl w:val="0"/>
              <w:shd w:val="clear"/>
              <w:kinsoku/>
              <w:wordWrap/>
              <w:overflowPunct/>
              <w:topLinePunct w:val="0"/>
              <w:autoSpaceDE/>
              <w:autoSpaceDN/>
              <w:bidi w:val="0"/>
              <w:adjustRightInd w:val="0"/>
              <w:snapToGrid w:val="0"/>
              <w:ind w:firstLine="482" w:firstLineChars="200"/>
              <w:textAlignment w:val="auto"/>
              <w:rPr>
                <w:rFonts w:hint="eastAsia" w:eastAsia="宋体" w:cs="宋体"/>
                <w:color w:val="auto"/>
                <w:lang w:val="en-US" w:eastAsia="zh-CN"/>
              </w:rPr>
            </w:pPr>
            <w:r>
              <w:rPr>
                <w:rFonts w:hint="eastAsia" w:eastAsia="宋体" w:cs="宋体"/>
                <w:color w:val="auto"/>
                <w:lang w:val="en-US" w:eastAsia="zh-CN"/>
              </w:rPr>
              <w:t>3.2临时堆场</w:t>
            </w:r>
          </w:p>
          <w:p w14:paraId="6F78BAD9">
            <w:pPr>
              <w:pStyle w:val="57"/>
              <w:shd w:val="clear"/>
              <w:bidi w:val="0"/>
              <w:rPr>
                <w:rFonts w:hint="eastAsia"/>
                <w:color w:val="auto"/>
                <w:lang w:val="en-US" w:eastAsia="zh-CN"/>
              </w:rPr>
            </w:pPr>
            <w:r>
              <w:rPr>
                <w:color w:val="auto"/>
              </w:rPr>
              <w:t>为有效减少临时堆场对大气环境的影响，可从扬尘抑制、作业管理</w:t>
            </w:r>
            <w:r>
              <w:rPr>
                <w:rFonts w:hint="eastAsia"/>
                <w:color w:val="auto"/>
                <w:lang w:eastAsia="zh-CN"/>
              </w:rPr>
              <w:t>等</w:t>
            </w:r>
            <w:r>
              <w:rPr>
                <w:rFonts w:hint="eastAsia"/>
                <w:color w:val="auto"/>
                <w:lang w:val="en-US" w:eastAsia="zh-CN"/>
              </w:rPr>
              <w:t>方面入手，构建综合防护体系：</w:t>
            </w:r>
          </w:p>
          <w:p w14:paraId="358F644D">
            <w:pPr>
              <w:pStyle w:val="57"/>
              <w:shd w:val="clear"/>
              <w:bidi w:val="0"/>
              <w:rPr>
                <w:rFonts w:hint="eastAsia"/>
                <w:color w:val="auto"/>
                <w:lang w:val="en-US" w:eastAsia="zh-CN"/>
              </w:rPr>
            </w:pPr>
            <w:r>
              <w:rPr>
                <w:rFonts w:hint="eastAsia"/>
                <w:color w:val="auto"/>
                <w:lang w:val="en-US" w:eastAsia="zh-CN"/>
              </w:rPr>
              <w:t>（1）物理覆盖降尘：采用彩布条对堆体进行全覆盖，边缘压实固定，防止大风掀翻。</w:t>
            </w:r>
          </w:p>
          <w:p w14:paraId="764AFD14">
            <w:pPr>
              <w:pStyle w:val="57"/>
              <w:shd w:val="clear"/>
              <w:bidi w:val="0"/>
              <w:rPr>
                <w:rFonts w:hint="default"/>
                <w:color w:val="auto"/>
                <w:lang w:val="en-US" w:eastAsia="zh-CN"/>
              </w:rPr>
            </w:pPr>
            <w:r>
              <w:rPr>
                <w:rFonts w:hint="eastAsia"/>
                <w:color w:val="auto"/>
                <w:lang w:val="en-US" w:eastAsia="zh-CN"/>
              </w:rPr>
              <w:t>（2）洒水降尘：定期对堆场及周边道路进行洒水作业，保持土石方表面湿润，减少风力扬尘；</w:t>
            </w:r>
            <w:r>
              <w:rPr>
                <w:color w:val="auto"/>
              </w:rPr>
              <w:t>根据天气情况调整洒水频次，高温干旱或大风天气增加洒水次数，确保表面湿度稳定。</w:t>
            </w:r>
          </w:p>
          <w:p w14:paraId="6DD83FF7">
            <w:pPr>
              <w:pStyle w:val="57"/>
              <w:shd w:val="clear"/>
              <w:bidi w:val="0"/>
              <w:rPr>
                <w:rFonts w:hint="default"/>
                <w:color w:val="auto"/>
                <w:lang w:val="en-US" w:eastAsia="zh-CN"/>
              </w:rPr>
            </w:pPr>
            <w:r>
              <w:rPr>
                <w:rFonts w:hint="eastAsia"/>
                <w:color w:val="auto"/>
                <w:lang w:val="en-US" w:eastAsia="zh-CN"/>
              </w:rPr>
              <w:t>（3）规范作业管理：限制车辆在堆场周边的行驶速度，减少因碾压产生的扬尘；运输车辆采取密闭措施，车厢加盖篷布；优化装卸作业流程，降低物料落差，减少扬尘产生。</w:t>
            </w:r>
          </w:p>
          <w:p w14:paraId="3BF8B218">
            <w:pPr>
              <w:pStyle w:val="45"/>
              <w:keepNext w:val="0"/>
              <w:keepLines w:val="0"/>
              <w:pageBreakBefore w:val="0"/>
              <w:widowControl w:val="0"/>
              <w:shd w:val="clear"/>
              <w:kinsoku/>
              <w:wordWrap/>
              <w:overflowPunct/>
              <w:topLinePunct w:val="0"/>
              <w:autoSpaceDE/>
              <w:autoSpaceDN/>
              <w:bidi w:val="0"/>
              <w:adjustRightInd w:val="0"/>
              <w:snapToGrid w:val="0"/>
              <w:ind w:firstLine="482" w:firstLineChars="200"/>
              <w:textAlignment w:val="auto"/>
              <w:rPr>
                <w:color w:val="auto"/>
              </w:rPr>
            </w:pPr>
            <w:r>
              <w:rPr>
                <w:rFonts w:hint="eastAsia"/>
                <w:color w:val="auto"/>
                <w:lang w:val="en-US" w:eastAsia="zh-CN"/>
              </w:rPr>
              <w:t>3.3</w:t>
            </w:r>
            <w:r>
              <w:rPr>
                <w:rFonts w:hint="eastAsia"/>
                <w:color w:val="auto"/>
              </w:rPr>
              <w:t>燃油</w:t>
            </w:r>
            <w:r>
              <w:rPr>
                <w:color w:val="auto"/>
              </w:rPr>
              <w:t>废气</w:t>
            </w:r>
          </w:p>
          <w:p w14:paraId="614130B1">
            <w:pPr>
              <w:pStyle w:val="46"/>
              <w:keepNext w:val="0"/>
              <w:keepLines w:val="0"/>
              <w:pageBreakBefore w:val="0"/>
              <w:widowControl w:val="0"/>
              <w:kinsoku/>
              <w:overflowPunct/>
              <w:topLinePunct w:val="0"/>
              <w:autoSpaceDE/>
              <w:autoSpaceDN/>
              <w:bidi w:val="0"/>
              <w:adjustRightInd w:val="0"/>
              <w:snapToGrid w:val="0"/>
              <w:textAlignment w:val="auto"/>
              <w:rPr>
                <w:color w:val="auto"/>
              </w:rPr>
            </w:pPr>
            <w:r>
              <w:rPr>
                <w:color w:val="auto"/>
              </w:rPr>
              <w:t>由于施工机械在运行过程中点源分散，燃油废气属无组织排放，主要对作业点周围和运输路线两侧局部范围产生一定影响。由于排放量不大且项目区周边均为空地，环境容量大，所以对当地环境空气质量造成的不良影响甚微。但为避免对环境造成额外负担，本环评提出防治措施如下：</w:t>
            </w:r>
          </w:p>
          <w:p w14:paraId="25005DFF">
            <w:pPr>
              <w:pStyle w:val="46"/>
              <w:keepNext w:val="0"/>
              <w:keepLines w:val="0"/>
              <w:pageBreakBefore w:val="0"/>
              <w:widowControl w:val="0"/>
              <w:kinsoku/>
              <w:overflowPunct/>
              <w:topLinePunct w:val="0"/>
              <w:autoSpaceDE/>
              <w:autoSpaceDN/>
              <w:bidi w:val="0"/>
              <w:adjustRightInd w:val="0"/>
              <w:snapToGrid w:val="0"/>
              <w:textAlignment w:val="auto"/>
              <w:rPr>
                <w:color w:val="auto"/>
              </w:rPr>
            </w:pPr>
            <w:r>
              <w:rPr>
                <w:color w:val="auto"/>
              </w:rPr>
              <w:t>（1）使用合格的施工与运输车辆，保证汽车尾气达到国家规定的排放标准要求。</w:t>
            </w:r>
          </w:p>
          <w:p w14:paraId="7E602762">
            <w:pPr>
              <w:pStyle w:val="46"/>
              <w:keepNext w:val="0"/>
              <w:keepLines w:val="0"/>
              <w:pageBreakBefore w:val="0"/>
              <w:widowControl w:val="0"/>
              <w:kinsoku/>
              <w:overflowPunct/>
              <w:topLinePunct w:val="0"/>
              <w:autoSpaceDE/>
              <w:autoSpaceDN/>
              <w:bidi w:val="0"/>
              <w:adjustRightInd w:val="0"/>
              <w:snapToGrid w:val="0"/>
              <w:textAlignment w:val="auto"/>
              <w:rPr>
                <w:color w:val="auto"/>
              </w:rPr>
            </w:pPr>
            <w:r>
              <w:rPr>
                <w:color w:val="auto"/>
              </w:rPr>
              <w:t>（2）选用工艺先进、技术含量高的作业机械。</w:t>
            </w:r>
          </w:p>
          <w:p w14:paraId="5ABCE096">
            <w:pPr>
              <w:pStyle w:val="46"/>
              <w:keepNext w:val="0"/>
              <w:keepLines w:val="0"/>
              <w:pageBreakBefore w:val="0"/>
              <w:widowControl w:val="0"/>
              <w:kinsoku/>
              <w:overflowPunct/>
              <w:topLinePunct w:val="0"/>
              <w:autoSpaceDE/>
              <w:autoSpaceDN/>
              <w:bidi w:val="0"/>
              <w:adjustRightInd w:val="0"/>
              <w:snapToGrid w:val="0"/>
              <w:textAlignment w:val="auto"/>
              <w:rPr>
                <w:color w:val="auto"/>
              </w:rPr>
            </w:pPr>
            <w:r>
              <w:rPr>
                <w:color w:val="auto"/>
              </w:rPr>
              <w:t>（3）尽量避免施工机械同时运行，停止使用机械时尽可能怠速运转或熄火，避免猛踩油门增加燃油废气中有害物质的排放。</w:t>
            </w:r>
          </w:p>
          <w:p w14:paraId="7A42A47B">
            <w:pPr>
              <w:pStyle w:val="45"/>
              <w:keepNext w:val="0"/>
              <w:keepLines w:val="0"/>
              <w:pageBreakBefore w:val="0"/>
              <w:widowControl w:val="0"/>
              <w:kinsoku/>
              <w:overflowPunct/>
              <w:topLinePunct w:val="0"/>
              <w:autoSpaceDE/>
              <w:autoSpaceDN/>
              <w:bidi w:val="0"/>
              <w:adjustRightInd w:val="0"/>
              <w:snapToGrid w:val="0"/>
              <w:textAlignment w:val="auto"/>
              <w:rPr>
                <w:color w:val="auto"/>
                <w:highlight w:val="none"/>
              </w:rPr>
            </w:pPr>
            <w:r>
              <w:rPr>
                <w:rFonts w:hint="eastAsia"/>
                <w:color w:val="auto"/>
                <w:highlight w:val="none"/>
                <w:lang w:val="en-US" w:eastAsia="zh-CN"/>
              </w:rPr>
              <w:t>4</w:t>
            </w:r>
            <w:r>
              <w:rPr>
                <w:color w:val="auto"/>
                <w:highlight w:val="none"/>
              </w:rPr>
              <w:t>水环境</w:t>
            </w:r>
            <w:r>
              <w:rPr>
                <w:rFonts w:hint="eastAsia"/>
                <w:color w:val="auto"/>
                <w:highlight w:val="none"/>
                <w:lang w:val="en-US" w:eastAsia="zh-CN"/>
              </w:rPr>
              <w:t>保护</w:t>
            </w:r>
            <w:r>
              <w:rPr>
                <w:color w:val="auto"/>
                <w:highlight w:val="none"/>
              </w:rPr>
              <w:t>措施</w:t>
            </w:r>
          </w:p>
          <w:p w14:paraId="50F95576">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项目勘探期</w:t>
            </w:r>
            <w:r>
              <w:rPr>
                <w:rFonts w:hint="default" w:ascii="Times New Roman" w:hAnsi="Times New Roman" w:cs="Times New Roman"/>
                <w:color w:val="auto"/>
                <w:sz w:val="24"/>
                <w:szCs w:val="24"/>
                <w:lang w:val="en-US" w:eastAsia="zh-CN"/>
              </w:rPr>
              <w:t>废水主要来自钻探废水、设备清洗废水和生活</w:t>
            </w:r>
            <w:r>
              <w:rPr>
                <w:rFonts w:hint="eastAsia" w:ascii="Times New Roman" w:hAnsi="Times New Roman" w:cs="Times New Roman"/>
                <w:color w:val="auto"/>
                <w:sz w:val="24"/>
                <w:szCs w:val="24"/>
                <w:lang w:val="en-US" w:eastAsia="zh-CN"/>
              </w:rPr>
              <w:t>污水。</w:t>
            </w:r>
            <w:r>
              <w:rPr>
                <w:rFonts w:hint="default" w:ascii="Times New Roman" w:hAnsi="Times New Roman" w:cs="Times New Roman"/>
                <w:color w:val="auto"/>
                <w:sz w:val="24"/>
                <w:szCs w:val="24"/>
                <w:lang w:val="en-US" w:eastAsia="zh-CN"/>
              </w:rPr>
              <w:t>钻探废水、设备清洗废水主要污染物为SS，沉淀池收集沉淀后，回用于洒水降尘，不外排。生活污水来源于施工人员及工地管理人员，其污染物较为简单，主要为SS、NH</w:t>
            </w:r>
            <w:r>
              <w:rPr>
                <w:rFonts w:hint="default" w:ascii="Times New Roman" w:hAnsi="Times New Roman" w:cs="Times New Roman"/>
                <w:color w:val="auto"/>
                <w:sz w:val="24"/>
                <w:szCs w:val="24"/>
                <w:vertAlign w:val="subscript"/>
                <w:lang w:val="en-US" w:eastAsia="zh-CN"/>
              </w:rPr>
              <w:t>3</w:t>
            </w:r>
            <w:r>
              <w:rPr>
                <w:rFonts w:hint="default" w:ascii="Times New Roman" w:hAnsi="Times New Roman" w:cs="Times New Roman"/>
                <w:color w:val="auto"/>
                <w:sz w:val="24"/>
                <w:szCs w:val="24"/>
                <w:lang w:val="en-US" w:eastAsia="zh-CN"/>
              </w:rPr>
              <w:t>-N、COD、BOD</w:t>
            </w:r>
            <w:r>
              <w:rPr>
                <w:rFonts w:hint="default" w:ascii="Times New Roman" w:hAnsi="Times New Roman" w:cs="Times New Roman"/>
                <w:color w:val="auto"/>
                <w:sz w:val="24"/>
                <w:szCs w:val="24"/>
                <w:vertAlign w:val="subscript"/>
                <w:lang w:val="en-US" w:eastAsia="zh-CN"/>
              </w:rPr>
              <w:t>5</w:t>
            </w:r>
            <w:r>
              <w:rPr>
                <w:rFonts w:hint="default" w:ascii="Times New Roman" w:hAnsi="Times New Roman" w:cs="Times New Roman"/>
                <w:color w:val="auto"/>
                <w:sz w:val="24"/>
                <w:szCs w:val="24"/>
                <w:lang w:val="en-US" w:eastAsia="zh-CN"/>
              </w:rPr>
              <w:t>等。生活污水</w:t>
            </w:r>
            <w:r>
              <w:rPr>
                <w:rFonts w:hint="eastAsia" w:ascii="Times New Roman" w:hAnsi="Times New Roman" w:cs="Times New Roman"/>
                <w:color w:val="auto"/>
                <w:sz w:val="24"/>
                <w:szCs w:val="24"/>
                <w:lang w:val="en-US" w:eastAsia="zh-CN"/>
              </w:rPr>
              <w:t>经一体化污水处理设施处理完成后用于周边洒水降尘</w:t>
            </w:r>
            <w:r>
              <w:rPr>
                <w:rFonts w:hint="default" w:ascii="Times New Roman" w:hAnsi="Times New Roman" w:cs="Times New Roman"/>
                <w:color w:val="auto"/>
                <w:sz w:val="24"/>
                <w:szCs w:val="24"/>
                <w:lang w:val="en-US" w:eastAsia="zh-CN"/>
              </w:rPr>
              <w:t>。</w:t>
            </w:r>
          </w:p>
          <w:p w14:paraId="058B1861">
            <w:pPr>
              <w:pStyle w:val="45"/>
              <w:keepNext w:val="0"/>
              <w:keepLines w:val="0"/>
              <w:pageBreakBefore w:val="0"/>
              <w:widowControl w:val="0"/>
              <w:kinsoku/>
              <w:overflowPunct/>
              <w:topLinePunct w:val="0"/>
              <w:autoSpaceDE/>
              <w:autoSpaceDN/>
              <w:bidi w:val="0"/>
              <w:adjustRightInd w:val="0"/>
              <w:snapToGrid w:val="0"/>
              <w:textAlignment w:val="auto"/>
              <w:rPr>
                <w:color w:val="auto"/>
              </w:rPr>
            </w:pPr>
            <w:r>
              <w:rPr>
                <w:rFonts w:hint="eastAsia"/>
                <w:color w:val="auto"/>
                <w:lang w:val="en-US" w:eastAsia="zh-CN"/>
              </w:rPr>
              <w:t>5声环境保护</w:t>
            </w:r>
            <w:r>
              <w:rPr>
                <w:color w:val="auto"/>
              </w:rPr>
              <w:t>措施</w:t>
            </w:r>
          </w:p>
          <w:p w14:paraId="186690A5">
            <w:pPr>
              <w:pStyle w:val="46"/>
              <w:keepNext w:val="0"/>
              <w:keepLines w:val="0"/>
              <w:pageBreakBefore w:val="0"/>
              <w:widowControl w:val="0"/>
              <w:kinsoku/>
              <w:overflowPunct/>
              <w:topLinePunct w:val="0"/>
              <w:autoSpaceDE/>
              <w:autoSpaceDN/>
              <w:bidi w:val="0"/>
              <w:adjustRightInd w:val="0"/>
              <w:snapToGrid w:val="0"/>
              <w:textAlignment w:val="auto"/>
              <w:rPr>
                <w:color w:val="auto"/>
              </w:rPr>
            </w:pPr>
            <w:r>
              <w:rPr>
                <w:color w:val="auto"/>
              </w:rPr>
              <w:t>本次探矿工作探槽</w:t>
            </w:r>
            <w:r>
              <w:rPr>
                <w:rFonts w:hint="eastAsia"/>
                <w:color w:val="auto"/>
                <w:lang w:val="en-US" w:eastAsia="zh-CN"/>
              </w:rPr>
              <w:t>以</w:t>
            </w:r>
            <w:r>
              <w:rPr>
                <w:color w:val="auto"/>
              </w:rPr>
              <w:t>人力开挖</w:t>
            </w:r>
            <w:r>
              <w:rPr>
                <w:rFonts w:hint="eastAsia"/>
                <w:color w:val="auto"/>
                <w:lang w:val="en-US" w:eastAsia="zh-CN"/>
              </w:rPr>
              <w:t>为主</w:t>
            </w:r>
            <w:r>
              <w:rPr>
                <w:color w:val="auto"/>
              </w:rPr>
              <w:t>，噪声源</w:t>
            </w:r>
            <w:r>
              <w:rPr>
                <w:rFonts w:hint="eastAsia"/>
                <w:color w:val="auto"/>
                <w:lang w:val="en-US" w:eastAsia="zh-CN"/>
              </w:rPr>
              <w:t>仅为1台柴油发电机</w:t>
            </w:r>
            <w:r>
              <w:rPr>
                <w:color w:val="auto"/>
              </w:rPr>
              <w:t>。经类比调查，</w:t>
            </w:r>
            <w:r>
              <w:rPr>
                <w:rFonts w:hint="eastAsia"/>
                <w:color w:val="auto"/>
              </w:rPr>
              <w:t>探矿</w:t>
            </w:r>
            <w:r>
              <w:rPr>
                <w:color w:val="auto"/>
              </w:rPr>
              <w:t>期间声强</w:t>
            </w:r>
            <w:r>
              <w:rPr>
                <w:color w:val="auto"/>
                <w:highlight w:val="none"/>
              </w:rPr>
              <w:t>范围在</w:t>
            </w:r>
            <w:r>
              <w:rPr>
                <w:rFonts w:hint="eastAsia"/>
                <w:color w:val="auto"/>
                <w:highlight w:val="none"/>
                <w:lang w:val="en-US" w:eastAsia="zh-CN"/>
              </w:rPr>
              <w:t>80</w:t>
            </w:r>
            <w:r>
              <w:rPr>
                <w:rFonts w:hint="eastAsia"/>
                <w:color w:val="auto"/>
                <w:highlight w:val="none"/>
              </w:rPr>
              <w:t>~</w:t>
            </w:r>
            <w:r>
              <w:rPr>
                <w:rFonts w:hint="eastAsia"/>
                <w:color w:val="auto"/>
                <w:highlight w:val="none"/>
                <w:lang w:val="en-US" w:eastAsia="zh-CN"/>
              </w:rPr>
              <w:t>81</w:t>
            </w:r>
            <w:r>
              <w:rPr>
                <w:color w:val="auto"/>
                <w:highlight w:val="none"/>
              </w:rPr>
              <w:t>dB之间</w:t>
            </w:r>
            <w:r>
              <w:rPr>
                <w:color w:val="auto"/>
              </w:rPr>
              <w:t>。</w:t>
            </w:r>
          </w:p>
          <w:p w14:paraId="1AFF7056">
            <w:pPr>
              <w:pStyle w:val="46"/>
              <w:keepNext w:val="0"/>
              <w:keepLines w:val="0"/>
              <w:pageBreakBefore w:val="0"/>
              <w:widowControl w:val="0"/>
              <w:kinsoku/>
              <w:overflowPunct/>
              <w:topLinePunct w:val="0"/>
              <w:autoSpaceDE/>
              <w:autoSpaceDN/>
              <w:bidi w:val="0"/>
              <w:adjustRightInd w:val="0"/>
              <w:snapToGrid w:val="0"/>
              <w:textAlignment w:val="auto"/>
              <w:rPr>
                <w:color w:val="auto"/>
              </w:rPr>
            </w:pPr>
            <w:r>
              <w:rPr>
                <w:color w:val="auto"/>
              </w:rPr>
              <w:t>项目探矿点周围</w:t>
            </w:r>
            <w:r>
              <w:rPr>
                <w:rFonts w:hint="eastAsia"/>
                <w:color w:val="auto"/>
                <w:lang w:val="en-US" w:eastAsia="zh-CN"/>
              </w:rPr>
              <w:t>5</w:t>
            </w:r>
            <w:r>
              <w:rPr>
                <w:rFonts w:hint="eastAsia"/>
                <w:color w:val="auto"/>
              </w:rPr>
              <w:t>00</w:t>
            </w:r>
            <w:r>
              <w:rPr>
                <w:color w:val="auto"/>
              </w:rPr>
              <w:t>m内没有居民，因此，本项目噪声对周围敏感点的噪声影响很小。为减少</w:t>
            </w:r>
            <w:r>
              <w:rPr>
                <w:rFonts w:hint="eastAsia"/>
                <w:color w:val="auto"/>
              </w:rPr>
              <w:t>本项目</w:t>
            </w:r>
            <w:r>
              <w:rPr>
                <w:rFonts w:hint="eastAsia"/>
                <w:color w:val="auto"/>
                <w:lang w:val="en-US" w:eastAsia="zh-CN"/>
              </w:rPr>
              <w:t>探矿</w:t>
            </w:r>
            <w:r>
              <w:rPr>
                <w:rFonts w:hint="eastAsia"/>
                <w:color w:val="auto"/>
              </w:rPr>
              <w:t>期间</w:t>
            </w:r>
            <w:r>
              <w:rPr>
                <w:color w:val="auto"/>
              </w:rPr>
              <w:t>噪声对周边环境的影响拟采取以下防治措施：</w:t>
            </w:r>
          </w:p>
          <w:p w14:paraId="6F009446">
            <w:pPr>
              <w:pStyle w:val="46"/>
              <w:keepNext w:val="0"/>
              <w:keepLines w:val="0"/>
              <w:pageBreakBefore w:val="0"/>
              <w:widowControl w:val="0"/>
              <w:kinsoku/>
              <w:overflowPunct/>
              <w:topLinePunct w:val="0"/>
              <w:autoSpaceDE/>
              <w:autoSpaceDN/>
              <w:bidi w:val="0"/>
              <w:adjustRightInd w:val="0"/>
              <w:snapToGrid w:val="0"/>
              <w:textAlignment w:val="auto"/>
              <w:rPr>
                <w:color w:val="auto"/>
              </w:rPr>
            </w:pPr>
            <w:r>
              <w:rPr>
                <w:color w:val="auto"/>
              </w:rPr>
              <w:t>（1）合理安排施工时段：</w:t>
            </w:r>
            <w:r>
              <w:rPr>
                <w:rFonts w:hint="eastAsia"/>
                <w:color w:val="auto"/>
                <w:lang w:val="en-US" w:eastAsia="zh-CN"/>
              </w:rPr>
              <w:t>避免夜间作业，</w:t>
            </w:r>
            <w:r>
              <w:rPr>
                <w:color w:val="auto"/>
              </w:rPr>
              <w:t>应尽量安排在白天。</w:t>
            </w:r>
          </w:p>
          <w:p w14:paraId="43DE4D42">
            <w:pPr>
              <w:pStyle w:val="46"/>
              <w:keepNext w:val="0"/>
              <w:keepLines w:val="0"/>
              <w:pageBreakBefore w:val="0"/>
              <w:widowControl w:val="0"/>
              <w:kinsoku/>
              <w:overflowPunct/>
              <w:topLinePunct w:val="0"/>
              <w:autoSpaceDE/>
              <w:autoSpaceDN/>
              <w:bidi w:val="0"/>
              <w:adjustRightInd w:val="0"/>
              <w:snapToGrid w:val="0"/>
              <w:textAlignment w:val="auto"/>
              <w:rPr>
                <w:color w:val="auto"/>
              </w:rPr>
            </w:pPr>
            <w:r>
              <w:rPr>
                <w:color w:val="auto"/>
              </w:rPr>
              <w:t>（2）降低人为噪声影响：按操作规范操作机械设备过程中减少碰撞噪声，在装卸</w:t>
            </w:r>
            <w:r>
              <w:rPr>
                <w:rFonts w:hint="eastAsia"/>
                <w:color w:val="auto"/>
                <w:lang w:val="en-US" w:eastAsia="zh-CN"/>
              </w:rPr>
              <w:t>过</w:t>
            </w:r>
            <w:r>
              <w:rPr>
                <w:color w:val="auto"/>
              </w:rPr>
              <w:t>程中，禁止野蛮作业，减少作业噪声。</w:t>
            </w:r>
          </w:p>
          <w:p w14:paraId="13108A7C">
            <w:pPr>
              <w:pStyle w:val="46"/>
              <w:keepNext w:val="0"/>
              <w:keepLines w:val="0"/>
              <w:pageBreakBefore w:val="0"/>
              <w:widowControl w:val="0"/>
              <w:kinsoku/>
              <w:overflowPunct/>
              <w:topLinePunct w:val="0"/>
              <w:autoSpaceDE/>
              <w:autoSpaceDN/>
              <w:bidi w:val="0"/>
              <w:adjustRightInd w:val="0"/>
              <w:snapToGrid w:val="0"/>
              <w:textAlignment w:val="auto"/>
              <w:rPr>
                <w:color w:val="auto"/>
              </w:rPr>
            </w:pPr>
            <w:r>
              <w:rPr>
                <w:color w:val="auto"/>
              </w:rPr>
              <w:t>（</w:t>
            </w:r>
            <w:r>
              <w:rPr>
                <w:rFonts w:hint="eastAsia"/>
                <w:color w:val="auto"/>
                <w:lang w:val="en-US" w:eastAsia="zh-CN"/>
              </w:rPr>
              <w:t>3</w:t>
            </w:r>
            <w:r>
              <w:rPr>
                <w:color w:val="auto"/>
              </w:rPr>
              <w:t>）管理措施：建设方应对</w:t>
            </w:r>
            <w:r>
              <w:rPr>
                <w:rFonts w:hint="eastAsia"/>
                <w:color w:val="auto"/>
                <w:lang w:val="en-US" w:eastAsia="zh-CN"/>
              </w:rPr>
              <w:t>探矿</w:t>
            </w:r>
            <w:r>
              <w:rPr>
                <w:color w:val="auto"/>
              </w:rPr>
              <w:t>单位提出明确的噪声环境要求，要求</w:t>
            </w:r>
            <w:r>
              <w:rPr>
                <w:rFonts w:hint="eastAsia"/>
                <w:color w:val="auto"/>
                <w:lang w:val="en-US" w:eastAsia="zh-CN"/>
              </w:rPr>
              <w:t>探矿</w:t>
            </w:r>
            <w:r>
              <w:rPr>
                <w:color w:val="auto"/>
              </w:rPr>
              <w:t>单位制定科学、合理的施工方案和严格的生产管理制度。</w:t>
            </w:r>
          </w:p>
          <w:p w14:paraId="076473B9">
            <w:pPr>
              <w:pStyle w:val="46"/>
              <w:keepNext w:val="0"/>
              <w:keepLines w:val="0"/>
              <w:pageBreakBefore w:val="0"/>
              <w:widowControl w:val="0"/>
              <w:kinsoku/>
              <w:overflowPunct/>
              <w:topLinePunct w:val="0"/>
              <w:autoSpaceDE/>
              <w:autoSpaceDN/>
              <w:bidi w:val="0"/>
              <w:adjustRightInd w:val="0"/>
              <w:snapToGrid w:val="0"/>
              <w:textAlignment w:val="auto"/>
              <w:rPr>
                <w:color w:val="auto"/>
              </w:rPr>
            </w:pPr>
            <w:r>
              <w:rPr>
                <w:color w:val="auto"/>
              </w:rPr>
              <w:t>（</w:t>
            </w:r>
            <w:r>
              <w:rPr>
                <w:rFonts w:hint="eastAsia"/>
                <w:color w:val="auto"/>
                <w:lang w:val="en-US" w:eastAsia="zh-CN"/>
              </w:rPr>
              <w:t>4</w:t>
            </w:r>
            <w:r>
              <w:rPr>
                <w:color w:val="auto"/>
              </w:rPr>
              <w:t>）加强对设备的维护、养护，闲置设备应立即关闭。尽可能采用外加工材料，减少现场加工的工作量。</w:t>
            </w:r>
          </w:p>
          <w:p w14:paraId="6FB045DE">
            <w:pPr>
              <w:pStyle w:val="45"/>
              <w:keepNext w:val="0"/>
              <w:keepLines w:val="0"/>
              <w:pageBreakBefore w:val="0"/>
              <w:widowControl w:val="0"/>
              <w:kinsoku/>
              <w:overflowPunct/>
              <w:topLinePunct w:val="0"/>
              <w:autoSpaceDE/>
              <w:autoSpaceDN/>
              <w:bidi w:val="0"/>
              <w:adjustRightInd w:val="0"/>
              <w:snapToGrid w:val="0"/>
              <w:textAlignment w:val="auto"/>
              <w:rPr>
                <w:color w:val="auto"/>
              </w:rPr>
            </w:pPr>
            <w:r>
              <w:rPr>
                <w:rFonts w:hint="eastAsia"/>
                <w:color w:val="auto"/>
                <w:lang w:val="en-US" w:eastAsia="zh-CN"/>
              </w:rPr>
              <w:t>6</w:t>
            </w:r>
            <w:r>
              <w:rPr>
                <w:color w:val="auto"/>
              </w:rPr>
              <w:t>固体废物污染防治措施</w:t>
            </w:r>
          </w:p>
          <w:p w14:paraId="4B1BF30D">
            <w:pPr>
              <w:pStyle w:val="46"/>
              <w:keepNext w:val="0"/>
              <w:keepLines w:val="0"/>
              <w:pageBreakBefore w:val="0"/>
              <w:widowControl w:val="0"/>
              <w:kinsoku/>
              <w:overflowPunct/>
              <w:topLinePunct w:val="0"/>
              <w:autoSpaceDE/>
              <w:autoSpaceDN/>
              <w:bidi w:val="0"/>
              <w:adjustRightInd w:val="0"/>
              <w:snapToGrid w:val="0"/>
              <w:textAlignment w:val="auto"/>
              <w:rPr>
                <w:rFonts w:hint="eastAsia"/>
                <w:color w:val="auto"/>
                <w:lang w:val="en-US" w:eastAsia="zh-CN"/>
              </w:rPr>
            </w:pPr>
            <w:r>
              <w:rPr>
                <w:color w:val="auto"/>
              </w:rPr>
              <w:t>（1）</w:t>
            </w:r>
            <w:r>
              <w:rPr>
                <w:rFonts w:hint="eastAsia"/>
                <w:color w:val="auto"/>
                <w:lang w:val="en-US" w:eastAsia="zh-CN"/>
              </w:rPr>
              <w:t>开挖临时堆土</w:t>
            </w:r>
          </w:p>
          <w:p w14:paraId="4D1F2F7C">
            <w:pPr>
              <w:pStyle w:val="46"/>
              <w:keepNext w:val="0"/>
              <w:keepLines w:val="0"/>
              <w:pageBreakBefore w:val="0"/>
              <w:widowControl w:val="0"/>
              <w:kinsoku/>
              <w:overflowPunct/>
              <w:topLinePunct w:val="0"/>
              <w:autoSpaceDE/>
              <w:autoSpaceDN/>
              <w:bidi w:val="0"/>
              <w:adjustRightInd w:val="0"/>
              <w:snapToGrid w:val="0"/>
              <w:textAlignment w:val="auto"/>
              <w:rPr>
                <w:rFonts w:hint="eastAsia"/>
                <w:color w:val="auto"/>
                <w:highlight w:val="none"/>
              </w:rPr>
            </w:pPr>
            <w:r>
              <w:rPr>
                <w:rFonts w:hint="eastAsia"/>
                <w:color w:val="auto"/>
              </w:rPr>
              <w:t>主要为槽探开挖产生</w:t>
            </w:r>
            <w:r>
              <w:rPr>
                <w:rFonts w:hint="eastAsia"/>
                <w:color w:val="auto"/>
                <w:lang w:val="en-US" w:eastAsia="zh-CN"/>
              </w:rPr>
              <w:t>的</w:t>
            </w:r>
            <w:r>
              <w:rPr>
                <w:rFonts w:hint="eastAsia"/>
                <w:color w:val="auto"/>
              </w:rPr>
              <w:t>土石方，属于一般固废。</w:t>
            </w:r>
            <w:r>
              <w:rPr>
                <w:color w:val="auto"/>
              </w:rPr>
              <w:t>对</w:t>
            </w:r>
            <w:r>
              <w:rPr>
                <w:rFonts w:hint="eastAsia"/>
                <w:color w:val="auto"/>
                <w:lang w:val="en-US" w:eastAsia="zh-CN"/>
              </w:rPr>
              <w:t>挖出的土石方进行集中堆放，并使用彩条布苫盖，定期洒水，待槽探结束后立即回填</w:t>
            </w:r>
            <w:r>
              <w:rPr>
                <w:rFonts w:hint="eastAsia"/>
                <w:color w:val="auto"/>
              </w:rPr>
              <w:t>。勘探期内严禁将开挖土石方堆放在山间冲沟内，阻塞冲沟，确保冲沟的通畅性。开挖的土石方在勘探期结束后全部回填至开挖迹地，开挖临时堆土的环境影响较小</w:t>
            </w:r>
            <w:r>
              <w:rPr>
                <w:rFonts w:hint="eastAsia"/>
                <w:color w:val="auto"/>
                <w:highlight w:val="none"/>
              </w:rPr>
              <w:t>。</w:t>
            </w:r>
          </w:p>
          <w:p w14:paraId="79780476">
            <w:pPr>
              <w:pStyle w:val="46"/>
              <w:keepNext w:val="0"/>
              <w:keepLines w:val="0"/>
              <w:pageBreakBefore w:val="0"/>
              <w:widowControl w:val="0"/>
              <w:kinsoku/>
              <w:overflowPunct/>
              <w:topLinePunct w:val="0"/>
              <w:autoSpaceDE/>
              <w:autoSpaceDN/>
              <w:bidi w:val="0"/>
              <w:adjustRightInd w:val="0"/>
              <w:snapToGrid w:val="0"/>
              <w:textAlignment w:val="auto"/>
              <w:rPr>
                <w:rFonts w:hint="default"/>
                <w:color w:val="auto"/>
                <w:highlight w:val="none"/>
                <w:lang w:val="en-US"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lang w:val="en-US" w:eastAsia="zh-CN"/>
              </w:rPr>
              <w:t>钻井岩芯和泥浆</w:t>
            </w:r>
          </w:p>
          <w:p w14:paraId="61EBBE4C">
            <w:pPr>
              <w:pageBreakBefore w:val="0"/>
              <w:kinsoku/>
              <w:wordWrap/>
              <w:overflowPunct/>
              <w:topLinePunct w:val="0"/>
              <w:autoSpaceDE/>
              <w:autoSpaceDN/>
              <w:bidi w:val="0"/>
              <w:adjustRightInd/>
              <w:snapToGrid/>
              <w:spacing w:line="520" w:lineRule="exact"/>
              <w:ind w:firstLine="480" w:firstLineChars="200"/>
              <w:textAlignment w:val="auto"/>
              <w:rPr>
                <w:rFonts w:hint="default" w:eastAsia="宋体"/>
                <w:color w:val="auto"/>
                <w:sz w:val="24"/>
                <w:highlight w:val="none"/>
                <w:lang w:val="en-US" w:eastAsia="zh-CN"/>
              </w:rPr>
            </w:pPr>
            <w:r>
              <w:rPr>
                <w:rFonts w:hint="eastAsia"/>
                <w:color w:val="auto"/>
                <w:sz w:val="24"/>
                <w:highlight w:val="none"/>
              </w:rPr>
              <w:t>根据地质勘探队多年的工作经验，软质岩层每30</w:t>
            </w:r>
            <w:r>
              <w:rPr>
                <w:rFonts w:hint="eastAsia"/>
                <w:color w:val="auto"/>
                <w:sz w:val="24"/>
                <w:highlight w:val="none"/>
                <w:lang w:eastAsia="zh-CN"/>
              </w:rPr>
              <w:t>—</w:t>
            </w:r>
            <w:r>
              <w:rPr>
                <w:rFonts w:hint="eastAsia"/>
                <w:color w:val="auto"/>
                <w:sz w:val="24"/>
                <w:highlight w:val="none"/>
              </w:rPr>
              <w:t>40m</w:t>
            </w:r>
            <w:r>
              <w:rPr>
                <w:rFonts w:hint="eastAsia"/>
                <w:color w:val="auto"/>
                <w:sz w:val="24"/>
                <w:highlight w:val="none"/>
                <w:lang w:eastAsia="zh-CN"/>
              </w:rPr>
              <w:t>进行一次拔芯</w:t>
            </w:r>
            <w:r>
              <w:rPr>
                <w:rFonts w:hint="eastAsia"/>
                <w:color w:val="auto"/>
                <w:sz w:val="24"/>
                <w:highlight w:val="none"/>
              </w:rPr>
              <w:t>，硬质岩层每100m</w:t>
            </w:r>
            <w:r>
              <w:rPr>
                <w:rFonts w:hint="eastAsia"/>
                <w:color w:val="auto"/>
                <w:sz w:val="24"/>
                <w:highlight w:val="none"/>
                <w:lang w:eastAsia="zh-CN"/>
              </w:rPr>
              <w:t>进行一次拔芯</w:t>
            </w:r>
            <w:r>
              <w:rPr>
                <w:rFonts w:hint="eastAsia"/>
                <w:color w:val="auto"/>
                <w:sz w:val="24"/>
                <w:highlight w:val="none"/>
              </w:rPr>
              <w:t>，本环评按照平均钻井50m</w:t>
            </w:r>
            <w:r>
              <w:rPr>
                <w:rFonts w:hint="eastAsia"/>
                <w:color w:val="auto"/>
                <w:sz w:val="24"/>
                <w:highlight w:val="none"/>
                <w:lang w:eastAsia="zh-CN"/>
              </w:rPr>
              <w:t>进行一次拔芯</w:t>
            </w:r>
            <w:r>
              <w:rPr>
                <w:rFonts w:hint="eastAsia"/>
                <w:color w:val="auto"/>
                <w:sz w:val="24"/>
                <w:highlight w:val="none"/>
              </w:rPr>
              <w:t>，</w:t>
            </w:r>
            <w:r>
              <w:rPr>
                <w:rFonts w:hint="eastAsia"/>
                <w:color w:val="auto"/>
                <w:sz w:val="24"/>
                <w:highlight w:val="none"/>
                <w:lang w:eastAsia="zh-CN"/>
              </w:rPr>
              <w:t>单次拔芯约</w:t>
            </w:r>
            <w:r>
              <w:rPr>
                <w:rFonts w:hint="eastAsia"/>
                <w:color w:val="auto"/>
                <w:sz w:val="24"/>
                <w:highlight w:val="none"/>
                <w:lang w:val="en-US" w:eastAsia="zh-CN"/>
              </w:rPr>
              <w:t>20cm</w:t>
            </w:r>
            <w:r>
              <w:rPr>
                <w:rFonts w:hint="eastAsia"/>
                <w:color w:val="auto"/>
                <w:sz w:val="24"/>
                <w:highlight w:val="none"/>
              </w:rPr>
              <w:t>。</w:t>
            </w:r>
            <w:r>
              <w:rPr>
                <w:rFonts w:hint="eastAsia"/>
                <w:color w:val="auto"/>
                <w:sz w:val="24"/>
                <w:highlight w:val="none"/>
                <w:lang w:eastAsia="zh-CN"/>
              </w:rPr>
              <w:t>钻井岩芯</w:t>
            </w:r>
            <w:r>
              <w:rPr>
                <w:rFonts w:hint="eastAsia"/>
                <w:color w:val="auto"/>
                <w:sz w:val="24"/>
                <w:highlight w:val="none"/>
              </w:rPr>
              <w:t>由地质勘探队统一收集，最终交至单位</w:t>
            </w:r>
            <w:r>
              <w:rPr>
                <w:rFonts w:hint="eastAsia"/>
                <w:color w:val="auto"/>
                <w:sz w:val="24"/>
                <w:highlight w:val="none"/>
                <w:lang w:eastAsia="zh-CN"/>
              </w:rPr>
              <w:t>岩芯</w:t>
            </w:r>
            <w:r>
              <w:rPr>
                <w:rFonts w:hint="eastAsia"/>
                <w:color w:val="auto"/>
                <w:sz w:val="24"/>
                <w:highlight w:val="none"/>
              </w:rPr>
              <w:t>库统一保管，不能随意丢弃。</w:t>
            </w:r>
          </w:p>
          <w:p w14:paraId="2E194025">
            <w:pPr>
              <w:spacing w:line="520" w:lineRule="exact"/>
              <w:ind w:firstLine="480" w:firstLineChars="200"/>
              <w:rPr>
                <w:color w:val="auto"/>
              </w:rPr>
            </w:pPr>
            <w:r>
              <w:rPr>
                <w:rFonts w:hint="eastAsia"/>
                <w:color w:val="auto"/>
                <w:sz w:val="24"/>
                <w:highlight w:val="none"/>
                <w:lang w:val="en-US" w:eastAsia="zh-CN"/>
              </w:rPr>
              <w:t>本项目废弃钻井泥浆产生量约为9.6m</w:t>
            </w:r>
            <w:r>
              <w:rPr>
                <w:rFonts w:hint="eastAsia"/>
                <w:color w:val="auto"/>
                <w:sz w:val="24"/>
                <w:highlight w:val="none"/>
                <w:vertAlign w:val="superscript"/>
                <w:lang w:val="en-US" w:eastAsia="zh-CN"/>
              </w:rPr>
              <w:t>3</w:t>
            </w:r>
            <w:r>
              <w:rPr>
                <w:rFonts w:hint="eastAsia"/>
                <w:color w:val="auto"/>
                <w:sz w:val="24"/>
                <w:highlight w:val="none"/>
                <w:vertAlign w:val="baseline"/>
                <w:lang w:val="en-US" w:eastAsia="zh-CN"/>
              </w:rPr>
              <w:t>，项目使用的泥浆</w:t>
            </w:r>
            <w:r>
              <w:rPr>
                <w:rFonts w:hint="eastAsia"/>
                <w:color w:val="auto"/>
                <w:sz w:val="24"/>
                <w:highlight w:val="none"/>
                <w:lang w:val="en-US" w:eastAsia="zh-CN"/>
              </w:rPr>
              <w:t>为水基钻井泥浆，以粘土、水作为基础配浆材料，本项目采用的水基泥浆钻</w:t>
            </w:r>
            <w:r>
              <w:rPr>
                <w:rFonts w:hint="eastAsia"/>
                <w:color w:val="auto"/>
                <w:sz w:val="24"/>
                <w:lang w:val="en-US" w:eastAsia="zh-CN"/>
              </w:rPr>
              <w:t>井泥浆属无毒无害物质，呈碱性。不含易燃、易爆、有毒物质，循环使用，待工程结束后</w:t>
            </w:r>
            <w:r>
              <w:rPr>
                <w:rFonts w:hint="eastAsia"/>
                <w:color w:val="auto"/>
                <w:sz w:val="24"/>
              </w:rPr>
              <w:t>，</w:t>
            </w:r>
            <w:r>
              <w:rPr>
                <w:rFonts w:hint="eastAsia"/>
                <w:color w:val="auto"/>
                <w:sz w:val="24"/>
                <w:lang w:val="en-US" w:eastAsia="zh-CN"/>
              </w:rPr>
              <w:t>固化填埋。</w:t>
            </w:r>
          </w:p>
          <w:p w14:paraId="2F260BAD">
            <w:pPr>
              <w:pStyle w:val="46"/>
              <w:keepNext w:val="0"/>
              <w:keepLines w:val="0"/>
              <w:pageBreakBefore w:val="0"/>
              <w:widowControl w:val="0"/>
              <w:numPr>
                <w:ilvl w:val="0"/>
                <w:numId w:val="0"/>
              </w:numPr>
              <w:kinsoku/>
              <w:overflowPunct/>
              <w:topLinePunct w:val="0"/>
              <w:autoSpaceDE/>
              <w:autoSpaceDN/>
              <w:bidi w:val="0"/>
              <w:adjustRightInd w:val="0"/>
              <w:snapToGrid w:val="0"/>
              <w:ind w:left="0" w:leftChars="0" w:firstLine="480" w:firstLineChars="200"/>
              <w:textAlignment w:val="auto"/>
              <w:rPr>
                <w:rFonts w:hint="eastAsia"/>
                <w:color w:val="auto"/>
                <w:highlight w:val="green"/>
                <w:lang w:val="en-US" w:eastAsia="zh-CN"/>
              </w:rPr>
            </w:pPr>
            <w:r>
              <w:rPr>
                <w:rFonts w:hint="eastAsia" w:ascii="Times New Roman" w:hAnsi="Times New Roman" w:eastAsia="宋体" w:cs="宋体"/>
                <w:color w:val="auto"/>
                <w:kern w:val="0"/>
                <w:sz w:val="24"/>
                <w:szCs w:val="24"/>
                <w:lang w:val="en-US" w:eastAsia="zh-CN" w:bidi="ar-SA"/>
              </w:rPr>
              <w:t>（</w:t>
            </w:r>
            <w:r>
              <w:rPr>
                <w:rFonts w:hint="eastAsia" w:cs="宋体"/>
                <w:color w:val="auto"/>
                <w:kern w:val="0"/>
                <w:sz w:val="24"/>
                <w:szCs w:val="24"/>
                <w:lang w:val="en-US" w:eastAsia="zh-CN" w:bidi="ar-SA"/>
              </w:rPr>
              <w:t>3</w:t>
            </w:r>
            <w:r>
              <w:rPr>
                <w:rFonts w:hint="eastAsia" w:ascii="Times New Roman" w:hAnsi="Times New Roman" w:eastAsia="宋体" w:cs="宋体"/>
                <w:color w:val="auto"/>
                <w:kern w:val="0"/>
                <w:sz w:val="24"/>
                <w:szCs w:val="24"/>
                <w:lang w:val="en-US" w:eastAsia="zh-CN" w:bidi="ar-SA"/>
              </w:rPr>
              <w:t>）</w:t>
            </w:r>
            <w:r>
              <w:rPr>
                <w:rFonts w:hint="eastAsia"/>
                <w:color w:val="auto"/>
                <w:lang w:val="en-US" w:eastAsia="zh-CN"/>
              </w:rPr>
              <w:t>生活垃圾</w:t>
            </w:r>
          </w:p>
          <w:p w14:paraId="06A5D4F4">
            <w:pPr>
              <w:pStyle w:val="46"/>
              <w:keepNext w:val="0"/>
              <w:keepLines w:val="0"/>
              <w:pageBreakBefore w:val="0"/>
              <w:widowControl w:val="0"/>
              <w:kinsoku/>
              <w:overflowPunct/>
              <w:topLinePunct w:val="0"/>
              <w:autoSpaceDE/>
              <w:autoSpaceDN/>
              <w:bidi w:val="0"/>
              <w:adjustRightInd w:val="0"/>
              <w:snapToGrid w:val="0"/>
              <w:textAlignment w:val="auto"/>
              <w:rPr>
                <w:rFonts w:hint="eastAsia"/>
                <w:b w:val="0"/>
                <w:bCs w:val="0"/>
                <w:color w:val="auto"/>
                <w:highlight w:val="none"/>
                <w:shd w:val="clear" w:color="auto" w:fill="auto"/>
                <w:lang w:eastAsia="zh-CN"/>
              </w:rPr>
            </w:pPr>
            <w:r>
              <w:rPr>
                <w:rFonts w:hint="default"/>
                <w:color w:val="auto"/>
                <w:highlight w:val="none"/>
                <w:lang w:val="en-US" w:eastAsia="zh-CN"/>
              </w:rPr>
              <w:t>本项目</w:t>
            </w:r>
            <w:r>
              <w:rPr>
                <w:rFonts w:hint="eastAsia"/>
                <w:color w:val="auto"/>
                <w:highlight w:val="none"/>
                <w:lang w:val="en-US" w:eastAsia="zh-CN"/>
              </w:rPr>
              <w:t>勘探</w:t>
            </w:r>
            <w:r>
              <w:rPr>
                <w:rFonts w:hint="default"/>
                <w:color w:val="auto"/>
                <w:highlight w:val="none"/>
                <w:lang w:val="en-US" w:eastAsia="zh-CN"/>
              </w:rPr>
              <w:t>期间施工人员生活垃圾产生总量约为</w:t>
            </w:r>
            <w:r>
              <w:rPr>
                <w:rFonts w:hint="eastAsia"/>
                <w:color w:val="auto"/>
                <w:highlight w:val="none"/>
                <w:lang w:val="en-US" w:eastAsia="zh-CN"/>
              </w:rPr>
              <w:t>0.9</w:t>
            </w:r>
            <w:r>
              <w:rPr>
                <w:rFonts w:hint="default"/>
                <w:color w:val="auto"/>
                <w:highlight w:val="none"/>
                <w:lang w:val="en-US" w:eastAsia="zh-CN"/>
              </w:rPr>
              <w:t>t。施工营地内设置一定数量的垃圾桶，用于临时存放生活垃圾，最</w:t>
            </w:r>
            <w:r>
              <w:rPr>
                <w:rFonts w:hint="default"/>
                <w:b w:val="0"/>
                <w:bCs w:val="0"/>
                <w:color w:val="auto"/>
                <w:highlight w:val="none"/>
                <w:lang w:val="en-US" w:eastAsia="zh-CN"/>
              </w:rPr>
              <w:t>终统一收集后</w:t>
            </w:r>
            <w:r>
              <w:rPr>
                <w:rFonts w:hint="eastAsia"/>
                <w:b w:val="0"/>
                <w:bCs w:val="0"/>
                <w:color w:val="auto"/>
                <w:highlight w:val="none"/>
                <w:shd w:val="clear" w:color="auto" w:fill="auto"/>
                <w:lang w:val="en-US" w:eastAsia="zh-CN"/>
              </w:rPr>
              <w:t>交由环卫部门处置</w:t>
            </w:r>
            <w:r>
              <w:rPr>
                <w:rFonts w:hint="eastAsia"/>
                <w:b w:val="0"/>
                <w:bCs w:val="0"/>
                <w:color w:val="auto"/>
                <w:highlight w:val="none"/>
                <w:shd w:val="clear" w:color="auto" w:fill="auto"/>
                <w:lang w:eastAsia="zh-CN"/>
              </w:rPr>
              <w:t>。</w:t>
            </w:r>
          </w:p>
          <w:p w14:paraId="6D372D02">
            <w:pPr>
              <w:pStyle w:val="45"/>
              <w:keepNext w:val="0"/>
              <w:keepLines w:val="0"/>
              <w:pageBreakBefore w:val="0"/>
              <w:widowControl w:val="0"/>
              <w:kinsoku/>
              <w:wordWrap/>
              <w:overflowPunct/>
              <w:topLinePunct w:val="0"/>
              <w:autoSpaceDE/>
              <w:autoSpaceDN/>
              <w:bidi w:val="0"/>
              <w:adjustRightInd w:val="0"/>
              <w:snapToGrid w:val="0"/>
              <w:ind w:firstLine="480" w:firstLineChars="200"/>
              <w:textAlignment w:val="auto"/>
              <w:rPr>
                <w:b w:val="0"/>
                <w:bCs w:val="0"/>
                <w:color w:val="auto"/>
              </w:rPr>
            </w:pPr>
            <w:r>
              <w:rPr>
                <w:b w:val="0"/>
                <w:bCs w:val="0"/>
                <w:color w:val="auto"/>
              </w:rPr>
              <w:t>采取以上防治措施后，探矿工作产生的固体废物对环境影响较小。</w:t>
            </w:r>
          </w:p>
          <w:p w14:paraId="7D34F8E6">
            <w:pPr>
              <w:pStyle w:val="45"/>
              <w:keepNext w:val="0"/>
              <w:keepLines w:val="0"/>
              <w:pageBreakBefore w:val="0"/>
              <w:widowControl w:val="0"/>
              <w:kinsoku/>
              <w:overflowPunct/>
              <w:topLinePunct w:val="0"/>
              <w:autoSpaceDE/>
              <w:autoSpaceDN/>
              <w:bidi w:val="0"/>
              <w:adjustRightInd w:val="0"/>
              <w:snapToGrid w:val="0"/>
              <w:textAlignment w:val="auto"/>
              <w:rPr>
                <w:color w:val="auto"/>
              </w:rPr>
            </w:pPr>
            <w:r>
              <w:rPr>
                <w:rFonts w:hint="eastAsia"/>
                <w:color w:val="auto"/>
                <w:lang w:val="en-US" w:eastAsia="zh-CN"/>
              </w:rPr>
              <w:t>7</w:t>
            </w:r>
            <w:r>
              <w:rPr>
                <w:rFonts w:hint="eastAsia"/>
                <w:color w:val="auto"/>
              </w:rPr>
              <w:t>环境风险分析</w:t>
            </w:r>
          </w:p>
          <w:p w14:paraId="227AC98D">
            <w:pPr>
              <w:pStyle w:val="45"/>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hint="eastAsia"/>
                <w:color w:val="auto"/>
              </w:rPr>
            </w:pPr>
            <w:r>
              <w:rPr>
                <w:rFonts w:hint="eastAsia"/>
                <w:color w:val="auto"/>
                <w:lang w:val="en-US" w:eastAsia="zh-CN"/>
              </w:rPr>
              <w:t>7.1</w:t>
            </w:r>
            <w:r>
              <w:rPr>
                <w:rFonts w:hint="eastAsia"/>
                <w:color w:val="auto"/>
              </w:rPr>
              <w:t>风险识别</w:t>
            </w:r>
          </w:p>
          <w:p w14:paraId="39B0327A">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color w:val="auto"/>
                <w:kern w:val="0"/>
                <w:sz w:val="24"/>
                <w:szCs w:val="24"/>
              </w:rPr>
            </w:pPr>
            <w:r>
              <w:rPr>
                <w:rStyle w:val="59"/>
                <w:rFonts w:hint="eastAsia"/>
                <w:color w:val="auto"/>
              </w:rPr>
              <w:t>环境风险是指突发性事故造成的重大环境污染的事件，其特点是危害大、影响范围广、发生概率具有很大的不确定性。环境风险评价的目的是分析和预测项目存在的潜在危险、有害因素，项目建设和运行期间可能发生的突发性事件或事故（一般不包括人为破坏及自然灾害），引起有毒有害和易燃易爆等物质泄漏，针对所造成的人身安全环境影响及其损害程度，提出合理可行的防范、应急与减缓措施，以使建设项目事故率、损失和环境影响达到可接受水平</w:t>
            </w:r>
            <w:r>
              <w:rPr>
                <w:rFonts w:hint="eastAsia"/>
                <w:color w:val="auto"/>
                <w:kern w:val="0"/>
                <w:sz w:val="24"/>
                <w:szCs w:val="24"/>
              </w:rPr>
              <w:t>。</w:t>
            </w:r>
          </w:p>
          <w:p w14:paraId="5BA47FC9">
            <w:pPr>
              <w:pStyle w:val="46"/>
              <w:keepNext w:val="0"/>
              <w:keepLines w:val="0"/>
              <w:pageBreakBefore w:val="0"/>
              <w:widowControl w:val="0"/>
              <w:kinsoku/>
              <w:overflowPunct/>
              <w:topLinePunct w:val="0"/>
              <w:autoSpaceDE/>
              <w:autoSpaceDN/>
              <w:bidi w:val="0"/>
              <w:adjustRightInd w:val="0"/>
              <w:snapToGrid w:val="0"/>
              <w:spacing w:line="520" w:lineRule="exact"/>
              <w:textAlignment w:val="auto"/>
              <w:rPr>
                <w:rFonts w:hint="default"/>
                <w:color w:val="auto"/>
                <w:lang w:val="en-US" w:eastAsia="zh-CN"/>
              </w:rPr>
            </w:pPr>
            <w:r>
              <w:rPr>
                <w:rFonts w:hint="default"/>
                <w:color w:val="auto"/>
                <w:lang w:val="en-US" w:eastAsia="zh-CN"/>
              </w:rPr>
              <w:t>本项目槽探严格遵循“随挖随存、即采即填”的原则，产生的土石方临时放置于探坑一侧空地上，采样工作完成后立即回填，堆高不超过2m，存放时间短，且单次开挖量较小，基本不存在垮塌风险。</w:t>
            </w:r>
          </w:p>
          <w:p w14:paraId="19D15865">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Times New Roman" w:hAnsi="Times New Roman" w:eastAsia="宋体" w:cs="Times New Roman"/>
                <w:bCs/>
                <w:color w:val="auto"/>
                <w:kern w:val="0"/>
                <w:sz w:val="24"/>
                <w:szCs w:val="24"/>
                <w:lang w:eastAsia="zh-CN"/>
              </w:rPr>
            </w:pPr>
            <w:r>
              <w:rPr>
                <w:rFonts w:hint="eastAsia" w:ascii="Times New Roman" w:hAnsi="Times New Roman" w:eastAsia="宋体" w:cs="Times New Roman"/>
                <w:bCs/>
                <w:color w:val="auto"/>
                <w:kern w:val="0"/>
                <w:sz w:val="24"/>
                <w:szCs w:val="24"/>
              </w:rPr>
              <w:t>项目区设</w:t>
            </w:r>
            <w:r>
              <w:rPr>
                <w:rFonts w:hint="eastAsia" w:ascii="Times New Roman" w:hAnsi="Times New Roman" w:eastAsia="宋体" w:cs="Times New Roman"/>
                <w:bCs/>
                <w:color w:val="auto"/>
                <w:kern w:val="0"/>
                <w:sz w:val="24"/>
                <w:szCs w:val="24"/>
                <w:lang w:val="en-US" w:eastAsia="zh-CN"/>
              </w:rPr>
              <w:t>有</w:t>
            </w:r>
            <w:r>
              <w:rPr>
                <w:rFonts w:hint="eastAsia" w:ascii="Times New Roman" w:hAnsi="Times New Roman" w:eastAsia="宋体" w:cs="Times New Roman"/>
                <w:bCs/>
                <w:color w:val="auto"/>
                <w:kern w:val="0"/>
                <w:sz w:val="24"/>
                <w:szCs w:val="24"/>
              </w:rPr>
              <w:t>柴油存放区，</w:t>
            </w:r>
            <w:r>
              <w:rPr>
                <w:rFonts w:hint="eastAsia" w:ascii="Times New Roman" w:hAnsi="Times New Roman" w:eastAsia="宋体" w:cs="Times New Roman"/>
                <w:bCs/>
                <w:color w:val="auto"/>
                <w:kern w:val="0"/>
                <w:sz w:val="24"/>
                <w:szCs w:val="24"/>
                <w:lang w:val="en-US" w:eastAsia="zh-CN"/>
              </w:rPr>
              <w:t>柴油属于风险物质，</w:t>
            </w:r>
            <w:r>
              <w:rPr>
                <w:rFonts w:hint="eastAsia" w:ascii="Times New Roman" w:hAnsi="Times New Roman" w:eastAsia="宋体" w:cs="Times New Roman"/>
                <w:bCs/>
                <w:color w:val="auto"/>
                <w:kern w:val="0"/>
                <w:sz w:val="24"/>
                <w:szCs w:val="24"/>
                <w:lang w:eastAsia="zh-CN"/>
              </w:rPr>
              <w:t>危险物质及分布情况见</w:t>
            </w:r>
            <w:r>
              <w:rPr>
                <w:rFonts w:hint="eastAsia" w:ascii="Times New Roman" w:hAnsi="Times New Roman" w:eastAsia="宋体" w:cs="Times New Roman"/>
                <w:bCs/>
                <w:color w:val="auto"/>
                <w:kern w:val="0"/>
                <w:sz w:val="24"/>
                <w:szCs w:val="24"/>
                <w:lang w:val="en-US" w:eastAsia="zh-CN"/>
              </w:rPr>
              <w:t>下</w:t>
            </w:r>
            <w:r>
              <w:rPr>
                <w:rFonts w:hint="eastAsia" w:ascii="Times New Roman" w:hAnsi="Times New Roman" w:eastAsia="宋体" w:cs="Times New Roman"/>
                <w:bCs/>
                <w:color w:val="auto"/>
                <w:kern w:val="0"/>
                <w:sz w:val="24"/>
                <w:szCs w:val="24"/>
                <w:lang w:eastAsia="zh-CN"/>
              </w:rPr>
              <w:t>表。</w:t>
            </w:r>
          </w:p>
          <w:p w14:paraId="571350F4">
            <w:pPr>
              <w:pStyle w:val="47"/>
              <w:keepNext w:val="0"/>
              <w:keepLines w:val="0"/>
              <w:pageBreakBefore w:val="0"/>
              <w:widowControl w:val="0"/>
              <w:kinsoku/>
              <w:overflowPunct/>
              <w:topLinePunct w:val="0"/>
              <w:autoSpaceDE/>
              <w:autoSpaceDN/>
              <w:bidi w:val="0"/>
              <w:adjustRightInd w:val="0"/>
              <w:snapToGrid w:val="0"/>
              <w:spacing w:line="520" w:lineRule="exact"/>
              <w:textAlignment w:val="auto"/>
              <w:rPr>
                <w:rFonts w:hint="eastAsia"/>
                <w:color w:val="auto"/>
                <w:sz w:val="24"/>
                <w:szCs w:val="24"/>
                <w:lang w:val="en-US" w:eastAsia="zh-CN"/>
              </w:rPr>
            </w:pPr>
            <w:r>
              <w:rPr>
                <w:rFonts w:hint="eastAsia"/>
                <w:color w:val="auto"/>
                <w:sz w:val="24"/>
                <w:szCs w:val="24"/>
                <w:lang w:val="en-US" w:eastAsia="zh-CN"/>
              </w:rPr>
              <w:t>表5-2    危险物质及分布情况</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2041"/>
              <w:gridCol w:w="1326"/>
              <w:gridCol w:w="1262"/>
              <w:gridCol w:w="1486"/>
            </w:tblGrid>
            <w:tr w14:paraId="7D1EA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24" w:type="pct"/>
                  <w:noWrap w:val="0"/>
                  <w:vAlign w:val="center"/>
                </w:tcPr>
                <w:p w14:paraId="4FB89412">
                  <w:pPr>
                    <w:pStyle w:val="43"/>
                    <w:keepNext w:val="0"/>
                    <w:keepLines w:val="0"/>
                    <w:pageBreakBefore w:val="0"/>
                    <w:widowControl w:val="0"/>
                    <w:kinsoku/>
                    <w:overflowPunct/>
                    <w:topLinePunct w:val="0"/>
                    <w:autoSpaceDE/>
                    <w:autoSpaceDN/>
                    <w:bidi w:val="0"/>
                    <w:adjustRightInd w:val="0"/>
                    <w:snapToGrid w:val="0"/>
                    <w:textAlignment w:val="auto"/>
                    <w:rPr>
                      <w:rFonts w:hint="eastAsia"/>
                      <w:color w:val="auto"/>
                      <w:lang w:val="en-US" w:eastAsia="zh-CN"/>
                    </w:rPr>
                  </w:pPr>
                  <w:r>
                    <w:rPr>
                      <w:rFonts w:hint="eastAsia"/>
                      <w:color w:val="auto"/>
                      <w:lang w:val="en-US" w:eastAsia="zh-CN"/>
                    </w:rPr>
                    <w:t>危险物质</w:t>
                  </w:r>
                </w:p>
              </w:tc>
              <w:tc>
                <w:tcPr>
                  <w:tcW w:w="1326" w:type="pct"/>
                  <w:noWrap w:val="0"/>
                  <w:vAlign w:val="center"/>
                </w:tcPr>
                <w:p w14:paraId="11D73C54">
                  <w:pPr>
                    <w:pStyle w:val="43"/>
                    <w:keepNext w:val="0"/>
                    <w:keepLines w:val="0"/>
                    <w:pageBreakBefore w:val="0"/>
                    <w:widowControl w:val="0"/>
                    <w:kinsoku/>
                    <w:overflowPunct/>
                    <w:topLinePunct w:val="0"/>
                    <w:autoSpaceDE/>
                    <w:autoSpaceDN/>
                    <w:bidi w:val="0"/>
                    <w:adjustRightInd w:val="0"/>
                    <w:snapToGrid w:val="0"/>
                    <w:textAlignment w:val="auto"/>
                    <w:rPr>
                      <w:rFonts w:hint="eastAsia"/>
                      <w:color w:val="auto"/>
                      <w:lang w:val="en-US" w:eastAsia="zh-CN"/>
                    </w:rPr>
                  </w:pPr>
                  <w:r>
                    <w:rPr>
                      <w:rFonts w:hint="eastAsia"/>
                      <w:color w:val="auto"/>
                      <w:lang w:val="en-US" w:eastAsia="zh-CN"/>
                    </w:rPr>
                    <w:t>最大储存量（t/a）</w:t>
                  </w:r>
                </w:p>
              </w:tc>
              <w:tc>
                <w:tcPr>
                  <w:tcW w:w="862" w:type="pct"/>
                  <w:noWrap w:val="0"/>
                  <w:vAlign w:val="center"/>
                </w:tcPr>
                <w:p w14:paraId="08E722A9">
                  <w:pPr>
                    <w:pStyle w:val="43"/>
                    <w:keepNext w:val="0"/>
                    <w:keepLines w:val="0"/>
                    <w:pageBreakBefore w:val="0"/>
                    <w:widowControl w:val="0"/>
                    <w:kinsoku/>
                    <w:overflowPunct/>
                    <w:topLinePunct w:val="0"/>
                    <w:autoSpaceDE/>
                    <w:autoSpaceDN/>
                    <w:bidi w:val="0"/>
                    <w:adjustRightInd w:val="0"/>
                    <w:snapToGrid w:val="0"/>
                    <w:textAlignment w:val="auto"/>
                    <w:rPr>
                      <w:rFonts w:hint="eastAsia"/>
                      <w:color w:val="auto"/>
                      <w:lang w:val="en-US" w:eastAsia="zh-CN"/>
                    </w:rPr>
                  </w:pPr>
                  <w:r>
                    <w:rPr>
                      <w:rFonts w:hint="eastAsia"/>
                      <w:color w:val="auto"/>
                      <w:lang w:val="en-US" w:eastAsia="zh-CN"/>
                    </w:rPr>
                    <w:t>储存方式</w:t>
                  </w:r>
                </w:p>
              </w:tc>
              <w:tc>
                <w:tcPr>
                  <w:tcW w:w="820" w:type="pct"/>
                  <w:noWrap w:val="0"/>
                  <w:vAlign w:val="center"/>
                </w:tcPr>
                <w:p w14:paraId="07F6733D">
                  <w:pPr>
                    <w:pStyle w:val="43"/>
                    <w:keepNext w:val="0"/>
                    <w:keepLines w:val="0"/>
                    <w:pageBreakBefore w:val="0"/>
                    <w:widowControl w:val="0"/>
                    <w:kinsoku/>
                    <w:overflowPunct/>
                    <w:topLinePunct w:val="0"/>
                    <w:autoSpaceDE/>
                    <w:autoSpaceDN/>
                    <w:bidi w:val="0"/>
                    <w:adjustRightInd w:val="0"/>
                    <w:snapToGrid w:val="0"/>
                    <w:textAlignment w:val="auto"/>
                    <w:rPr>
                      <w:rFonts w:hint="eastAsia"/>
                      <w:color w:val="auto"/>
                      <w:lang w:val="en-US" w:eastAsia="zh-CN"/>
                    </w:rPr>
                  </w:pPr>
                  <w:r>
                    <w:rPr>
                      <w:rFonts w:hint="eastAsia"/>
                      <w:color w:val="auto"/>
                      <w:lang w:val="en-US" w:eastAsia="zh-CN"/>
                    </w:rPr>
                    <w:t>临界量（t）</w:t>
                  </w:r>
                </w:p>
              </w:tc>
              <w:tc>
                <w:tcPr>
                  <w:tcW w:w="966" w:type="pct"/>
                  <w:noWrap w:val="0"/>
                  <w:vAlign w:val="center"/>
                </w:tcPr>
                <w:p w14:paraId="475DA1D8">
                  <w:pPr>
                    <w:pStyle w:val="43"/>
                    <w:keepNext w:val="0"/>
                    <w:keepLines w:val="0"/>
                    <w:pageBreakBefore w:val="0"/>
                    <w:widowControl w:val="0"/>
                    <w:kinsoku/>
                    <w:overflowPunct/>
                    <w:topLinePunct w:val="0"/>
                    <w:autoSpaceDE/>
                    <w:autoSpaceDN/>
                    <w:bidi w:val="0"/>
                    <w:adjustRightInd w:val="0"/>
                    <w:snapToGrid w:val="0"/>
                    <w:textAlignment w:val="auto"/>
                    <w:rPr>
                      <w:rFonts w:hint="eastAsia"/>
                      <w:color w:val="auto"/>
                      <w:lang w:val="en-US" w:eastAsia="zh-CN"/>
                    </w:rPr>
                  </w:pPr>
                  <w:r>
                    <w:rPr>
                      <w:rFonts w:hint="eastAsia"/>
                      <w:color w:val="auto"/>
                      <w:lang w:val="en-US" w:eastAsia="zh-CN"/>
                    </w:rPr>
                    <w:t>Q</w:t>
                  </w:r>
                </w:p>
              </w:tc>
            </w:tr>
            <w:tr w14:paraId="1D2DF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4" w:type="pct"/>
                  <w:noWrap w:val="0"/>
                  <w:vAlign w:val="center"/>
                </w:tcPr>
                <w:p w14:paraId="1964C93C">
                  <w:pPr>
                    <w:pStyle w:val="43"/>
                    <w:keepNext w:val="0"/>
                    <w:keepLines w:val="0"/>
                    <w:pageBreakBefore w:val="0"/>
                    <w:widowControl w:val="0"/>
                    <w:kinsoku/>
                    <w:overflowPunct/>
                    <w:topLinePunct w:val="0"/>
                    <w:autoSpaceDE/>
                    <w:autoSpaceDN/>
                    <w:bidi w:val="0"/>
                    <w:adjustRightInd w:val="0"/>
                    <w:snapToGrid w:val="0"/>
                    <w:textAlignment w:val="auto"/>
                    <w:rPr>
                      <w:rFonts w:hint="eastAsia"/>
                      <w:color w:val="auto"/>
                      <w:lang w:val="en-US" w:eastAsia="zh-CN"/>
                    </w:rPr>
                  </w:pPr>
                  <w:r>
                    <w:rPr>
                      <w:rFonts w:hint="eastAsia"/>
                      <w:color w:val="auto"/>
                      <w:lang w:val="en-US" w:eastAsia="zh-CN"/>
                    </w:rPr>
                    <w:t>柴油</w:t>
                  </w:r>
                </w:p>
              </w:tc>
              <w:tc>
                <w:tcPr>
                  <w:tcW w:w="1326" w:type="pct"/>
                  <w:noWrap w:val="0"/>
                  <w:vAlign w:val="center"/>
                </w:tcPr>
                <w:p w14:paraId="213CB0B6">
                  <w:pPr>
                    <w:pStyle w:val="43"/>
                    <w:keepNext w:val="0"/>
                    <w:keepLines w:val="0"/>
                    <w:pageBreakBefore w:val="0"/>
                    <w:widowControl w:val="0"/>
                    <w:kinsoku/>
                    <w:overflowPunct/>
                    <w:topLinePunct w:val="0"/>
                    <w:autoSpaceDE/>
                    <w:autoSpaceDN/>
                    <w:bidi w:val="0"/>
                    <w:adjustRightInd w:val="0"/>
                    <w:snapToGrid w:val="0"/>
                    <w:textAlignment w:val="auto"/>
                    <w:rPr>
                      <w:rFonts w:hint="eastAsia"/>
                      <w:color w:val="auto"/>
                      <w:lang w:val="en-US" w:eastAsia="zh-CN"/>
                    </w:rPr>
                  </w:pPr>
                  <w:r>
                    <w:rPr>
                      <w:rFonts w:hint="eastAsia"/>
                      <w:color w:val="auto"/>
                      <w:lang w:val="en-US" w:eastAsia="zh-CN"/>
                    </w:rPr>
                    <w:t>5</w:t>
                  </w:r>
                </w:p>
              </w:tc>
              <w:tc>
                <w:tcPr>
                  <w:tcW w:w="862" w:type="pct"/>
                  <w:noWrap w:val="0"/>
                  <w:vAlign w:val="center"/>
                </w:tcPr>
                <w:p w14:paraId="3A4CB45D">
                  <w:pPr>
                    <w:pStyle w:val="43"/>
                    <w:keepNext w:val="0"/>
                    <w:keepLines w:val="0"/>
                    <w:pageBreakBefore w:val="0"/>
                    <w:widowControl w:val="0"/>
                    <w:kinsoku/>
                    <w:overflowPunct/>
                    <w:topLinePunct w:val="0"/>
                    <w:autoSpaceDE/>
                    <w:autoSpaceDN/>
                    <w:bidi w:val="0"/>
                    <w:adjustRightInd w:val="0"/>
                    <w:snapToGrid w:val="0"/>
                    <w:textAlignment w:val="auto"/>
                    <w:rPr>
                      <w:rFonts w:hint="eastAsia"/>
                      <w:color w:val="auto"/>
                      <w:lang w:val="en-US" w:eastAsia="zh-CN"/>
                    </w:rPr>
                  </w:pPr>
                  <w:r>
                    <w:rPr>
                      <w:rFonts w:hint="eastAsia"/>
                      <w:color w:val="auto"/>
                      <w:lang w:val="en-US" w:eastAsia="zh-CN"/>
                    </w:rPr>
                    <w:t>桶装</w:t>
                  </w:r>
                </w:p>
              </w:tc>
              <w:tc>
                <w:tcPr>
                  <w:tcW w:w="820" w:type="pct"/>
                  <w:noWrap w:val="0"/>
                  <w:vAlign w:val="center"/>
                </w:tcPr>
                <w:p w14:paraId="71D31B0F">
                  <w:pPr>
                    <w:pStyle w:val="43"/>
                    <w:keepNext w:val="0"/>
                    <w:keepLines w:val="0"/>
                    <w:pageBreakBefore w:val="0"/>
                    <w:widowControl w:val="0"/>
                    <w:kinsoku/>
                    <w:overflowPunct/>
                    <w:topLinePunct w:val="0"/>
                    <w:autoSpaceDE/>
                    <w:autoSpaceDN/>
                    <w:bidi w:val="0"/>
                    <w:adjustRightInd w:val="0"/>
                    <w:snapToGrid w:val="0"/>
                    <w:textAlignment w:val="auto"/>
                    <w:rPr>
                      <w:rFonts w:hint="eastAsia"/>
                      <w:color w:val="auto"/>
                      <w:lang w:val="en-US" w:eastAsia="zh-CN"/>
                    </w:rPr>
                  </w:pPr>
                  <w:r>
                    <w:rPr>
                      <w:rFonts w:hint="eastAsia"/>
                      <w:color w:val="auto"/>
                      <w:lang w:val="en-US" w:eastAsia="zh-CN"/>
                    </w:rPr>
                    <w:t>2500</w:t>
                  </w:r>
                </w:p>
              </w:tc>
              <w:tc>
                <w:tcPr>
                  <w:tcW w:w="966" w:type="pct"/>
                  <w:noWrap w:val="0"/>
                  <w:vAlign w:val="center"/>
                </w:tcPr>
                <w:p w14:paraId="36B61BD0">
                  <w:pPr>
                    <w:pStyle w:val="43"/>
                    <w:keepNext w:val="0"/>
                    <w:keepLines w:val="0"/>
                    <w:pageBreakBefore w:val="0"/>
                    <w:widowControl w:val="0"/>
                    <w:kinsoku/>
                    <w:overflowPunct/>
                    <w:topLinePunct w:val="0"/>
                    <w:autoSpaceDE/>
                    <w:autoSpaceDN/>
                    <w:bidi w:val="0"/>
                    <w:adjustRightInd w:val="0"/>
                    <w:snapToGrid w:val="0"/>
                    <w:textAlignment w:val="auto"/>
                    <w:rPr>
                      <w:rFonts w:hint="eastAsia"/>
                      <w:color w:val="auto"/>
                      <w:lang w:val="en-US" w:eastAsia="zh-CN"/>
                    </w:rPr>
                  </w:pPr>
                  <w:r>
                    <w:rPr>
                      <w:rFonts w:hint="eastAsia"/>
                      <w:color w:val="auto"/>
                      <w:lang w:val="en-US" w:eastAsia="zh-CN"/>
                    </w:rPr>
                    <w:t>0.002</w:t>
                  </w:r>
                </w:p>
              </w:tc>
            </w:tr>
          </w:tbl>
          <w:p w14:paraId="25B30E75">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Times New Roman" w:hAnsi="Times New Roman" w:eastAsia="宋体" w:cs="Times New Roman"/>
                <w:bCs/>
                <w:color w:val="auto"/>
                <w:kern w:val="0"/>
                <w:sz w:val="24"/>
                <w:szCs w:val="24"/>
                <w:lang w:val="en-US" w:eastAsia="zh-CN"/>
              </w:rPr>
            </w:pPr>
            <w:r>
              <w:rPr>
                <w:rFonts w:hint="eastAsia" w:ascii="Times New Roman" w:hAnsi="Times New Roman" w:eastAsia="宋体" w:cs="Times New Roman"/>
                <w:bCs/>
                <w:color w:val="auto"/>
                <w:kern w:val="0"/>
                <w:sz w:val="24"/>
                <w:szCs w:val="24"/>
                <w:lang w:val="en-US" w:eastAsia="zh-CN"/>
              </w:rPr>
              <w:t>本项目危险物质理化性质见下表。</w:t>
            </w:r>
          </w:p>
          <w:p w14:paraId="26FAE3EA">
            <w:pPr>
              <w:pStyle w:val="44"/>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color w:val="auto"/>
                <w:sz w:val="24"/>
                <w:szCs w:val="24"/>
              </w:rPr>
            </w:pPr>
            <w:r>
              <w:rPr>
                <w:rFonts w:hint="eastAsia"/>
                <w:color w:val="auto"/>
                <w:sz w:val="24"/>
                <w:szCs w:val="24"/>
                <w:lang w:val="en-US" w:eastAsia="zh-CN"/>
              </w:rPr>
              <w:t xml:space="preserve">表5-3    </w:t>
            </w:r>
            <w:r>
              <w:rPr>
                <w:rFonts w:hint="eastAsia"/>
                <w:color w:val="auto"/>
                <w:sz w:val="24"/>
                <w:szCs w:val="24"/>
              </w:rPr>
              <w:t>物质危险性分析</w:t>
            </w:r>
          </w:p>
          <w:tbl>
            <w:tblPr>
              <w:tblStyle w:val="20"/>
              <w:tblW w:w="4998"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57" w:type="dxa"/>
              </w:tblCellMar>
            </w:tblPr>
            <w:tblGrid>
              <w:gridCol w:w="583"/>
              <w:gridCol w:w="1580"/>
              <w:gridCol w:w="517"/>
              <w:gridCol w:w="4146"/>
              <w:gridCol w:w="869"/>
            </w:tblGrid>
            <w:tr w14:paraId="481411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37" w:hRule="atLeast"/>
                <w:jc w:val="center"/>
              </w:trPr>
              <w:tc>
                <w:tcPr>
                  <w:tcW w:w="379" w:type="pct"/>
                  <w:noWrap w:val="0"/>
                  <w:tcMar>
                    <w:left w:w="6" w:type="dxa"/>
                    <w:right w:w="6" w:type="dxa"/>
                  </w:tcMar>
                  <w:vAlign w:val="center"/>
                </w:tcPr>
                <w:p w14:paraId="6F0649DB">
                  <w:pPr>
                    <w:pStyle w:val="43"/>
                    <w:keepNext w:val="0"/>
                    <w:keepLines w:val="0"/>
                    <w:pageBreakBefore w:val="0"/>
                    <w:widowControl w:val="0"/>
                    <w:kinsoku/>
                    <w:overflowPunct/>
                    <w:topLinePunct w:val="0"/>
                    <w:autoSpaceDE/>
                    <w:autoSpaceDN/>
                    <w:bidi w:val="0"/>
                    <w:adjustRightInd w:val="0"/>
                    <w:snapToGrid w:val="0"/>
                    <w:textAlignment w:val="auto"/>
                    <w:rPr>
                      <w:rFonts w:hint="eastAsia"/>
                      <w:color w:val="auto"/>
                    </w:rPr>
                  </w:pPr>
                  <w:r>
                    <w:rPr>
                      <w:rFonts w:hint="eastAsia"/>
                      <w:color w:val="auto"/>
                    </w:rPr>
                    <w:t>物质名称</w:t>
                  </w:r>
                </w:p>
              </w:tc>
              <w:tc>
                <w:tcPr>
                  <w:tcW w:w="1026" w:type="pct"/>
                  <w:noWrap w:val="0"/>
                  <w:tcMar>
                    <w:left w:w="6" w:type="dxa"/>
                    <w:right w:w="6" w:type="dxa"/>
                  </w:tcMar>
                  <w:vAlign w:val="center"/>
                </w:tcPr>
                <w:p w14:paraId="5E4F5420">
                  <w:pPr>
                    <w:pStyle w:val="43"/>
                    <w:keepNext w:val="0"/>
                    <w:keepLines w:val="0"/>
                    <w:pageBreakBefore w:val="0"/>
                    <w:widowControl w:val="0"/>
                    <w:kinsoku/>
                    <w:overflowPunct/>
                    <w:topLinePunct w:val="0"/>
                    <w:autoSpaceDE/>
                    <w:autoSpaceDN/>
                    <w:bidi w:val="0"/>
                    <w:adjustRightInd w:val="0"/>
                    <w:snapToGrid w:val="0"/>
                    <w:textAlignment w:val="auto"/>
                    <w:rPr>
                      <w:rFonts w:hint="eastAsia"/>
                      <w:color w:val="auto"/>
                    </w:rPr>
                  </w:pPr>
                  <w:r>
                    <w:rPr>
                      <w:rFonts w:hint="eastAsia"/>
                      <w:color w:val="auto"/>
                    </w:rPr>
                    <w:t>理化性质</w:t>
                  </w:r>
                </w:p>
              </w:tc>
              <w:tc>
                <w:tcPr>
                  <w:tcW w:w="336" w:type="pct"/>
                  <w:noWrap w:val="0"/>
                  <w:tcMar>
                    <w:left w:w="6" w:type="dxa"/>
                    <w:right w:w="6" w:type="dxa"/>
                  </w:tcMar>
                  <w:vAlign w:val="center"/>
                </w:tcPr>
                <w:p w14:paraId="6F620E0F">
                  <w:pPr>
                    <w:pStyle w:val="43"/>
                    <w:keepNext w:val="0"/>
                    <w:keepLines w:val="0"/>
                    <w:pageBreakBefore w:val="0"/>
                    <w:widowControl w:val="0"/>
                    <w:kinsoku/>
                    <w:overflowPunct/>
                    <w:topLinePunct w:val="0"/>
                    <w:autoSpaceDE/>
                    <w:autoSpaceDN/>
                    <w:bidi w:val="0"/>
                    <w:adjustRightInd w:val="0"/>
                    <w:snapToGrid w:val="0"/>
                    <w:textAlignment w:val="auto"/>
                    <w:rPr>
                      <w:rFonts w:hint="eastAsia"/>
                      <w:color w:val="auto"/>
                    </w:rPr>
                  </w:pPr>
                  <w:r>
                    <w:rPr>
                      <w:rFonts w:hint="eastAsia"/>
                      <w:color w:val="auto"/>
                    </w:rPr>
                    <w:t>物质类型</w:t>
                  </w:r>
                </w:p>
              </w:tc>
              <w:tc>
                <w:tcPr>
                  <w:tcW w:w="2693" w:type="pct"/>
                  <w:noWrap w:val="0"/>
                  <w:tcMar>
                    <w:left w:w="6" w:type="dxa"/>
                    <w:right w:w="6" w:type="dxa"/>
                  </w:tcMar>
                  <w:vAlign w:val="center"/>
                </w:tcPr>
                <w:p w14:paraId="7E272D92">
                  <w:pPr>
                    <w:pStyle w:val="43"/>
                    <w:keepNext w:val="0"/>
                    <w:keepLines w:val="0"/>
                    <w:pageBreakBefore w:val="0"/>
                    <w:widowControl w:val="0"/>
                    <w:kinsoku/>
                    <w:overflowPunct/>
                    <w:topLinePunct w:val="0"/>
                    <w:autoSpaceDE/>
                    <w:autoSpaceDN/>
                    <w:bidi w:val="0"/>
                    <w:adjustRightInd w:val="0"/>
                    <w:snapToGrid w:val="0"/>
                    <w:textAlignment w:val="auto"/>
                    <w:rPr>
                      <w:rFonts w:hint="eastAsia"/>
                      <w:color w:val="auto"/>
                    </w:rPr>
                  </w:pPr>
                  <w:r>
                    <w:rPr>
                      <w:rFonts w:hint="eastAsia"/>
                      <w:color w:val="auto"/>
                    </w:rPr>
                    <w:t>危险性描述</w:t>
                  </w:r>
                </w:p>
              </w:tc>
              <w:tc>
                <w:tcPr>
                  <w:tcW w:w="564" w:type="pct"/>
                  <w:noWrap w:val="0"/>
                  <w:tcMar>
                    <w:left w:w="6" w:type="dxa"/>
                    <w:right w:w="6" w:type="dxa"/>
                  </w:tcMar>
                  <w:vAlign w:val="center"/>
                </w:tcPr>
                <w:p w14:paraId="1CCAA735">
                  <w:pPr>
                    <w:pStyle w:val="43"/>
                    <w:keepNext w:val="0"/>
                    <w:keepLines w:val="0"/>
                    <w:pageBreakBefore w:val="0"/>
                    <w:widowControl w:val="0"/>
                    <w:kinsoku/>
                    <w:overflowPunct/>
                    <w:topLinePunct w:val="0"/>
                    <w:autoSpaceDE/>
                    <w:autoSpaceDN/>
                    <w:bidi w:val="0"/>
                    <w:adjustRightInd w:val="0"/>
                    <w:snapToGrid w:val="0"/>
                    <w:textAlignment w:val="auto"/>
                    <w:rPr>
                      <w:rFonts w:hint="eastAsia"/>
                      <w:color w:val="auto"/>
                    </w:rPr>
                  </w:pPr>
                  <w:r>
                    <w:rPr>
                      <w:rFonts w:hint="eastAsia"/>
                      <w:color w:val="auto"/>
                    </w:rPr>
                    <w:t>生产或使用环节</w:t>
                  </w:r>
                </w:p>
              </w:tc>
            </w:tr>
            <w:tr w14:paraId="6B27C9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1479" w:hRule="atLeast"/>
                <w:jc w:val="center"/>
              </w:trPr>
              <w:tc>
                <w:tcPr>
                  <w:tcW w:w="379" w:type="pct"/>
                  <w:noWrap w:val="0"/>
                  <w:tcMar>
                    <w:left w:w="6" w:type="dxa"/>
                    <w:right w:w="6" w:type="dxa"/>
                  </w:tcMar>
                  <w:vAlign w:val="center"/>
                </w:tcPr>
                <w:p w14:paraId="32E1C33C">
                  <w:pPr>
                    <w:pStyle w:val="43"/>
                    <w:keepNext w:val="0"/>
                    <w:keepLines w:val="0"/>
                    <w:pageBreakBefore w:val="0"/>
                    <w:widowControl w:val="0"/>
                    <w:kinsoku/>
                    <w:overflowPunct/>
                    <w:topLinePunct w:val="0"/>
                    <w:autoSpaceDE/>
                    <w:autoSpaceDN/>
                    <w:bidi w:val="0"/>
                    <w:adjustRightInd w:val="0"/>
                    <w:snapToGrid w:val="0"/>
                    <w:textAlignment w:val="auto"/>
                    <w:rPr>
                      <w:rFonts w:hint="eastAsia"/>
                      <w:color w:val="auto"/>
                      <w:lang w:val="en-US" w:eastAsia="zh-CN"/>
                    </w:rPr>
                  </w:pPr>
                  <w:r>
                    <w:rPr>
                      <w:rFonts w:hint="eastAsia"/>
                      <w:color w:val="auto"/>
                      <w:lang w:val="en-US" w:eastAsia="zh-CN"/>
                    </w:rPr>
                    <w:t>柴油</w:t>
                  </w:r>
                </w:p>
              </w:tc>
              <w:tc>
                <w:tcPr>
                  <w:tcW w:w="1026" w:type="pct"/>
                  <w:noWrap w:val="0"/>
                  <w:tcMar>
                    <w:left w:w="6" w:type="dxa"/>
                    <w:right w:w="6" w:type="dxa"/>
                  </w:tcMar>
                  <w:vAlign w:val="center"/>
                </w:tcPr>
                <w:p w14:paraId="3D2EA45A">
                  <w:pPr>
                    <w:pStyle w:val="43"/>
                    <w:keepNext w:val="0"/>
                    <w:keepLines w:val="0"/>
                    <w:pageBreakBefore w:val="0"/>
                    <w:widowControl w:val="0"/>
                    <w:kinsoku/>
                    <w:overflowPunct/>
                    <w:topLinePunct w:val="0"/>
                    <w:autoSpaceDE/>
                    <w:autoSpaceDN/>
                    <w:bidi w:val="0"/>
                    <w:adjustRightInd w:val="0"/>
                    <w:snapToGrid w:val="0"/>
                    <w:textAlignment w:val="auto"/>
                    <w:rPr>
                      <w:rFonts w:hint="eastAsia"/>
                      <w:color w:val="auto"/>
                      <w:lang w:val="en-US" w:eastAsia="zh-CN"/>
                    </w:rPr>
                  </w:pPr>
                  <w:r>
                    <w:rPr>
                      <w:rFonts w:hint="eastAsia"/>
                      <w:color w:val="auto"/>
                      <w:lang w:val="en-US" w:eastAsia="zh-CN"/>
                    </w:rPr>
                    <w:t>常温下为稍有粘性的棕色的液体，相对密度（水=1）：0.845，闪点：56℃，引燃温度：257℃。</w:t>
                  </w:r>
                </w:p>
              </w:tc>
              <w:tc>
                <w:tcPr>
                  <w:tcW w:w="336" w:type="pct"/>
                  <w:noWrap w:val="0"/>
                  <w:tcMar>
                    <w:left w:w="6" w:type="dxa"/>
                    <w:right w:w="6" w:type="dxa"/>
                  </w:tcMar>
                  <w:vAlign w:val="center"/>
                </w:tcPr>
                <w:p w14:paraId="27C4956B">
                  <w:pPr>
                    <w:pStyle w:val="43"/>
                    <w:keepNext w:val="0"/>
                    <w:keepLines w:val="0"/>
                    <w:pageBreakBefore w:val="0"/>
                    <w:widowControl w:val="0"/>
                    <w:kinsoku/>
                    <w:overflowPunct/>
                    <w:topLinePunct w:val="0"/>
                    <w:autoSpaceDE/>
                    <w:autoSpaceDN/>
                    <w:bidi w:val="0"/>
                    <w:adjustRightInd w:val="0"/>
                    <w:snapToGrid w:val="0"/>
                    <w:textAlignment w:val="auto"/>
                    <w:rPr>
                      <w:rFonts w:hint="eastAsia"/>
                      <w:color w:val="auto"/>
                      <w:lang w:val="en-US" w:eastAsia="zh-CN"/>
                    </w:rPr>
                  </w:pPr>
                  <w:r>
                    <w:rPr>
                      <w:rFonts w:hint="eastAsia"/>
                      <w:color w:val="auto"/>
                      <w:lang w:val="en-US" w:eastAsia="zh-CN"/>
                    </w:rPr>
                    <w:t>易燃液体</w:t>
                  </w:r>
                </w:p>
              </w:tc>
              <w:tc>
                <w:tcPr>
                  <w:tcW w:w="2693" w:type="pct"/>
                  <w:noWrap w:val="0"/>
                  <w:tcMar>
                    <w:left w:w="6" w:type="dxa"/>
                    <w:right w:w="6" w:type="dxa"/>
                  </w:tcMar>
                  <w:vAlign w:val="center"/>
                </w:tcPr>
                <w:p w14:paraId="1D1FB36A">
                  <w:pPr>
                    <w:pStyle w:val="43"/>
                    <w:keepNext w:val="0"/>
                    <w:keepLines w:val="0"/>
                    <w:pageBreakBefore w:val="0"/>
                    <w:widowControl w:val="0"/>
                    <w:kinsoku/>
                    <w:overflowPunct/>
                    <w:topLinePunct w:val="0"/>
                    <w:autoSpaceDE/>
                    <w:autoSpaceDN/>
                    <w:bidi w:val="0"/>
                    <w:adjustRightInd w:val="0"/>
                    <w:snapToGrid w:val="0"/>
                    <w:textAlignment w:val="auto"/>
                    <w:rPr>
                      <w:rFonts w:hint="eastAsia"/>
                      <w:color w:val="auto"/>
                      <w:lang w:val="en-US" w:eastAsia="zh-CN"/>
                    </w:rPr>
                  </w:pPr>
                  <w:r>
                    <w:rPr>
                      <w:rFonts w:hint="eastAsia"/>
                      <w:color w:val="auto"/>
                      <w:lang w:val="en-US" w:eastAsia="zh-CN"/>
                    </w:rPr>
                    <w:t>燃烧爆炸特性：遇明火、高热或与强氧化剂接触，易引起燃烧爆炸的危险。若遇高热，容器内压增大，有开裂和爆炸的危险，燃烧分解为一氧化碳、二氧化碳。健康危害：皮肤接触可引起接触性皮炎、油性痤疮，吸入可引起吸入性肺炎。能经胎盘进入胎儿血中。柴油废气可引起眼、鼻刺激症状，头晕及头痛。</w:t>
                  </w:r>
                </w:p>
              </w:tc>
              <w:tc>
                <w:tcPr>
                  <w:tcW w:w="564" w:type="pct"/>
                  <w:noWrap w:val="0"/>
                  <w:tcMar>
                    <w:left w:w="6" w:type="dxa"/>
                    <w:right w:w="6" w:type="dxa"/>
                  </w:tcMar>
                  <w:vAlign w:val="center"/>
                </w:tcPr>
                <w:p w14:paraId="6CC3679B">
                  <w:pPr>
                    <w:pStyle w:val="43"/>
                    <w:keepNext w:val="0"/>
                    <w:keepLines w:val="0"/>
                    <w:pageBreakBefore w:val="0"/>
                    <w:widowControl w:val="0"/>
                    <w:kinsoku/>
                    <w:overflowPunct/>
                    <w:topLinePunct w:val="0"/>
                    <w:autoSpaceDE/>
                    <w:autoSpaceDN/>
                    <w:bidi w:val="0"/>
                    <w:adjustRightInd w:val="0"/>
                    <w:snapToGrid w:val="0"/>
                    <w:textAlignment w:val="auto"/>
                    <w:rPr>
                      <w:rFonts w:hint="eastAsia"/>
                      <w:color w:val="auto"/>
                      <w:lang w:val="en-US" w:eastAsia="zh-CN"/>
                    </w:rPr>
                  </w:pPr>
                  <w:r>
                    <w:rPr>
                      <w:rFonts w:hint="eastAsia"/>
                      <w:color w:val="auto"/>
                      <w:lang w:val="en-US" w:eastAsia="zh-CN"/>
                    </w:rPr>
                    <w:t>柴油发电机液体燃料，用于整个项目区发电</w:t>
                  </w:r>
                </w:p>
              </w:tc>
            </w:tr>
          </w:tbl>
          <w:p w14:paraId="04F169E0">
            <w:pPr>
              <w:pStyle w:val="45"/>
              <w:keepNext w:val="0"/>
              <w:keepLines w:val="0"/>
              <w:pageBreakBefore w:val="0"/>
              <w:widowControl w:val="0"/>
              <w:kinsoku/>
              <w:wordWrap/>
              <w:overflowPunct/>
              <w:topLinePunct w:val="0"/>
              <w:autoSpaceDE/>
              <w:autoSpaceDN/>
              <w:bidi w:val="0"/>
              <w:adjustRightInd w:val="0"/>
              <w:snapToGrid w:val="0"/>
              <w:ind w:firstLine="482" w:firstLineChars="200"/>
              <w:textAlignment w:val="auto"/>
              <w:rPr>
                <w:rFonts w:hint="eastAsia"/>
                <w:color w:val="auto"/>
                <w:lang w:val="en-US" w:eastAsia="zh-CN"/>
              </w:rPr>
            </w:pPr>
            <w:r>
              <w:rPr>
                <w:rFonts w:hint="eastAsia"/>
                <w:color w:val="auto"/>
                <w:lang w:val="en-US" w:eastAsia="zh-CN"/>
              </w:rPr>
              <w:t>7.2环境风险潜势与评价等级</w:t>
            </w:r>
          </w:p>
          <w:p w14:paraId="692B46D9">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Times New Roman" w:hAnsi="Times New Roman" w:eastAsia="宋体" w:cs="Times New Roman"/>
                <w:bCs/>
                <w:color w:val="auto"/>
                <w:kern w:val="0"/>
                <w:sz w:val="24"/>
                <w:szCs w:val="24"/>
                <w:lang w:val="en-US" w:eastAsia="zh-CN"/>
              </w:rPr>
            </w:pPr>
            <w:r>
              <w:rPr>
                <w:rFonts w:hint="eastAsia" w:ascii="Times New Roman" w:hAnsi="Times New Roman" w:eastAsia="宋体" w:cs="Times New Roman"/>
                <w:bCs/>
                <w:color w:val="auto"/>
                <w:kern w:val="0"/>
                <w:sz w:val="24"/>
                <w:szCs w:val="24"/>
                <w:lang w:val="en-US" w:eastAsia="zh-CN"/>
              </w:rPr>
              <w:t>（1）环境风险潜势划分</w:t>
            </w:r>
          </w:p>
          <w:p w14:paraId="63EFB977">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default" w:ascii="Times New Roman" w:hAnsi="Times New Roman" w:eastAsia="宋体" w:cs="Times New Roman"/>
                <w:bCs/>
                <w:color w:val="auto"/>
                <w:kern w:val="0"/>
                <w:sz w:val="24"/>
                <w:szCs w:val="24"/>
                <w:lang w:val="en-US" w:eastAsia="zh-CN"/>
              </w:rPr>
            </w:pPr>
            <w:r>
              <w:rPr>
                <w:rFonts w:hint="default" w:ascii="Times New Roman" w:hAnsi="Times New Roman" w:eastAsia="宋体" w:cs="Times New Roman"/>
                <w:bCs/>
                <w:color w:val="auto"/>
                <w:kern w:val="0"/>
                <w:sz w:val="24"/>
                <w:szCs w:val="24"/>
                <w:lang w:val="en-US" w:eastAsia="zh-CN"/>
              </w:rPr>
              <w:t>根据《建设项目环境风险评价技术导则》（HJ169-2018），建设项目环境风险潜势划分为Ⅰ、Ⅱ、Ⅲ、Ⅳ/Ⅳ+级。根据建设项目涉及的物质和工艺系统的危险性及其所在地的环境敏感程度，结合事故情形下环境影响途径，对建设项目潜在环境危害程度进行概化分析，按照下表确定环境风险潜势。</w:t>
            </w:r>
          </w:p>
          <w:p w14:paraId="59F70D12">
            <w:pPr>
              <w:pStyle w:val="44"/>
              <w:keepNext w:val="0"/>
              <w:keepLines w:val="0"/>
              <w:pageBreakBefore w:val="0"/>
              <w:widowControl w:val="0"/>
              <w:kinsoku/>
              <w:overflowPunct/>
              <w:topLinePunct w:val="0"/>
              <w:autoSpaceDE/>
              <w:autoSpaceDN/>
              <w:bidi w:val="0"/>
              <w:adjustRightInd w:val="0"/>
              <w:snapToGrid w:val="0"/>
              <w:textAlignment w:val="auto"/>
              <w:rPr>
                <w:rFonts w:hint="eastAsia" w:ascii="Times New Roman" w:hAnsi="Times New Roman" w:eastAsia="宋体" w:cs="Times New Roman"/>
                <w:bCs/>
                <w:color w:val="auto"/>
                <w:kern w:val="0"/>
                <w:sz w:val="24"/>
                <w:szCs w:val="24"/>
              </w:rPr>
            </w:pPr>
            <w:r>
              <w:rPr>
                <w:rFonts w:hint="eastAsia"/>
                <w:color w:val="auto"/>
                <w:sz w:val="24"/>
                <w:szCs w:val="24"/>
              </w:rPr>
              <w:t>表</w:t>
            </w:r>
            <w:r>
              <w:rPr>
                <w:rFonts w:hint="eastAsia"/>
                <w:color w:val="auto"/>
                <w:sz w:val="24"/>
                <w:szCs w:val="24"/>
                <w:lang w:val="en-US" w:eastAsia="zh-CN"/>
              </w:rPr>
              <w:t>5-4</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 xml:space="preserve"> 建设项目环境风险潜势划分</w:t>
            </w:r>
          </w:p>
          <w:tbl>
            <w:tblPr>
              <w:tblStyle w:val="60"/>
              <w:tblW w:w="7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4" w:type="dxa"/>
                <w:left w:w="108" w:type="dxa"/>
                <w:bottom w:w="0" w:type="dxa"/>
                <w:right w:w="2" w:type="dxa"/>
              </w:tblCellMar>
            </w:tblPr>
            <w:tblGrid>
              <w:gridCol w:w="2107"/>
              <w:gridCol w:w="1406"/>
              <w:gridCol w:w="1392"/>
              <w:gridCol w:w="1393"/>
              <w:gridCol w:w="1438"/>
            </w:tblGrid>
            <w:tr w14:paraId="330E8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108" w:type="dxa"/>
                  <w:bottom w:w="0" w:type="dxa"/>
                  <w:right w:w="2" w:type="dxa"/>
                </w:tblCellMar>
              </w:tblPrEx>
              <w:trPr>
                <w:trHeight w:val="283" w:hRule="atLeast"/>
                <w:jc w:val="center"/>
              </w:trPr>
              <w:tc>
                <w:tcPr>
                  <w:tcW w:w="1362" w:type="pct"/>
                  <w:vMerge w:val="restart"/>
                  <w:noWrap w:val="0"/>
                  <w:vAlign w:val="center"/>
                </w:tcPr>
                <w:p w14:paraId="3678CAFE">
                  <w:pPr>
                    <w:pStyle w:val="43"/>
                    <w:keepNext w:val="0"/>
                    <w:keepLines w:val="0"/>
                    <w:pageBreakBefore w:val="0"/>
                    <w:widowControl w:val="0"/>
                    <w:kinsoku/>
                    <w:overflowPunct/>
                    <w:topLinePunct w:val="0"/>
                    <w:autoSpaceDE/>
                    <w:autoSpaceDN/>
                    <w:bidi w:val="0"/>
                    <w:adjustRightInd w:val="0"/>
                    <w:snapToGrid w:val="0"/>
                    <w:textAlignment w:val="auto"/>
                    <w:rPr>
                      <w:rFonts w:hint="default" w:ascii="Times New Roman" w:hAnsi="Times New Roman" w:cs="Times New Roman"/>
                      <w:color w:val="auto"/>
                    </w:rPr>
                  </w:pPr>
                  <w:r>
                    <w:rPr>
                      <w:rFonts w:hint="default" w:ascii="Times New Roman" w:hAnsi="Times New Roman" w:cs="Times New Roman"/>
                      <w:color w:val="auto"/>
                    </w:rPr>
                    <w:t>环境敏感程度（E）</w:t>
                  </w:r>
                </w:p>
              </w:tc>
              <w:tc>
                <w:tcPr>
                  <w:tcW w:w="3637" w:type="pct"/>
                  <w:gridSpan w:val="4"/>
                  <w:noWrap w:val="0"/>
                  <w:vAlign w:val="center"/>
                </w:tcPr>
                <w:p w14:paraId="25EE0191">
                  <w:pPr>
                    <w:pStyle w:val="43"/>
                    <w:keepNext w:val="0"/>
                    <w:keepLines w:val="0"/>
                    <w:pageBreakBefore w:val="0"/>
                    <w:widowControl w:val="0"/>
                    <w:kinsoku/>
                    <w:overflowPunct/>
                    <w:topLinePunct w:val="0"/>
                    <w:autoSpaceDE/>
                    <w:autoSpaceDN/>
                    <w:bidi w:val="0"/>
                    <w:adjustRightInd w:val="0"/>
                    <w:snapToGrid w:val="0"/>
                    <w:textAlignment w:val="auto"/>
                    <w:rPr>
                      <w:rFonts w:hint="default" w:ascii="Times New Roman" w:hAnsi="Times New Roman" w:cs="Times New Roman"/>
                      <w:color w:val="auto"/>
                    </w:rPr>
                  </w:pPr>
                  <w:r>
                    <w:rPr>
                      <w:rFonts w:hint="default" w:ascii="Times New Roman" w:hAnsi="Times New Roman" w:cs="Times New Roman"/>
                      <w:color w:val="auto"/>
                    </w:rPr>
                    <w:t>危险物质及工艺系统危险性（P）</w:t>
                  </w:r>
                </w:p>
              </w:tc>
            </w:tr>
            <w:tr w14:paraId="0ED6F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108" w:type="dxa"/>
                  <w:bottom w:w="0" w:type="dxa"/>
                  <w:right w:w="2" w:type="dxa"/>
                </w:tblCellMar>
              </w:tblPrEx>
              <w:trPr>
                <w:trHeight w:val="282" w:hRule="atLeast"/>
                <w:jc w:val="center"/>
              </w:trPr>
              <w:tc>
                <w:tcPr>
                  <w:tcW w:w="1362" w:type="pct"/>
                  <w:vMerge w:val="continue"/>
                  <w:noWrap w:val="0"/>
                  <w:vAlign w:val="center"/>
                </w:tcPr>
                <w:p w14:paraId="5F1AEDFB">
                  <w:pPr>
                    <w:pStyle w:val="43"/>
                    <w:keepNext w:val="0"/>
                    <w:keepLines w:val="0"/>
                    <w:pageBreakBefore w:val="0"/>
                    <w:widowControl w:val="0"/>
                    <w:kinsoku/>
                    <w:overflowPunct/>
                    <w:topLinePunct w:val="0"/>
                    <w:autoSpaceDE/>
                    <w:autoSpaceDN/>
                    <w:bidi w:val="0"/>
                    <w:adjustRightInd w:val="0"/>
                    <w:snapToGrid w:val="0"/>
                    <w:textAlignment w:val="auto"/>
                    <w:rPr>
                      <w:rFonts w:hint="default" w:ascii="Times New Roman" w:hAnsi="Times New Roman" w:cs="Times New Roman"/>
                      <w:color w:val="auto"/>
                    </w:rPr>
                  </w:pPr>
                </w:p>
              </w:tc>
              <w:tc>
                <w:tcPr>
                  <w:tcW w:w="909" w:type="pct"/>
                  <w:noWrap w:val="0"/>
                  <w:vAlign w:val="center"/>
                </w:tcPr>
                <w:p w14:paraId="3AE061C7">
                  <w:pPr>
                    <w:pStyle w:val="43"/>
                    <w:keepNext w:val="0"/>
                    <w:keepLines w:val="0"/>
                    <w:pageBreakBefore w:val="0"/>
                    <w:widowControl w:val="0"/>
                    <w:kinsoku/>
                    <w:overflowPunct/>
                    <w:topLinePunct w:val="0"/>
                    <w:autoSpaceDE/>
                    <w:autoSpaceDN/>
                    <w:bidi w:val="0"/>
                    <w:adjustRightInd w:val="0"/>
                    <w:snapToGrid w:val="0"/>
                    <w:textAlignment w:val="auto"/>
                    <w:rPr>
                      <w:rFonts w:hint="default" w:ascii="Times New Roman" w:hAnsi="Times New Roman" w:cs="Times New Roman"/>
                      <w:color w:val="auto"/>
                    </w:rPr>
                  </w:pPr>
                  <w:r>
                    <w:rPr>
                      <w:rFonts w:hint="default" w:ascii="Times New Roman" w:hAnsi="Times New Roman" w:cs="Times New Roman"/>
                      <w:color w:val="auto"/>
                    </w:rPr>
                    <w:t>极高危害（P1）</w:t>
                  </w:r>
                </w:p>
              </w:tc>
              <w:tc>
                <w:tcPr>
                  <w:tcW w:w="900" w:type="pct"/>
                  <w:noWrap w:val="0"/>
                  <w:vAlign w:val="center"/>
                </w:tcPr>
                <w:p w14:paraId="2D648916">
                  <w:pPr>
                    <w:pStyle w:val="43"/>
                    <w:keepNext w:val="0"/>
                    <w:keepLines w:val="0"/>
                    <w:pageBreakBefore w:val="0"/>
                    <w:widowControl w:val="0"/>
                    <w:kinsoku/>
                    <w:overflowPunct/>
                    <w:topLinePunct w:val="0"/>
                    <w:autoSpaceDE/>
                    <w:autoSpaceDN/>
                    <w:bidi w:val="0"/>
                    <w:adjustRightInd w:val="0"/>
                    <w:snapToGrid w:val="0"/>
                    <w:textAlignment w:val="auto"/>
                    <w:rPr>
                      <w:rFonts w:hint="default" w:ascii="Times New Roman" w:hAnsi="Times New Roman" w:cs="Times New Roman"/>
                      <w:color w:val="auto"/>
                    </w:rPr>
                  </w:pPr>
                  <w:r>
                    <w:rPr>
                      <w:rFonts w:hint="default" w:ascii="Times New Roman" w:hAnsi="Times New Roman" w:cs="Times New Roman"/>
                      <w:color w:val="auto"/>
                    </w:rPr>
                    <w:t>高度危害（P2）</w:t>
                  </w:r>
                </w:p>
              </w:tc>
              <w:tc>
                <w:tcPr>
                  <w:tcW w:w="900" w:type="pct"/>
                  <w:noWrap w:val="0"/>
                  <w:vAlign w:val="center"/>
                </w:tcPr>
                <w:p w14:paraId="10AFE5DF">
                  <w:pPr>
                    <w:pStyle w:val="43"/>
                    <w:keepNext w:val="0"/>
                    <w:keepLines w:val="0"/>
                    <w:pageBreakBefore w:val="0"/>
                    <w:widowControl w:val="0"/>
                    <w:kinsoku/>
                    <w:overflowPunct/>
                    <w:topLinePunct w:val="0"/>
                    <w:autoSpaceDE/>
                    <w:autoSpaceDN/>
                    <w:bidi w:val="0"/>
                    <w:adjustRightInd w:val="0"/>
                    <w:snapToGrid w:val="0"/>
                    <w:textAlignment w:val="auto"/>
                    <w:rPr>
                      <w:rFonts w:hint="default" w:ascii="Times New Roman" w:hAnsi="Times New Roman" w:cs="Times New Roman"/>
                      <w:color w:val="auto"/>
                    </w:rPr>
                  </w:pPr>
                  <w:r>
                    <w:rPr>
                      <w:rFonts w:hint="default" w:ascii="Times New Roman" w:hAnsi="Times New Roman" w:cs="Times New Roman"/>
                      <w:color w:val="auto"/>
                    </w:rPr>
                    <w:t>中度危害（P3）</w:t>
                  </w:r>
                </w:p>
              </w:tc>
              <w:tc>
                <w:tcPr>
                  <w:tcW w:w="927" w:type="pct"/>
                  <w:noWrap w:val="0"/>
                  <w:vAlign w:val="center"/>
                </w:tcPr>
                <w:p w14:paraId="7002BD51">
                  <w:pPr>
                    <w:pStyle w:val="43"/>
                    <w:keepNext w:val="0"/>
                    <w:keepLines w:val="0"/>
                    <w:pageBreakBefore w:val="0"/>
                    <w:widowControl w:val="0"/>
                    <w:kinsoku/>
                    <w:overflowPunct/>
                    <w:topLinePunct w:val="0"/>
                    <w:autoSpaceDE/>
                    <w:autoSpaceDN/>
                    <w:bidi w:val="0"/>
                    <w:adjustRightInd w:val="0"/>
                    <w:snapToGrid w:val="0"/>
                    <w:textAlignment w:val="auto"/>
                    <w:rPr>
                      <w:rFonts w:hint="default" w:ascii="Times New Roman" w:hAnsi="Times New Roman" w:cs="Times New Roman"/>
                      <w:color w:val="auto"/>
                    </w:rPr>
                  </w:pPr>
                  <w:r>
                    <w:rPr>
                      <w:rFonts w:hint="default" w:ascii="Times New Roman" w:hAnsi="Times New Roman" w:cs="Times New Roman"/>
                      <w:color w:val="auto"/>
                    </w:rPr>
                    <w:t>轻度危害（P4）</w:t>
                  </w:r>
                </w:p>
              </w:tc>
            </w:tr>
            <w:tr w14:paraId="7EC8A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108" w:type="dxa"/>
                  <w:bottom w:w="0" w:type="dxa"/>
                  <w:right w:w="2" w:type="dxa"/>
                </w:tblCellMar>
              </w:tblPrEx>
              <w:trPr>
                <w:trHeight w:val="282" w:hRule="atLeast"/>
                <w:jc w:val="center"/>
              </w:trPr>
              <w:tc>
                <w:tcPr>
                  <w:tcW w:w="1362" w:type="pct"/>
                  <w:noWrap w:val="0"/>
                  <w:vAlign w:val="center"/>
                </w:tcPr>
                <w:p w14:paraId="760A9B81">
                  <w:pPr>
                    <w:pStyle w:val="43"/>
                    <w:keepNext w:val="0"/>
                    <w:keepLines w:val="0"/>
                    <w:pageBreakBefore w:val="0"/>
                    <w:widowControl w:val="0"/>
                    <w:kinsoku/>
                    <w:overflowPunct/>
                    <w:topLinePunct w:val="0"/>
                    <w:autoSpaceDE/>
                    <w:autoSpaceDN/>
                    <w:bidi w:val="0"/>
                    <w:adjustRightInd w:val="0"/>
                    <w:snapToGrid w:val="0"/>
                    <w:textAlignment w:val="auto"/>
                    <w:rPr>
                      <w:rFonts w:hint="default" w:ascii="Times New Roman" w:hAnsi="Times New Roman" w:cs="Times New Roman"/>
                      <w:color w:val="auto"/>
                    </w:rPr>
                  </w:pPr>
                  <w:r>
                    <w:rPr>
                      <w:rFonts w:hint="default" w:ascii="Times New Roman" w:hAnsi="Times New Roman" w:cs="Times New Roman"/>
                      <w:color w:val="auto"/>
                    </w:rPr>
                    <w:t>环境高度敏感区（E1）</w:t>
                  </w:r>
                </w:p>
              </w:tc>
              <w:tc>
                <w:tcPr>
                  <w:tcW w:w="909" w:type="pct"/>
                  <w:noWrap w:val="0"/>
                  <w:vAlign w:val="center"/>
                </w:tcPr>
                <w:p w14:paraId="75D34A80">
                  <w:pPr>
                    <w:pStyle w:val="43"/>
                    <w:keepNext w:val="0"/>
                    <w:keepLines w:val="0"/>
                    <w:pageBreakBefore w:val="0"/>
                    <w:widowControl w:val="0"/>
                    <w:kinsoku/>
                    <w:overflowPunct/>
                    <w:topLinePunct w:val="0"/>
                    <w:autoSpaceDE/>
                    <w:autoSpaceDN/>
                    <w:bidi w:val="0"/>
                    <w:adjustRightInd w:val="0"/>
                    <w:snapToGrid w:val="0"/>
                    <w:textAlignment w:val="auto"/>
                    <w:rPr>
                      <w:rFonts w:hint="default" w:ascii="Times New Roman" w:hAnsi="Times New Roman" w:cs="Times New Roman"/>
                      <w:color w:val="auto"/>
                    </w:rPr>
                  </w:pPr>
                  <w:r>
                    <w:rPr>
                      <w:rFonts w:hint="default" w:ascii="Times New Roman" w:hAnsi="Times New Roman" w:cs="Times New Roman"/>
                      <w:color w:val="auto"/>
                    </w:rPr>
                    <w:t>Ⅳ+</w:t>
                  </w:r>
                </w:p>
              </w:tc>
              <w:tc>
                <w:tcPr>
                  <w:tcW w:w="900" w:type="pct"/>
                  <w:noWrap w:val="0"/>
                  <w:vAlign w:val="center"/>
                </w:tcPr>
                <w:p w14:paraId="309B5474">
                  <w:pPr>
                    <w:pStyle w:val="43"/>
                    <w:keepNext w:val="0"/>
                    <w:keepLines w:val="0"/>
                    <w:pageBreakBefore w:val="0"/>
                    <w:widowControl w:val="0"/>
                    <w:kinsoku/>
                    <w:overflowPunct/>
                    <w:topLinePunct w:val="0"/>
                    <w:autoSpaceDE/>
                    <w:autoSpaceDN/>
                    <w:bidi w:val="0"/>
                    <w:adjustRightInd w:val="0"/>
                    <w:snapToGrid w:val="0"/>
                    <w:textAlignment w:val="auto"/>
                    <w:rPr>
                      <w:rFonts w:hint="default" w:ascii="Times New Roman" w:hAnsi="Times New Roman" w:cs="Times New Roman"/>
                      <w:color w:val="auto"/>
                    </w:rPr>
                  </w:pPr>
                  <w:r>
                    <w:rPr>
                      <w:rFonts w:hint="default" w:ascii="Times New Roman" w:hAnsi="Times New Roman" w:cs="Times New Roman"/>
                      <w:color w:val="auto"/>
                    </w:rPr>
                    <w:t>Ⅳ</w:t>
                  </w:r>
                </w:p>
              </w:tc>
              <w:tc>
                <w:tcPr>
                  <w:tcW w:w="900" w:type="pct"/>
                  <w:noWrap w:val="0"/>
                  <w:vAlign w:val="center"/>
                </w:tcPr>
                <w:p w14:paraId="4EC7B8B3">
                  <w:pPr>
                    <w:pStyle w:val="43"/>
                    <w:keepNext w:val="0"/>
                    <w:keepLines w:val="0"/>
                    <w:pageBreakBefore w:val="0"/>
                    <w:widowControl w:val="0"/>
                    <w:kinsoku/>
                    <w:overflowPunct/>
                    <w:topLinePunct w:val="0"/>
                    <w:autoSpaceDE/>
                    <w:autoSpaceDN/>
                    <w:bidi w:val="0"/>
                    <w:adjustRightInd w:val="0"/>
                    <w:snapToGrid w:val="0"/>
                    <w:textAlignment w:val="auto"/>
                    <w:rPr>
                      <w:rFonts w:hint="default" w:ascii="Times New Roman" w:hAnsi="Times New Roman" w:cs="Times New Roman"/>
                      <w:color w:val="auto"/>
                    </w:rPr>
                  </w:pPr>
                  <w:r>
                    <w:rPr>
                      <w:rFonts w:hint="default" w:ascii="Times New Roman" w:hAnsi="Times New Roman" w:cs="Times New Roman"/>
                      <w:color w:val="auto"/>
                    </w:rPr>
                    <w:t>Ⅲ</w:t>
                  </w:r>
                </w:p>
              </w:tc>
              <w:tc>
                <w:tcPr>
                  <w:tcW w:w="927" w:type="pct"/>
                  <w:noWrap w:val="0"/>
                  <w:vAlign w:val="center"/>
                </w:tcPr>
                <w:p w14:paraId="0A0A09D2">
                  <w:pPr>
                    <w:pStyle w:val="43"/>
                    <w:keepNext w:val="0"/>
                    <w:keepLines w:val="0"/>
                    <w:pageBreakBefore w:val="0"/>
                    <w:widowControl w:val="0"/>
                    <w:kinsoku/>
                    <w:overflowPunct/>
                    <w:topLinePunct w:val="0"/>
                    <w:autoSpaceDE/>
                    <w:autoSpaceDN/>
                    <w:bidi w:val="0"/>
                    <w:adjustRightInd w:val="0"/>
                    <w:snapToGrid w:val="0"/>
                    <w:textAlignment w:val="auto"/>
                    <w:rPr>
                      <w:rFonts w:hint="default" w:ascii="Times New Roman" w:hAnsi="Times New Roman" w:cs="Times New Roman"/>
                      <w:color w:val="auto"/>
                    </w:rPr>
                  </w:pPr>
                  <w:r>
                    <w:rPr>
                      <w:rFonts w:hint="default" w:ascii="Times New Roman" w:hAnsi="Times New Roman" w:cs="Times New Roman"/>
                      <w:color w:val="auto"/>
                    </w:rPr>
                    <w:t>Ⅲ</w:t>
                  </w:r>
                </w:p>
              </w:tc>
            </w:tr>
            <w:tr w14:paraId="3D697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108" w:type="dxa"/>
                  <w:bottom w:w="0" w:type="dxa"/>
                  <w:right w:w="2" w:type="dxa"/>
                </w:tblCellMar>
              </w:tblPrEx>
              <w:trPr>
                <w:trHeight w:val="283" w:hRule="atLeast"/>
                <w:jc w:val="center"/>
              </w:trPr>
              <w:tc>
                <w:tcPr>
                  <w:tcW w:w="1362" w:type="pct"/>
                  <w:noWrap w:val="0"/>
                  <w:vAlign w:val="center"/>
                </w:tcPr>
                <w:p w14:paraId="4600B2AA">
                  <w:pPr>
                    <w:pStyle w:val="43"/>
                    <w:keepNext w:val="0"/>
                    <w:keepLines w:val="0"/>
                    <w:pageBreakBefore w:val="0"/>
                    <w:widowControl w:val="0"/>
                    <w:kinsoku/>
                    <w:overflowPunct/>
                    <w:topLinePunct w:val="0"/>
                    <w:autoSpaceDE/>
                    <w:autoSpaceDN/>
                    <w:bidi w:val="0"/>
                    <w:adjustRightInd w:val="0"/>
                    <w:snapToGrid w:val="0"/>
                    <w:textAlignment w:val="auto"/>
                    <w:rPr>
                      <w:rFonts w:hint="default" w:ascii="Times New Roman" w:hAnsi="Times New Roman" w:eastAsia="宋体" w:cs="Times New Roman"/>
                      <w:color w:val="auto"/>
                      <w:lang w:eastAsia="zh-CN"/>
                    </w:rPr>
                  </w:pPr>
                  <w:r>
                    <w:rPr>
                      <w:rFonts w:hint="default" w:ascii="Times New Roman" w:hAnsi="Times New Roman" w:cs="Times New Roman"/>
                      <w:color w:val="auto"/>
                    </w:rPr>
                    <w:t>环境中度敏感区（E2</w:t>
                  </w:r>
                  <w:r>
                    <w:rPr>
                      <w:rFonts w:hint="default" w:ascii="Times New Roman" w:hAnsi="Times New Roman" w:cs="Times New Roman"/>
                      <w:color w:val="auto"/>
                      <w:lang w:eastAsia="zh-CN"/>
                    </w:rPr>
                    <w:t>）</w:t>
                  </w:r>
                </w:p>
              </w:tc>
              <w:tc>
                <w:tcPr>
                  <w:tcW w:w="909" w:type="pct"/>
                  <w:noWrap w:val="0"/>
                  <w:vAlign w:val="center"/>
                </w:tcPr>
                <w:p w14:paraId="422C29AB">
                  <w:pPr>
                    <w:pStyle w:val="43"/>
                    <w:keepNext w:val="0"/>
                    <w:keepLines w:val="0"/>
                    <w:pageBreakBefore w:val="0"/>
                    <w:widowControl w:val="0"/>
                    <w:kinsoku/>
                    <w:overflowPunct/>
                    <w:topLinePunct w:val="0"/>
                    <w:autoSpaceDE/>
                    <w:autoSpaceDN/>
                    <w:bidi w:val="0"/>
                    <w:adjustRightInd w:val="0"/>
                    <w:snapToGrid w:val="0"/>
                    <w:textAlignment w:val="auto"/>
                    <w:rPr>
                      <w:rFonts w:hint="default" w:ascii="Times New Roman" w:hAnsi="Times New Roman" w:cs="Times New Roman"/>
                      <w:color w:val="auto"/>
                    </w:rPr>
                  </w:pPr>
                  <w:r>
                    <w:rPr>
                      <w:rFonts w:hint="default" w:ascii="Times New Roman" w:hAnsi="Times New Roman" w:cs="Times New Roman"/>
                      <w:color w:val="auto"/>
                    </w:rPr>
                    <w:t>Ⅳ</w:t>
                  </w:r>
                </w:p>
              </w:tc>
              <w:tc>
                <w:tcPr>
                  <w:tcW w:w="900" w:type="pct"/>
                  <w:noWrap w:val="0"/>
                  <w:vAlign w:val="center"/>
                </w:tcPr>
                <w:p w14:paraId="3DDAED39">
                  <w:pPr>
                    <w:pStyle w:val="43"/>
                    <w:keepNext w:val="0"/>
                    <w:keepLines w:val="0"/>
                    <w:pageBreakBefore w:val="0"/>
                    <w:widowControl w:val="0"/>
                    <w:kinsoku/>
                    <w:overflowPunct/>
                    <w:topLinePunct w:val="0"/>
                    <w:autoSpaceDE/>
                    <w:autoSpaceDN/>
                    <w:bidi w:val="0"/>
                    <w:adjustRightInd w:val="0"/>
                    <w:snapToGrid w:val="0"/>
                    <w:textAlignment w:val="auto"/>
                    <w:rPr>
                      <w:rFonts w:hint="default" w:ascii="Times New Roman" w:hAnsi="Times New Roman" w:cs="Times New Roman"/>
                      <w:color w:val="auto"/>
                    </w:rPr>
                  </w:pPr>
                  <w:r>
                    <w:rPr>
                      <w:rFonts w:hint="default" w:ascii="Times New Roman" w:hAnsi="Times New Roman" w:cs="Times New Roman"/>
                      <w:color w:val="auto"/>
                    </w:rPr>
                    <w:t>Ⅲ</w:t>
                  </w:r>
                </w:p>
              </w:tc>
              <w:tc>
                <w:tcPr>
                  <w:tcW w:w="900" w:type="pct"/>
                  <w:noWrap w:val="0"/>
                  <w:vAlign w:val="center"/>
                </w:tcPr>
                <w:p w14:paraId="19D7677B">
                  <w:pPr>
                    <w:pStyle w:val="43"/>
                    <w:keepNext w:val="0"/>
                    <w:keepLines w:val="0"/>
                    <w:pageBreakBefore w:val="0"/>
                    <w:widowControl w:val="0"/>
                    <w:kinsoku/>
                    <w:overflowPunct/>
                    <w:topLinePunct w:val="0"/>
                    <w:autoSpaceDE/>
                    <w:autoSpaceDN/>
                    <w:bidi w:val="0"/>
                    <w:adjustRightInd w:val="0"/>
                    <w:snapToGrid w:val="0"/>
                    <w:textAlignment w:val="auto"/>
                    <w:rPr>
                      <w:rFonts w:hint="default" w:ascii="Times New Roman" w:hAnsi="Times New Roman" w:cs="Times New Roman"/>
                      <w:color w:val="auto"/>
                    </w:rPr>
                  </w:pPr>
                  <w:r>
                    <w:rPr>
                      <w:rFonts w:hint="default" w:ascii="Times New Roman" w:hAnsi="Times New Roman" w:cs="Times New Roman"/>
                      <w:color w:val="auto"/>
                    </w:rPr>
                    <w:t>Ⅲ</w:t>
                  </w:r>
                </w:p>
              </w:tc>
              <w:tc>
                <w:tcPr>
                  <w:tcW w:w="927" w:type="pct"/>
                  <w:noWrap w:val="0"/>
                  <w:vAlign w:val="center"/>
                </w:tcPr>
                <w:p w14:paraId="60357F09">
                  <w:pPr>
                    <w:pStyle w:val="43"/>
                    <w:keepNext w:val="0"/>
                    <w:keepLines w:val="0"/>
                    <w:pageBreakBefore w:val="0"/>
                    <w:widowControl w:val="0"/>
                    <w:kinsoku/>
                    <w:overflowPunct/>
                    <w:topLinePunct w:val="0"/>
                    <w:autoSpaceDE/>
                    <w:autoSpaceDN/>
                    <w:bidi w:val="0"/>
                    <w:adjustRightInd w:val="0"/>
                    <w:snapToGrid w:val="0"/>
                    <w:textAlignment w:val="auto"/>
                    <w:rPr>
                      <w:rFonts w:hint="default" w:ascii="Times New Roman" w:hAnsi="Times New Roman" w:cs="Times New Roman"/>
                      <w:color w:val="auto"/>
                    </w:rPr>
                  </w:pPr>
                  <w:r>
                    <w:rPr>
                      <w:rFonts w:hint="default" w:ascii="Times New Roman" w:hAnsi="Times New Roman" w:cs="Times New Roman"/>
                      <w:color w:val="auto"/>
                    </w:rPr>
                    <w:t>Ⅱ</w:t>
                  </w:r>
                </w:p>
              </w:tc>
            </w:tr>
            <w:tr w14:paraId="60097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108" w:type="dxa"/>
                  <w:bottom w:w="0" w:type="dxa"/>
                  <w:right w:w="2" w:type="dxa"/>
                </w:tblCellMar>
              </w:tblPrEx>
              <w:trPr>
                <w:trHeight w:val="282" w:hRule="atLeast"/>
                <w:jc w:val="center"/>
              </w:trPr>
              <w:tc>
                <w:tcPr>
                  <w:tcW w:w="1362" w:type="pct"/>
                  <w:noWrap w:val="0"/>
                  <w:vAlign w:val="center"/>
                </w:tcPr>
                <w:p w14:paraId="4583764B">
                  <w:pPr>
                    <w:pStyle w:val="43"/>
                    <w:keepNext w:val="0"/>
                    <w:keepLines w:val="0"/>
                    <w:pageBreakBefore w:val="0"/>
                    <w:widowControl w:val="0"/>
                    <w:kinsoku/>
                    <w:overflowPunct/>
                    <w:topLinePunct w:val="0"/>
                    <w:autoSpaceDE/>
                    <w:autoSpaceDN/>
                    <w:bidi w:val="0"/>
                    <w:adjustRightInd w:val="0"/>
                    <w:snapToGrid w:val="0"/>
                    <w:textAlignment w:val="auto"/>
                    <w:rPr>
                      <w:rFonts w:hint="default" w:ascii="Times New Roman" w:hAnsi="Times New Roman" w:cs="Times New Roman"/>
                      <w:color w:val="auto"/>
                    </w:rPr>
                  </w:pPr>
                  <w:r>
                    <w:rPr>
                      <w:rFonts w:hint="default" w:ascii="Times New Roman" w:hAnsi="Times New Roman" w:cs="Times New Roman"/>
                      <w:color w:val="auto"/>
                    </w:rPr>
                    <w:t>环境低度敏感区（E3）</w:t>
                  </w:r>
                </w:p>
              </w:tc>
              <w:tc>
                <w:tcPr>
                  <w:tcW w:w="909" w:type="pct"/>
                  <w:noWrap w:val="0"/>
                  <w:vAlign w:val="center"/>
                </w:tcPr>
                <w:p w14:paraId="376C2825">
                  <w:pPr>
                    <w:pStyle w:val="43"/>
                    <w:keepNext w:val="0"/>
                    <w:keepLines w:val="0"/>
                    <w:pageBreakBefore w:val="0"/>
                    <w:widowControl w:val="0"/>
                    <w:kinsoku/>
                    <w:overflowPunct/>
                    <w:topLinePunct w:val="0"/>
                    <w:autoSpaceDE/>
                    <w:autoSpaceDN/>
                    <w:bidi w:val="0"/>
                    <w:adjustRightInd w:val="0"/>
                    <w:snapToGrid w:val="0"/>
                    <w:textAlignment w:val="auto"/>
                    <w:rPr>
                      <w:rFonts w:hint="default" w:ascii="Times New Roman" w:hAnsi="Times New Roman" w:cs="Times New Roman"/>
                      <w:color w:val="auto"/>
                    </w:rPr>
                  </w:pPr>
                  <w:r>
                    <w:rPr>
                      <w:rFonts w:hint="default" w:ascii="Times New Roman" w:hAnsi="Times New Roman" w:cs="Times New Roman"/>
                      <w:color w:val="auto"/>
                    </w:rPr>
                    <w:t>Ⅲ</w:t>
                  </w:r>
                </w:p>
              </w:tc>
              <w:tc>
                <w:tcPr>
                  <w:tcW w:w="900" w:type="pct"/>
                  <w:noWrap w:val="0"/>
                  <w:vAlign w:val="center"/>
                </w:tcPr>
                <w:p w14:paraId="2A8BFA12">
                  <w:pPr>
                    <w:pStyle w:val="43"/>
                    <w:keepNext w:val="0"/>
                    <w:keepLines w:val="0"/>
                    <w:pageBreakBefore w:val="0"/>
                    <w:widowControl w:val="0"/>
                    <w:kinsoku/>
                    <w:overflowPunct/>
                    <w:topLinePunct w:val="0"/>
                    <w:autoSpaceDE/>
                    <w:autoSpaceDN/>
                    <w:bidi w:val="0"/>
                    <w:adjustRightInd w:val="0"/>
                    <w:snapToGrid w:val="0"/>
                    <w:textAlignment w:val="auto"/>
                    <w:rPr>
                      <w:rFonts w:hint="default" w:ascii="Times New Roman" w:hAnsi="Times New Roman" w:cs="Times New Roman"/>
                      <w:color w:val="auto"/>
                    </w:rPr>
                  </w:pPr>
                  <w:r>
                    <w:rPr>
                      <w:rFonts w:hint="default" w:ascii="Times New Roman" w:hAnsi="Times New Roman" w:cs="Times New Roman"/>
                      <w:color w:val="auto"/>
                    </w:rPr>
                    <w:t>Ⅲ</w:t>
                  </w:r>
                </w:p>
              </w:tc>
              <w:tc>
                <w:tcPr>
                  <w:tcW w:w="900" w:type="pct"/>
                  <w:noWrap w:val="0"/>
                  <w:vAlign w:val="center"/>
                </w:tcPr>
                <w:p w14:paraId="2D6AD57A">
                  <w:pPr>
                    <w:pStyle w:val="43"/>
                    <w:keepNext w:val="0"/>
                    <w:keepLines w:val="0"/>
                    <w:pageBreakBefore w:val="0"/>
                    <w:widowControl w:val="0"/>
                    <w:kinsoku/>
                    <w:overflowPunct/>
                    <w:topLinePunct w:val="0"/>
                    <w:autoSpaceDE/>
                    <w:autoSpaceDN/>
                    <w:bidi w:val="0"/>
                    <w:adjustRightInd w:val="0"/>
                    <w:snapToGrid w:val="0"/>
                    <w:textAlignment w:val="auto"/>
                    <w:rPr>
                      <w:rFonts w:hint="default" w:ascii="Times New Roman" w:hAnsi="Times New Roman" w:cs="Times New Roman"/>
                      <w:color w:val="auto"/>
                    </w:rPr>
                  </w:pPr>
                  <w:r>
                    <w:rPr>
                      <w:rFonts w:hint="default" w:ascii="Times New Roman" w:hAnsi="Times New Roman" w:cs="Times New Roman"/>
                      <w:color w:val="auto"/>
                    </w:rPr>
                    <w:t>Ⅱ</w:t>
                  </w:r>
                </w:p>
              </w:tc>
              <w:tc>
                <w:tcPr>
                  <w:tcW w:w="927" w:type="pct"/>
                  <w:noWrap w:val="0"/>
                  <w:vAlign w:val="center"/>
                </w:tcPr>
                <w:p w14:paraId="70CFB96D">
                  <w:pPr>
                    <w:pStyle w:val="43"/>
                    <w:keepNext w:val="0"/>
                    <w:keepLines w:val="0"/>
                    <w:pageBreakBefore w:val="0"/>
                    <w:widowControl w:val="0"/>
                    <w:kinsoku/>
                    <w:overflowPunct/>
                    <w:topLinePunct w:val="0"/>
                    <w:autoSpaceDE/>
                    <w:autoSpaceDN/>
                    <w:bidi w:val="0"/>
                    <w:adjustRightInd w:val="0"/>
                    <w:snapToGrid w:val="0"/>
                    <w:textAlignment w:val="auto"/>
                    <w:rPr>
                      <w:rFonts w:hint="default" w:ascii="Times New Roman" w:hAnsi="Times New Roman" w:cs="Times New Roman"/>
                      <w:color w:val="auto"/>
                    </w:rPr>
                  </w:pPr>
                  <w:r>
                    <w:rPr>
                      <w:rFonts w:hint="default" w:ascii="Times New Roman" w:hAnsi="Times New Roman" w:cs="Times New Roman"/>
                      <w:color w:val="auto"/>
                    </w:rPr>
                    <w:t>Ⅰ</w:t>
                  </w:r>
                </w:p>
              </w:tc>
            </w:tr>
            <w:tr w14:paraId="1EDA8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108" w:type="dxa"/>
                  <w:bottom w:w="0" w:type="dxa"/>
                  <w:right w:w="2" w:type="dxa"/>
                </w:tblCellMar>
              </w:tblPrEx>
              <w:trPr>
                <w:trHeight w:val="282" w:hRule="atLeast"/>
                <w:jc w:val="center"/>
              </w:trPr>
              <w:tc>
                <w:tcPr>
                  <w:tcW w:w="5000" w:type="pct"/>
                  <w:gridSpan w:val="5"/>
                  <w:noWrap w:val="0"/>
                  <w:vAlign w:val="center"/>
                </w:tcPr>
                <w:p w14:paraId="060AD0A4">
                  <w:pPr>
                    <w:pStyle w:val="43"/>
                    <w:keepNext w:val="0"/>
                    <w:keepLines w:val="0"/>
                    <w:pageBreakBefore w:val="0"/>
                    <w:widowControl w:val="0"/>
                    <w:kinsoku/>
                    <w:overflowPunct/>
                    <w:topLinePunct w:val="0"/>
                    <w:autoSpaceDE/>
                    <w:autoSpaceDN/>
                    <w:bidi w:val="0"/>
                    <w:adjustRightInd w:val="0"/>
                    <w:snapToGrid w:val="0"/>
                    <w:textAlignment w:val="auto"/>
                    <w:rPr>
                      <w:rFonts w:hint="default" w:ascii="Times New Roman" w:hAnsi="Times New Roman" w:cs="Times New Roman"/>
                      <w:color w:val="auto"/>
                    </w:rPr>
                  </w:pPr>
                  <w:r>
                    <w:rPr>
                      <w:rFonts w:hint="default" w:ascii="Times New Roman" w:hAnsi="Times New Roman" w:cs="Times New Roman"/>
                      <w:color w:val="auto"/>
                    </w:rPr>
                    <w:t>注：Ⅳ+为极高环境风险</w:t>
                  </w:r>
                </w:p>
              </w:tc>
            </w:tr>
          </w:tbl>
          <w:p w14:paraId="12E7F790">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default" w:ascii="Times New Roman" w:hAnsi="Times New Roman" w:eastAsia="宋体" w:cs="Times New Roman"/>
                <w:bCs/>
                <w:color w:val="auto"/>
                <w:kern w:val="0"/>
                <w:sz w:val="24"/>
                <w:szCs w:val="24"/>
              </w:rPr>
            </w:pPr>
            <w:r>
              <w:rPr>
                <w:rFonts w:hint="default" w:ascii="Times New Roman" w:hAnsi="Times New Roman" w:eastAsia="宋体" w:cs="Times New Roman"/>
                <w:bCs/>
                <w:color w:val="auto"/>
                <w:kern w:val="0"/>
                <w:sz w:val="24"/>
                <w:szCs w:val="24"/>
              </w:rPr>
              <w:t>根据上表可知，风险潜势由危险物质及工艺系统危险性（P）与环境敏感程度（E）共同确定，而P的分级由风险物质数量与临界量的比值（Q）和所属行业及生产工艺特点（M）共同确定。临界量比值（Q）为每种风险物质在厂界内的最大存在总量与其在《建设项目环境风险评价技术导则》（HJ169-2018）附录B中对应临界量的比值。</w:t>
            </w:r>
          </w:p>
          <w:p w14:paraId="3B6487B9">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default" w:ascii="Times New Roman" w:hAnsi="Times New Roman" w:eastAsia="宋体" w:cs="Times New Roman"/>
                <w:bCs/>
                <w:color w:val="auto"/>
                <w:kern w:val="0"/>
                <w:sz w:val="24"/>
                <w:szCs w:val="24"/>
              </w:rPr>
            </w:pPr>
            <w:r>
              <w:rPr>
                <w:rFonts w:hint="default" w:ascii="Times New Roman" w:hAnsi="Times New Roman" w:eastAsia="宋体" w:cs="Times New Roman"/>
                <w:bCs/>
                <w:color w:val="auto"/>
                <w:kern w:val="0"/>
                <w:sz w:val="24"/>
                <w:szCs w:val="24"/>
              </w:rPr>
              <w:t>当企业只涉及一种环境风险物质时，该物质的数量与其临界量比值，即为Q。本项目</w:t>
            </w:r>
            <w:r>
              <w:rPr>
                <w:rFonts w:hint="default" w:ascii="Times New Roman" w:hAnsi="Times New Roman" w:eastAsia="宋体" w:cs="Times New Roman"/>
                <w:bCs/>
                <w:color w:val="auto"/>
                <w:kern w:val="0"/>
                <w:sz w:val="24"/>
                <w:szCs w:val="24"/>
                <w:lang w:eastAsia="zh-CN"/>
              </w:rPr>
              <w:t>柴油为</w:t>
            </w:r>
            <w:r>
              <w:rPr>
                <w:rFonts w:hint="default" w:ascii="Times New Roman" w:hAnsi="Times New Roman" w:eastAsia="宋体" w:cs="Times New Roman"/>
                <w:bCs/>
                <w:color w:val="auto"/>
                <w:kern w:val="0"/>
                <w:sz w:val="24"/>
                <w:szCs w:val="24"/>
              </w:rPr>
              <w:t>风险物质，Q值</w:t>
            </w:r>
            <w:r>
              <w:rPr>
                <w:rFonts w:hint="default" w:ascii="Times New Roman" w:hAnsi="Times New Roman" w:eastAsia="宋体" w:cs="Times New Roman"/>
                <w:bCs/>
                <w:color w:val="auto"/>
                <w:kern w:val="0"/>
                <w:sz w:val="24"/>
                <w:szCs w:val="24"/>
                <w:lang w:eastAsia="zh-CN"/>
              </w:rPr>
              <w:t>小于</w:t>
            </w:r>
            <w:r>
              <w:rPr>
                <w:rFonts w:hint="default" w:ascii="Times New Roman" w:hAnsi="Times New Roman" w:eastAsia="宋体" w:cs="Times New Roman"/>
                <w:bCs/>
                <w:color w:val="auto"/>
                <w:kern w:val="0"/>
                <w:sz w:val="24"/>
                <w:szCs w:val="24"/>
                <w:lang w:val="en-US" w:eastAsia="zh-CN"/>
              </w:rPr>
              <w:t>1</w:t>
            </w:r>
            <w:r>
              <w:rPr>
                <w:rFonts w:hint="default" w:ascii="Times New Roman" w:hAnsi="Times New Roman" w:eastAsia="宋体" w:cs="Times New Roman"/>
                <w:bCs/>
                <w:color w:val="auto"/>
                <w:kern w:val="0"/>
                <w:sz w:val="24"/>
                <w:szCs w:val="24"/>
              </w:rPr>
              <w:t>，风险潜势为I。</w:t>
            </w:r>
          </w:p>
          <w:p w14:paraId="576DAFF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default" w:ascii="Times New Roman" w:hAnsi="Times New Roman" w:eastAsia="宋体" w:cs="Times New Roman"/>
                <w:bCs/>
                <w:color w:val="auto"/>
                <w:kern w:val="0"/>
                <w:sz w:val="24"/>
                <w:szCs w:val="24"/>
              </w:rPr>
            </w:pPr>
            <w:r>
              <w:rPr>
                <w:rFonts w:hint="default" w:ascii="Times New Roman" w:hAnsi="Times New Roman" w:eastAsia="宋体" w:cs="Times New Roman"/>
                <w:bCs/>
                <w:color w:val="auto"/>
                <w:kern w:val="0"/>
                <w:sz w:val="24"/>
                <w:szCs w:val="24"/>
              </w:rPr>
              <w:t>（2）评价等级</w:t>
            </w:r>
          </w:p>
          <w:p w14:paraId="2F0800F9">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default" w:ascii="Times New Roman" w:hAnsi="Times New Roman" w:eastAsia="宋体" w:cs="Times New Roman"/>
                <w:bCs/>
                <w:color w:val="auto"/>
                <w:kern w:val="0"/>
                <w:sz w:val="24"/>
                <w:szCs w:val="24"/>
                <w:lang w:eastAsia="zh-CN"/>
              </w:rPr>
            </w:pPr>
            <w:r>
              <w:rPr>
                <w:rFonts w:hint="default" w:ascii="Times New Roman" w:hAnsi="Times New Roman" w:eastAsia="宋体" w:cs="Times New Roman"/>
                <w:bCs/>
                <w:color w:val="auto"/>
                <w:kern w:val="0"/>
                <w:sz w:val="24"/>
                <w:szCs w:val="24"/>
              </w:rPr>
              <w:t>环境风险评价工作等级划分为一级、二级、三级。根据建设项目涉及的物质及工艺系统危险性和所在地的环境敏感性确定环境风险潜势，按照下表确定评价工作等级。风险潜势为Ⅳ及以上，进行一级评价；风险潜势为Ⅲ，进行二级评价；风险潜势为Ⅱ，进行三级评价；风险潜势为Ⅰ</w:t>
            </w:r>
            <w:r>
              <w:rPr>
                <w:rFonts w:hint="default" w:ascii="Times New Roman" w:hAnsi="Times New Roman" w:eastAsia="宋体" w:cs="Times New Roman"/>
                <w:bCs/>
                <w:color w:val="auto"/>
                <w:kern w:val="0"/>
                <w:sz w:val="24"/>
                <w:szCs w:val="24"/>
                <w:lang w:eastAsia="zh-CN"/>
              </w:rPr>
              <w:t>，</w:t>
            </w:r>
            <w:r>
              <w:rPr>
                <w:rFonts w:hint="default" w:ascii="Times New Roman" w:hAnsi="Times New Roman" w:eastAsia="宋体" w:cs="Times New Roman"/>
                <w:bCs/>
                <w:color w:val="auto"/>
                <w:kern w:val="0"/>
                <w:sz w:val="24"/>
                <w:szCs w:val="24"/>
              </w:rPr>
              <w:t>可开展简单分析。具体</w:t>
            </w:r>
            <w:r>
              <w:rPr>
                <w:rFonts w:hint="default" w:ascii="Times New Roman" w:hAnsi="Times New Roman" w:eastAsia="宋体" w:cs="Times New Roman"/>
                <w:bCs/>
                <w:color w:val="auto"/>
                <w:kern w:val="0"/>
                <w:sz w:val="24"/>
                <w:szCs w:val="24"/>
                <w:lang w:val="en-US" w:eastAsia="zh-CN"/>
              </w:rPr>
              <w:t>见下表</w:t>
            </w:r>
            <w:r>
              <w:rPr>
                <w:rFonts w:hint="default" w:ascii="Times New Roman" w:hAnsi="Times New Roman" w:eastAsia="宋体" w:cs="Times New Roman"/>
                <w:bCs/>
                <w:color w:val="auto"/>
                <w:kern w:val="0"/>
                <w:sz w:val="24"/>
                <w:szCs w:val="24"/>
                <w:lang w:eastAsia="zh-CN"/>
              </w:rPr>
              <w:t>。</w:t>
            </w:r>
          </w:p>
          <w:p w14:paraId="7AD75A30">
            <w:pPr>
              <w:pStyle w:val="47"/>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color w:val="auto"/>
                <w:sz w:val="24"/>
                <w:szCs w:val="24"/>
              </w:rPr>
            </w:pPr>
            <w:r>
              <w:rPr>
                <w:rFonts w:hint="eastAsia"/>
                <w:color w:val="auto"/>
                <w:sz w:val="24"/>
                <w:szCs w:val="24"/>
              </w:rPr>
              <w:t>表</w:t>
            </w:r>
            <w:r>
              <w:rPr>
                <w:rFonts w:hint="eastAsia"/>
                <w:color w:val="auto"/>
                <w:sz w:val="24"/>
                <w:szCs w:val="24"/>
                <w:lang w:val="en-US" w:eastAsia="zh-CN"/>
              </w:rPr>
              <w:t>5-5</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 xml:space="preserve"> 评价工作等级划分</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7"/>
              <w:gridCol w:w="1537"/>
              <w:gridCol w:w="1540"/>
              <w:gridCol w:w="1539"/>
              <w:gridCol w:w="1541"/>
            </w:tblGrid>
            <w:tr w14:paraId="7234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9" w:type="pct"/>
                  <w:noWrap w:val="0"/>
                  <w:vAlign w:val="top"/>
                </w:tcPr>
                <w:p w14:paraId="3806B1E0">
                  <w:pPr>
                    <w:pStyle w:val="43"/>
                    <w:keepNext w:val="0"/>
                    <w:keepLines w:val="0"/>
                    <w:pageBreakBefore w:val="0"/>
                    <w:widowControl w:val="0"/>
                    <w:kinsoku/>
                    <w:overflowPunct/>
                    <w:topLinePunct w:val="0"/>
                    <w:autoSpaceDE/>
                    <w:autoSpaceDN/>
                    <w:bidi w:val="0"/>
                    <w:adjustRightInd w:val="0"/>
                    <w:snapToGrid w:val="0"/>
                    <w:textAlignment w:val="auto"/>
                    <w:rPr>
                      <w:rFonts w:hint="eastAsia"/>
                      <w:color w:val="auto"/>
                    </w:rPr>
                  </w:pPr>
                  <w:r>
                    <w:rPr>
                      <w:rFonts w:hint="eastAsia"/>
                      <w:color w:val="auto"/>
                    </w:rPr>
                    <w:t>环境风险潜势</w:t>
                  </w:r>
                </w:p>
              </w:tc>
              <w:tc>
                <w:tcPr>
                  <w:tcW w:w="999" w:type="pct"/>
                  <w:noWrap w:val="0"/>
                  <w:vAlign w:val="top"/>
                </w:tcPr>
                <w:p w14:paraId="797C6522">
                  <w:pPr>
                    <w:pStyle w:val="43"/>
                    <w:keepNext w:val="0"/>
                    <w:keepLines w:val="0"/>
                    <w:pageBreakBefore w:val="0"/>
                    <w:widowControl w:val="0"/>
                    <w:kinsoku/>
                    <w:overflowPunct/>
                    <w:topLinePunct w:val="0"/>
                    <w:autoSpaceDE/>
                    <w:autoSpaceDN/>
                    <w:bidi w:val="0"/>
                    <w:adjustRightInd w:val="0"/>
                    <w:snapToGrid w:val="0"/>
                    <w:textAlignment w:val="auto"/>
                    <w:rPr>
                      <w:rFonts w:hint="eastAsia"/>
                      <w:color w:val="auto"/>
                    </w:rPr>
                  </w:pPr>
                  <w:r>
                    <w:rPr>
                      <w:rFonts w:hint="eastAsia"/>
                      <w:color w:val="auto"/>
                    </w:rPr>
                    <w:t>IV、IV+</w:t>
                  </w:r>
                </w:p>
              </w:tc>
              <w:tc>
                <w:tcPr>
                  <w:tcW w:w="1001" w:type="pct"/>
                  <w:noWrap w:val="0"/>
                  <w:vAlign w:val="top"/>
                </w:tcPr>
                <w:p w14:paraId="009A8FE2">
                  <w:pPr>
                    <w:pStyle w:val="43"/>
                    <w:keepNext w:val="0"/>
                    <w:keepLines w:val="0"/>
                    <w:pageBreakBefore w:val="0"/>
                    <w:widowControl w:val="0"/>
                    <w:kinsoku/>
                    <w:overflowPunct/>
                    <w:topLinePunct w:val="0"/>
                    <w:autoSpaceDE/>
                    <w:autoSpaceDN/>
                    <w:bidi w:val="0"/>
                    <w:adjustRightInd w:val="0"/>
                    <w:snapToGrid w:val="0"/>
                    <w:textAlignment w:val="auto"/>
                    <w:rPr>
                      <w:rFonts w:hint="eastAsia"/>
                      <w:color w:val="auto"/>
                    </w:rPr>
                  </w:pPr>
                  <w:r>
                    <w:rPr>
                      <w:rFonts w:hint="eastAsia"/>
                      <w:color w:val="auto"/>
                    </w:rPr>
                    <w:t>III</w:t>
                  </w:r>
                </w:p>
              </w:tc>
              <w:tc>
                <w:tcPr>
                  <w:tcW w:w="1000" w:type="pct"/>
                  <w:noWrap w:val="0"/>
                  <w:vAlign w:val="top"/>
                </w:tcPr>
                <w:p w14:paraId="1AA27D1E">
                  <w:pPr>
                    <w:pStyle w:val="43"/>
                    <w:keepNext w:val="0"/>
                    <w:keepLines w:val="0"/>
                    <w:pageBreakBefore w:val="0"/>
                    <w:widowControl w:val="0"/>
                    <w:kinsoku/>
                    <w:overflowPunct/>
                    <w:topLinePunct w:val="0"/>
                    <w:autoSpaceDE/>
                    <w:autoSpaceDN/>
                    <w:bidi w:val="0"/>
                    <w:adjustRightInd w:val="0"/>
                    <w:snapToGrid w:val="0"/>
                    <w:textAlignment w:val="auto"/>
                    <w:rPr>
                      <w:rFonts w:hint="eastAsia"/>
                      <w:color w:val="auto"/>
                    </w:rPr>
                  </w:pPr>
                  <w:r>
                    <w:rPr>
                      <w:rFonts w:hint="eastAsia"/>
                      <w:color w:val="auto"/>
                    </w:rPr>
                    <w:t>II</w:t>
                  </w:r>
                </w:p>
              </w:tc>
              <w:tc>
                <w:tcPr>
                  <w:tcW w:w="1001" w:type="pct"/>
                  <w:noWrap w:val="0"/>
                  <w:vAlign w:val="top"/>
                </w:tcPr>
                <w:p w14:paraId="54AF7FE7">
                  <w:pPr>
                    <w:pStyle w:val="43"/>
                    <w:keepNext w:val="0"/>
                    <w:keepLines w:val="0"/>
                    <w:pageBreakBefore w:val="0"/>
                    <w:widowControl w:val="0"/>
                    <w:kinsoku/>
                    <w:overflowPunct/>
                    <w:topLinePunct w:val="0"/>
                    <w:autoSpaceDE/>
                    <w:autoSpaceDN/>
                    <w:bidi w:val="0"/>
                    <w:adjustRightInd w:val="0"/>
                    <w:snapToGrid w:val="0"/>
                    <w:textAlignment w:val="auto"/>
                    <w:rPr>
                      <w:rFonts w:hint="eastAsia"/>
                      <w:color w:val="auto"/>
                    </w:rPr>
                  </w:pPr>
                  <w:r>
                    <w:rPr>
                      <w:rFonts w:hint="eastAsia"/>
                      <w:color w:val="auto"/>
                    </w:rPr>
                    <w:t>I</w:t>
                  </w:r>
                </w:p>
              </w:tc>
            </w:tr>
            <w:tr w14:paraId="5EA9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9" w:type="pct"/>
                  <w:noWrap w:val="0"/>
                  <w:vAlign w:val="top"/>
                </w:tcPr>
                <w:p w14:paraId="080338E8">
                  <w:pPr>
                    <w:pStyle w:val="43"/>
                    <w:keepNext w:val="0"/>
                    <w:keepLines w:val="0"/>
                    <w:pageBreakBefore w:val="0"/>
                    <w:widowControl w:val="0"/>
                    <w:kinsoku/>
                    <w:overflowPunct/>
                    <w:topLinePunct w:val="0"/>
                    <w:autoSpaceDE/>
                    <w:autoSpaceDN/>
                    <w:bidi w:val="0"/>
                    <w:adjustRightInd w:val="0"/>
                    <w:snapToGrid w:val="0"/>
                    <w:textAlignment w:val="auto"/>
                    <w:rPr>
                      <w:rFonts w:hint="eastAsia"/>
                      <w:color w:val="auto"/>
                    </w:rPr>
                  </w:pPr>
                  <w:r>
                    <w:rPr>
                      <w:rFonts w:hint="eastAsia"/>
                      <w:color w:val="auto"/>
                    </w:rPr>
                    <w:t>评价工作等级</w:t>
                  </w:r>
                </w:p>
              </w:tc>
              <w:tc>
                <w:tcPr>
                  <w:tcW w:w="999" w:type="pct"/>
                  <w:noWrap w:val="0"/>
                  <w:vAlign w:val="top"/>
                </w:tcPr>
                <w:p w14:paraId="14B1F10E">
                  <w:pPr>
                    <w:pStyle w:val="43"/>
                    <w:keepNext w:val="0"/>
                    <w:keepLines w:val="0"/>
                    <w:pageBreakBefore w:val="0"/>
                    <w:widowControl w:val="0"/>
                    <w:kinsoku/>
                    <w:overflowPunct/>
                    <w:topLinePunct w:val="0"/>
                    <w:autoSpaceDE/>
                    <w:autoSpaceDN/>
                    <w:bidi w:val="0"/>
                    <w:adjustRightInd w:val="0"/>
                    <w:snapToGrid w:val="0"/>
                    <w:textAlignment w:val="auto"/>
                    <w:rPr>
                      <w:rFonts w:hint="eastAsia"/>
                      <w:color w:val="auto"/>
                    </w:rPr>
                  </w:pPr>
                  <w:r>
                    <w:rPr>
                      <w:rFonts w:hint="eastAsia"/>
                      <w:color w:val="auto"/>
                    </w:rPr>
                    <w:t>一</w:t>
                  </w:r>
                </w:p>
              </w:tc>
              <w:tc>
                <w:tcPr>
                  <w:tcW w:w="1001" w:type="pct"/>
                  <w:noWrap w:val="0"/>
                  <w:vAlign w:val="top"/>
                </w:tcPr>
                <w:p w14:paraId="1196B8E8">
                  <w:pPr>
                    <w:pStyle w:val="43"/>
                    <w:keepNext w:val="0"/>
                    <w:keepLines w:val="0"/>
                    <w:pageBreakBefore w:val="0"/>
                    <w:widowControl w:val="0"/>
                    <w:kinsoku/>
                    <w:overflowPunct/>
                    <w:topLinePunct w:val="0"/>
                    <w:autoSpaceDE/>
                    <w:autoSpaceDN/>
                    <w:bidi w:val="0"/>
                    <w:adjustRightInd w:val="0"/>
                    <w:snapToGrid w:val="0"/>
                    <w:textAlignment w:val="auto"/>
                    <w:rPr>
                      <w:rFonts w:hint="eastAsia"/>
                      <w:color w:val="auto"/>
                    </w:rPr>
                  </w:pPr>
                  <w:r>
                    <w:rPr>
                      <w:rFonts w:hint="eastAsia"/>
                      <w:color w:val="auto"/>
                    </w:rPr>
                    <w:t>二</w:t>
                  </w:r>
                </w:p>
              </w:tc>
              <w:tc>
                <w:tcPr>
                  <w:tcW w:w="1000" w:type="pct"/>
                  <w:noWrap w:val="0"/>
                  <w:vAlign w:val="top"/>
                </w:tcPr>
                <w:p w14:paraId="06AD4902">
                  <w:pPr>
                    <w:pStyle w:val="43"/>
                    <w:keepNext w:val="0"/>
                    <w:keepLines w:val="0"/>
                    <w:pageBreakBefore w:val="0"/>
                    <w:widowControl w:val="0"/>
                    <w:kinsoku/>
                    <w:overflowPunct/>
                    <w:topLinePunct w:val="0"/>
                    <w:autoSpaceDE/>
                    <w:autoSpaceDN/>
                    <w:bidi w:val="0"/>
                    <w:adjustRightInd w:val="0"/>
                    <w:snapToGrid w:val="0"/>
                    <w:textAlignment w:val="auto"/>
                    <w:rPr>
                      <w:rFonts w:hint="eastAsia"/>
                      <w:color w:val="auto"/>
                    </w:rPr>
                  </w:pPr>
                  <w:r>
                    <w:rPr>
                      <w:rFonts w:hint="eastAsia"/>
                      <w:color w:val="auto"/>
                    </w:rPr>
                    <w:t>三</w:t>
                  </w:r>
                </w:p>
              </w:tc>
              <w:tc>
                <w:tcPr>
                  <w:tcW w:w="1001" w:type="pct"/>
                  <w:noWrap w:val="0"/>
                  <w:vAlign w:val="top"/>
                </w:tcPr>
                <w:p w14:paraId="3548A0AA">
                  <w:pPr>
                    <w:pStyle w:val="43"/>
                    <w:keepNext w:val="0"/>
                    <w:keepLines w:val="0"/>
                    <w:pageBreakBefore w:val="0"/>
                    <w:widowControl w:val="0"/>
                    <w:kinsoku/>
                    <w:overflowPunct/>
                    <w:topLinePunct w:val="0"/>
                    <w:autoSpaceDE/>
                    <w:autoSpaceDN/>
                    <w:bidi w:val="0"/>
                    <w:adjustRightInd w:val="0"/>
                    <w:snapToGrid w:val="0"/>
                    <w:textAlignment w:val="auto"/>
                    <w:rPr>
                      <w:rFonts w:hint="eastAsia"/>
                      <w:color w:val="auto"/>
                    </w:rPr>
                  </w:pPr>
                  <w:r>
                    <w:rPr>
                      <w:rFonts w:hint="eastAsia"/>
                      <w:color w:val="auto"/>
                    </w:rPr>
                    <w:t>简单分析*</w:t>
                  </w:r>
                </w:p>
              </w:tc>
            </w:tr>
            <w:tr w14:paraId="4B62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noWrap w:val="0"/>
                  <w:vAlign w:val="top"/>
                </w:tcPr>
                <w:p w14:paraId="3BBA1250">
                  <w:pPr>
                    <w:pStyle w:val="43"/>
                    <w:keepNext w:val="0"/>
                    <w:keepLines w:val="0"/>
                    <w:pageBreakBefore w:val="0"/>
                    <w:widowControl w:val="0"/>
                    <w:kinsoku/>
                    <w:overflowPunct/>
                    <w:topLinePunct w:val="0"/>
                    <w:autoSpaceDE/>
                    <w:autoSpaceDN/>
                    <w:bidi w:val="0"/>
                    <w:adjustRightInd w:val="0"/>
                    <w:snapToGrid w:val="0"/>
                    <w:textAlignment w:val="auto"/>
                    <w:rPr>
                      <w:rFonts w:hint="eastAsia"/>
                      <w:color w:val="auto"/>
                    </w:rPr>
                  </w:pPr>
                  <w:r>
                    <w:rPr>
                      <w:rFonts w:hint="eastAsia"/>
                      <w:color w:val="auto"/>
                    </w:rPr>
                    <w:t>*是相对于详细评价工作内容而言，在描述危险物质、环境影响途径、环境危害后果、风险防范措施等</w:t>
                  </w:r>
                  <w:r>
                    <w:rPr>
                      <w:rFonts w:hint="eastAsia"/>
                      <w:color w:val="auto"/>
                      <w:lang w:eastAsia="zh-CN"/>
                    </w:rPr>
                    <w:t>方</w:t>
                  </w:r>
                  <w:r>
                    <w:rPr>
                      <w:rFonts w:hint="eastAsia"/>
                      <w:color w:val="auto"/>
                    </w:rPr>
                    <w:t>面给出定性的说明。</w:t>
                  </w:r>
                </w:p>
              </w:tc>
            </w:tr>
          </w:tbl>
          <w:p w14:paraId="3C864A0A">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Times New Roman" w:hAnsi="Times New Roman" w:eastAsia="宋体" w:cs="Times New Roman"/>
                <w:bCs/>
                <w:color w:val="auto"/>
                <w:kern w:val="0"/>
                <w:sz w:val="24"/>
                <w:szCs w:val="24"/>
                <w:lang w:val="en-US" w:eastAsia="zh-CN"/>
              </w:rPr>
            </w:pPr>
            <w:r>
              <w:rPr>
                <w:rFonts w:hint="eastAsia" w:ascii="Times New Roman" w:hAnsi="Times New Roman" w:eastAsia="宋体" w:cs="Times New Roman"/>
                <w:bCs/>
                <w:color w:val="auto"/>
                <w:kern w:val="0"/>
                <w:sz w:val="24"/>
                <w:szCs w:val="24"/>
              </w:rPr>
              <w:t>本项目风险潜势为I，故本项目需进行简单分析。</w:t>
            </w:r>
          </w:p>
          <w:p w14:paraId="14C9A6E2">
            <w:pPr>
              <w:pStyle w:val="45"/>
              <w:keepNext w:val="0"/>
              <w:keepLines w:val="0"/>
              <w:pageBreakBefore w:val="0"/>
              <w:widowControl w:val="0"/>
              <w:kinsoku/>
              <w:wordWrap/>
              <w:overflowPunct/>
              <w:topLinePunct w:val="0"/>
              <w:autoSpaceDE/>
              <w:autoSpaceDN/>
              <w:bidi w:val="0"/>
              <w:adjustRightInd w:val="0"/>
              <w:snapToGrid w:val="0"/>
              <w:ind w:firstLine="482" w:firstLineChars="200"/>
              <w:textAlignment w:val="auto"/>
              <w:rPr>
                <w:rFonts w:hint="eastAsia"/>
                <w:color w:val="auto"/>
              </w:rPr>
            </w:pPr>
            <w:r>
              <w:rPr>
                <w:rFonts w:hint="eastAsia"/>
                <w:color w:val="auto"/>
                <w:lang w:val="en-US" w:eastAsia="zh-CN"/>
              </w:rPr>
              <w:t>7.3</w:t>
            </w:r>
            <w:r>
              <w:rPr>
                <w:rFonts w:hint="eastAsia"/>
                <w:color w:val="auto"/>
              </w:rPr>
              <w:t>风险防范措施</w:t>
            </w:r>
          </w:p>
          <w:p w14:paraId="070CD6A1">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Times New Roman" w:hAnsi="Times New Roman" w:eastAsia="宋体" w:cs="Times New Roman"/>
                <w:bCs/>
                <w:color w:val="auto"/>
                <w:kern w:val="0"/>
                <w:sz w:val="24"/>
                <w:szCs w:val="24"/>
                <w:lang w:val="en-US" w:eastAsia="zh-CN"/>
              </w:rPr>
            </w:pPr>
            <w:r>
              <w:rPr>
                <w:rFonts w:hint="eastAsia" w:ascii="Times New Roman" w:hAnsi="Times New Roman" w:eastAsia="宋体" w:cs="Times New Roman"/>
                <w:bCs/>
                <w:color w:val="auto"/>
                <w:kern w:val="0"/>
                <w:sz w:val="24"/>
                <w:szCs w:val="24"/>
                <w:lang w:eastAsia="zh-CN"/>
              </w:rPr>
              <w:t>（</w:t>
            </w:r>
            <w:r>
              <w:rPr>
                <w:rFonts w:hint="eastAsia" w:ascii="Times New Roman" w:hAnsi="Times New Roman" w:eastAsia="宋体" w:cs="Times New Roman"/>
                <w:bCs/>
                <w:color w:val="auto"/>
                <w:kern w:val="0"/>
                <w:sz w:val="24"/>
                <w:szCs w:val="24"/>
                <w:lang w:val="en-US" w:eastAsia="zh-CN"/>
              </w:rPr>
              <w:t>1）本项目柴油采用油桶盛装，存放于生活营地内划定的柴油贮存区域，实行专人管理制度。贮存区地面铺设防渗地膜，油桶上方覆盖防晒防雨篷布，以确保柴油贮存符合相关规范要求。</w:t>
            </w:r>
          </w:p>
          <w:p w14:paraId="61860F5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Times New Roman" w:hAnsi="Times New Roman" w:eastAsia="宋体" w:cs="Times New Roman"/>
                <w:bCs/>
                <w:color w:val="auto"/>
                <w:kern w:val="0"/>
                <w:sz w:val="24"/>
                <w:szCs w:val="24"/>
                <w:lang w:eastAsia="zh-CN"/>
              </w:rPr>
            </w:pPr>
            <w:r>
              <w:rPr>
                <w:rFonts w:hint="eastAsia" w:ascii="Times New Roman" w:hAnsi="Times New Roman" w:eastAsia="宋体" w:cs="Times New Roman"/>
                <w:bCs/>
                <w:color w:val="auto"/>
                <w:kern w:val="0"/>
                <w:sz w:val="24"/>
                <w:szCs w:val="24"/>
                <w:lang w:eastAsia="zh-CN"/>
              </w:rPr>
              <w:t>（</w:t>
            </w:r>
            <w:r>
              <w:rPr>
                <w:rFonts w:hint="eastAsia" w:ascii="Times New Roman" w:hAnsi="Times New Roman" w:eastAsia="宋体" w:cs="Times New Roman"/>
                <w:bCs/>
                <w:color w:val="auto"/>
                <w:kern w:val="0"/>
                <w:sz w:val="24"/>
                <w:szCs w:val="24"/>
                <w:lang w:val="en-US" w:eastAsia="zh-CN"/>
              </w:rPr>
              <w:t>2</w:t>
            </w:r>
            <w:r>
              <w:rPr>
                <w:rFonts w:hint="eastAsia" w:ascii="Times New Roman" w:hAnsi="Times New Roman" w:eastAsia="宋体" w:cs="Times New Roman"/>
                <w:bCs/>
                <w:color w:val="auto"/>
                <w:kern w:val="0"/>
                <w:sz w:val="24"/>
                <w:szCs w:val="24"/>
                <w:lang w:eastAsia="zh-CN"/>
              </w:rPr>
              <w:t>）加强柴油管理，使用时远离火源。</w:t>
            </w:r>
          </w:p>
          <w:p w14:paraId="0234327F">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Times New Roman" w:hAnsi="Times New Roman" w:eastAsia="宋体" w:cs="Times New Roman"/>
                <w:bCs/>
                <w:color w:val="auto"/>
                <w:kern w:val="0"/>
                <w:sz w:val="24"/>
                <w:szCs w:val="24"/>
                <w:lang w:val="en-US" w:eastAsia="zh-CN"/>
              </w:rPr>
            </w:pPr>
            <w:r>
              <w:rPr>
                <w:rFonts w:hint="eastAsia" w:ascii="Times New Roman" w:hAnsi="Times New Roman" w:eastAsia="宋体" w:cs="Times New Roman"/>
                <w:bCs/>
                <w:color w:val="auto"/>
                <w:kern w:val="0"/>
                <w:sz w:val="24"/>
                <w:szCs w:val="24"/>
                <w:lang w:eastAsia="zh-CN"/>
              </w:rPr>
              <w:t>（</w:t>
            </w:r>
            <w:r>
              <w:rPr>
                <w:rFonts w:hint="eastAsia" w:ascii="Times New Roman" w:hAnsi="Times New Roman" w:eastAsia="宋体" w:cs="Times New Roman"/>
                <w:bCs/>
                <w:color w:val="auto"/>
                <w:kern w:val="0"/>
                <w:sz w:val="24"/>
                <w:szCs w:val="24"/>
                <w:lang w:val="en-US" w:eastAsia="zh-CN"/>
              </w:rPr>
              <w:t>3）油品</w:t>
            </w:r>
            <w:r>
              <w:rPr>
                <w:rFonts w:hint="eastAsia" w:ascii="Times New Roman" w:hAnsi="Times New Roman" w:eastAsia="宋体" w:cs="Times New Roman"/>
                <w:bCs/>
                <w:color w:val="auto"/>
                <w:kern w:val="0"/>
                <w:sz w:val="24"/>
                <w:szCs w:val="24"/>
                <w:lang w:eastAsia="zh-CN"/>
              </w:rPr>
              <w:t>发生泄漏时，及时用吸油毡吸附并放置到密闭的容器中储存，防止接触火源引发火灾。</w:t>
            </w:r>
          </w:p>
          <w:p w14:paraId="70995303">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Times New Roman" w:hAnsi="Times New Roman" w:eastAsia="宋体" w:cs="Times New Roman"/>
                <w:bCs/>
                <w:color w:val="auto"/>
                <w:kern w:val="0"/>
                <w:sz w:val="24"/>
                <w:szCs w:val="24"/>
              </w:rPr>
            </w:pPr>
            <w:r>
              <w:rPr>
                <w:rFonts w:hint="eastAsia" w:ascii="Times New Roman" w:hAnsi="Times New Roman" w:eastAsia="宋体" w:cs="Times New Roman"/>
                <w:bCs/>
                <w:color w:val="auto"/>
                <w:kern w:val="0"/>
                <w:sz w:val="24"/>
                <w:szCs w:val="24"/>
                <w:lang w:eastAsia="zh-CN"/>
              </w:rPr>
              <w:t>（</w:t>
            </w:r>
            <w:r>
              <w:rPr>
                <w:rFonts w:hint="eastAsia" w:ascii="Times New Roman" w:hAnsi="Times New Roman" w:eastAsia="宋体" w:cs="Times New Roman"/>
                <w:bCs/>
                <w:color w:val="auto"/>
                <w:kern w:val="0"/>
                <w:sz w:val="24"/>
                <w:szCs w:val="24"/>
                <w:lang w:val="en-US" w:eastAsia="zh-CN"/>
              </w:rPr>
              <w:t>4）</w:t>
            </w:r>
            <w:r>
              <w:rPr>
                <w:rFonts w:hint="eastAsia" w:ascii="Times New Roman" w:hAnsi="Times New Roman" w:eastAsia="宋体" w:cs="Times New Roman"/>
                <w:bCs/>
                <w:color w:val="auto"/>
                <w:kern w:val="0"/>
                <w:sz w:val="24"/>
                <w:szCs w:val="24"/>
              </w:rPr>
              <w:t>制定事故应急救援方案，发生事故时，及时采取应急行动，保护工作人员及周边人员安全，并防止事故扩大，最大限度地减少事故损失。</w:t>
            </w:r>
          </w:p>
          <w:p w14:paraId="2A7BB46C">
            <w:pPr>
              <w:pStyle w:val="45"/>
              <w:keepNext w:val="0"/>
              <w:keepLines w:val="0"/>
              <w:pageBreakBefore w:val="0"/>
              <w:widowControl w:val="0"/>
              <w:kinsoku/>
              <w:wordWrap/>
              <w:overflowPunct/>
              <w:topLinePunct w:val="0"/>
              <w:autoSpaceDE/>
              <w:autoSpaceDN/>
              <w:bidi w:val="0"/>
              <w:adjustRightInd w:val="0"/>
              <w:snapToGrid w:val="0"/>
              <w:ind w:firstLine="482" w:firstLineChars="200"/>
              <w:textAlignment w:val="auto"/>
              <w:rPr>
                <w:rFonts w:hint="eastAsia"/>
                <w:color w:val="auto"/>
              </w:rPr>
            </w:pPr>
            <w:r>
              <w:rPr>
                <w:rFonts w:hint="eastAsia"/>
                <w:color w:val="auto"/>
                <w:lang w:val="en-US" w:eastAsia="zh-CN"/>
              </w:rPr>
              <w:t>7.4</w:t>
            </w:r>
            <w:r>
              <w:rPr>
                <w:rFonts w:hint="eastAsia"/>
                <w:color w:val="auto"/>
              </w:rPr>
              <w:t>环境风险评价结论</w:t>
            </w:r>
          </w:p>
          <w:p w14:paraId="2BAA582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Times New Roman" w:hAnsi="Times New Roman" w:eastAsia="宋体" w:cs="Times New Roman"/>
                <w:bCs/>
                <w:color w:val="auto"/>
                <w:kern w:val="0"/>
                <w:sz w:val="24"/>
                <w:szCs w:val="24"/>
              </w:rPr>
            </w:pPr>
            <w:r>
              <w:rPr>
                <w:rFonts w:hint="eastAsia" w:ascii="Times New Roman" w:hAnsi="Times New Roman" w:eastAsia="宋体" w:cs="Times New Roman"/>
                <w:bCs/>
                <w:color w:val="auto"/>
                <w:kern w:val="0"/>
                <w:sz w:val="24"/>
                <w:szCs w:val="24"/>
              </w:rPr>
              <w:t>本项目环境风险开展简单分析。具体内容</w:t>
            </w:r>
            <w:r>
              <w:rPr>
                <w:rFonts w:hint="eastAsia" w:ascii="Times New Roman" w:hAnsi="Times New Roman" w:eastAsia="宋体" w:cs="Times New Roman"/>
                <w:bCs/>
                <w:color w:val="auto"/>
                <w:kern w:val="0"/>
                <w:sz w:val="24"/>
                <w:szCs w:val="24"/>
                <w:lang w:val="en-US" w:eastAsia="zh-CN"/>
              </w:rPr>
              <w:t>见下表</w:t>
            </w:r>
            <w:r>
              <w:rPr>
                <w:rFonts w:hint="eastAsia" w:ascii="Times New Roman" w:hAnsi="Times New Roman" w:eastAsia="宋体" w:cs="Times New Roman"/>
                <w:bCs/>
                <w:color w:val="auto"/>
                <w:kern w:val="0"/>
                <w:sz w:val="24"/>
                <w:szCs w:val="24"/>
              </w:rPr>
              <w:t>。</w:t>
            </w:r>
          </w:p>
          <w:p w14:paraId="7EA0EACF">
            <w:pPr>
              <w:pStyle w:val="47"/>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color w:val="auto"/>
                <w:sz w:val="24"/>
                <w:szCs w:val="24"/>
              </w:rPr>
            </w:pPr>
            <w:r>
              <w:rPr>
                <w:rFonts w:hint="eastAsia"/>
                <w:color w:val="auto"/>
                <w:sz w:val="24"/>
                <w:szCs w:val="24"/>
              </w:rPr>
              <w:t>表</w:t>
            </w:r>
            <w:r>
              <w:rPr>
                <w:rFonts w:hint="eastAsia"/>
                <w:color w:val="auto"/>
                <w:sz w:val="24"/>
                <w:szCs w:val="24"/>
                <w:lang w:val="en-US" w:eastAsia="zh-CN"/>
              </w:rPr>
              <w:t>5-6</w:t>
            </w:r>
            <w:r>
              <w:rPr>
                <w:rFonts w:hint="eastAsia"/>
                <w:color w:val="auto"/>
                <w:sz w:val="24"/>
                <w:szCs w:val="24"/>
              </w:rPr>
              <w:t xml:space="preserve">   建设项目环境风险简单分析内容表</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7"/>
              <w:gridCol w:w="5977"/>
            </w:tblGrid>
            <w:tr w14:paraId="77014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15" w:type="pct"/>
                  <w:noWrap w:val="0"/>
                  <w:vAlign w:val="center"/>
                </w:tcPr>
                <w:p w14:paraId="512FC66E">
                  <w:pPr>
                    <w:pStyle w:val="43"/>
                    <w:keepNext w:val="0"/>
                    <w:keepLines w:val="0"/>
                    <w:pageBreakBefore w:val="0"/>
                    <w:widowControl w:val="0"/>
                    <w:kinsoku/>
                    <w:overflowPunct/>
                    <w:topLinePunct w:val="0"/>
                    <w:autoSpaceDE/>
                    <w:autoSpaceDN/>
                    <w:bidi w:val="0"/>
                    <w:adjustRightInd w:val="0"/>
                    <w:snapToGrid w:val="0"/>
                    <w:textAlignment w:val="auto"/>
                    <w:rPr>
                      <w:rFonts w:hint="eastAsia"/>
                      <w:color w:val="auto"/>
                    </w:rPr>
                  </w:pPr>
                  <w:r>
                    <w:rPr>
                      <w:rFonts w:hint="eastAsia"/>
                      <w:color w:val="auto"/>
                    </w:rPr>
                    <w:t>建设项目名称</w:t>
                  </w:r>
                </w:p>
              </w:tc>
              <w:tc>
                <w:tcPr>
                  <w:tcW w:w="3884" w:type="pct"/>
                  <w:noWrap w:val="0"/>
                  <w:vAlign w:val="center"/>
                </w:tcPr>
                <w:p w14:paraId="140841FA">
                  <w:pPr>
                    <w:pStyle w:val="43"/>
                    <w:keepNext w:val="0"/>
                    <w:keepLines w:val="0"/>
                    <w:pageBreakBefore w:val="0"/>
                    <w:widowControl w:val="0"/>
                    <w:kinsoku/>
                    <w:overflowPunct/>
                    <w:topLinePunct w:val="0"/>
                    <w:autoSpaceDE/>
                    <w:autoSpaceDN/>
                    <w:bidi w:val="0"/>
                    <w:adjustRightInd w:val="0"/>
                    <w:snapToGrid w:val="0"/>
                    <w:textAlignment w:val="auto"/>
                    <w:rPr>
                      <w:rFonts w:hint="default"/>
                      <w:color w:val="auto"/>
                      <w:highlight w:val="none"/>
                      <w:lang w:val="en-US"/>
                    </w:rPr>
                  </w:pPr>
                  <w:r>
                    <w:rPr>
                      <w:rFonts w:hint="eastAsia"/>
                      <w:color w:val="auto"/>
                      <w:highlight w:val="none"/>
                      <w:lang w:val="en-US" w:eastAsia="zh-CN"/>
                    </w:rPr>
                    <w:t>新疆且末县修特库依干大理岩矿普查项目</w:t>
                  </w:r>
                </w:p>
              </w:tc>
            </w:tr>
            <w:tr w14:paraId="2EAA9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15" w:type="pct"/>
                  <w:noWrap w:val="0"/>
                  <w:vAlign w:val="center"/>
                </w:tcPr>
                <w:p w14:paraId="4FF22F8E">
                  <w:pPr>
                    <w:pStyle w:val="43"/>
                    <w:keepNext w:val="0"/>
                    <w:keepLines w:val="0"/>
                    <w:pageBreakBefore w:val="0"/>
                    <w:widowControl w:val="0"/>
                    <w:kinsoku/>
                    <w:overflowPunct/>
                    <w:topLinePunct w:val="0"/>
                    <w:autoSpaceDE/>
                    <w:autoSpaceDN/>
                    <w:bidi w:val="0"/>
                    <w:adjustRightInd w:val="0"/>
                    <w:snapToGrid w:val="0"/>
                    <w:textAlignment w:val="auto"/>
                    <w:rPr>
                      <w:rFonts w:hint="eastAsia"/>
                      <w:color w:val="auto"/>
                    </w:rPr>
                  </w:pPr>
                  <w:r>
                    <w:rPr>
                      <w:rFonts w:hint="eastAsia"/>
                      <w:color w:val="auto"/>
                    </w:rPr>
                    <w:t>建设地点</w:t>
                  </w:r>
                </w:p>
              </w:tc>
              <w:tc>
                <w:tcPr>
                  <w:tcW w:w="3884" w:type="pct"/>
                  <w:noWrap w:val="0"/>
                  <w:vAlign w:val="center"/>
                </w:tcPr>
                <w:p w14:paraId="1ECE66E0">
                  <w:pPr>
                    <w:pStyle w:val="43"/>
                    <w:keepNext w:val="0"/>
                    <w:keepLines w:val="0"/>
                    <w:pageBreakBefore w:val="0"/>
                    <w:widowControl w:val="0"/>
                    <w:kinsoku/>
                    <w:overflowPunct/>
                    <w:topLinePunct w:val="0"/>
                    <w:autoSpaceDE/>
                    <w:autoSpaceDN/>
                    <w:bidi w:val="0"/>
                    <w:adjustRightInd w:val="0"/>
                    <w:snapToGrid w:val="0"/>
                    <w:textAlignment w:val="auto"/>
                    <w:rPr>
                      <w:rFonts w:hint="default"/>
                      <w:color w:val="auto"/>
                      <w:highlight w:val="none"/>
                      <w:lang w:val="en-US" w:eastAsia="zh-CN"/>
                    </w:rPr>
                  </w:pPr>
                  <w:r>
                    <w:rPr>
                      <w:rFonts w:hint="default"/>
                      <w:color w:val="auto"/>
                      <w:highlight w:val="none"/>
                      <w:lang w:val="en-US" w:eastAsia="zh-CN"/>
                    </w:rPr>
                    <w:t>新疆维吾尔自治区巴音郭楞蒙古自治州且末县库拉木勒克乡，距且末县城东南95°方向约122km处</w:t>
                  </w:r>
                </w:p>
              </w:tc>
            </w:tr>
            <w:tr w14:paraId="558EF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15" w:type="pct"/>
                  <w:noWrap w:val="0"/>
                  <w:vAlign w:val="center"/>
                </w:tcPr>
                <w:p w14:paraId="59E4B69B">
                  <w:pPr>
                    <w:pStyle w:val="43"/>
                    <w:keepNext w:val="0"/>
                    <w:keepLines w:val="0"/>
                    <w:pageBreakBefore w:val="0"/>
                    <w:widowControl w:val="0"/>
                    <w:kinsoku/>
                    <w:overflowPunct/>
                    <w:topLinePunct w:val="0"/>
                    <w:autoSpaceDE/>
                    <w:autoSpaceDN/>
                    <w:bidi w:val="0"/>
                    <w:adjustRightInd w:val="0"/>
                    <w:snapToGrid w:val="0"/>
                    <w:textAlignment w:val="auto"/>
                    <w:rPr>
                      <w:rFonts w:hint="eastAsia"/>
                      <w:color w:val="auto"/>
                    </w:rPr>
                  </w:pPr>
                  <w:r>
                    <w:rPr>
                      <w:rFonts w:hint="eastAsia"/>
                      <w:color w:val="auto"/>
                    </w:rPr>
                    <w:t>地理坐标</w:t>
                  </w:r>
                </w:p>
              </w:tc>
              <w:tc>
                <w:tcPr>
                  <w:tcW w:w="3884" w:type="pct"/>
                  <w:noWrap w:val="0"/>
                  <w:vAlign w:val="center"/>
                </w:tcPr>
                <w:p w14:paraId="6BF52C55">
                  <w:pPr>
                    <w:jc w:val="center"/>
                    <w:rPr>
                      <w:rFonts w:hint="eastAsia"/>
                      <w:color w:val="auto"/>
                      <w:highlight w:val="none"/>
                      <w:lang w:eastAsia="zh-CN"/>
                    </w:rPr>
                  </w:pPr>
                  <w:r>
                    <w:rPr>
                      <w:rFonts w:hint="eastAsia"/>
                      <w:color w:val="auto"/>
                      <w:highlight w:val="none"/>
                      <w:lang w:eastAsia="zh-CN"/>
                    </w:rPr>
                    <w:t>项目中心坐标：</w:t>
                  </w:r>
                  <w:r>
                    <w:rPr>
                      <w:rFonts w:hint="default" w:ascii="Times New Roman" w:hAnsi="Times New Roman" w:cs="Times New Roman"/>
                      <w:color w:val="auto"/>
                      <w:szCs w:val="21"/>
                      <w:lang w:val="en-US" w:eastAsia="zh-CN"/>
                    </w:rPr>
                    <w:t>东经</w:t>
                  </w:r>
                  <w:r>
                    <w:rPr>
                      <w:rFonts w:hint="default" w:ascii="Times New Roman" w:hAnsi="Times New Roman" w:cs="Times New Roman"/>
                      <w:color w:val="auto"/>
                      <w:szCs w:val="21"/>
                    </w:rPr>
                    <w:t>86°56′8.727″</w:t>
                  </w:r>
                  <w:r>
                    <w:rPr>
                      <w:rFonts w:hint="default" w:ascii="Times New Roman" w:hAnsi="Times New Roman" w:cs="Times New Roman"/>
                      <w:color w:val="auto"/>
                      <w:szCs w:val="21"/>
                      <w:lang w:eastAsia="zh-CN"/>
                    </w:rPr>
                    <w:t>，</w:t>
                  </w:r>
                  <w:r>
                    <w:rPr>
                      <w:rFonts w:hint="default" w:ascii="Times New Roman" w:hAnsi="Times New Roman" w:cs="Times New Roman"/>
                      <w:color w:val="auto"/>
                      <w:szCs w:val="21"/>
                      <w:lang w:val="en-US" w:eastAsia="zh-CN"/>
                    </w:rPr>
                    <w:t>北纬</w:t>
                  </w:r>
                  <w:r>
                    <w:rPr>
                      <w:rFonts w:hint="default" w:ascii="Times New Roman" w:hAnsi="Times New Roman" w:cs="Times New Roman"/>
                      <w:color w:val="auto"/>
                      <w:szCs w:val="21"/>
                    </w:rPr>
                    <w:t>38°6′44.227″</w:t>
                  </w:r>
                </w:p>
              </w:tc>
            </w:tr>
            <w:tr w14:paraId="25DB5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15" w:type="pct"/>
                  <w:noWrap w:val="0"/>
                  <w:vAlign w:val="center"/>
                </w:tcPr>
                <w:p w14:paraId="094FF506">
                  <w:pPr>
                    <w:pStyle w:val="43"/>
                    <w:keepNext w:val="0"/>
                    <w:keepLines w:val="0"/>
                    <w:pageBreakBefore w:val="0"/>
                    <w:widowControl w:val="0"/>
                    <w:kinsoku/>
                    <w:overflowPunct/>
                    <w:topLinePunct w:val="0"/>
                    <w:autoSpaceDE/>
                    <w:autoSpaceDN/>
                    <w:bidi w:val="0"/>
                    <w:adjustRightInd w:val="0"/>
                    <w:snapToGrid w:val="0"/>
                    <w:textAlignment w:val="auto"/>
                    <w:rPr>
                      <w:rFonts w:hint="eastAsia"/>
                      <w:color w:val="auto"/>
                    </w:rPr>
                  </w:pPr>
                  <w:r>
                    <w:rPr>
                      <w:rFonts w:hint="eastAsia"/>
                      <w:color w:val="auto"/>
                    </w:rPr>
                    <w:t>主要危险物质及分布</w:t>
                  </w:r>
                </w:p>
              </w:tc>
              <w:tc>
                <w:tcPr>
                  <w:tcW w:w="3884" w:type="pct"/>
                  <w:noWrap w:val="0"/>
                  <w:vAlign w:val="center"/>
                </w:tcPr>
                <w:p w14:paraId="0CDCA4D4">
                  <w:pPr>
                    <w:pStyle w:val="43"/>
                    <w:keepNext w:val="0"/>
                    <w:keepLines w:val="0"/>
                    <w:pageBreakBefore w:val="0"/>
                    <w:widowControl w:val="0"/>
                    <w:kinsoku/>
                    <w:overflowPunct/>
                    <w:topLinePunct w:val="0"/>
                    <w:autoSpaceDE/>
                    <w:autoSpaceDN/>
                    <w:bidi w:val="0"/>
                    <w:adjustRightInd w:val="0"/>
                    <w:snapToGrid w:val="0"/>
                    <w:textAlignment w:val="auto"/>
                    <w:rPr>
                      <w:rFonts w:hint="eastAsia"/>
                      <w:color w:val="auto"/>
                      <w:lang w:val="en-US" w:eastAsia="zh-CN"/>
                    </w:rPr>
                  </w:pPr>
                  <w:r>
                    <w:rPr>
                      <w:rFonts w:hint="eastAsia"/>
                      <w:color w:val="auto"/>
                      <w:lang w:eastAsia="zh-CN"/>
                    </w:rPr>
                    <w:t>柴油</w:t>
                  </w:r>
                </w:p>
              </w:tc>
            </w:tr>
            <w:tr w14:paraId="298FF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15" w:type="pct"/>
                  <w:noWrap w:val="0"/>
                  <w:vAlign w:val="center"/>
                </w:tcPr>
                <w:p w14:paraId="769D264F">
                  <w:pPr>
                    <w:pStyle w:val="43"/>
                    <w:keepNext w:val="0"/>
                    <w:keepLines w:val="0"/>
                    <w:pageBreakBefore w:val="0"/>
                    <w:widowControl w:val="0"/>
                    <w:kinsoku/>
                    <w:overflowPunct/>
                    <w:topLinePunct w:val="0"/>
                    <w:autoSpaceDE/>
                    <w:autoSpaceDN/>
                    <w:bidi w:val="0"/>
                    <w:adjustRightInd w:val="0"/>
                    <w:snapToGrid w:val="0"/>
                    <w:textAlignment w:val="auto"/>
                    <w:rPr>
                      <w:rFonts w:hint="eastAsia"/>
                      <w:color w:val="auto"/>
                    </w:rPr>
                  </w:pPr>
                  <w:r>
                    <w:rPr>
                      <w:rFonts w:hint="eastAsia"/>
                      <w:color w:val="auto"/>
                    </w:rPr>
                    <w:t>环境影响途径及危害后果（大气、地表水、地下水）</w:t>
                  </w:r>
                </w:p>
              </w:tc>
              <w:tc>
                <w:tcPr>
                  <w:tcW w:w="3884" w:type="pct"/>
                  <w:noWrap w:val="0"/>
                  <w:vAlign w:val="center"/>
                </w:tcPr>
                <w:p w14:paraId="59AFC19B">
                  <w:pPr>
                    <w:pStyle w:val="43"/>
                    <w:keepNext w:val="0"/>
                    <w:keepLines w:val="0"/>
                    <w:pageBreakBefore w:val="0"/>
                    <w:widowControl w:val="0"/>
                    <w:kinsoku/>
                    <w:overflowPunct/>
                    <w:topLinePunct w:val="0"/>
                    <w:autoSpaceDE/>
                    <w:autoSpaceDN/>
                    <w:bidi w:val="0"/>
                    <w:adjustRightInd w:val="0"/>
                    <w:snapToGrid w:val="0"/>
                    <w:jc w:val="left"/>
                    <w:textAlignment w:val="auto"/>
                    <w:rPr>
                      <w:rFonts w:hint="eastAsia"/>
                      <w:color w:val="auto"/>
                    </w:rPr>
                  </w:pPr>
                  <w:r>
                    <w:rPr>
                      <w:rFonts w:hint="eastAsia"/>
                      <w:color w:val="auto"/>
                    </w:rPr>
                    <w:t>（1）</w:t>
                  </w:r>
                  <w:r>
                    <w:rPr>
                      <w:rFonts w:hint="eastAsia"/>
                      <w:color w:val="auto"/>
                      <w:lang w:eastAsia="zh-CN"/>
                    </w:rPr>
                    <w:t>勘探</w:t>
                  </w:r>
                  <w:r>
                    <w:rPr>
                      <w:rFonts w:hint="eastAsia"/>
                      <w:color w:val="auto"/>
                    </w:rPr>
                    <w:t>过程</w:t>
                  </w:r>
                </w:p>
                <w:p w14:paraId="217D6200">
                  <w:pPr>
                    <w:pStyle w:val="43"/>
                    <w:keepNext w:val="0"/>
                    <w:keepLines w:val="0"/>
                    <w:pageBreakBefore w:val="0"/>
                    <w:widowControl w:val="0"/>
                    <w:kinsoku/>
                    <w:overflowPunct/>
                    <w:topLinePunct w:val="0"/>
                    <w:autoSpaceDE/>
                    <w:autoSpaceDN/>
                    <w:bidi w:val="0"/>
                    <w:adjustRightInd w:val="0"/>
                    <w:snapToGrid w:val="0"/>
                    <w:jc w:val="left"/>
                    <w:textAlignment w:val="auto"/>
                    <w:rPr>
                      <w:rFonts w:hint="eastAsia"/>
                      <w:color w:val="auto"/>
                    </w:rPr>
                  </w:pPr>
                  <w:r>
                    <w:rPr>
                      <w:rFonts w:hint="eastAsia"/>
                      <w:color w:val="auto"/>
                      <w:lang w:eastAsia="zh-CN"/>
                    </w:rPr>
                    <w:t>勘探</w:t>
                  </w:r>
                  <w:r>
                    <w:rPr>
                      <w:rFonts w:hint="eastAsia"/>
                      <w:color w:val="auto"/>
                    </w:rPr>
                    <w:t>过程引发自然地质灾害。</w:t>
                  </w:r>
                </w:p>
                <w:p w14:paraId="16AE08B8">
                  <w:pPr>
                    <w:pStyle w:val="43"/>
                    <w:keepNext w:val="0"/>
                    <w:keepLines w:val="0"/>
                    <w:pageBreakBefore w:val="0"/>
                    <w:widowControl w:val="0"/>
                    <w:kinsoku/>
                    <w:overflowPunct/>
                    <w:topLinePunct w:val="0"/>
                    <w:autoSpaceDE/>
                    <w:autoSpaceDN/>
                    <w:bidi w:val="0"/>
                    <w:adjustRightInd w:val="0"/>
                    <w:snapToGrid w:val="0"/>
                    <w:jc w:val="left"/>
                    <w:textAlignment w:val="auto"/>
                    <w:rPr>
                      <w:rFonts w:hint="eastAsia"/>
                      <w:color w:val="auto"/>
                      <w:lang w:val="en-US" w:eastAsia="zh-CN"/>
                    </w:rPr>
                  </w:pPr>
                  <w:r>
                    <w:rPr>
                      <w:rFonts w:hint="eastAsia"/>
                      <w:color w:val="auto"/>
                      <w:lang w:eastAsia="zh-CN"/>
                    </w:rPr>
                    <w:t>（</w:t>
                  </w:r>
                  <w:r>
                    <w:rPr>
                      <w:rFonts w:hint="eastAsia"/>
                      <w:color w:val="auto"/>
                      <w:lang w:val="en-US" w:eastAsia="zh-CN"/>
                    </w:rPr>
                    <w:t>2）泄漏</w:t>
                  </w:r>
                </w:p>
                <w:p w14:paraId="78EC61A3">
                  <w:pPr>
                    <w:pStyle w:val="43"/>
                    <w:keepNext w:val="0"/>
                    <w:keepLines w:val="0"/>
                    <w:pageBreakBefore w:val="0"/>
                    <w:widowControl w:val="0"/>
                    <w:kinsoku/>
                    <w:overflowPunct/>
                    <w:topLinePunct w:val="0"/>
                    <w:autoSpaceDE/>
                    <w:autoSpaceDN/>
                    <w:bidi w:val="0"/>
                    <w:adjustRightInd w:val="0"/>
                    <w:snapToGrid w:val="0"/>
                    <w:jc w:val="left"/>
                    <w:textAlignment w:val="auto"/>
                    <w:rPr>
                      <w:rFonts w:hint="eastAsia"/>
                      <w:color w:val="auto"/>
                      <w:lang w:val="en-US" w:eastAsia="zh-CN"/>
                    </w:rPr>
                  </w:pPr>
                  <w:r>
                    <w:rPr>
                      <w:rFonts w:hint="eastAsia"/>
                      <w:color w:val="auto"/>
                      <w:lang w:val="en-US" w:eastAsia="zh-CN"/>
                    </w:rPr>
                    <w:t>①土壤：油桶破损导致柴油泄漏，泄漏油品流入土壤孔隙，会降低土壤的通透性，抑制土壤中酶活性，使土壤生物减少。油品洒落地区形成土壤的局部污染，一般而言，油品集中于土壤表层0~20cm范围内，这便使得根系分布于此深度的植物不能生长。</w:t>
                  </w:r>
                </w:p>
                <w:p w14:paraId="49DFBF69">
                  <w:pPr>
                    <w:pStyle w:val="43"/>
                    <w:keepNext w:val="0"/>
                    <w:keepLines w:val="0"/>
                    <w:pageBreakBefore w:val="0"/>
                    <w:widowControl w:val="0"/>
                    <w:kinsoku/>
                    <w:overflowPunct/>
                    <w:topLinePunct w:val="0"/>
                    <w:autoSpaceDE/>
                    <w:autoSpaceDN/>
                    <w:bidi w:val="0"/>
                    <w:adjustRightInd w:val="0"/>
                    <w:snapToGrid w:val="0"/>
                    <w:jc w:val="left"/>
                    <w:textAlignment w:val="auto"/>
                    <w:rPr>
                      <w:rFonts w:hint="eastAsia"/>
                      <w:color w:val="auto"/>
                      <w:lang w:val="en-US" w:eastAsia="zh-CN"/>
                    </w:rPr>
                  </w:pPr>
                  <w:r>
                    <w:rPr>
                      <w:rFonts w:hint="eastAsia"/>
                      <w:color w:val="auto"/>
                      <w:lang w:val="en-US" w:eastAsia="zh-CN"/>
                    </w:rPr>
                    <w:t>②地下水：由于储油泄漏，油品将通过包气带下渗进入潜水含水层，可能会使地下水受到污染。在大量油品泄漏、短时间内未回收的情况下，含油污水方可通过在土壤中的渗透，污染地下水。因此需要加强生产管理和监督，采取有效的防范措施，防止和减轻柴油泄漏造成的污染。</w:t>
                  </w:r>
                </w:p>
                <w:p w14:paraId="3E58954A">
                  <w:pPr>
                    <w:pStyle w:val="43"/>
                    <w:keepNext w:val="0"/>
                    <w:keepLines w:val="0"/>
                    <w:pageBreakBefore w:val="0"/>
                    <w:widowControl w:val="0"/>
                    <w:kinsoku/>
                    <w:overflowPunct/>
                    <w:topLinePunct w:val="0"/>
                    <w:autoSpaceDE/>
                    <w:autoSpaceDN/>
                    <w:bidi w:val="0"/>
                    <w:adjustRightInd w:val="0"/>
                    <w:snapToGrid w:val="0"/>
                    <w:jc w:val="left"/>
                    <w:textAlignment w:val="auto"/>
                    <w:rPr>
                      <w:rFonts w:hint="eastAsia"/>
                      <w:color w:val="auto"/>
                    </w:rPr>
                  </w:pPr>
                  <w:r>
                    <w:rPr>
                      <w:rFonts w:hint="eastAsia"/>
                      <w:color w:val="auto"/>
                    </w:rPr>
                    <w:t>（2）火灾</w:t>
                  </w:r>
                </w:p>
                <w:p w14:paraId="4B7E015A">
                  <w:pPr>
                    <w:pStyle w:val="43"/>
                    <w:keepNext w:val="0"/>
                    <w:keepLines w:val="0"/>
                    <w:pageBreakBefore w:val="0"/>
                    <w:widowControl w:val="0"/>
                    <w:kinsoku/>
                    <w:overflowPunct/>
                    <w:topLinePunct w:val="0"/>
                    <w:autoSpaceDE/>
                    <w:autoSpaceDN/>
                    <w:bidi w:val="0"/>
                    <w:adjustRightInd w:val="0"/>
                    <w:snapToGrid w:val="0"/>
                    <w:jc w:val="left"/>
                    <w:textAlignment w:val="auto"/>
                    <w:rPr>
                      <w:rFonts w:hint="eastAsia"/>
                      <w:color w:val="auto"/>
                    </w:rPr>
                  </w:pPr>
                  <w:r>
                    <w:rPr>
                      <w:rFonts w:hint="eastAsia"/>
                      <w:color w:val="auto"/>
                    </w:rPr>
                    <w:t>火灾的危害主要来自三方面，一是火源</w:t>
                  </w:r>
                  <w:r>
                    <w:rPr>
                      <w:rFonts w:hint="eastAsia"/>
                      <w:color w:val="auto"/>
                      <w:lang w:eastAsia="zh-CN"/>
                    </w:rPr>
                    <w:t>失去</w:t>
                  </w:r>
                  <w:r>
                    <w:rPr>
                      <w:rFonts w:hint="eastAsia"/>
                      <w:color w:val="auto"/>
                    </w:rPr>
                    <w:t>控制蔓延发展造成损失，另一方面是烟雾的快速、大方面扩散造成损失。最后是灭火过程中大量消耗消防用水，产生大量消防废水，可能污染地面土壤和地下水。</w:t>
                  </w:r>
                </w:p>
              </w:tc>
            </w:tr>
            <w:tr w14:paraId="7121E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15" w:type="pct"/>
                  <w:noWrap w:val="0"/>
                  <w:vAlign w:val="center"/>
                </w:tcPr>
                <w:p w14:paraId="14FA8CA5">
                  <w:pPr>
                    <w:pStyle w:val="43"/>
                    <w:keepNext w:val="0"/>
                    <w:keepLines w:val="0"/>
                    <w:pageBreakBefore w:val="0"/>
                    <w:widowControl w:val="0"/>
                    <w:kinsoku/>
                    <w:overflowPunct/>
                    <w:topLinePunct w:val="0"/>
                    <w:autoSpaceDE/>
                    <w:autoSpaceDN/>
                    <w:bidi w:val="0"/>
                    <w:adjustRightInd w:val="0"/>
                    <w:snapToGrid w:val="0"/>
                    <w:textAlignment w:val="auto"/>
                    <w:rPr>
                      <w:rFonts w:hint="eastAsia"/>
                      <w:color w:val="auto"/>
                    </w:rPr>
                  </w:pPr>
                  <w:r>
                    <w:rPr>
                      <w:rFonts w:hint="eastAsia"/>
                      <w:color w:val="auto"/>
                    </w:rPr>
                    <w:t>风险防范措施要求</w:t>
                  </w:r>
                </w:p>
              </w:tc>
              <w:tc>
                <w:tcPr>
                  <w:tcW w:w="3884" w:type="pct"/>
                  <w:noWrap w:val="0"/>
                  <w:vAlign w:val="center"/>
                </w:tcPr>
                <w:p w14:paraId="340B0155">
                  <w:pPr>
                    <w:pStyle w:val="43"/>
                    <w:keepNext w:val="0"/>
                    <w:keepLines w:val="0"/>
                    <w:pageBreakBefore w:val="0"/>
                    <w:widowControl w:val="0"/>
                    <w:kinsoku/>
                    <w:overflowPunct/>
                    <w:topLinePunct w:val="0"/>
                    <w:autoSpaceDE/>
                    <w:autoSpaceDN/>
                    <w:bidi w:val="0"/>
                    <w:adjustRightInd w:val="0"/>
                    <w:snapToGrid w:val="0"/>
                    <w:jc w:val="left"/>
                    <w:textAlignment w:val="auto"/>
                    <w:rPr>
                      <w:rFonts w:hint="eastAsia"/>
                      <w:color w:val="auto"/>
                    </w:rPr>
                  </w:pPr>
                  <w:r>
                    <w:rPr>
                      <w:rFonts w:hint="eastAsia"/>
                      <w:color w:val="auto"/>
                    </w:rPr>
                    <w:t>（1）制定环境风险管理制度</w:t>
                  </w:r>
                </w:p>
                <w:p w14:paraId="31ACBF5D">
                  <w:pPr>
                    <w:pStyle w:val="43"/>
                    <w:keepNext w:val="0"/>
                    <w:keepLines w:val="0"/>
                    <w:pageBreakBefore w:val="0"/>
                    <w:widowControl w:val="0"/>
                    <w:kinsoku/>
                    <w:overflowPunct/>
                    <w:topLinePunct w:val="0"/>
                    <w:autoSpaceDE/>
                    <w:autoSpaceDN/>
                    <w:bidi w:val="0"/>
                    <w:adjustRightInd w:val="0"/>
                    <w:snapToGrid w:val="0"/>
                    <w:jc w:val="left"/>
                    <w:textAlignment w:val="auto"/>
                    <w:rPr>
                      <w:rFonts w:hint="eastAsia"/>
                      <w:color w:val="auto"/>
                    </w:rPr>
                  </w:pPr>
                  <w:r>
                    <w:rPr>
                      <w:rFonts w:hint="eastAsia"/>
                      <w:color w:val="auto"/>
                    </w:rPr>
                    <w:t>建设单位需制定《环境保护责任制》《安全环保风险管理制度》，可满足企业环境风险管理要求，但是制度需要在执行中检验其可操作性。</w:t>
                  </w:r>
                </w:p>
                <w:p w14:paraId="1CC8169D">
                  <w:pPr>
                    <w:pStyle w:val="43"/>
                    <w:keepNext w:val="0"/>
                    <w:keepLines w:val="0"/>
                    <w:pageBreakBefore w:val="0"/>
                    <w:widowControl w:val="0"/>
                    <w:kinsoku/>
                    <w:overflowPunct/>
                    <w:topLinePunct w:val="0"/>
                    <w:autoSpaceDE/>
                    <w:autoSpaceDN/>
                    <w:bidi w:val="0"/>
                    <w:adjustRightInd w:val="0"/>
                    <w:snapToGrid w:val="0"/>
                    <w:jc w:val="left"/>
                    <w:textAlignment w:val="auto"/>
                    <w:rPr>
                      <w:rFonts w:hint="eastAsia"/>
                      <w:color w:val="auto"/>
                    </w:rPr>
                  </w:pPr>
                  <w:r>
                    <w:rPr>
                      <w:rFonts w:hint="eastAsia"/>
                      <w:color w:val="auto"/>
                    </w:rPr>
                    <w:t>（2）风险防控及应急措施</w:t>
                  </w:r>
                </w:p>
                <w:p w14:paraId="0D9FB67D">
                  <w:pPr>
                    <w:pStyle w:val="43"/>
                    <w:keepNext w:val="0"/>
                    <w:keepLines w:val="0"/>
                    <w:pageBreakBefore w:val="0"/>
                    <w:widowControl w:val="0"/>
                    <w:kinsoku/>
                    <w:overflowPunct/>
                    <w:topLinePunct w:val="0"/>
                    <w:autoSpaceDE/>
                    <w:autoSpaceDN/>
                    <w:bidi w:val="0"/>
                    <w:adjustRightInd w:val="0"/>
                    <w:snapToGrid w:val="0"/>
                    <w:jc w:val="left"/>
                    <w:textAlignment w:val="auto"/>
                    <w:rPr>
                      <w:rFonts w:hint="eastAsia"/>
                      <w:color w:val="auto"/>
                    </w:rPr>
                  </w:pPr>
                  <w:r>
                    <w:rPr>
                      <w:rFonts w:hint="eastAsia"/>
                      <w:color w:val="auto"/>
                    </w:rPr>
                    <w:t>为防止可能出现的风险事故，项目需在总图布局、工艺技术与自动控制、电气配置等方面采取风险防范措施，需制定应急处理及救援预案。</w:t>
                  </w:r>
                </w:p>
                <w:p w14:paraId="0B16AE6D">
                  <w:pPr>
                    <w:pStyle w:val="43"/>
                    <w:keepNext w:val="0"/>
                    <w:keepLines w:val="0"/>
                    <w:pageBreakBefore w:val="0"/>
                    <w:widowControl w:val="0"/>
                    <w:kinsoku/>
                    <w:overflowPunct/>
                    <w:topLinePunct w:val="0"/>
                    <w:autoSpaceDE/>
                    <w:autoSpaceDN/>
                    <w:bidi w:val="0"/>
                    <w:adjustRightInd w:val="0"/>
                    <w:snapToGrid w:val="0"/>
                    <w:jc w:val="left"/>
                    <w:textAlignment w:val="auto"/>
                    <w:rPr>
                      <w:rFonts w:hint="eastAsia"/>
                      <w:color w:val="auto"/>
                    </w:rPr>
                  </w:pPr>
                  <w:r>
                    <w:rPr>
                      <w:rFonts w:hint="eastAsia"/>
                      <w:color w:val="auto"/>
                    </w:rPr>
                    <w:t>（3）环境应急资源</w:t>
                  </w:r>
                </w:p>
                <w:p w14:paraId="216FA58F">
                  <w:pPr>
                    <w:pStyle w:val="43"/>
                    <w:keepNext w:val="0"/>
                    <w:keepLines w:val="0"/>
                    <w:pageBreakBefore w:val="0"/>
                    <w:widowControl w:val="0"/>
                    <w:kinsoku/>
                    <w:overflowPunct/>
                    <w:topLinePunct w:val="0"/>
                    <w:autoSpaceDE/>
                    <w:autoSpaceDN/>
                    <w:bidi w:val="0"/>
                    <w:adjustRightInd w:val="0"/>
                    <w:snapToGrid w:val="0"/>
                    <w:jc w:val="left"/>
                    <w:textAlignment w:val="auto"/>
                    <w:rPr>
                      <w:rFonts w:hint="eastAsia"/>
                      <w:color w:val="auto"/>
                    </w:rPr>
                  </w:pPr>
                  <w:r>
                    <w:rPr>
                      <w:rFonts w:hint="eastAsia"/>
                      <w:color w:val="auto"/>
                    </w:rPr>
                    <w:t>应按照制定的《安全环保风险管理制度》购置相应的环境风险应急资源，成立应急救援队伍。</w:t>
                  </w:r>
                </w:p>
                <w:p w14:paraId="14DFC68B">
                  <w:pPr>
                    <w:pStyle w:val="43"/>
                    <w:keepNext w:val="0"/>
                    <w:keepLines w:val="0"/>
                    <w:pageBreakBefore w:val="0"/>
                    <w:widowControl w:val="0"/>
                    <w:kinsoku/>
                    <w:overflowPunct/>
                    <w:topLinePunct w:val="0"/>
                    <w:autoSpaceDE/>
                    <w:autoSpaceDN/>
                    <w:bidi w:val="0"/>
                    <w:adjustRightInd w:val="0"/>
                    <w:snapToGrid w:val="0"/>
                    <w:jc w:val="left"/>
                    <w:textAlignment w:val="auto"/>
                    <w:rPr>
                      <w:rFonts w:hint="eastAsia"/>
                      <w:color w:val="auto"/>
                    </w:rPr>
                  </w:pPr>
                  <w:r>
                    <w:rPr>
                      <w:rFonts w:hint="eastAsia"/>
                      <w:color w:val="auto"/>
                    </w:rPr>
                    <w:t>（4）环境风险演练和培训</w:t>
                  </w:r>
                </w:p>
                <w:p w14:paraId="3F5A3478">
                  <w:pPr>
                    <w:pStyle w:val="43"/>
                    <w:keepNext w:val="0"/>
                    <w:keepLines w:val="0"/>
                    <w:pageBreakBefore w:val="0"/>
                    <w:widowControl w:val="0"/>
                    <w:kinsoku/>
                    <w:overflowPunct/>
                    <w:topLinePunct w:val="0"/>
                    <w:autoSpaceDE/>
                    <w:autoSpaceDN/>
                    <w:bidi w:val="0"/>
                    <w:adjustRightInd w:val="0"/>
                    <w:snapToGrid w:val="0"/>
                    <w:jc w:val="left"/>
                    <w:textAlignment w:val="auto"/>
                    <w:rPr>
                      <w:rFonts w:hint="eastAsia"/>
                      <w:color w:val="auto"/>
                    </w:rPr>
                  </w:pPr>
                  <w:r>
                    <w:rPr>
                      <w:rFonts w:hint="eastAsia"/>
                      <w:color w:val="auto"/>
                    </w:rPr>
                    <w:t>项目建成后，需对应急救援队伍进行培训，并定期进行环境风险应急演练。</w:t>
                  </w:r>
                </w:p>
              </w:tc>
            </w:tr>
            <w:tr w14:paraId="3F71E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0" w:type="pct"/>
                  <w:gridSpan w:val="2"/>
                  <w:noWrap w:val="0"/>
                  <w:vAlign w:val="center"/>
                </w:tcPr>
                <w:p w14:paraId="0FBA9520">
                  <w:pPr>
                    <w:pStyle w:val="43"/>
                    <w:keepNext w:val="0"/>
                    <w:keepLines w:val="0"/>
                    <w:pageBreakBefore w:val="0"/>
                    <w:widowControl w:val="0"/>
                    <w:kinsoku/>
                    <w:overflowPunct/>
                    <w:topLinePunct w:val="0"/>
                    <w:autoSpaceDE/>
                    <w:autoSpaceDN/>
                    <w:bidi w:val="0"/>
                    <w:adjustRightInd w:val="0"/>
                    <w:snapToGrid w:val="0"/>
                    <w:jc w:val="left"/>
                    <w:textAlignment w:val="auto"/>
                    <w:rPr>
                      <w:rFonts w:hint="eastAsia"/>
                      <w:color w:val="auto"/>
                    </w:rPr>
                  </w:pPr>
                  <w:r>
                    <w:rPr>
                      <w:rFonts w:hint="eastAsia"/>
                      <w:color w:val="auto"/>
                    </w:rPr>
                    <w:t>填表说明：</w:t>
                  </w:r>
                </w:p>
                <w:p w14:paraId="17838F6E">
                  <w:pPr>
                    <w:pStyle w:val="43"/>
                    <w:keepNext w:val="0"/>
                    <w:keepLines w:val="0"/>
                    <w:pageBreakBefore w:val="0"/>
                    <w:widowControl w:val="0"/>
                    <w:kinsoku/>
                    <w:overflowPunct/>
                    <w:topLinePunct w:val="0"/>
                    <w:autoSpaceDE/>
                    <w:autoSpaceDN/>
                    <w:bidi w:val="0"/>
                    <w:adjustRightInd w:val="0"/>
                    <w:snapToGrid w:val="0"/>
                    <w:jc w:val="left"/>
                    <w:textAlignment w:val="auto"/>
                    <w:rPr>
                      <w:rFonts w:hint="eastAsia"/>
                      <w:color w:val="auto"/>
                    </w:rPr>
                  </w:pPr>
                  <w:r>
                    <w:rPr>
                      <w:rFonts w:hint="eastAsia"/>
                      <w:color w:val="auto"/>
                    </w:rPr>
                    <w:t>根据本项目污染物特性，本项目应建立独立的环境风险应急预案，并</w:t>
                  </w:r>
                  <w:r>
                    <w:rPr>
                      <w:rFonts w:hint="eastAsia"/>
                      <w:color w:val="auto"/>
                      <w:lang w:eastAsia="zh-CN"/>
                    </w:rPr>
                    <w:t>报当</w:t>
                  </w:r>
                  <w:r>
                    <w:rPr>
                      <w:rFonts w:hint="eastAsia"/>
                      <w:color w:val="auto"/>
                    </w:rPr>
                    <w:t>地环境主管部门备案。</w:t>
                  </w:r>
                </w:p>
              </w:tc>
            </w:tr>
          </w:tbl>
          <w:p w14:paraId="365D2D03">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default" w:ascii="Times New Roman" w:hAnsi="Times New Roman" w:cs="Times New Roman"/>
                <w:color w:val="auto"/>
                <w:sz w:val="24"/>
                <w:highlight w:val="none"/>
                <w:lang w:eastAsia="zh-CN"/>
              </w:rPr>
            </w:pPr>
            <w:r>
              <w:rPr>
                <w:rStyle w:val="59"/>
                <w:rFonts w:hint="eastAsia"/>
                <w:color w:val="auto"/>
              </w:rPr>
              <w:t>根据上述分析，本项目环境风险是可防控的</w:t>
            </w:r>
            <w:r>
              <w:rPr>
                <w:rFonts w:hint="eastAsia" w:ascii="Times New Roman" w:hAnsi="Times New Roman" w:eastAsia="宋体" w:cs="Times New Roman"/>
                <w:bCs/>
                <w:color w:val="auto"/>
                <w:kern w:val="0"/>
                <w:sz w:val="24"/>
                <w:szCs w:val="24"/>
              </w:rPr>
              <w:t>。</w:t>
            </w:r>
          </w:p>
          <w:p w14:paraId="191BACCA">
            <w:pPr>
              <w:keepNext w:val="0"/>
              <w:keepLines w:val="0"/>
              <w:pageBreakBefore w:val="0"/>
              <w:kinsoku/>
              <w:wordWrap/>
              <w:overflowPunct/>
              <w:topLinePunct w:val="0"/>
              <w:autoSpaceDE/>
              <w:autoSpaceDN/>
              <w:bidi w:val="0"/>
              <w:adjustRightInd/>
              <w:snapToGrid/>
              <w:spacing w:line="520" w:lineRule="exact"/>
              <w:textAlignment w:val="auto"/>
              <w:rPr>
                <w:rFonts w:hint="eastAsia"/>
                <w:b/>
                <w:bCs/>
                <w:color w:val="auto"/>
                <w:sz w:val="24"/>
                <w:szCs w:val="24"/>
                <w:lang w:eastAsia="zh-CN"/>
              </w:rPr>
            </w:pPr>
            <w:r>
              <w:rPr>
                <w:rFonts w:hint="eastAsia"/>
                <w:b/>
                <w:bCs/>
                <w:color w:val="auto"/>
                <w:sz w:val="24"/>
                <w:szCs w:val="24"/>
                <w:lang w:val="en-US" w:eastAsia="zh-CN"/>
              </w:rPr>
              <w:t>8</w:t>
            </w:r>
            <w:r>
              <w:rPr>
                <w:rFonts w:hint="eastAsia"/>
                <w:b/>
                <w:bCs/>
                <w:color w:val="auto"/>
                <w:sz w:val="24"/>
                <w:szCs w:val="24"/>
                <w:lang w:eastAsia="zh-CN"/>
              </w:rPr>
              <w:t>勘</w:t>
            </w:r>
            <w:r>
              <w:rPr>
                <w:rFonts w:hint="eastAsia"/>
                <w:b/>
                <w:bCs/>
                <w:color w:val="auto"/>
                <w:sz w:val="24"/>
                <w:szCs w:val="24"/>
                <w:lang w:val="en-US" w:eastAsia="zh-CN"/>
              </w:rPr>
              <w:t>查</w:t>
            </w:r>
            <w:r>
              <w:rPr>
                <w:rFonts w:hint="eastAsia"/>
                <w:b/>
                <w:bCs/>
                <w:color w:val="auto"/>
                <w:sz w:val="24"/>
                <w:szCs w:val="24"/>
                <w:lang w:eastAsia="zh-CN"/>
              </w:rPr>
              <w:t>期环境影响综合结论</w:t>
            </w:r>
          </w:p>
          <w:p w14:paraId="6CD62D41">
            <w:pPr>
              <w:pStyle w:val="16"/>
              <w:keepNext w:val="0"/>
              <w:keepLines w:val="0"/>
              <w:pageBreakBefore w:val="0"/>
              <w:kinsoku/>
              <w:wordWrap/>
              <w:overflowPunct/>
              <w:topLinePunct w:val="0"/>
              <w:autoSpaceDE/>
              <w:autoSpaceDN/>
              <w:bidi w:val="0"/>
              <w:adjustRightInd/>
              <w:snapToGrid/>
              <w:spacing w:line="520" w:lineRule="exact"/>
              <w:ind w:left="0" w:firstLine="480" w:firstLineChars="200"/>
              <w:textAlignment w:val="auto"/>
              <w:rPr>
                <w:rFonts w:hint="eastAsia"/>
                <w:color w:val="auto"/>
                <w:sz w:val="24"/>
                <w:szCs w:val="24"/>
                <w:lang w:eastAsia="zh-CN"/>
              </w:rPr>
            </w:pPr>
            <w:r>
              <w:rPr>
                <w:rFonts w:hint="eastAsia"/>
                <w:color w:val="auto"/>
                <w:sz w:val="24"/>
                <w:szCs w:val="24"/>
                <w:lang w:eastAsia="zh-CN"/>
              </w:rPr>
              <w:t>综上所述，勘查期产生的污染物，对区域的生态环境、空气环境、声环境、地表水环境的影响是不可避免的。但由于本项目工程量较小，不会改变区域环境功能，对周围环境的影响较小，而且其影响是暂时的、局部的，其影响将随勘查工作的结束而消失。</w:t>
            </w:r>
          </w:p>
          <w:p w14:paraId="0BFA245F">
            <w:pPr>
              <w:pStyle w:val="16"/>
              <w:keepNext w:val="0"/>
              <w:keepLines w:val="0"/>
              <w:pageBreakBefore w:val="0"/>
              <w:kinsoku/>
              <w:wordWrap/>
              <w:overflowPunct/>
              <w:topLinePunct w:val="0"/>
              <w:autoSpaceDE/>
              <w:autoSpaceDN/>
              <w:bidi w:val="0"/>
              <w:adjustRightInd/>
              <w:snapToGrid/>
              <w:spacing w:line="520" w:lineRule="exact"/>
              <w:textAlignment w:val="auto"/>
              <w:rPr>
                <w:rFonts w:hint="eastAsia"/>
                <w:b/>
                <w:bCs/>
                <w:color w:val="auto"/>
                <w:sz w:val="24"/>
                <w:szCs w:val="24"/>
                <w:lang w:eastAsia="zh-CN"/>
              </w:rPr>
            </w:pPr>
            <w:r>
              <w:rPr>
                <w:rFonts w:hint="eastAsia"/>
                <w:b/>
                <w:bCs/>
                <w:color w:val="auto"/>
                <w:sz w:val="24"/>
                <w:szCs w:val="24"/>
                <w:lang w:val="en-US" w:eastAsia="zh-CN"/>
              </w:rPr>
              <w:t>9</w:t>
            </w:r>
            <w:r>
              <w:rPr>
                <w:rFonts w:hint="eastAsia"/>
                <w:b/>
                <w:bCs/>
                <w:color w:val="auto"/>
                <w:sz w:val="24"/>
                <w:szCs w:val="24"/>
                <w:lang w:eastAsia="zh-CN"/>
              </w:rPr>
              <w:t>生态影响恢复措施的合理性和可行性分析</w:t>
            </w:r>
          </w:p>
          <w:p w14:paraId="7A001CEF">
            <w:pPr>
              <w:keepNext w:val="0"/>
              <w:keepLines w:val="0"/>
              <w:pageBreakBefore w:val="0"/>
              <w:kinsoku/>
              <w:wordWrap/>
              <w:overflowPunct/>
              <w:topLinePunct w:val="0"/>
              <w:autoSpaceDE/>
              <w:autoSpaceDN/>
              <w:bidi w:val="0"/>
              <w:adjustRightInd/>
              <w:snapToGrid/>
              <w:spacing w:line="520" w:lineRule="exact"/>
              <w:ind w:left="0" w:firstLine="480" w:firstLineChars="200"/>
              <w:textAlignment w:val="auto"/>
              <w:rPr>
                <w:rFonts w:hint="eastAsia"/>
                <w:color w:val="auto"/>
                <w:sz w:val="24"/>
                <w:szCs w:val="24"/>
                <w:lang w:val="en-US" w:eastAsia="zh-CN"/>
              </w:rPr>
            </w:pPr>
            <w:r>
              <w:rPr>
                <w:rFonts w:hint="eastAsia"/>
                <w:color w:val="auto"/>
                <w:sz w:val="24"/>
                <w:szCs w:val="24"/>
                <w:lang w:eastAsia="zh-CN"/>
              </w:rPr>
              <w:t>由于本项目位于高海拔地区，生态环境较脆弱，应特别注重勘探区的生态恢复。</w:t>
            </w:r>
            <w:r>
              <w:rPr>
                <w:rFonts w:hint="eastAsia"/>
                <w:color w:val="auto"/>
                <w:sz w:val="24"/>
                <w:szCs w:val="24"/>
                <w:lang w:val="en-US" w:eastAsia="zh-CN"/>
              </w:rPr>
              <w:t>探坑开挖的弃土临时堆放在探坑一侧，采样完成后立即回填。合理进行探矿布置，精心组织，严格控制探矿活动范围。对于山地工程、探槽弃土临时堆放场地等，取样后，立即回填，确保探矿结束后与周围景观基本相协调，与原生地形、地貌基本一致，无明显斑块状、条带状视觉印象。</w:t>
            </w:r>
          </w:p>
          <w:p w14:paraId="544CDB2B">
            <w:pPr>
              <w:keepNext w:val="0"/>
              <w:keepLines w:val="0"/>
              <w:pageBreakBefore w:val="0"/>
              <w:kinsoku/>
              <w:wordWrap/>
              <w:overflowPunct/>
              <w:topLinePunct w:val="0"/>
              <w:autoSpaceDE/>
              <w:autoSpaceDN/>
              <w:bidi w:val="0"/>
              <w:adjustRightInd/>
              <w:snapToGrid/>
              <w:spacing w:line="520" w:lineRule="exact"/>
              <w:ind w:left="0" w:firstLine="480" w:firstLineChars="200"/>
              <w:textAlignment w:val="auto"/>
              <w:rPr>
                <w:rFonts w:hint="eastAsia"/>
                <w:color w:val="auto"/>
                <w:sz w:val="24"/>
                <w:szCs w:val="24"/>
                <w:lang w:eastAsia="zh-CN"/>
              </w:rPr>
            </w:pPr>
            <w:r>
              <w:rPr>
                <w:rFonts w:hint="eastAsia"/>
                <w:color w:val="auto"/>
                <w:sz w:val="24"/>
                <w:szCs w:val="24"/>
                <w:lang w:eastAsia="zh-CN"/>
              </w:rPr>
              <w:t>（1）经济可行性</w:t>
            </w:r>
          </w:p>
          <w:p w14:paraId="29BB4A15">
            <w:pPr>
              <w:keepNext w:val="0"/>
              <w:keepLines w:val="0"/>
              <w:pageBreakBefore w:val="0"/>
              <w:kinsoku/>
              <w:wordWrap/>
              <w:overflowPunct/>
              <w:topLinePunct w:val="0"/>
              <w:autoSpaceDE/>
              <w:autoSpaceDN/>
              <w:bidi w:val="0"/>
              <w:adjustRightInd/>
              <w:snapToGrid/>
              <w:spacing w:line="520" w:lineRule="exact"/>
              <w:ind w:left="0"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本项目生态恢复措施</w:t>
            </w:r>
            <w:r>
              <w:rPr>
                <w:rFonts w:hint="eastAsia"/>
                <w:color w:val="auto"/>
                <w:sz w:val="24"/>
                <w:szCs w:val="24"/>
                <w:highlight w:val="none"/>
                <w:lang w:val="en-US" w:eastAsia="zh-CN"/>
              </w:rPr>
              <w:t>主要为</w:t>
            </w:r>
            <w:r>
              <w:rPr>
                <w:rFonts w:hint="eastAsia"/>
                <w:color w:val="auto"/>
                <w:sz w:val="24"/>
                <w:szCs w:val="24"/>
                <w:highlight w:val="none"/>
                <w:lang w:eastAsia="zh-CN"/>
              </w:rPr>
              <w:t>工程措施，对临时堆土采用彩条布拦挡。工程完成后，对</w:t>
            </w:r>
            <w:r>
              <w:rPr>
                <w:rFonts w:hint="eastAsia"/>
                <w:color w:val="auto"/>
                <w:sz w:val="24"/>
                <w:szCs w:val="24"/>
                <w:highlight w:val="none"/>
                <w:lang w:val="en-US" w:eastAsia="zh-CN"/>
              </w:rPr>
              <w:t>勘探</w:t>
            </w:r>
            <w:r>
              <w:rPr>
                <w:rFonts w:hint="eastAsia"/>
                <w:color w:val="auto"/>
                <w:sz w:val="24"/>
                <w:szCs w:val="24"/>
                <w:highlight w:val="none"/>
                <w:lang w:eastAsia="zh-CN"/>
              </w:rPr>
              <w:t>迹地和</w:t>
            </w:r>
            <w:r>
              <w:rPr>
                <w:rFonts w:hint="eastAsia"/>
                <w:color w:val="auto"/>
                <w:sz w:val="24"/>
                <w:szCs w:val="24"/>
                <w:highlight w:val="none"/>
                <w:lang w:val="en-US" w:eastAsia="zh-CN"/>
              </w:rPr>
              <w:t>临时堆土区进行土地平整，恢复原有地貌。</w:t>
            </w:r>
            <w:r>
              <w:rPr>
                <w:rFonts w:hint="eastAsia"/>
                <w:color w:val="auto"/>
                <w:sz w:val="24"/>
                <w:szCs w:val="24"/>
                <w:highlight w:val="none"/>
                <w:lang w:eastAsia="zh-CN"/>
              </w:rPr>
              <w:t>工程措施简单易行，所需设备材料价格合理。</w:t>
            </w:r>
          </w:p>
          <w:p w14:paraId="5A4E1C0B">
            <w:pPr>
              <w:keepNext w:val="0"/>
              <w:keepLines w:val="0"/>
              <w:pageBreakBefore w:val="0"/>
              <w:kinsoku/>
              <w:wordWrap/>
              <w:overflowPunct/>
              <w:topLinePunct w:val="0"/>
              <w:autoSpaceDE/>
              <w:autoSpaceDN/>
              <w:bidi w:val="0"/>
              <w:adjustRightInd/>
              <w:snapToGrid/>
              <w:spacing w:line="520" w:lineRule="exact"/>
              <w:ind w:left="0" w:firstLine="480" w:firstLineChars="200"/>
              <w:textAlignment w:val="auto"/>
              <w:rPr>
                <w:rFonts w:hint="eastAsia"/>
                <w:color w:val="auto"/>
                <w:sz w:val="24"/>
                <w:szCs w:val="24"/>
                <w:highlight w:val="none"/>
                <w:lang w:eastAsia="zh-CN"/>
              </w:rPr>
            </w:pPr>
            <w:r>
              <w:rPr>
                <w:rFonts w:hint="eastAsia"/>
                <w:color w:val="auto"/>
                <w:sz w:val="24"/>
                <w:szCs w:val="24"/>
                <w:highlight w:val="none"/>
                <w:lang w:val="en-US" w:eastAsia="zh-CN"/>
              </w:rPr>
              <w:t>项目总投资为274.26万元，环保投资为24万元，占总投资的8.75%</w:t>
            </w:r>
            <w:r>
              <w:rPr>
                <w:rFonts w:hint="eastAsia"/>
                <w:color w:val="auto"/>
                <w:sz w:val="24"/>
                <w:szCs w:val="24"/>
                <w:highlight w:val="none"/>
                <w:lang w:eastAsia="zh-CN"/>
              </w:rPr>
              <w:t>。项目的生态恢复措施投资额度在经济上是可接受的，能在一定经济基础上完成对生态环境最大程度上的恢复工作。因此，本项目生态恢复措施在经济上是可行的。</w:t>
            </w:r>
          </w:p>
          <w:p w14:paraId="75974BEC">
            <w:pPr>
              <w:keepNext w:val="0"/>
              <w:keepLines w:val="0"/>
              <w:pageBreakBefore w:val="0"/>
              <w:kinsoku/>
              <w:wordWrap/>
              <w:overflowPunct/>
              <w:topLinePunct w:val="0"/>
              <w:autoSpaceDE/>
              <w:autoSpaceDN/>
              <w:bidi w:val="0"/>
              <w:adjustRightInd/>
              <w:snapToGrid/>
              <w:spacing w:line="520" w:lineRule="exact"/>
              <w:ind w:left="0"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（2）技术可行性</w:t>
            </w:r>
          </w:p>
          <w:p w14:paraId="1C8AB649">
            <w:pPr>
              <w:keepNext w:val="0"/>
              <w:keepLines w:val="0"/>
              <w:pageBreakBefore w:val="0"/>
              <w:kinsoku/>
              <w:wordWrap/>
              <w:overflowPunct/>
              <w:topLinePunct w:val="0"/>
              <w:autoSpaceDE/>
              <w:autoSpaceDN/>
              <w:bidi w:val="0"/>
              <w:adjustRightInd/>
              <w:snapToGrid/>
              <w:spacing w:line="520" w:lineRule="exact"/>
              <w:ind w:left="0" w:firstLine="480" w:firstLineChars="200"/>
              <w:textAlignment w:val="auto"/>
              <w:rPr>
                <w:rFonts w:hint="eastAsia"/>
                <w:color w:val="auto"/>
                <w:sz w:val="24"/>
                <w:szCs w:val="24"/>
                <w:lang w:eastAsia="zh-CN"/>
              </w:rPr>
            </w:pPr>
            <w:r>
              <w:rPr>
                <w:rFonts w:hint="eastAsia"/>
                <w:color w:val="auto"/>
                <w:sz w:val="24"/>
                <w:szCs w:val="24"/>
                <w:highlight w:val="none"/>
                <w:lang w:val="en-US" w:eastAsia="zh-CN"/>
              </w:rPr>
              <w:t>项目采取生态</w:t>
            </w:r>
            <w:r>
              <w:rPr>
                <w:rFonts w:hint="eastAsia"/>
                <w:color w:val="auto"/>
                <w:sz w:val="24"/>
                <w:szCs w:val="24"/>
                <w:highlight w:val="none"/>
                <w:lang w:eastAsia="zh-CN"/>
              </w:rPr>
              <w:t>措施技术较简单，易操</w:t>
            </w:r>
            <w:r>
              <w:rPr>
                <w:rFonts w:hint="eastAsia"/>
                <w:color w:val="auto"/>
                <w:sz w:val="24"/>
                <w:szCs w:val="24"/>
                <w:lang w:eastAsia="zh-CN"/>
              </w:rPr>
              <w:t>作，所需设备材料易取，对生态恢复的效果明显。措施实施后将对生态环境的恢复起到比较明显的效果。因此本项目生态恢复措施在技术上是可行的。</w:t>
            </w:r>
          </w:p>
          <w:p w14:paraId="06C17ECC">
            <w:pPr>
              <w:keepNext w:val="0"/>
              <w:keepLines w:val="0"/>
              <w:pageBreakBefore w:val="0"/>
              <w:kinsoku/>
              <w:wordWrap/>
              <w:overflowPunct/>
              <w:topLinePunct w:val="0"/>
              <w:autoSpaceDE/>
              <w:autoSpaceDN/>
              <w:bidi w:val="0"/>
              <w:adjustRightInd/>
              <w:snapToGrid/>
              <w:spacing w:line="520" w:lineRule="exact"/>
              <w:ind w:left="0" w:firstLine="480" w:firstLineChars="200"/>
              <w:textAlignment w:val="auto"/>
              <w:rPr>
                <w:rFonts w:hint="eastAsia"/>
                <w:color w:val="auto"/>
                <w:lang w:eastAsia="zh-CN"/>
              </w:rPr>
            </w:pPr>
            <w:r>
              <w:rPr>
                <w:rFonts w:hint="eastAsia"/>
                <w:color w:val="auto"/>
                <w:sz w:val="24"/>
                <w:szCs w:val="24"/>
                <w:lang w:eastAsia="zh-CN"/>
              </w:rPr>
              <w:t>综上，本项目生态保护措施是合理的，是可行的。</w:t>
            </w:r>
          </w:p>
          <w:p w14:paraId="1E9CDB70">
            <w:pPr>
              <w:keepNext w:val="0"/>
              <w:keepLines w:val="0"/>
              <w:pageBreakBefore w:val="0"/>
              <w:widowControl w:val="0"/>
              <w:kinsoku/>
              <w:wordWrap/>
              <w:topLinePunct w:val="0"/>
              <w:autoSpaceDE/>
              <w:autoSpaceDN/>
              <w:bidi w:val="0"/>
              <w:adjustRightInd/>
              <w:snapToGrid/>
              <w:spacing w:line="520" w:lineRule="exact"/>
              <w:textAlignment w:val="auto"/>
              <w:rPr>
                <w:b/>
                <w:bCs/>
                <w:color w:val="auto"/>
                <w:sz w:val="24"/>
                <w:szCs w:val="24"/>
              </w:rPr>
            </w:pPr>
            <w:r>
              <w:rPr>
                <w:rFonts w:hint="eastAsia"/>
                <w:b/>
                <w:bCs/>
                <w:color w:val="auto"/>
                <w:sz w:val="24"/>
                <w:szCs w:val="24"/>
                <w:lang w:val="en-US" w:eastAsia="zh-CN"/>
              </w:rPr>
              <w:t>10</w:t>
            </w:r>
            <w:r>
              <w:rPr>
                <w:rFonts w:hint="eastAsia"/>
                <w:b/>
                <w:bCs/>
                <w:color w:val="auto"/>
                <w:sz w:val="24"/>
                <w:szCs w:val="24"/>
              </w:rPr>
              <w:t>环境管理计划</w:t>
            </w:r>
          </w:p>
          <w:p w14:paraId="595E1938">
            <w:pPr>
              <w:keepNext w:val="0"/>
              <w:keepLines w:val="0"/>
              <w:pageBreakBefore w:val="0"/>
              <w:widowControl w:val="0"/>
              <w:kinsoku/>
              <w:wordWrap/>
              <w:overflowPunct w:val="0"/>
              <w:topLinePunct w:val="0"/>
              <w:autoSpaceDE/>
              <w:autoSpaceDN/>
              <w:bidi w:val="0"/>
              <w:adjustRightInd/>
              <w:snapToGrid/>
              <w:spacing w:line="520" w:lineRule="exact"/>
              <w:ind w:firstLine="482" w:firstLineChars="200"/>
              <w:textAlignment w:val="auto"/>
              <w:rPr>
                <w:b/>
                <w:color w:val="auto"/>
                <w:kern w:val="0"/>
                <w:sz w:val="24"/>
                <w:szCs w:val="24"/>
              </w:rPr>
            </w:pPr>
            <w:r>
              <w:rPr>
                <w:rFonts w:hint="eastAsia"/>
                <w:b/>
                <w:color w:val="auto"/>
                <w:kern w:val="0"/>
                <w:sz w:val="24"/>
                <w:szCs w:val="24"/>
                <w:lang w:val="en-US" w:eastAsia="zh-CN"/>
              </w:rPr>
              <w:t>10.1</w:t>
            </w:r>
            <w:r>
              <w:rPr>
                <w:rFonts w:hint="eastAsia"/>
                <w:b/>
                <w:color w:val="auto"/>
                <w:kern w:val="0"/>
                <w:sz w:val="24"/>
                <w:szCs w:val="24"/>
              </w:rPr>
              <w:t>环境管理职责</w:t>
            </w:r>
          </w:p>
          <w:p w14:paraId="4E3A08C7">
            <w:pPr>
              <w:keepNext w:val="0"/>
              <w:keepLines w:val="0"/>
              <w:pageBreakBefore w:val="0"/>
              <w:widowControl w:val="0"/>
              <w:kinsoku/>
              <w:wordWrap/>
              <w:overflowPunct w:val="0"/>
              <w:topLinePunct w:val="0"/>
              <w:autoSpaceDE/>
              <w:autoSpaceDN/>
              <w:bidi w:val="0"/>
              <w:adjustRightInd/>
              <w:snapToGrid/>
              <w:spacing w:line="520" w:lineRule="exact"/>
              <w:ind w:firstLine="480" w:firstLineChars="200"/>
              <w:textAlignment w:val="auto"/>
              <w:rPr>
                <w:color w:val="auto"/>
                <w:kern w:val="0"/>
                <w:sz w:val="24"/>
                <w:szCs w:val="24"/>
              </w:rPr>
            </w:pPr>
            <w:r>
              <w:rPr>
                <w:rFonts w:hint="eastAsia"/>
                <w:color w:val="auto"/>
                <w:kern w:val="0"/>
                <w:sz w:val="24"/>
                <w:szCs w:val="24"/>
              </w:rPr>
              <w:t>（</w:t>
            </w:r>
            <w:r>
              <w:rPr>
                <w:color w:val="auto"/>
                <w:kern w:val="0"/>
                <w:sz w:val="24"/>
                <w:szCs w:val="24"/>
              </w:rPr>
              <w:t>1</w:t>
            </w:r>
            <w:r>
              <w:rPr>
                <w:rFonts w:hint="eastAsia"/>
                <w:color w:val="auto"/>
                <w:kern w:val="0"/>
                <w:sz w:val="24"/>
                <w:szCs w:val="24"/>
              </w:rPr>
              <w:t>）最高管理者的职责</w:t>
            </w:r>
          </w:p>
          <w:p w14:paraId="34295460">
            <w:pPr>
              <w:keepNext w:val="0"/>
              <w:keepLines w:val="0"/>
              <w:pageBreakBefore w:val="0"/>
              <w:widowControl w:val="0"/>
              <w:kinsoku/>
              <w:wordWrap/>
              <w:overflowPunct w:val="0"/>
              <w:topLinePunct w:val="0"/>
              <w:autoSpaceDE/>
              <w:autoSpaceDN/>
              <w:bidi w:val="0"/>
              <w:adjustRightInd/>
              <w:snapToGrid/>
              <w:spacing w:line="520" w:lineRule="exact"/>
              <w:ind w:firstLine="480" w:firstLineChars="200"/>
              <w:textAlignment w:val="auto"/>
              <w:rPr>
                <w:color w:val="auto"/>
                <w:kern w:val="0"/>
                <w:sz w:val="24"/>
                <w:szCs w:val="24"/>
              </w:rPr>
            </w:pPr>
            <w:r>
              <w:rPr>
                <w:rFonts w:hint="eastAsia"/>
                <w:color w:val="auto"/>
                <w:kern w:val="0"/>
                <w:sz w:val="24"/>
                <w:szCs w:val="24"/>
              </w:rPr>
              <w:t>根据国家、自治区及地方各项环保政策、法规、标准制定环境方针；明确规定管理者代表的作用、职责权限，为环境管理工作提供包括人力、财力、技术等方面资源。</w:t>
            </w:r>
          </w:p>
          <w:p w14:paraId="72420892">
            <w:pPr>
              <w:keepNext w:val="0"/>
              <w:keepLines w:val="0"/>
              <w:pageBreakBefore w:val="0"/>
              <w:widowControl w:val="0"/>
              <w:kinsoku/>
              <w:wordWrap/>
              <w:overflowPunct w:val="0"/>
              <w:topLinePunct w:val="0"/>
              <w:autoSpaceDE/>
              <w:autoSpaceDN/>
              <w:bidi w:val="0"/>
              <w:adjustRightInd/>
              <w:snapToGrid/>
              <w:spacing w:line="520" w:lineRule="exact"/>
              <w:ind w:firstLine="480" w:firstLineChars="200"/>
              <w:textAlignment w:val="auto"/>
              <w:rPr>
                <w:color w:val="auto"/>
                <w:kern w:val="0"/>
                <w:sz w:val="24"/>
                <w:szCs w:val="24"/>
              </w:rPr>
            </w:pPr>
            <w:r>
              <w:rPr>
                <w:rFonts w:hint="eastAsia"/>
                <w:color w:val="auto"/>
                <w:kern w:val="0"/>
                <w:sz w:val="24"/>
                <w:szCs w:val="24"/>
              </w:rPr>
              <w:t>（</w:t>
            </w:r>
            <w:r>
              <w:rPr>
                <w:color w:val="auto"/>
                <w:kern w:val="0"/>
                <w:sz w:val="24"/>
                <w:szCs w:val="24"/>
              </w:rPr>
              <w:t>2</w:t>
            </w:r>
            <w:r>
              <w:rPr>
                <w:rFonts w:hint="eastAsia"/>
                <w:color w:val="auto"/>
                <w:kern w:val="0"/>
                <w:sz w:val="24"/>
                <w:szCs w:val="24"/>
              </w:rPr>
              <w:t>）管理者代表的职责</w:t>
            </w:r>
          </w:p>
          <w:p w14:paraId="7FE38FF0">
            <w:pPr>
              <w:keepNext w:val="0"/>
              <w:keepLines w:val="0"/>
              <w:pageBreakBefore w:val="0"/>
              <w:widowControl w:val="0"/>
              <w:kinsoku/>
              <w:wordWrap/>
              <w:overflowPunct w:val="0"/>
              <w:topLinePunct w:val="0"/>
              <w:autoSpaceDE/>
              <w:autoSpaceDN/>
              <w:bidi w:val="0"/>
              <w:adjustRightInd/>
              <w:snapToGrid/>
              <w:spacing w:line="520" w:lineRule="exact"/>
              <w:ind w:firstLine="480" w:firstLineChars="200"/>
              <w:textAlignment w:val="auto"/>
              <w:rPr>
                <w:color w:val="auto"/>
                <w:kern w:val="0"/>
                <w:sz w:val="24"/>
                <w:szCs w:val="24"/>
              </w:rPr>
            </w:pPr>
            <w:r>
              <w:rPr>
                <w:rFonts w:hint="eastAsia"/>
                <w:color w:val="auto"/>
                <w:kern w:val="0"/>
                <w:sz w:val="24"/>
                <w:szCs w:val="24"/>
              </w:rPr>
              <w:t>在环境管理事务中</w:t>
            </w:r>
            <w:r>
              <w:rPr>
                <w:rFonts w:hint="eastAsia"/>
                <w:color w:val="auto"/>
                <w:kern w:val="0"/>
                <w:sz w:val="24"/>
                <w:szCs w:val="24"/>
                <w:lang w:eastAsia="zh-CN"/>
              </w:rPr>
              <w:t>代表</w:t>
            </w:r>
            <w:r>
              <w:rPr>
                <w:rFonts w:hint="eastAsia"/>
                <w:color w:val="auto"/>
                <w:kern w:val="0"/>
                <w:sz w:val="24"/>
                <w:szCs w:val="24"/>
              </w:rPr>
              <w:t>最高管理者行使职权，监督环境管理体系的实施。其职责主要包括：</w:t>
            </w:r>
          </w:p>
          <w:p w14:paraId="598D3575">
            <w:pPr>
              <w:keepNext w:val="0"/>
              <w:keepLines w:val="0"/>
              <w:pageBreakBefore w:val="0"/>
              <w:widowControl w:val="0"/>
              <w:kinsoku/>
              <w:wordWrap/>
              <w:overflowPunct w:val="0"/>
              <w:topLinePunct w:val="0"/>
              <w:autoSpaceDE/>
              <w:autoSpaceDN/>
              <w:bidi w:val="0"/>
              <w:adjustRightInd/>
              <w:snapToGrid/>
              <w:spacing w:line="520" w:lineRule="exact"/>
              <w:ind w:firstLine="480" w:firstLineChars="200"/>
              <w:textAlignment w:val="auto"/>
              <w:rPr>
                <w:color w:val="auto"/>
                <w:kern w:val="0"/>
                <w:sz w:val="24"/>
                <w:szCs w:val="24"/>
              </w:rPr>
            </w:pPr>
            <w:r>
              <w:rPr>
                <w:rFonts w:hint="eastAsia" w:cs="宋体"/>
                <w:color w:val="auto"/>
                <w:kern w:val="0"/>
                <w:sz w:val="24"/>
                <w:szCs w:val="24"/>
              </w:rPr>
              <w:t>①</w:t>
            </w:r>
            <w:r>
              <w:rPr>
                <w:rFonts w:hint="eastAsia"/>
                <w:color w:val="auto"/>
                <w:kern w:val="0"/>
                <w:sz w:val="24"/>
                <w:szCs w:val="24"/>
              </w:rPr>
              <w:t>贯彻执行国家相关的法律法规，根据本企业实际，编制环境保护规划和实施细则，并组织实施，监督执行。</w:t>
            </w:r>
          </w:p>
          <w:p w14:paraId="649A402A">
            <w:pPr>
              <w:keepNext w:val="0"/>
              <w:keepLines w:val="0"/>
              <w:pageBreakBefore w:val="0"/>
              <w:widowControl w:val="0"/>
              <w:kinsoku/>
              <w:wordWrap/>
              <w:overflowPunct w:val="0"/>
              <w:topLinePunct w:val="0"/>
              <w:autoSpaceDE/>
              <w:autoSpaceDN/>
              <w:bidi w:val="0"/>
              <w:adjustRightInd/>
              <w:snapToGrid/>
              <w:spacing w:line="520" w:lineRule="exact"/>
              <w:ind w:firstLine="480" w:firstLineChars="200"/>
              <w:textAlignment w:val="auto"/>
              <w:rPr>
                <w:color w:val="auto"/>
                <w:kern w:val="0"/>
                <w:sz w:val="24"/>
                <w:szCs w:val="24"/>
              </w:rPr>
            </w:pPr>
            <w:r>
              <w:rPr>
                <w:rFonts w:hint="eastAsia" w:cs="宋体"/>
                <w:color w:val="auto"/>
                <w:kern w:val="0"/>
                <w:sz w:val="24"/>
                <w:szCs w:val="24"/>
              </w:rPr>
              <w:t>②</w:t>
            </w:r>
            <w:r>
              <w:rPr>
                <w:rFonts w:hint="eastAsia"/>
                <w:color w:val="auto"/>
                <w:kern w:val="0"/>
                <w:sz w:val="24"/>
                <w:szCs w:val="24"/>
              </w:rPr>
              <w:t>负责</w:t>
            </w:r>
            <w:r>
              <w:rPr>
                <w:rFonts w:hint="eastAsia"/>
                <w:color w:val="auto"/>
                <w:kern w:val="0"/>
                <w:sz w:val="24"/>
                <w:szCs w:val="24"/>
                <w:lang w:val="en-US" w:eastAsia="zh-CN"/>
              </w:rPr>
              <w:t>探</w:t>
            </w:r>
            <w:r>
              <w:rPr>
                <w:rFonts w:hint="eastAsia"/>
                <w:color w:val="auto"/>
                <w:kern w:val="0"/>
                <w:sz w:val="24"/>
                <w:szCs w:val="24"/>
              </w:rPr>
              <w:t>矿区环境统计工作，污染源建档，定期进行</w:t>
            </w:r>
            <w:r>
              <w:rPr>
                <w:color w:val="auto"/>
                <w:kern w:val="0"/>
                <w:sz w:val="24"/>
                <w:szCs w:val="24"/>
              </w:rPr>
              <w:t>“</w:t>
            </w:r>
            <w:r>
              <w:rPr>
                <w:rFonts w:hint="eastAsia"/>
                <w:color w:val="auto"/>
                <w:kern w:val="0"/>
                <w:sz w:val="24"/>
                <w:szCs w:val="24"/>
              </w:rPr>
              <w:t>三废</w:t>
            </w:r>
            <w:r>
              <w:rPr>
                <w:color w:val="auto"/>
                <w:kern w:val="0"/>
                <w:sz w:val="24"/>
                <w:szCs w:val="24"/>
              </w:rPr>
              <w:t>”</w:t>
            </w:r>
            <w:r>
              <w:rPr>
                <w:rFonts w:hint="eastAsia"/>
                <w:color w:val="auto"/>
                <w:kern w:val="0"/>
                <w:sz w:val="24"/>
                <w:szCs w:val="24"/>
              </w:rPr>
              <w:t>排放及噪声的监测，掌握厂内污染源</w:t>
            </w:r>
            <w:r>
              <w:rPr>
                <w:color w:val="auto"/>
                <w:kern w:val="0"/>
                <w:sz w:val="24"/>
                <w:szCs w:val="24"/>
              </w:rPr>
              <w:t>“</w:t>
            </w:r>
            <w:r>
              <w:rPr>
                <w:rFonts w:hint="eastAsia"/>
                <w:color w:val="auto"/>
                <w:kern w:val="0"/>
                <w:sz w:val="24"/>
                <w:szCs w:val="24"/>
              </w:rPr>
              <w:t>三废</w:t>
            </w:r>
            <w:r>
              <w:rPr>
                <w:color w:val="auto"/>
                <w:kern w:val="0"/>
                <w:sz w:val="24"/>
                <w:szCs w:val="24"/>
              </w:rPr>
              <w:t>”</w:t>
            </w:r>
            <w:r>
              <w:rPr>
                <w:rFonts w:hint="eastAsia"/>
                <w:color w:val="auto"/>
                <w:kern w:val="0"/>
                <w:sz w:val="24"/>
                <w:szCs w:val="24"/>
              </w:rPr>
              <w:t>排放动态，编制环境监测报告等，为环境管理和污染防治提供依据。</w:t>
            </w:r>
          </w:p>
          <w:p w14:paraId="07813D86">
            <w:pPr>
              <w:keepNext w:val="0"/>
              <w:keepLines w:val="0"/>
              <w:pageBreakBefore w:val="0"/>
              <w:widowControl w:val="0"/>
              <w:kinsoku/>
              <w:wordWrap/>
              <w:overflowPunct w:val="0"/>
              <w:topLinePunct w:val="0"/>
              <w:autoSpaceDE/>
              <w:autoSpaceDN/>
              <w:bidi w:val="0"/>
              <w:adjustRightInd/>
              <w:snapToGrid/>
              <w:spacing w:line="520" w:lineRule="exact"/>
              <w:ind w:firstLine="480" w:firstLineChars="200"/>
              <w:textAlignment w:val="auto"/>
              <w:rPr>
                <w:color w:val="auto"/>
                <w:kern w:val="0"/>
                <w:sz w:val="24"/>
                <w:szCs w:val="24"/>
              </w:rPr>
            </w:pPr>
            <w:r>
              <w:rPr>
                <w:rFonts w:hint="eastAsia" w:cs="宋体"/>
                <w:color w:val="auto"/>
                <w:kern w:val="0"/>
                <w:sz w:val="24"/>
                <w:szCs w:val="24"/>
              </w:rPr>
              <w:t>③</w:t>
            </w:r>
            <w:r>
              <w:rPr>
                <w:rFonts w:hint="eastAsia"/>
                <w:color w:val="auto"/>
                <w:kern w:val="0"/>
                <w:sz w:val="24"/>
                <w:szCs w:val="24"/>
              </w:rPr>
              <w:t>制定切实可行的</w:t>
            </w:r>
            <w:r>
              <w:rPr>
                <w:color w:val="auto"/>
                <w:kern w:val="0"/>
                <w:sz w:val="24"/>
                <w:szCs w:val="24"/>
              </w:rPr>
              <w:t>“</w:t>
            </w:r>
            <w:r>
              <w:rPr>
                <w:rFonts w:hint="eastAsia"/>
                <w:color w:val="auto"/>
                <w:kern w:val="0"/>
                <w:sz w:val="24"/>
                <w:szCs w:val="24"/>
              </w:rPr>
              <w:t>三废</w:t>
            </w:r>
            <w:r>
              <w:rPr>
                <w:color w:val="auto"/>
                <w:kern w:val="0"/>
                <w:sz w:val="24"/>
                <w:szCs w:val="24"/>
              </w:rPr>
              <w:t>”</w:t>
            </w:r>
            <w:r>
              <w:rPr>
                <w:rFonts w:hint="eastAsia"/>
                <w:color w:val="auto"/>
                <w:kern w:val="0"/>
                <w:sz w:val="24"/>
                <w:szCs w:val="24"/>
              </w:rPr>
              <w:t>排放控制指标，环保治理设施运行考核指标，组织落实实施，定期进行考核。</w:t>
            </w:r>
          </w:p>
          <w:p w14:paraId="7A806F24">
            <w:pPr>
              <w:keepNext w:val="0"/>
              <w:keepLines w:val="0"/>
              <w:pageBreakBefore w:val="0"/>
              <w:widowControl w:val="0"/>
              <w:kinsoku/>
              <w:wordWrap/>
              <w:overflowPunct w:val="0"/>
              <w:topLinePunct w:val="0"/>
              <w:autoSpaceDE/>
              <w:autoSpaceDN/>
              <w:bidi w:val="0"/>
              <w:adjustRightInd/>
              <w:snapToGrid/>
              <w:spacing w:line="520" w:lineRule="exact"/>
              <w:ind w:firstLine="480" w:firstLineChars="200"/>
              <w:textAlignment w:val="auto"/>
              <w:rPr>
                <w:color w:val="auto"/>
                <w:kern w:val="0"/>
                <w:sz w:val="24"/>
                <w:szCs w:val="24"/>
              </w:rPr>
            </w:pPr>
            <w:r>
              <w:rPr>
                <w:rFonts w:hint="eastAsia" w:cs="宋体"/>
                <w:color w:val="auto"/>
                <w:kern w:val="0"/>
                <w:sz w:val="24"/>
                <w:szCs w:val="24"/>
              </w:rPr>
              <w:t>④</w:t>
            </w:r>
            <w:r>
              <w:rPr>
                <w:rFonts w:hint="eastAsia"/>
                <w:color w:val="auto"/>
                <w:kern w:val="0"/>
                <w:sz w:val="24"/>
                <w:szCs w:val="24"/>
              </w:rPr>
              <w:t>组织和管理</w:t>
            </w:r>
            <w:r>
              <w:rPr>
                <w:rFonts w:hint="eastAsia"/>
                <w:color w:val="auto"/>
                <w:kern w:val="0"/>
                <w:sz w:val="24"/>
                <w:szCs w:val="24"/>
                <w:lang w:val="en-US" w:eastAsia="zh-CN"/>
              </w:rPr>
              <w:t>探</w:t>
            </w:r>
            <w:r>
              <w:rPr>
                <w:rFonts w:hint="eastAsia"/>
                <w:color w:val="auto"/>
                <w:kern w:val="0"/>
                <w:sz w:val="24"/>
                <w:szCs w:val="24"/>
              </w:rPr>
              <w:t>矿区污染治理工作，负责</w:t>
            </w:r>
            <w:r>
              <w:rPr>
                <w:rFonts w:hint="eastAsia"/>
                <w:color w:val="auto"/>
                <w:kern w:val="0"/>
                <w:sz w:val="24"/>
                <w:szCs w:val="24"/>
                <w:lang w:eastAsia="zh-CN"/>
              </w:rPr>
              <w:t>环境治理</w:t>
            </w:r>
            <w:r>
              <w:rPr>
                <w:rFonts w:hint="eastAsia"/>
                <w:color w:val="auto"/>
                <w:kern w:val="0"/>
                <w:sz w:val="24"/>
                <w:szCs w:val="24"/>
              </w:rPr>
              <w:t>设施的运行及管理工作，建立污染物浓度和排放总量双项控制制度，做到达标排放。</w:t>
            </w:r>
          </w:p>
          <w:p w14:paraId="37BD75E5">
            <w:pPr>
              <w:keepNext w:val="0"/>
              <w:keepLines w:val="0"/>
              <w:pageBreakBefore w:val="0"/>
              <w:widowControl w:val="0"/>
              <w:kinsoku/>
              <w:wordWrap/>
              <w:overflowPunct w:val="0"/>
              <w:topLinePunct w:val="0"/>
              <w:autoSpaceDE/>
              <w:autoSpaceDN/>
              <w:bidi w:val="0"/>
              <w:adjustRightInd/>
              <w:snapToGrid/>
              <w:spacing w:line="520" w:lineRule="exact"/>
              <w:ind w:firstLine="480" w:firstLineChars="200"/>
              <w:textAlignment w:val="auto"/>
              <w:rPr>
                <w:rFonts w:hint="default" w:ascii="Times New Roman" w:hAnsi="Times New Roman" w:cs="Times New Roman"/>
                <w:color w:val="auto"/>
                <w:kern w:val="0"/>
                <w:sz w:val="24"/>
                <w:szCs w:val="24"/>
              </w:rPr>
            </w:pPr>
            <w:r>
              <w:rPr>
                <w:rFonts w:hint="eastAsia" w:cs="宋体"/>
                <w:color w:val="auto"/>
                <w:kern w:val="0"/>
                <w:sz w:val="24"/>
                <w:szCs w:val="24"/>
              </w:rPr>
              <w:t>⑤</w:t>
            </w:r>
            <w:r>
              <w:rPr>
                <w:rFonts w:hint="eastAsia"/>
                <w:color w:val="auto"/>
                <w:kern w:val="0"/>
                <w:sz w:val="24"/>
                <w:szCs w:val="24"/>
              </w:rPr>
              <w:t>通过工程建设，不断提高治理设施的水平和可操作性。将在环境管理体系运行中所掌</w:t>
            </w:r>
            <w:r>
              <w:rPr>
                <w:rFonts w:hint="default" w:ascii="Times New Roman" w:hAnsi="Times New Roman" w:cs="Times New Roman"/>
                <w:color w:val="auto"/>
                <w:kern w:val="0"/>
                <w:sz w:val="24"/>
                <w:szCs w:val="24"/>
              </w:rPr>
              <w:t>握的情况及时向最高管理者汇报，并提出建议。</w:t>
            </w:r>
          </w:p>
          <w:p w14:paraId="3A79104A">
            <w:pPr>
              <w:keepNext w:val="0"/>
              <w:keepLines w:val="0"/>
              <w:pageBreakBefore w:val="0"/>
              <w:widowControl w:val="0"/>
              <w:kinsoku/>
              <w:wordWrap/>
              <w:overflowPunct w:val="0"/>
              <w:topLinePunct w:val="0"/>
              <w:autoSpaceDE/>
              <w:autoSpaceDN/>
              <w:bidi w:val="0"/>
              <w:adjustRightInd/>
              <w:snapToGrid/>
              <w:spacing w:line="520" w:lineRule="exact"/>
              <w:ind w:firstLine="480" w:firstLineChars="200"/>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（3）全体员工职责</w:t>
            </w:r>
          </w:p>
          <w:p w14:paraId="0CA6F423">
            <w:pPr>
              <w:keepNext w:val="0"/>
              <w:keepLines w:val="0"/>
              <w:pageBreakBefore w:val="0"/>
              <w:widowControl w:val="0"/>
              <w:kinsoku/>
              <w:wordWrap/>
              <w:overflowPunct w:val="0"/>
              <w:topLinePunct w:val="0"/>
              <w:autoSpaceDE/>
              <w:autoSpaceDN/>
              <w:bidi w:val="0"/>
              <w:adjustRightInd/>
              <w:snapToGrid/>
              <w:spacing w:line="520" w:lineRule="exact"/>
              <w:ind w:firstLine="480" w:firstLineChars="200"/>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全体员工应以对环境负责的态度和方式从事自己的工作，并在各自的岗位上承担有关环境责任。</w:t>
            </w:r>
          </w:p>
          <w:p w14:paraId="1DCBEE5D">
            <w:pPr>
              <w:keepNext w:val="0"/>
              <w:keepLines w:val="0"/>
              <w:pageBreakBefore w:val="0"/>
              <w:widowControl w:val="0"/>
              <w:kinsoku/>
              <w:wordWrap/>
              <w:overflowPunct w:val="0"/>
              <w:topLinePunct w:val="0"/>
              <w:autoSpaceDE/>
              <w:autoSpaceDN/>
              <w:bidi w:val="0"/>
              <w:adjustRightInd/>
              <w:snapToGrid/>
              <w:spacing w:line="520" w:lineRule="exact"/>
              <w:ind w:firstLine="482" w:firstLineChars="200"/>
              <w:textAlignment w:val="auto"/>
              <w:rPr>
                <w:rFonts w:hint="default" w:ascii="Times New Roman" w:hAnsi="Times New Roman" w:eastAsia="宋体" w:cs="Times New Roman"/>
                <w:b/>
                <w:bCs/>
                <w:color w:val="auto"/>
                <w:kern w:val="0"/>
                <w:sz w:val="24"/>
                <w:szCs w:val="24"/>
              </w:rPr>
            </w:pPr>
            <w:r>
              <w:rPr>
                <w:rFonts w:hint="eastAsia" w:cs="Times New Roman"/>
                <w:b/>
                <w:bCs/>
                <w:color w:val="auto"/>
                <w:kern w:val="0"/>
                <w:sz w:val="24"/>
                <w:szCs w:val="24"/>
                <w:lang w:val="en-US" w:eastAsia="zh-CN"/>
              </w:rPr>
              <w:t>10.2</w:t>
            </w:r>
            <w:r>
              <w:rPr>
                <w:rFonts w:hint="default" w:ascii="Times New Roman" w:hAnsi="Times New Roman" w:eastAsia="宋体" w:cs="Times New Roman"/>
                <w:b/>
                <w:bCs/>
                <w:color w:val="auto"/>
                <w:kern w:val="0"/>
                <w:sz w:val="24"/>
                <w:szCs w:val="24"/>
              </w:rPr>
              <w:t>环境管理的目标</w:t>
            </w:r>
          </w:p>
          <w:p w14:paraId="52BFE35A">
            <w:pPr>
              <w:keepNext w:val="0"/>
              <w:keepLines w:val="0"/>
              <w:pageBreakBefore w:val="0"/>
              <w:widowControl w:val="0"/>
              <w:kinsoku/>
              <w:wordWrap/>
              <w:overflowPunct w:val="0"/>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本项目环境管理的目标应达到国家规定的水、气、声、渣</w:t>
            </w:r>
            <w:r>
              <w:rPr>
                <w:rFonts w:hint="eastAsia" w:cs="Times New Roman"/>
                <w:color w:val="auto"/>
                <w:kern w:val="0"/>
                <w:sz w:val="24"/>
                <w:szCs w:val="24"/>
                <w:lang w:eastAsia="zh-CN"/>
              </w:rPr>
              <w:t>等</w:t>
            </w:r>
            <w:r>
              <w:rPr>
                <w:rFonts w:hint="default" w:ascii="Times New Roman" w:hAnsi="Times New Roman" w:eastAsia="宋体" w:cs="Times New Roman"/>
                <w:color w:val="auto"/>
                <w:kern w:val="0"/>
                <w:sz w:val="24"/>
                <w:szCs w:val="24"/>
              </w:rPr>
              <w:t>污染物排放标准，确保环境管理的持续改进。</w:t>
            </w:r>
          </w:p>
          <w:p w14:paraId="063869F4">
            <w:pPr>
              <w:keepNext w:val="0"/>
              <w:keepLines w:val="0"/>
              <w:pageBreakBefore w:val="0"/>
              <w:widowControl w:val="0"/>
              <w:kinsoku/>
              <w:wordWrap/>
              <w:overflowPunct w:val="0"/>
              <w:topLinePunct w:val="0"/>
              <w:autoSpaceDE/>
              <w:autoSpaceDN/>
              <w:bidi w:val="0"/>
              <w:adjustRightInd/>
              <w:snapToGrid/>
              <w:spacing w:line="520" w:lineRule="exact"/>
              <w:ind w:firstLine="482" w:firstLineChars="200"/>
              <w:textAlignment w:val="auto"/>
              <w:rPr>
                <w:rFonts w:hint="default" w:ascii="Times New Roman" w:hAnsi="Times New Roman" w:eastAsia="宋体" w:cs="Times New Roman"/>
                <w:b/>
                <w:bCs/>
                <w:color w:val="auto"/>
                <w:kern w:val="0"/>
                <w:sz w:val="24"/>
                <w:szCs w:val="24"/>
              </w:rPr>
            </w:pPr>
            <w:r>
              <w:rPr>
                <w:rFonts w:hint="eastAsia" w:cs="Times New Roman"/>
                <w:b/>
                <w:bCs/>
                <w:color w:val="auto"/>
                <w:kern w:val="0"/>
                <w:sz w:val="24"/>
                <w:szCs w:val="24"/>
                <w:lang w:val="en-US" w:eastAsia="zh-CN"/>
              </w:rPr>
              <w:t>10.3</w:t>
            </w:r>
            <w:r>
              <w:rPr>
                <w:rFonts w:hint="default" w:ascii="Times New Roman" w:hAnsi="Times New Roman" w:eastAsia="宋体" w:cs="Times New Roman"/>
                <w:b/>
                <w:bCs/>
                <w:color w:val="auto"/>
                <w:kern w:val="0"/>
                <w:sz w:val="24"/>
                <w:szCs w:val="24"/>
              </w:rPr>
              <w:t>环境管理的主要内容</w:t>
            </w:r>
          </w:p>
          <w:p w14:paraId="0D29BFC4">
            <w:pPr>
              <w:keepNext w:val="0"/>
              <w:keepLines w:val="0"/>
              <w:pageBreakBefore w:val="0"/>
              <w:widowControl w:val="0"/>
              <w:kinsoku/>
              <w:wordWrap/>
              <w:overflowPunct w:val="0"/>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本项目针对不同工作阶段，制定环境管理工作计划，项目建设管理工作计划见表</w:t>
            </w:r>
            <w:r>
              <w:rPr>
                <w:rFonts w:hint="default" w:ascii="Times New Roman" w:hAnsi="Times New Roman" w:eastAsia="宋体" w:cs="Times New Roman"/>
                <w:color w:val="auto"/>
                <w:kern w:val="0"/>
                <w:sz w:val="24"/>
                <w:szCs w:val="24"/>
                <w:lang w:val="en-US" w:eastAsia="zh-CN"/>
              </w:rPr>
              <w:t>5-</w:t>
            </w:r>
            <w:r>
              <w:rPr>
                <w:rFonts w:hint="eastAsia" w:cs="Times New Roman"/>
                <w:color w:val="auto"/>
                <w:kern w:val="0"/>
                <w:sz w:val="24"/>
                <w:szCs w:val="24"/>
                <w:lang w:val="en-US" w:eastAsia="zh-CN"/>
              </w:rPr>
              <w:t>7</w:t>
            </w:r>
            <w:r>
              <w:rPr>
                <w:rFonts w:hint="default" w:ascii="Times New Roman" w:hAnsi="Times New Roman" w:eastAsia="宋体" w:cs="Times New Roman"/>
                <w:color w:val="auto"/>
                <w:kern w:val="0"/>
                <w:sz w:val="24"/>
                <w:szCs w:val="24"/>
              </w:rPr>
              <w:t>。</w:t>
            </w:r>
          </w:p>
          <w:p w14:paraId="0C0C9B5F">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default" w:ascii="Times New Roman" w:hAnsi="Times New Roman" w:eastAsia="宋体" w:cs="Times New Roman"/>
                <w:b/>
                <w:bCs/>
                <w:color w:val="auto"/>
                <w:kern w:val="0"/>
                <w:sz w:val="24"/>
                <w:szCs w:val="24"/>
              </w:rPr>
            </w:pPr>
            <w:r>
              <w:rPr>
                <w:rFonts w:hint="default" w:ascii="Times New Roman" w:hAnsi="Times New Roman" w:eastAsia="宋体" w:cs="Times New Roman"/>
                <w:b/>
                <w:bCs/>
                <w:color w:val="auto"/>
                <w:kern w:val="0"/>
                <w:sz w:val="24"/>
                <w:szCs w:val="24"/>
              </w:rPr>
              <w:t>表</w:t>
            </w:r>
            <w:r>
              <w:rPr>
                <w:rFonts w:hint="default" w:ascii="Times New Roman" w:hAnsi="Times New Roman" w:eastAsia="宋体" w:cs="Times New Roman"/>
                <w:b/>
                <w:bCs/>
                <w:color w:val="auto"/>
                <w:kern w:val="0"/>
                <w:sz w:val="24"/>
                <w:szCs w:val="24"/>
                <w:lang w:val="en-US" w:eastAsia="zh-CN"/>
              </w:rPr>
              <w:t>5-</w:t>
            </w:r>
            <w:r>
              <w:rPr>
                <w:rFonts w:hint="eastAsia" w:cs="Times New Roman"/>
                <w:b/>
                <w:bCs/>
                <w:color w:val="auto"/>
                <w:kern w:val="0"/>
                <w:sz w:val="24"/>
                <w:szCs w:val="24"/>
                <w:lang w:val="en-US" w:eastAsia="zh-CN"/>
              </w:rPr>
              <w:t>7</w:t>
            </w:r>
            <w:r>
              <w:rPr>
                <w:rFonts w:hint="default" w:ascii="Times New Roman" w:hAnsi="Times New Roman" w:eastAsia="宋体" w:cs="Times New Roman"/>
                <w:b/>
                <w:bCs/>
                <w:color w:val="auto"/>
                <w:kern w:val="0"/>
                <w:sz w:val="24"/>
                <w:szCs w:val="24"/>
              </w:rPr>
              <w:t xml:space="preserve">    各阶段环境管理工作主要内容</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6515"/>
            </w:tblGrid>
            <w:tr w14:paraId="27A71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6" w:type="pct"/>
                  <w:noWrap w:val="0"/>
                  <w:vAlign w:val="center"/>
                </w:tcPr>
                <w:p w14:paraId="287DFB4B">
                  <w:pPr>
                    <w:spacing w:line="240" w:lineRule="auto"/>
                    <w:jc w:val="center"/>
                    <w:textAlignment w:val="baseline"/>
                    <w:rPr>
                      <w:rFonts w:hint="default" w:ascii="Times New Roman" w:hAnsi="Times New Roman" w:cs="Times New Roman"/>
                      <w:bCs/>
                      <w:color w:val="auto"/>
                      <w:szCs w:val="21"/>
                    </w:rPr>
                  </w:pPr>
                  <w:r>
                    <w:rPr>
                      <w:rFonts w:hint="default" w:ascii="Times New Roman" w:hAnsi="Times New Roman" w:cs="Times New Roman"/>
                      <w:bCs/>
                      <w:color w:val="auto"/>
                      <w:szCs w:val="21"/>
                    </w:rPr>
                    <w:t>阶段</w:t>
                  </w:r>
                </w:p>
              </w:tc>
              <w:tc>
                <w:tcPr>
                  <w:tcW w:w="4233" w:type="pct"/>
                  <w:noWrap w:val="0"/>
                  <w:vAlign w:val="center"/>
                </w:tcPr>
                <w:p w14:paraId="6453093A">
                  <w:pPr>
                    <w:spacing w:line="240" w:lineRule="auto"/>
                    <w:jc w:val="center"/>
                    <w:textAlignment w:val="baseline"/>
                    <w:rPr>
                      <w:rFonts w:hint="default" w:ascii="Times New Roman" w:hAnsi="Times New Roman" w:cs="Times New Roman"/>
                      <w:bCs/>
                      <w:color w:val="auto"/>
                      <w:szCs w:val="21"/>
                    </w:rPr>
                  </w:pPr>
                  <w:r>
                    <w:rPr>
                      <w:rFonts w:hint="default" w:ascii="Times New Roman" w:hAnsi="Times New Roman" w:cs="Times New Roman"/>
                      <w:bCs/>
                      <w:color w:val="auto"/>
                      <w:szCs w:val="21"/>
                    </w:rPr>
                    <w:t>环境管理工作计划的具体内容</w:t>
                  </w:r>
                </w:p>
              </w:tc>
            </w:tr>
            <w:tr w14:paraId="6FFEF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6" w:type="pct"/>
                  <w:noWrap w:val="0"/>
                  <w:vAlign w:val="center"/>
                </w:tcPr>
                <w:p w14:paraId="372FF6A2">
                  <w:pPr>
                    <w:spacing w:line="240" w:lineRule="auto"/>
                    <w:jc w:val="center"/>
                    <w:textAlignment w:val="baseline"/>
                    <w:rPr>
                      <w:rFonts w:hint="default" w:ascii="Times New Roman" w:hAnsi="Times New Roman" w:cs="Times New Roman"/>
                      <w:color w:val="auto"/>
                      <w:szCs w:val="21"/>
                    </w:rPr>
                  </w:pPr>
                  <w:r>
                    <w:rPr>
                      <w:rFonts w:hint="default" w:ascii="Times New Roman" w:hAnsi="Times New Roman" w:cs="Times New Roman"/>
                      <w:color w:val="auto"/>
                      <w:szCs w:val="21"/>
                    </w:rPr>
                    <w:t>环境管理</w:t>
                  </w:r>
                </w:p>
                <w:p w14:paraId="55695CA6">
                  <w:pPr>
                    <w:spacing w:line="240" w:lineRule="auto"/>
                    <w:jc w:val="center"/>
                    <w:textAlignment w:val="baseline"/>
                    <w:rPr>
                      <w:rFonts w:hint="default" w:ascii="Times New Roman" w:hAnsi="Times New Roman" w:cs="Times New Roman"/>
                      <w:color w:val="auto"/>
                      <w:szCs w:val="21"/>
                    </w:rPr>
                  </w:pPr>
                  <w:r>
                    <w:rPr>
                      <w:rFonts w:hint="default" w:ascii="Times New Roman" w:hAnsi="Times New Roman" w:cs="Times New Roman"/>
                      <w:color w:val="auto"/>
                      <w:szCs w:val="21"/>
                    </w:rPr>
                    <w:t>机构职能</w:t>
                  </w:r>
                </w:p>
              </w:tc>
              <w:tc>
                <w:tcPr>
                  <w:tcW w:w="4233" w:type="pct"/>
                  <w:noWrap w:val="0"/>
                  <w:vAlign w:val="center"/>
                </w:tcPr>
                <w:p w14:paraId="430F4C45">
                  <w:pPr>
                    <w:spacing w:line="240" w:lineRule="auto"/>
                    <w:ind w:firstLine="420"/>
                    <w:jc w:val="left"/>
                    <w:textAlignment w:val="baseline"/>
                    <w:rPr>
                      <w:rFonts w:hint="default" w:ascii="Times New Roman" w:hAnsi="Times New Roman" w:cs="Times New Roman"/>
                      <w:color w:val="auto"/>
                      <w:szCs w:val="21"/>
                    </w:rPr>
                  </w:pPr>
                  <w:r>
                    <w:rPr>
                      <w:rFonts w:hint="default" w:ascii="Times New Roman" w:hAnsi="Times New Roman" w:cs="Times New Roman"/>
                      <w:color w:val="auto"/>
                      <w:szCs w:val="21"/>
                    </w:rPr>
                    <w:t>根据国家建设项目环境管理规定，认真落实各项环保手续，完成各级主管部门对本企业提出的环境管理要求，对本企业内部各项管理计划的执行及完成情况进行监督、控制，确保环境管理工作真正发挥作用。</w:t>
                  </w:r>
                </w:p>
              </w:tc>
            </w:tr>
            <w:tr w14:paraId="5AEC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6" w:type="pct"/>
                  <w:noWrap w:val="0"/>
                  <w:vAlign w:val="center"/>
                </w:tcPr>
                <w:p w14:paraId="41F7B784">
                  <w:pPr>
                    <w:spacing w:line="240" w:lineRule="auto"/>
                    <w:jc w:val="center"/>
                    <w:textAlignment w:val="baseline"/>
                    <w:rPr>
                      <w:color w:val="auto"/>
                      <w:szCs w:val="21"/>
                    </w:rPr>
                  </w:pPr>
                  <w:r>
                    <w:rPr>
                      <w:rFonts w:hint="eastAsia"/>
                      <w:color w:val="auto"/>
                      <w:szCs w:val="21"/>
                    </w:rPr>
                    <w:t>准备阶段</w:t>
                  </w:r>
                </w:p>
              </w:tc>
              <w:tc>
                <w:tcPr>
                  <w:tcW w:w="4233" w:type="pct"/>
                  <w:noWrap w:val="0"/>
                  <w:vAlign w:val="center"/>
                </w:tcPr>
                <w:p w14:paraId="51467E15">
                  <w:pPr>
                    <w:spacing w:line="240" w:lineRule="auto"/>
                    <w:jc w:val="left"/>
                    <w:textAlignment w:val="baseline"/>
                    <w:rPr>
                      <w:color w:val="auto"/>
                      <w:szCs w:val="21"/>
                    </w:rPr>
                  </w:pPr>
                  <w:r>
                    <w:rPr>
                      <w:rFonts w:hint="eastAsia"/>
                      <w:color w:val="auto"/>
                      <w:szCs w:val="21"/>
                    </w:rPr>
                    <w:t>（</w:t>
                  </w:r>
                  <w:r>
                    <w:rPr>
                      <w:color w:val="auto"/>
                      <w:szCs w:val="21"/>
                    </w:rPr>
                    <w:t>1</w:t>
                  </w:r>
                  <w:r>
                    <w:rPr>
                      <w:rFonts w:hint="eastAsia"/>
                      <w:color w:val="auto"/>
                      <w:szCs w:val="21"/>
                    </w:rPr>
                    <w:t>）与项目可行性研究同期，委托环评单位进行项目的环境影响评价工作；</w:t>
                  </w:r>
                </w:p>
                <w:p w14:paraId="0B5346F7">
                  <w:pPr>
                    <w:spacing w:line="240" w:lineRule="auto"/>
                    <w:jc w:val="left"/>
                    <w:textAlignment w:val="baseline"/>
                    <w:rPr>
                      <w:color w:val="auto"/>
                      <w:szCs w:val="21"/>
                    </w:rPr>
                  </w:pPr>
                  <w:r>
                    <w:rPr>
                      <w:rFonts w:hint="eastAsia"/>
                      <w:color w:val="auto"/>
                      <w:szCs w:val="21"/>
                    </w:rPr>
                    <w:t>（</w:t>
                  </w:r>
                  <w:r>
                    <w:rPr>
                      <w:color w:val="auto"/>
                      <w:szCs w:val="21"/>
                    </w:rPr>
                    <w:t>2</w:t>
                  </w:r>
                  <w:r>
                    <w:rPr>
                      <w:rFonts w:hint="eastAsia"/>
                      <w:color w:val="auto"/>
                      <w:szCs w:val="21"/>
                    </w:rPr>
                    <w:t>）积极配合可研和环评工作所需进行现场调研；</w:t>
                  </w:r>
                </w:p>
                <w:p w14:paraId="6D89E15C">
                  <w:pPr>
                    <w:spacing w:line="240" w:lineRule="auto"/>
                    <w:jc w:val="left"/>
                    <w:textAlignment w:val="baseline"/>
                    <w:rPr>
                      <w:color w:val="auto"/>
                      <w:szCs w:val="21"/>
                    </w:rPr>
                  </w:pPr>
                  <w:r>
                    <w:rPr>
                      <w:rFonts w:hint="eastAsia"/>
                      <w:color w:val="auto"/>
                      <w:szCs w:val="21"/>
                    </w:rPr>
                    <w:t>（</w:t>
                  </w:r>
                  <w:r>
                    <w:rPr>
                      <w:color w:val="auto"/>
                      <w:szCs w:val="21"/>
                    </w:rPr>
                    <w:t>3</w:t>
                  </w:r>
                  <w:r>
                    <w:rPr>
                      <w:rFonts w:hint="eastAsia"/>
                      <w:color w:val="auto"/>
                      <w:szCs w:val="21"/>
                    </w:rPr>
                    <w:t>）针对项目具体情况，制定本企业所必需的环境管理与监测制度；</w:t>
                  </w:r>
                </w:p>
                <w:p w14:paraId="7D9FCBE3">
                  <w:pPr>
                    <w:spacing w:line="240" w:lineRule="auto"/>
                    <w:jc w:val="left"/>
                    <w:textAlignment w:val="baseline"/>
                    <w:rPr>
                      <w:color w:val="auto"/>
                      <w:szCs w:val="21"/>
                    </w:rPr>
                  </w:pPr>
                  <w:r>
                    <w:rPr>
                      <w:rFonts w:hint="eastAsia"/>
                      <w:color w:val="auto"/>
                      <w:szCs w:val="21"/>
                    </w:rPr>
                    <w:t>（</w:t>
                  </w:r>
                  <w:r>
                    <w:rPr>
                      <w:color w:val="auto"/>
                      <w:szCs w:val="21"/>
                    </w:rPr>
                    <w:t>4</w:t>
                  </w:r>
                  <w:r>
                    <w:rPr>
                      <w:rFonts w:hint="eastAsia"/>
                      <w:color w:val="auto"/>
                      <w:szCs w:val="21"/>
                    </w:rPr>
                    <w:t>）对所聘生产方面的员工进行岗位培训。</w:t>
                  </w:r>
                </w:p>
              </w:tc>
            </w:tr>
            <w:tr w14:paraId="52BDD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6" w:type="pct"/>
                  <w:noWrap w:val="0"/>
                  <w:vAlign w:val="center"/>
                </w:tcPr>
                <w:p w14:paraId="64236550">
                  <w:pPr>
                    <w:spacing w:line="240" w:lineRule="auto"/>
                    <w:jc w:val="center"/>
                    <w:textAlignment w:val="baseline"/>
                    <w:rPr>
                      <w:color w:val="auto"/>
                      <w:szCs w:val="21"/>
                    </w:rPr>
                  </w:pPr>
                  <w:r>
                    <w:rPr>
                      <w:rFonts w:hint="eastAsia"/>
                      <w:color w:val="auto"/>
                      <w:szCs w:val="21"/>
                    </w:rPr>
                    <w:t>施工阶段</w:t>
                  </w:r>
                </w:p>
              </w:tc>
              <w:tc>
                <w:tcPr>
                  <w:tcW w:w="4233" w:type="pct"/>
                  <w:noWrap w:val="0"/>
                  <w:vAlign w:val="center"/>
                </w:tcPr>
                <w:p w14:paraId="27FB4DF5">
                  <w:pPr>
                    <w:spacing w:line="240" w:lineRule="auto"/>
                    <w:jc w:val="left"/>
                    <w:textAlignment w:val="baseline"/>
                    <w:rPr>
                      <w:color w:val="auto"/>
                    </w:rPr>
                  </w:pPr>
                  <w:r>
                    <w:rPr>
                      <w:rFonts w:hint="eastAsia"/>
                      <w:color w:val="auto"/>
                    </w:rPr>
                    <w:t>（</w:t>
                  </w:r>
                  <w:r>
                    <w:rPr>
                      <w:rFonts w:hint="eastAsia" w:ascii="Times New Roman" w:hAnsi="Times New Roman" w:eastAsia="宋体" w:cs="Times New Roman"/>
                      <w:color w:val="auto"/>
                    </w:rPr>
                    <w:t>1）严格执行各项环境管理制度；</w:t>
                  </w:r>
                </w:p>
                <w:p w14:paraId="30F60DEB">
                  <w:pPr>
                    <w:spacing w:line="240" w:lineRule="auto"/>
                    <w:jc w:val="left"/>
                    <w:textAlignment w:val="baseline"/>
                    <w:rPr>
                      <w:color w:val="auto"/>
                    </w:rPr>
                  </w:pPr>
                  <w:r>
                    <w:rPr>
                      <w:rFonts w:hint="eastAsia"/>
                      <w:color w:val="auto"/>
                    </w:rPr>
                    <w:t>（</w:t>
                  </w:r>
                  <w:r>
                    <w:rPr>
                      <w:color w:val="auto"/>
                    </w:rPr>
                    <w:t>2</w:t>
                  </w:r>
                  <w:r>
                    <w:rPr>
                      <w:rFonts w:hint="eastAsia"/>
                      <w:color w:val="auto"/>
                    </w:rPr>
                    <w:t>）按照环评报告</w:t>
                  </w:r>
                  <w:r>
                    <w:rPr>
                      <w:rFonts w:hint="eastAsia"/>
                      <w:color w:val="auto"/>
                      <w:lang w:val="en-US" w:eastAsia="zh-CN"/>
                    </w:rPr>
                    <w:t>表</w:t>
                  </w:r>
                  <w:r>
                    <w:rPr>
                      <w:rFonts w:hint="eastAsia"/>
                      <w:color w:val="auto"/>
                    </w:rPr>
                    <w:t>中提出的要求，</w:t>
                  </w:r>
                  <w:r>
                    <w:rPr>
                      <w:rFonts w:hint="eastAsia"/>
                      <w:color w:val="auto"/>
                      <w:lang w:eastAsia="zh-CN"/>
                    </w:rPr>
                    <w:t>制定</w:t>
                  </w:r>
                  <w:r>
                    <w:rPr>
                      <w:rFonts w:hint="eastAsia"/>
                      <w:color w:val="auto"/>
                    </w:rPr>
                    <w:t>建设项目施工措施实施计划表；</w:t>
                  </w:r>
                </w:p>
                <w:p w14:paraId="535CDEFF">
                  <w:pPr>
                    <w:spacing w:line="240" w:lineRule="auto"/>
                    <w:jc w:val="left"/>
                    <w:textAlignment w:val="baseline"/>
                    <w:rPr>
                      <w:color w:val="auto"/>
                    </w:rPr>
                  </w:pPr>
                  <w:r>
                    <w:rPr>
                      <w:rFonts w:hint="eastAsia"/>
                      <w:color w:val="auto"/>
                    </w:rPr>
                    <w:t>（</w:t>
                  </w:r>
                  <w:r>
                    <w:rPr>
                      <w:color w:val="auto"/>
                    </w:rPr>
                    <w:t>3</w:t>
                  </w:r>
                  <w:r>
                    <w:rPr>
                      <w:rFonts w:hint="eastAsia"/>
                      <w:color w:val="auto"/>
                    </w:rPr>
                    <w:t>）施工噪声与振动要符合有关噪声污染防治规定，不得</w:t>
                  </w:r>
                  <w:r>
                    <w:rPr>
                      <w:rFonts w:hint="eastAsia"/>
                      <w:color w:val="auto"/>
                      <w:lang w:val="en-US" w:eastAsia="zh-CN"/>
                    </w:rPr>
                    <w:t>影响区域声环境质量</w:t>
                  </w:r>
                  <w:r>
                    <w:rPr>
                      <w:rFonts w:hint="eastAsia"/>
                      <w:color w:val="auto"/>
                    </w:rPr>
                    <w:t>；</w:t>
                  </w:r>
                </w:p>
                <w:p w14:paraId="101C76FB">
                  <w:pPr>
                    <w:spacing w:line="240" w:lineRule="auto"/>
                    <w:jc w:val="left"/>
                    <w:textAlignment w:val="baseline"/>
                    <w:rPr>
                      <w:rFonts w:hint="eastAsia" w:ascii="Times New Roman" w:hAnsi="Times New Roman" w:eastAsia="宋体" w:cs="Times New Roman"/>
                      <w:color w:val="auto"/>
                    </w:rPr>
                  </w:pPr>
                  <w:r>
                    <w:rPr>
                      <w:rFonts w:hint="eastAsia"/>
                      <w:color w:val="auto"/>
                    </w:rPr>
                    <w:t>（</w:t>
                  </w:r>
                  <w:r>
                    <w:rPr>
                      <w:color w:val="auto"/>
                    </w:rPr>
                    <w:t>4</w:t>
                  </w:r>
                  <w:r>
                    <w:rPr>
                      <w:rFonts w:hint="eastAsia"/>
                      <w:color w:val="auto"/>
                    </w:rPr>
                    <w:t>）</w:t>
                  </w:r>
                  <w:r>
                    <w:rPr>
                      <w:rFonts w:hint="eastAsia"/>
                      <w:color w:val="auto"/>
                      <w:lang w:val="en-US" w:eastAsia="zh-CN"/>
                    </w:rPr>
                    <w:t>施工结束</w:t>
                  </w:r>
                  <w:r>
                    <w:rPr>
                      <w:rFonts w:hint="eastAsia"/>
                      <w:color w:val="auto"/>
                    </w:rPr>
                    <w:t>后，应督促施工单位及时恢复建设过程中受到破坏的环境</w:t>
                  </w:r>
                  <w:r>
                    <w:rPr>
                      <w:rFonts w:hint="eastAsia" w:ascii="Times New Roman" w:hAnsi="Times New Roman" w:eastAsia="宋体" w:cs="Times New Roman"/>
                      <w:color w:val="auto"/>
                    </w:rPr>
                    <w:t>。</w:t>
                  </w:r>
                </w:p>
                <w:p w14:paraId="4A434902">
                  <w:pPr>
                    <w:spacing w:line="240" w:lineRule="auto"/>
                    <w:jc w:val="left"/>
                    <w:textAlignment w:val="baseline"/>
                    <w:rPr>
                      <w:color w:val="auto"/>
                    </w:rPr>
                  </w:pPr>
                  <w:r>
                    <w:rPr>
                      <w:rFonts w:hint="eastAsia" w:ascii="Times New Roman" w:hAnsi="Times New Roman" w:eastAsia="宋体" w:cs="Times New Roman"/>
                      <w:color w:val="auto"/>
                    </w:rPr>
                    <w:t>（5）重视群众监督作用，</w:t>
                  </w:r>
                  <w:r>
                    <w:rPr>
                      <w:rFonts w:hint="eastAsia" w:cs="Times New Roman"/>
                      <w:color w:val="auto"/>
                      <w:lang w:eastAsia="zh-CN"/>
                    </w:rPr>
                    <w:t>增强</w:t>
                  </w:r>
                  <w:r>
                    <w:rPr>
                      <w:rFonts w:hint="eastAsia" w:ascii="Times New Roman" w:hAnsi="Times New Roman" w:eastAsia="宋体" w:cs="Times New Roman"/>
                      <w:color w:val="auto"/>
                    </w:rPr>
                    <w:t>企业职工环保意识，鼓励职工及外部人员对生产状况提出意见，并通过积极吸收宝贵意见，提高企业环境管理水平；（6）积极配合环保部门的检查、验收。</w:t>
                  </w:r>
                </w:p>
              </w:tc>
            </w:tr>
            <w:tr w14:paraId="604B0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6" w:type="pct"/>
                  <w:noWrap w:val="0"/>
                  <w:vAlign w:val="center"/>
                </w:tcPr>
                <w:p w14:paraId="2B6258D5">
                  <w:pPr>
                    <w:spacing w:line="240" w:lineRule="auto"/>
                    <w:jc w:val="center"/>
                    <w:textAlignment w:val="baseline"/>
                    <w:rPr>
                      <w:rFonts w:hint="default" w:eastAsia="宋体"/>
                      <w:color w:val="auto"/>
                      <w:szCs w:val="21"/>
                      <w:lang w:val="en-US" w:eastAsia="zh-CN"/>
                    </w:rPr>
                  </w:pPr>
                  <w:r>
                    <w:rPr>
                      <w:rFonts w:hint="eastAsia"/>
                      <w:color w:val="auto"/>
                      <w:szCs w:val="21"/>
                      <w:lang w:val="en-US" w:eastAsia="zh-CN"/>
                    </w:rPr>
                    <w:t>探矿区生态恢复阶段</w:t>
                  </w:r>
                </w:p>
              </w:tc>
              <w:tc>
                <w:tcPr>
                  <w:tcW w:w="4233" w:type="pct"/>
                  <w:noWrap w:val="0"/>
                  <w:vAlign w:val="center"/>
                </w:tcPr>
                <w:p w14:paraId="4CB25D72">
                  <w:pPr>
                    <w:spacing w:line="240" w:lineRule="auto"/>
                    <w:jc w:val="left"/>
                    <w:textAlignment w:val="baseline"/>
                    <w:rPr>
                      <w:color w:val="auto"/>
                      <w:szCs w:val="21"/>
                    </w:rPr>
                  </w:pPr>
                  <w:r>
                    <w:rPr>
                      <w:rFonts w:hint="eastAsia"/>
                      <w:color w:val="auto"/>
                      <w:szCs w:val="21"/>
                    </w:rPr>
                    <w:t>（</w:t>
                  </w:r>
                  <w:r>
                    <w:rPr>
                      <w:color w:val="auto"/>
                      <w:szCs w:val="21"/>
                    </w:rPr>
                    <w:t>1</w:t>
                  </w:r>
                  <w:r>
                    <w:rPr>
                      <w:rFonts w:hint="eastAsia"/>
                      <w:color w:val="auto"/>
                      <w:szCs w:val="21"/>
                    </w:rPr>
                    <w:t>）</w:t>
                  </w:r>
                  <w:r>
                    <w:rPr>
                      <w:rFonts w:hint="eastAsia"/>
                      <w:color w:val="auto"/>
                      <w:szCs w:val="21"/>
                      <w:lang w:eastAsia="zh-CN"/>
                    </w:rPr>
                    <w:t>勘探工作完成后</w:t>
                  </w:r>
                  <w:r>
                    <w:rPr>
                      <w:rFonts w:hint="eastAsia"/>
                      <w:color w:val="auto"/>
                      <w:szCs w:val="21"/>
                    </w:rPr>
                    <w:t>，应</w:t>
                  </w:r>
                  <w:r>
                    <w:rPr>
                      <w:rFonts w:hint="eastAsia"/>
                      <w:color w:val="auto"/>
                      <w:szCs w:val="21"/>
                      <w:lang w:eastAsia="zh-CN"/>
                    </w:rPr>
                    <w:t>及时回填并恢复原有地貌</w:t>
                  </w:r>
                  <w:r>
                    <w:rPr>
                      <w:rFonts w:hint="eastAsia"/>
                      <w:color w:val="auto"/>
                      <w:szCs w:val="21"/>
                    </w:rPr>
                    <w:t>，及时进行生态恢复。</w:t>
                  </w:r>
                </w:p>
                <w:p w14:paraId="5DCF0855">
                  <w:pPr>
                    <w:spacing w:line="240" w:lineRule="auto"/>
                    <w:jc w:val="left"/>
                    <w:textAlignment w:val="baseline"/>
                    <w:rPr>
                      <w:color w:val="auto"/>
                      <w:szCs w:val="21"/>
                    </w:rPr>
                  </w:pPr>
                  <w:r>
                    <w:rPr>
                      <w:rFonts w:hint="eastAsia"/>
                      <w:color w:val="auto"/>
                      <w:szCs w:val="21"/>
                    </w:rPr>
                    <w:t>（</w:t>
                  </w:r>
                  <w:r>
                    <w:rPr>
                      <w:color w:val="auto"/>
                      <w:szCs w:val="21"/>
                    </w:rPr>
                    <w:t>2</w:t>
                  </w:r>
                  <w:r>
                    <w:rPr>
                      <w:rFonts w:hint="eastAsia"/>
                      <w:color w:val="auto"/>
                      <w:szCs w:val="21"/>
                    </w:rPr>
                    <w:t>）落实专项资金、加强监督管理</w:t>
                  </w:r>
                </w:p>
                <w:p w14:paraId="07DCB065">
                  <w:pPr>
                    <w:spacing w:line="240" w:lineRule="auto"/>
                    <w:jc w:val="left"/>
                    <w:textAlignment w:val="baseline"/>
                    <w:rPr>
                      <w:rFonts w:hint="eastAsia"/>
                      <w:color w:val="auto"/>
                      <w:szCs w:val="21"/>
                    </w:rPr>
                  </w:pPr>
                  <w:r>
                    <w:rPr>
                      <w:rFonts w:hint="eastAsia" w:cs="宋体"/>
                      <w:color w:val="auto"/>
                      <w:szCs w:val="21"/>
                    </w:rPr>
                    <w:t>①</w:t>
                  </w:r>
                  <w:r>
                    <w:rPr>
                      <w:rFonts w:hint="eastAsia"/>
                      <w:color w:val="auto"/>
                      <w:szCs w:val="21"/>
                    </w:rPr>
                    <w:t>认真落实已编制的生态环境恢复治理方案，</w:t>
                  </w:r>
                  <w:r>
                    <w:rPr>
                      <w:rFonts w:hint="eastAsia"/>
                      <w:color w:val="auto"/>
                      <w:szCs w:val="21"/>
                      <w:lang w:eastAsia="zh-CN"/>
                    </w:rPr>
                    <w:t>做好地质普查后</w:t>
                  </w:r>
                  <w:r>
                    <w:rPr>
                      <w:rFonts w:hint="eastAsia"/>
                      <w:color w:val="auto"/>
                      <w:szCs w:val="21"/>
                    </w:rPr>
                    <w:t>环境整治及土地复垦等工作。</w:t>
                  </w:r>
                </w:p>
                <w:p w14:paraId="7A5BAE6D">
                  <w:pPr>
                    <w:spacing w:line="240" w:lineRule="auto"/>
                    <w:jc w:val="left"/>
                    <w:textAlignment w:val="baseline"/>
                    <w:rPr>
                      <w:color w:val="auto"/>
                      <w:szCs w:val="21"/>
                    </w:rPr>
                  </w:pPr>
                  <w:r>
                    <w:rPr>
                      <w:rFonts w:hint="eastAsia" w:cs="宋体"/>
                      <w:color w:val="auto"/>
                      <w:szCs w:val="21"/>
                    </w:rPr>
                    <w:t>②</w:t>
                  </w:r>
                  <w:r>
                    <w:rPr>
                      <w:rFonts w:hint="eastAsia"/>
                      <w:color w:val="auto"/>
                      <w:szCs w:val="21"/>
                    </w:rPr>
                    <w:t>建立环保设施档案，主动接受环保部门监督，配合环保部门的检查、验收。</w:t>
                  </w:r>
                </w:p>
              </w:tc>
            </w:tr>
          </w:tbl>
          <w:p w14:paraId="1A330D72">
            <w:pPr>
              <w:adjustRightInd w:val="0"/>
              <w:snapToGrid w:val="0"/>
              <w:rPr>
                <w:rFonts w:ascii="宋体" w:hAnsi="宋体" w:cs="宋体"/>
                <w:bCs/>
                <w:color w:val="auto"/>
                <w:spacing w:val="10"/>
                <w:szCs w:val="21"/>
              </w:rPr>
            </w:pPr>
          </w:p>
        </w:tc>
      </w:tr>
      <w:tr w14:paraId="377BD3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432" w:type="pct"/>
            <w:noWrap w:val="0"/>
            <w:vAlign w:val="center"/>
          </w:tcPr>
          <w:p w14:paraId="4D300BA5">
            <w:pPr>
              <w:adjustRightInd w:val="0"/>
              <w:snapToGrid w:val="0"/>
              <w:jc w:val="center"/>
              <w:rPr>
                <w:rFonts w:ascii="宋体" w:hAnsi="宋体" w:cs="宋体"/>
                <w:bCs/>
                <w:color w:val="auto"/>
                <w:spacing w:val="10"/>
                <w:szCs w:val="21"/>
              </w:rPr>
            </w:pPr>
            <w:r>
              <w:rPr>
                <w:rFonts w:hint="eastAsia" w:ascii="宋体" w:hAnsi="宋体"/>
                <w:bCs/>
                <w:color w:val="auto"/>
                <w:szCs w:val="21"/>
              </w:rPr>
              <w:t>其他</w:t>
            </w:r>
          </w:p>
        </w:tc>
        <w:tc>
          <w:tcPr>
            <w:tcW w:w="4567" w:type="pct"/>
            <w:noWrap w:val="0"/>
            <w:vAlign w:val="center"/>
          </w:tcPr>
          <w:p w14:paraId="77F9B22E">
            <w:pPr>
              <w:adjustRightInd w:val="0"/>
              <w:snapToGrid w:val="0"/>
              <w:jc w:val="center"/>
              <w:rPr>
                <w:rFonts w:hint="eastAsia" w:ascii="宋体" w:hAnsi="宋体" w:eastAsia="宋体" w:cs="宋体"/>
                <w:bCs/>
                <w:color w:val="auto"/>
                <w:spacing w:val="10"/>
                <w:szCs w:val="21"/>
                <w:lang w:val="en-US" w:eastAsia="zh-CN"/>
              </w:rPr>
            </w:pPr>
            <w:r>
              <w:rPr>
                <w:rFonts w:hint="eastAsia" w:ascii="宋体" w:hAnsi="宋体" w:cs="宋体"/>
                <w:bCs/>
                <w:color w:val="auto"/>
                <w:spacing w:val="10"/>
                <w:szCs w:val="21"/>
                <w:lang w:val="en-US" w:eastAsia="zh-CN"/>
              </w:rPr>
              <w:t>无</w:t>
            </w:r>
          </w:p>
        </w:tc>
      </w:tr>
      <w:tr w14:paraId="54A617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1" w:hRule="atLeast"/>
          <w:jc w:val="center"/>
        </w:trPr>
        <w:tc>
          <w:tcPr>
            <w:tcW w:w="432" w:type="pct"/>
            <w:noWrap w:val="0"/>
            <w:vAlign w:val="center"/>
          </w:tcPr>
          <w:p w14:paraId="1BC21A68">
            <w:pPr>
              <w:adjustRightInd w:val="0"/>
              <w:snapToGrid w:val="0"/>
              <w:jc w:val="center"/>
              <w:rPr>
                <w:rFonts w:ascii="宋体" w:hAnsi="宋体" w:cs="宋体"/>
                <w:bCs/>
                <w:color w:val="auto"/>
                <w:spacing w:val="10"/>
                <w:szCs w:val="21"/>
              </w:rPr>
            </w:pPr>
            <w:r>
              <w:rPr>
                <w:rFonts w:hint="eastAsia" w:ascii="宋体" w:hAnsi="宋体"/>
                <w:bCs/>
                <w:color w:val="auto"/>
                <w:szCs w:val="21"/>
              </w:rPr>
              <w:t>环保投资</w:t>
            </w:r>
          </w:p>
        </w:tc>
        <w:tc>
          <w:tcPr>
            <w:tcW w:w="4567" w:type="pct"/>
            <w:noWrap w:val="0"/>
            <w:vAlign w:val="top"/>
          </w:tcPr>
          <w:p w14:paraId="270AA93F">
            <w:pPr>
              <w:pStyle w:val="46"/>
              <w:keepNext w:val="0"/>
              <w:keepLines w:val="0"/>
              <w:pageBreakBefore w:val="0"/>
              <w:widowControl w:val="0"/>
              <w:kinsoku/>
              <w:overflowPunct/>
              <w:topLinePunct w:val="0"/>
              <w:autoSpaceDE/>
              <w:autoSpaceDN/>
              <w:bidi w:val="0"/>
              <w:adjustRightInd w:val="0"/>
              <w:snapToGrid w:val="0"/>
              <w:textAlignment w:val="auto"/>
              <w:rPr>
                <w:rFonts w:hint="eastAsia"/>
                <w:color w:val="auto"/>
                <w:highlight w:val="none"/>
                <w:lang w:val="en-US" w:eastAsia="zh-CN"/>
              </w:rPr>
            </w:pPr>
            <w:r>
              <w:rPr>
                <w:rFonts w:hint="eastAsia"/>
                <w:color w:val="auto"/>
                <w:highlight w:val="none"/>
                <w:lang w:val="en-US" w:eastAsia="zh-CN"/>
              </w:rPr>
              <w:t>项目总投资为274.26万元，环保投资为24万元，占总投资的8.75%，具体环保投资见下表。</w:t>
            </w:r>
          </w:p>
          <w:p w14:paraId="530F2F9E">
            <w:pPr>
              <w:keepNext w:val="0"/>
              <w:keepLines w:val="0"/>
              <w:pageBreakBefore w:val="0"/>
              <w:widowControl w:val="0"/>
              <w:kinsoku/>
              <w:wordWrap/>
              <w:overflowPunct/>
              <w:topLinePunct w:val="0"/>
              <w:autoSpaceDE/>
              <w:autoSpaceDN/>
              <w:bidi w:val="0"/>
              <w:adjustRightInd w:val="0"/>
              <w:snapToGrid w:val="0"/>
              <w:spacing w:line="520" w:lineRule="exact"/>
              <w:ind w:firstLine="522" w:firstLineChars="200"/>
              <w:jc w:val="center"/>
              <w:textAlignment w:val="auto"/>
              <w:rPr>
                <w:rFonts w:hint="default" w:ascii="Times New Roman" w:hAnsi="Times New Roman" w:cs="Times New Roman"/>
                <w:b/>
                <w:bCs/>
                <w:color w:val="auto"/>
                <w:spacing w:val="10"/>
                <w:sz w:val="24"/>
              </w:rPr>
            </w:pPr>
            <w:r>
              <w:rPr>
                <w:rFonts w:hint="default" w:ascii="Times New Roman" w:hAnsi="Times New Roman" w:cs="Times New Roman"/>
                <w:b/>
                <w:bCs/>
                <w:color w:val="auto"/>
                <w:spacing w:val="10"/>
                <w:sz w:val="24"/>
              </w:rPr>
              <w:t>表</w:t>
            </w:r>
            <w:r>
              <w:rPr>
                <w:rFonts w:hint="default" w:ascii="Times New Roman" w:hAnsi="Times New Roman" w:cs="Times New Roman"/>
                <w:b/>
                <w:bCs/>
                <w:color w:val="auto"/>
                <w:spacing w:val="10"/>
                <w:sz w:val="24"/>
                <w:lang w:val="en-US" w:eastAsia="zh-CN"/>
              </w:rPr>
              <w:t>5-</w:t>
            </w:r>
            <w:r>
              <w:rPr>
                <w:rFonts w:hint="eastAsia" w:cs="Times New Roman"/>
                <w:b/>
                <w:bCs/>
                <w:color w:val="auto"/>
                <w:spacing w:val="10"/>
                <w:sz w:val="24"/>
                <w:lang w:val="en-US" w:eastAsia="zh-CN"/>
              </w:rPr>
              <w:t>8</w:t>
            </w:r>
            <w:r>
              <w:rPr>
                <w:rFonts w:hint="default" w:ascii="Times New Roman" w:hAnsi="Times New Roman" w:cs="Times New Roman"/>
                <w:b/>
                <w:bCs/>
                <w:color w:val="auto"/>
                <w:spacing w:val="10"/>
                <w:sz w:val="24"/>
              </w:rPr>
              <w:t xml:space="preserve">    本项目环保投资估算表</w:t>
            </w:r>
          </w:p>
          <w:tbl>
            <w:tblPr>
              <w:tblStyle w:val="20"/>
              <w:tblW w:w="4973"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1" w:type="dxa"/>
                <w:bottom w:w="0" w:type="dxa"/>
                <w:right w:w="11" w:type="dxa"/>
              </w:tblCellMar>
            </w:tblPr>
            <w:tblGrid>
              <w:gridCol w:w="799"/>
              <w:gridCol w:w="901"/>
              <w:gridCol w:w="1437"/>
              <w:gridCol w:w="3912"/>
              <w:gridCol w:w="607"/>
            </w:tblGrid>
            <w:tr w14:paraId="58755C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1" w:type="dxa"/>
                  <w:bottom w:w="0" w:type="dxa"/>
                  <w:right w:w="11" w:type="dxa"/>
                </w:tblCellMar>
              </w:tblPrEx>
              <w:trPr>
                <w:trHeight w:val="337" w:hRule="atLeast"/>
                <w:tblHeader/>
                <w:jc w:val="center"/>
              </w:trPr>
              <w:tc>
                <w:tcPr>
                  <w:tcW w:w="522" w:type="pct"/>
                  <w:noWrap w:val="0"/>
                  <w:vAlign w:val="center"/>
                </w:tcPr>
                <w:p w14:paraId="7EA386AD">
                  <w:pPr>
                    <w:spacing w:line="240" w:lineRule="auto"/>
                    <w:jc w:val="center"/>
                    <w:rPr>
                      <w:color w:val="auto"/>
                      <w:szCs w:val="21"/>
                    </w:rPr>
                  </w:pPr>
                  <w:r>
                    <w:rPr>
                      <w:color w:val="auto"/>
                      <w:szCs w:val="21"/>
                    </w:rPr>
                    <w:t>工程类别</w:t>
                  </w:r>
                </w:p>
              </w:tc>
              <w:tc>
                <w:tcPr>
                  <w:tcW w:w="588" w:type="pct"/>
                  <w:noWrap w:val="0"/>
                  <w:vAlign w:val="center"/>
                </w:tcPr>
                <w:p w14:paraId="1A42347A">
                  <w:pPr>
                    <w:spacing w:line="240" w:lineRule="auto"/>
                    <w:jc w:val="center"/>
                    <w:rPr>
                      <w:color w:val="auto"/>
                      <w:szCs w:val="21"/>
                    </w:rPr>
                  </w:pPr>
                  <w:r>
                    <w:rPr>
                      <w:color w:val="auto"/>
                      <w:szCs w:val="21"/>
                    </w:rPr>
                    <w:t>污染类别</w:t>
                  </w:r>
                </w:p>
              </w:tc>
              <w:tc>
                <w:tcPr>
                  <w:tcW w:w="938" w:type="pct"/>
                  <w:noWrap w:val="0"/>
                  <w:vAlign w:val="center"/>
                </w:tcPr>
                <w:p w14:paraId="036E48DE">
                  <w:pPr>
                    <w:spacing w:line="240" w:lineRule="auto"/>
                    <w:jc w:val="center"/>
                    <w:rPr>
                      <w:color w:val="auto"/>
                      <w:szCs w:val="21"/>
                    </w:rPr>
                  </w:pPr>
                  <w:r>
                    <w:rPr>
                      <w:color w:val="auto"/>
                      <w:szCs w:val="21"/>
                    </w:rPr>
                    <w:t>污染源</w:t>
                  </w:r>
                </w:p>
              </w:tc>
              <w:tc>
                <w:tcPr>
                  <w:tcW w:w="2554" w:type="pct"/>
                  <w:noWrap w:val="0"/>
                  <w:vAlign w:val="center"/>
                </w:tcPr>
                <w:p w14:paraId="792B1536">
                  <w:pPr>
                    <w:spacing w:line="240" w:lineRule="auto"/>
                    <w:jc w:val="center"/>
                    <w:rPr>
                      <w:color w:val="auto"/>
                      <w:szCs w:val="21"/>
                    </w:rPr>
                  </w:pPr>
                  <w:r>
                    <w:rPr>
                      <w:color w:val="auto"/>
                      <w:szCs w:val="21"/>
                    </w:rPr>
                    <w:t>环保设施</w:t>
                  </w:r>
                </w:p>
              </w:tc>
              <w:tc>
                <w:tcPr>
                  <w:tcW w:w="396" w:type="pct"/>
                  <w:noWrap w:val="0"/>
                  <w:vAlign w:val="center"/>
                </w:tcPr>
                <w:p w14:paraId="1AD7A8D6">
                  <w:pPr>
                    <w:spacing w:line="240" w:lineRule="auto"/>
                    <w:jc w:val="center"/>
                    <w:rPr>
                      <w:color w:val="auto"/>
                      <w:szCs w:val="21"/>
                    </w:rPr>
                  </w:pPr>
                  <w:r>
                    <w:rPr>
                      <w:color w:val="auto"/>
                      <w:szCs w:val="21"/>
                    </w:rPr>
                    <w:t>投资</w:t>
                  </w:r>
                </w:p>
              </w:tc>
            </w:tr>
            <w:tr w14:paraId="75A9A7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1" w:type="dxa"/>
                  <w:bottom w:w="0" w:type="dxa"/>
                  <w:right w:w="11" w:type="dxa"/>
                </w:tblCellMar>
              </w:tblPrEx>
              <w:trPr>
                <w:trHeight w:val="362" w:hRule="atLeast"/>
                <w:tblHeader/>
                <w:jc w:val="center"/>
              </w:trPr>
              <w:tc>
                <w:tcPr>
                  <w:tcW w:w="522" w:type="pct"/>
                  <w:vMerge w:val="restart"/>
                  <w:noWrap w:val="0"/>
                  <w:vAlign w:val="center"/>
                </w:tcPr>
                <w:p w14:paraId="0100E171">
                  <w:pPr>
                    <w:spacing w:line="240" w:lineRule="auto"/>
                    <w:jc w:val="center"/>
                    <w:rPr>
                      <w:rFonts w:hint="default" w:eastAsia="宋体"/>
                      <w:color w:val="auto"/>
                      <w:szCs w:val="21"/>
                      <w:lang w:val="en-US" w:eastAsia="zh-CN"/>
                    </w:rPr>
                  </w:pPr>
                  <w:r>
                    <w:rPr>
                      <w:rFonts w:hint="eastAsia"/>
                      <w:color w:val="auto"/>
                      <w:szCs w:val="21"/>
                      <w:lang w:val="en-US" w:eastAsia="zh-CN"/>
                    </w:rPr>
                    <w:t>施工期、勘探</w:t>
                  </w:r>
                  <w:r>
                    <w:rPr>
                      <w:rFonts w:hint="eastAsia"/>
                      <w:color w:val="auto"/>
                      <w:szCs w:val="21"/>
                      <w:lang w:eastAsia="zh-CN"/>
                    </w:rPr>
                    <w:t>期</w:t>
                  </w:r>
                  <w:r>
                    <w:rPr>
                      <w:rFonts w:hint="eastAsia"/>
                      <w:color w:val="auto"/>
                      <w:szCs w:val="21"/>
                      <w:lang w:val="en-US" w:eastAsia="zh-CN"/>
                    </w:rPr>
                    <w:t>及勘探期结束后</w:t>
                  </w:r>
                </w:p>
              </w:tc>
              <w:tc>
                <w:tcPr>
                  <w:tcW w:w="588" w:type="pct"/>
                  <w:vMerge w:val="restart"/>
                  <w:noWrap w:val="0"/>
                  <w:vAlign w:val="center"/>
                </w:tcPr>
                <w:p w14:paraId="77E1B84E">
                  <w:pPr>
                    <w:spacing w:line="240" w:lineRule="auto"/>
                    <w:jc w:val="center"/>
                    <w:rPr>
                      <w:color w:val="auto"/>
                      <w:szCs w:val="21"/>
                    </w:rPr>
                  </w:pPr>
                  <w:r>
                    <w:rPr>
                      <w:color w:val="auto"/>
                      <w:szCs w:val="21"/>
                    </w:rPr>
                    <w:t>废气</w:t>
                  </w:r>
                </w:p>
              </w:tc>
              <w:tc>
                <w:tcPr>
                  <w:tcW w:w="938" w:type="pct"/>
                  <w:noWrap w:val="0"/>
                  <w:vAlign w:val="center"/>
                </w:tcPr>
                <w:p w14:paraId="7F3B2347">
                  <w:pPr>
                    <w:spacing w:line="240" w:lineRule="auto"/>
                    <w:jc w:val="center"/>
                    <w:rPr>
                      <w:rFonts w:hint="eastAsia"/>
                      <w:color w:val="auto"/>
                      <w:szCs w:val="21"/>
                    </w:rPr>
                  </w:pPr>
                  <w:r>
                    <w:rPr>
                      <w:rFonts w:hint="eastAsia"/>
                      <w:color w:val="auto"/>
                      <w:szCs w:val="21"/>
                      <w:highlight w:val="none"/>
                      <w:lang w:eastAsia="zh-CN"/>
                    </w:rPr>
                    <w:t>施工扬尘</w:t>
                  </w:r>
                </w:p>
              </w:tc>
              <w:tc>
                <w:tcPr>
                  <w:tcW w:w="2554" w:type="pct"/>
                  <w:vMerge w:val="restart"/>
                  <w:noWrap w:val="0"/>
                  <w:vAlign w:val="center"/>
                </w:tcPr>
                <w:p w14:paraId="59A3718B">
                  <w:pPr>
                    <w:spacing w:line="240" w:lineRule="auto"/>
                    <w:jc w:val="center"/>
                    <w:rPr>
                      <w:rFonts w:hint="default" w:eastAsia="宋体"/>
                      <w:color w:val="auto"/>
                      <w:szCs w:val="21"/>
                      <w:lang w:val="en-US" w:eastAsia="zh-CN"/>
                    </w:rPr>
                  </w:pPr>
                  <w:r>
                    <w:rPr>
                      <w:color w:val="auto"/>
                      <w:szCs w:val="21"/>
                      <w:highlight w:val="none"/>
                    </w:rPr>
                    <w:t>洒水抑尘设施</w:t>
                  </w:r>
                  <w:r>
                    <w:rPr>
                      <w:rFonts w:hint="eastAsia"/>
                      <w:color w:val="auto"/>
                      <w:szCs w:val="21"/>
                      <w:highlight w:val="none"/>
                      <w:lang w:eastAsia="zh-CN"/>
                    </w:rPr>
                    <w:t>、</w:t>
                  </w:r>
                  <w:r>
                    <w:rPr>
                      <w:rFonts w:hint="eastAsia"/>
                      <w:color w:val="auto"/>
                      <w:szCs w:val="21"/>
                      <w:highlight w:val="none"/>
                      <w:lang w:val="en-US" w:eastAsia="zh-CN"/>
                    </w:rPr>
                    <w:t>彩条布覆盖</w:t>
                  </w:r>
                </w:p>
              </w:tc>
              <w:tc>
                <w:tcPr>
                  <w:tcW w:w="396" w:type="pct"/>
                  <w:vMerge w:val="restart"/>
                  <w:noWrap w:val="0"/>
                  <w:vAlign w:val="center"/>
                </w:tcPr>
                <w:p w14:paraId="569E1DFB">
                  <w:pPr>
                    <w:spacing w:line="240" w:lineRule="auto"/>
                    <w:jc w:val="center"/>
                    <w:rPr>
                      <w:rFonts w:hint="default"/>
                      <w:color w:val="auto"/>
                      <w:szCs w:val="21"/>
                      <w:lang w:val="en-US" w:eastAsia="zh-CN"/>
                    </w:rPr>
                  </w:pPr>
                  <w:r>
                    <w:rPr>
                      <w:rFonts w:hint="eastAsia"/>
                      <w:color w:val="auto"/>
                      <w:szCs w:val="21"/>
                      <w:lang w:val="en-US" w:eastAsia="zh-CN"/>
                    </w:rPr>
                    <w:t>2</w:t>
                  </w:r>
                </w:p>
              </w:tc>
            </w:tr>
            <w:tr w14:paraId="5C189B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1" w:type="dxa"/>
                  <w:bottom w:w="0" w:type="dxa"/>
                  <w:right w:w="11" w:type="dxa"/>
                </w:tblCellMar>
              </w:tblPrEx>
              <w:trPr>
                <w:trHeight w:val="337" w:hRule="atLeast"/>
                <w:tblHeader/>
                <w:jc w:val="center"/>
              </w:trPr>
              <w:tc>
                <w:tcPr>
                  <w:tcW w:w="522" w:type="pct"/>
                  <w:vMerge w:val="continue"/>
                  <w:noWrap w:val="0"/>
                  <w:vAlign w:val="center"/>
                </w:tcPr>
                <w:p w14:paraId="6CA23397">
                  <w:pPr>
                    <w:spacing w:line="240" w:lineRule="auto"/>
                    <w:jc w:val="center"/>
                    <w:rPr>
                      <w:rFonts w:hint="default" w:eastAsia="宋体"/>
                      <w:color w:val="auto"/>
                      <w:szCs w:val="21"/>
                      <w:lang w:val="en-US" w:eastAsia="zh-CN"/>
                    </w:rPr>
                  </w:pPr>
                </w:p>
              </w:tc>
              <w:tc>
                <w:tcPr>
                  <w:tcW w:w="588" w:type="pct"/>
                  <w:vMerge w:val="continue"/>
                  <w:noWrap w:val="0"/>
                  <w:vAlign w:val="center"/>
                </w:tcPr>
                <w:p w14:paraId="090DEEC8">
                  <w:pPr>
                    <w:spacing w:line="240" w:lineRule="auto"/>
                    <w:jc w:val="center"/>
                    <w:rPr>
                      <w:color w:val="auto"/>
                      <w:szCs w:val="21"/>
                    </w:rPr>
                  </w:pPr>
                </w:p>
              </w:tc>
              <w:tc>
                <w:tcPr>
                  <w:tcW w:w="938" w:type="pct"/>
                  <w:noWrap w:val="0"/>
                  <w:vAlign w:val="center"/>
                </w:tcPr>
                <w:p w14:paraId="3DF04427">
                  <w:pPr>
                    <w:spacing w:line="240" w:lineRule="auto"/>
                    <w:jc w:val="center"/>
                    <w:rPr>
                      <w:rFonts w:hint="default" w:eastAsia="宋体"/>
                      <w:color w:val="auto"/>
                      <w:szCs w:val="21"/>
                      <w:lang w:val="en-US" w:eastAsia="zh-CN"/>
                    </w:rPr>
                  </w:pPr>
                  <w:r>
                    <w:rPr>
                      <w:rFonts w:hint="eastAsia"/>
                      <w:color w:val="auto"/>
                      <w:szCs w:val="21"/>
                      <w:lang w:val="en-US" w:eastAsia="zh-CN"/>
                    </w:rPr>
                    <w:t>探槽开挖粉尘、道路扬尘</w:t>
                  </w:r>
                </w:p>
              </w:tc>
              <w:tc>
                <w:tcPr>
                  <w:tcW w:w="2554" w:type="pct"/>
                  <w:vMerge w:val="continue"/>
                  <w:noWrap w:val="0"/>
                  <w:vAlign w:val="center"/>
                </w:tcPr>
                <w:p w14:paraId="410D1A86">
                  <w:pPr>
                    <w:spacing w:line="240" w:lineRule="auto"/>
                    <w:jc w:val="center"/>
                    <w:rPr>
                      <w:color w:val="auto"/>
                      <w:szCs w:val="21"/>
                    </w:rPr>
                  </w:pPr>
                </w:p>
              </w:tc>
              <w:tc>
                <w:tcPr>
                  <w:tcW w:w="396" w:type="pct"/>
                  <w:vMerge w:val="continue"/>
                  <w:noWrap w:val="0"/>
                  <w:vAlign w:val="center"/>
                </w:tcPr>
                <w:p w14:paraId="180B033E">
                  <w:pPr>
                    <w:spacing w:line="240" w:lineRule="auto"/>
                    <w:jc w:val="center"/>
                    <w:rPr>
                      <w:rFonts w:hint="default" w:eastAsia="宋体"/>
                      <w:color w:val="auto"/>
                      <w:szCs w:val="21"/>
                      <w:lang w:val="en-US" w:eastAsia="zh-CN"/>
                    </w:rPr>
                  </w:pPr>
                </w:p>
              </w:tc>
            </w:tr>
            <w:tr w14:paraId="249D71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1" w:type="dxa"/>
                  <w:bottom w:w="0" w:type="dxa"/>
                  <w:right w:w="11" w:type="dxa"/>
                </w:tblCellMar>
              </w:tblPrEx>
              <w:trPr>
                <w:trHeight w:val="337" w:hRule="atLeast"/>
                <w:tblHeader/>
                <w:jc w:val="center"/>
              </w:trPr>
              <w:tc>
                <w:tcPr>
                  <w:tcW w:w="522" w:type="pct"/>
                  <w:vMerge w:val="continue"/>
                  <w:noWrap w:val="0"/>
                  <w:vAlign w:val="center"/>
                </w:tcPr>
                <w:p w14:paraId="1D0D29A4">
                  <w:pPr>
                    <w:spacing w:line="240" w:lineRule="auto"/>
                    <w:jc w:val="center"/>
                    <w:rPr>
                      <w:color w:val="auto"/>
                      <w:szCs w:val="21"/>
                    </w:rPr>
                  </w:pPr>
                </w:p>
              </w:tc>
              <w:tc>
                <w:tcPr>
                  <w:tcW w:w="588" w:type="pct"/>
                  <w:vMerge w:val="restart"/>
                  <w:noWrap w:val="0"/>
                  <w:vAlign w:val="center"/>
                </w:tcPr>
                <w:p w14:paraId="3ABE9E8E">
                  <w:pPr>
                    <w:spacing w:line="240" w:lineRule="auto"/>
                    <w:jc w:val="center"/>
                    <w:rPr>
                      <w:color w:val="auto"/>
                      <w:szCs w:val="21"/>
                    </w:rPr>
                  </w:pPr>
                  <w:r>
                    <w:rPr>
                      <w:rFonts w:hint="eastAsia"/>
                      <w:color w:val="auto"/>
                      <w:szCs w:val="21"/>
                    </w:rPr>
                    <w:t>废水</w:t>
                  </w:r>
                </w:p>
              </w:tc>
              <w:tc>
                <w:tcPr>
                  <w:tcW w:w="938" w:type="pct"/>
                  <w:noWrap w:val="0"/>
                  <w:vAlign w:val="center"/>
                </w:tcPr>
                <w:p w14:paraId="521F6784">
                  <w:pPr>
                    <w:widowControl/>
                    <w:spacing w:line="240" w:lineRule="auto"/>
                    <w:jc w:val="center"/>
                    <w:rPr>
                      <w:rFonts w:hint="eastAsia" w:eastAsia="宋体"/>
                      <w:color w:val="auto"/>
                      <w:szCs w:val="21"/>
                      <w:lang w:val="en-US" w:eastAsia="zh-CN"/>
                    </w:rPr>
                  </w:pPr>
                  <w:r>
                    <w:rPr>
                      <w:color w:val="auto"/>
                      <w:szCs w:val="21"/>
                    </w:rPr>
                    <w:t>生活</w:t>
                  </w:r>
                  <w:r>
                    <w:rPr>
                      <w:rFonts w:hint="eastAsia"/>
                      <w:color w:val="auto"/>
                      <w:szCs w:val="21"/>
                      <w:lang w:val="en-US" w:eastAsia="zh-CN"/>
                    </w:rPr>
                    <w:t>污水</w:t>
                  </w:r>
                </w:p>
              </w:tc>
              <w:tc>
                <w:tcPr>
                  <w:tcW w:w="2554" w:type="pct"/>
                  <w:noWrap w:val="0"/>
                  <w:vAlign w:val="center"/>
                </w:tcPr>
                <w:p w14:paraId="11BEDB0A">
                  <w:pPr>
                    <w:widowControl/>
                    <w:spacing w:line="240" w:lineRule="auto"/>
                    <w:jc w:val="center"/>
                    <w:rPr>
                      <w:rFonts w:hint="default" w:eastAsia="宋体"/>
                      <w:color w:val="auto"/>
                      <w:szCs w:val="21"/>
                      <w:lang w:val="en-US" w:eastAsia="zh-CN"/>
                    </w:rPr>
                  </w:pPr>
                  <w:r>
                    <w:rPr>
                      <w:rFonts w:hint="eastAsia"/>
                      <w:color w:val="auto"/>
                      <w:szCs w:val="21"/>
                      <w:lang w:val="en-US" w:eastAsia="zh-CN"/>
                    </w:rPr>
                    <w:t>一体化污水处理设施</w:t>
                  </w:r>
                </w:p>
              </w:tc>
              <w:tc>
                <w:tcPr>
                  <w:tcW w:w="396" w:type="pct"/>
                  <w:noWrap w:val="0"/>
                  <w:vAlign w:val="center"/>
                </w:tcPr>
                <w:p w14:paraId="553BAE5C">
                  <w:pPr>
                    <w:spacing w:line="240" w:lineRule="auto"/>
                    <w:jc w:val="center"/>
                    <w:rPr>
                      <w:rFonts w:hint="default" w:eastAsia="宋体"/>
                      <w:color w:val="auto"/>
                      <w:szCs w:val="21"/>
                      <w:lang w:val="en-US" w:eastAsia="zh-CN"/>
                    </w:rPr>
                  </w:pPr>
                  <w:r>
                    <w:rPr>
                      <w:rFonts w:hint="eastAsia"/>
                      <w:color w:val="auto"/>
                      <w:szCs w:val="21"/>
                      <w:lang w:val="en-US" w:eastAsia="zh-CN"/>
                    </w:rPr>
                    <w:t>5</w:t>
                  </w:r>
                </w:p>
              </w:tc>
            </w:tr>
            <w:tr w14:paraId="6AF58A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1" w:type="dxa"/>
                  <w:bottom w:w="0" w:type="dxa"/>
                  <w:right w:w="11" w:type="dxa"/>
                </w:tblCellMar>
              </w:tblPrEx>
              <w:trPr>
                <w:trHeight w:val="337" w:hRule="atLeast"/>
                <w:tblHeader/>
                <w:jc w:val="center"/>
              </w:trPr>
              <w:tc>
                <w:tcPr>
                  <w:tcW w:w="522" w:type="pct"/>
                  <w:vMerge w:val="continue"/>
                  <w:noWrap w:val="0"/>
                  <w:vAlign w:val="center"/>
                </w:tcPr>
                <w:p w14:paraId="2372F63E">
                  <w:pPr>
                    <w:spacing w:line="240" w:lineRule="auto"/>
                    <w:jc w:val="center"/>
                    <w:rPr>
                      <w:color w:val="auto"/>
                      <w:szCs w:val="21"/>
                    </w:rPr>
                  </w:pPr>
                </w:p>
              </w:tc>
              <w:tc>
                <w:tcPr>
                  <w:tcW w:w="588" w:type="pct"/>
                  <w:vMerge w:val="continue"/>
                  <w:noWrap w:val="0"/>
                  <w:vAlign w:val="center"/>
                </w:tcPr>
                <w:p w14:paraId="4F12A7D9">
                  <w:pPr>
                    <w:spacing w:line="240" w:lineRule="auto"/>
                    <w:jc w:val="center"/>
                    <w:rPr>
                      <w:rFonts w:hint="eastAsia"/>
                      <w:color w:val="auto"/>
                      <w:szCs w:val="21"/>
                    </w:rPr>
                  </w:pPr>
                </w:p>
              </w:tc>
              <w:tc>
                <w:tcPr>
                  <w:tcW w:w="938" w:type="pct"/>
                  <w:noWrap w:val="0"/>
                  <w:vAlign w:val="center"/>
                </w:tcPr>
                <w:p w14:paraId="15581069">
                  <w:pPr>
                    <w:widowControl/>
                    <w:spacing w:line="240" w:lineRule="auto"/>
                    <w:jc w:val="center"/>
                    <w:rPr>
                      <w:color w:val="auto"/>
                      <w:szCs w:val="21"/>
                    </w:rPr>
                  </w:pPr>
                  <w:r>
                    <w:rPr>
                      <w:rFonts w:hint="eastAsia"/>
                      <w:color w:val="auto"/>
                      <w:szCs w:val="21"/>
                      <w:lang w:eastAsia="zh-CN"/>
                    </w:rPr>
                    <w:t>设备冲洗水</w:t>
                  </w:r>
                </w:p>
              </w:tc>
              <w:tc>
                <w:tcPr>
                  <w:tcW w:w="2554" w:type="pct"/>
                  <w:noWrap w:val="0"/>
                  <w:vAlign w:val="center"/>
                </w:tcPr>
                <w:p w14:paraId="604D205A">
                  <w:pPr>
                    <w:widowControl/>
                    <w:spacing w:line="240" w:lineRule="auto"/>
                    <w:jc w:val="center"/>
                    <w:rPr>
                      <w:rFonts w:hint="eastAsia"/>
                      <w:color w:val="auto"/>
                      <w:szCs w:val="21"/>
                    </w:rPr>
                  </w:pPr>
                  <w:r>
                    <w:rPr>
                      <w:rFonts w:hint="eastAsia"/>
                      <w:color w:val="auto"/>
                      <w:szCs w:val="21"/>
                      <w:lang w:eastAsia="zh-CN"/>
                    </w:rPr>
                    <w:t>沉淀池</w:t>
                  </w:r>
                </w:p>
              </w:tc>
              <w:tc>
                <w:tcPr>
                  <w:tcW w:w="396" w:type="pct"/>
                  <w:noWrap w:val="0"/>
                  <w:vAlign w:val="center"/>
                </w:tcPr>
                <w:p w14:paraId="7DE118FB">
                  <w:pPr>
                    <w:spacing w:line="240" w:lineRule="auto"/>
                    <w:jc w:val="center"/>
                    <w:rPr>
                      <w:rFonts w:hint="eastAsia"/>
                      <w:color w:val="auto"/>
                      <w:szCs w:val="21"/>
                      <w:lang w:val="en-US" w:eastAsia="zh-CN"/>
                    </w:rPr>
                  </w:pPr>
                  <w:r>
                    <w:rPr>
                      <w:rFonts w:hint="eastAsia"/>
                      <w:color w:val="auto"/>
                      <w:szCs w:val="21"/>
                      <w:lang w:val="en-US" w:eastAsia="zh-CN"/>
                    </w:rPr>
                    <w:t>5</w:t>
                  </w:r>
                </w:p>
              </w:tc>
            </w:tr>
            <w:tr w14:paraId="1227BD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1" w:type="dxa"/>
                  <w:bottom w:w="0" w:type="dxa"/>
                  <w:right w:w="11" w:type="dxa"/>
                </w:tblCellMar>
              </w:tblPrEx>
              <w:trPr>
                <w:trHeight w:val="337" w:hRule="atLeast"/>
                <w:tblHeader/>
                <w:jc w:val="center"/>
              </w:trPr>
              <w:tc>
                <w:tcPr>
                  <w:tcW w:w="522" w:type="pct"/>
                  <w:vMerge w:val="continue"/>
                  <w:noWrap w:val="0"/>
                  <w:vAlign w:val="center"/>
                </w:tcPr>
                <w:p w14:paraId="66A68B22">
                  <w:pPr>
                    <w:spacing w:line="240" w:lineRule="auto"/>
                    <w:jc w:val="center"/>
                    <w:rPr>
                      <w:color w:val="auto"/>
                      <w:szCs w:val="21"/>
                    </w:rPr>
                  </w:pPr>
                </w:p>
              </w:tc>
              <w:tc>
                <w:tcPr>
                  <w:tcW w:w="588" w:type="pct"/>
                  <w:noWrap w:val="0"/>
                  <w:vAlign w:val="center"/>
                </w:tcPr>
                <w:p w14:paraId="0DDE5BC1">
                  <w:pPr>
                    <w:widowControl/>
                    <w:spacing w:line="240" w:lineRule="auto"/>
                    <w:jc w:val="center"/>
                    <w:rPr>
                      <w:rFonts w:hint="eastAsia"/>
                      <w:color w:val="auto"/>
                      <w:szCs w:val="21"/>
                    </w:rPr>
                  </w:pPr>
                  <w:r>
                    <w:rPr>
                      <w:color w:val="auto"/>
                      <w:szCs w:val="21"/>
                    </w:rPr>
                    <w:t>固废</w:t>
                  </w:r>
                </w:p>
              </w:tc>
              <w:tc>
                <w:tcPr>
                  <w:tcW w:w="938" w:type="pct"/>
                  <w:noWrap w:val="0"/>
                  <w:vAlign w:val="center"/>
                </w:tcPr>
                <w:p w14:paraId="2D96F84B">
                  <w:pPr>
                    <w:widowControl/>
                    <w:spacing w:line="240" w:lineRule="auto"/>
                    <w:jc w:val="center"/>
                    <w:rPr>
                      <w:rFonts w:hint="eastAsia"/>
                      <w:color w:val="auto"/>
                      <w:szCs w:val="21"/>
                    </w:rPr>
                  </w:pPr>
                  <w:r>
                    <w:rPr>
                      <w:color w:val="auto"/>
                      <w:szCs w:val="21"/>
                    </w:rPr>
                    <w:t>生活垃圾</w:t>
                  </w:r>
                </w:p>
              </w:tc>
              <w:tc>
                <w:tcPr>
                  <w:tcW w:w="2554" w:type="pct"/>
                  <w:noWrap w:val="0"/>
                  <w:vAlign w:val="center"/>
                </w:tcPr>
                <w:p w14:paraId="20FA8F12">
                  <w:pPr>
                    <w:widowControl/>
                    <w:spacing w:line="240" w:lineRule="auto"/>
                    <w:jc w:val="center"/>
                    <w:rPr>
                      <w:rFonts w:hint="eastAsia"/>
                      <w:color w:val="auto"/>
                      <w:szCs w:val="21"/>
                    </w:rPr>
                  </w:pPr>
                  <w:r>
                    <w:rPr>
                      <w:color w:val="auto"/>
                      <w:szCs w:val="21"/>
                    </w:rPr>
                    <w:t>生活垃圾箱</w:t>
                  </w:r>
                </w:p>
              </w:tc>
              <w:tc>
                <w:tcPr>
                  <w:tcW w:w="396" w:type="pct"/>
                  <w:noWrap w:val="0"/>
                  <w:vAlign w:val="center"/>
                </w:tcPr>
                <w:p w14:paraId="28978ECB">
                  <w:pPr>
                    <w:spacing w:line="240" w:lineRule="auto"/>
                    <w:jc w:val="center"/>
                    <w:rPr>
                      <w:rFonts w:hint="eastAsia" w:eastAsia="宋体"/>
                      <w:color w:val="auto"/>
                      <w:szCs w:val="21"/>
                      <w:lang w:val="en-US" w:eastAsia="zh-CN"/>
                    </w:rPr>
                  </w:pPr>
                  <w:r>
                    <w:rPr>
                      <w:rFonts w:hint="eastAsia"/>
                      <w:color w:val="auto"/>
                      <w:szCs w:val="21"/>
                      <w:lang w:val="en-US" w:eastAsia="zh-CN"/>
                    </w:rPr>
                    <w:t>1</w:t>
                  </w:r>
                </w:p>
              </w:tc>
            </w:tr>
            <w:tr w14:paraId="3372EF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1" w:type="dxa"/>
                  <w:bottom w:w="0" w:type="dxa"/>
                  <w:right w:w="11" w:type="dxa"/>
                </w:tblCellMar>
              </w:tblPrEx>
              <w:trPr>
                <w:trHeight w:val="337" w:hRule="atLeast"/>
                <w:tblHeader/>
                <w:jc w:val="center"/>
              </w:trPr>
              <w:tc>
                <w:tcPr>
                  <w:tcW w:w="522" w:type="pct"/>
                  <w:vMerge w:val="continue"/>
                  <w:noWrap w:val="0"/>
                  <w:vAlign w:val="center"/>
                </w:tcPr>
                <w:p w14:paraId="76DBE406">
                  <w:pPr>
                    <w:spacing w:line="240" w:lineRule="auto"/>
                    <w:jc w:val="center"/>
                    <w:rPr>
                      <w:color w:val="auto"/>
                      <w:szCs w:val="21"/>
                    </w:rPr>
                  </w:pPr>
                </w:p>
              </w:tc>
              <w:tc>
                <w:tcPr>
                  <w:tcW w:w="1526" w:type="pct"/>
                  <w:gridSpan w:val="2"/>
                  <w:noWrap w:val="0"/>
                  <w:vAlign w:val="center"/>
                </w:tcPr>
                <w:p w14:paraId="3A5F56DB">
                  <w:pPr>
                    <w:widowControl/>
                    <w:spacing w:line="240" w:lineRule="auto"/>
                    <w:jc w:val="center"/>
                    <w:rPr>
                      <w:rFonts w:hint="default"/>
                      <w:color w:val="auto"/>
                      <w:szCs w:val="21"/>
                      <w:lang w:val="en-US" w:eastAsia="zh-CN"/>
                    </w:rPr>
                  </w:pPr>
                  <w:r>
                    <w:rPr>
                      <w:rFonts w:hint="eastAsia"/>
                      <w:color w:val="auto"/>
                      <w:highlight w:val="none"/>
                      <w:lang w:val="en-US" w:eastAsia="zh-CN"/>
                    </w:rPr>
                    <w:t>环境风险防范工程</w:t>
                  </w:r>
                </w:p>
              </w:tc>
              <w:tc>
                <w:tcPr>
                  <w:tcW w:w="2554" w:type="pct"/>
                  <w:noWrap w:val="0"/>
                  <w:vAlign w:val="center"/>
                </w:tcPr>
                <w:p w14:paraId="45539430">
                  <w:pPr>
                    <w:widowControl/>
                    <w:spacing w:line="240" w:lineRule="auto"/>
                    <w:jc w:val="center"/>
                    <w:rPr>
                      <w:rFonts w:hint="eastAsia" w:cs="Times New Roman"/>
                      <w:color w:val="auto"/>
                      <w:szCs w:val="21"/>
                      <w:lang w:val="en-US" w:eastAsia="zh-CN"/>
                    </w:rPr>
                  </w:pPr>
                  <w:r>
                    <w:rPr>
                      <w:rFonts w:hint="default"/>
                      <w:color w:val="auto"/>
                      <w:highlight w:val="none"/>
                      <w:lang w:val="en-US" w:eastAsia="zh-CN"/>
                    </w:rPr>
                    <w:t>制定环境风险管理制度</w:t>
                  </w:r>
                  <w:r>
                    <w:rPr>
                      <w:rFonts w:hint="eastAsia"/>
                      <w:color w:val="auto"/>
                      <w:highlight w:val="none"/>
                      <w:lang w:val="en-US" w:eastAsia="zh-CN"/>
                    </w:rPr>
                    <w:t>、设置铺有防渗地膜的柴油贮存区</w:t>
                  </w:r>
                </w:p>
              </w:tc>
              <w:tc>
                <w:tcPr>
                  <w:tcW w:w="396" w:type="pct"/>
                  <w:noWrap w:val="0"/>
                  <w:vAlign w:val="center"/>
                </w:tcPr>
                <w:p w14:paraId="557BDED9">
                  <w:pPr>
                    <w:spacing w:line="240" w:lineRule="auto"/>
                    <w:jc w:val="center"/>
                    <w:rPr>
                      <w:rFonts w:hint="default"/>
                      <w:color w:val="auto"/>
                      <w:szCs w:val="21"/>
                      <w:lang w:val="en-US" w:eastAsia="zh-CN"/>
                    </w:rPr>
                  </w:pPr>
                  <w:r>
                    <w:rPr>
                      <w:rFonts w:hint="eastAsia"/>
                      <w:color w:val="auto"/>
                      <w:szCs w:val="21"/>
                      <w:lang w:val="en-US" w:eastAsia="zh-CN"/>
                    </w:rPr>
                    <w:t>5</w:t>
                  </w:r>
                </w:p>
              </w:tc>
            </w:tr>
            <w:tr w14:paraId="460644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1" w:type="dxa"/>
                  <w:bottom w:w="0" w:type="dxa"/>
                  <w:right w:w="11" w:type="dxa"/>
                </w:tblCellMar>
              </w:tblPrEx>
              <w:trPr>
                <w:trHeight w:val="337" w:hRule="atLeast"/>
                <w:jc w:val="center"/>
              </w:trPr>
              <w:tc>
                <w:tcPr>
                  <w:tcW w:w="522" w:type="pct"/>
                  <w:vMerge w:val="continue"/>
                  <w:noWrap w:val="0"/>
                  <w:vAlign w:val="center"/>
                </w:tcPr>
                <w:p w14:paraId="40F664B3">
                  <w:pPr>
                    <w:widowControl/>
                    <w:spacing w:line="240" w:lineRule="auto"/>
                    <w:jc w:val="center"/>
                    <w:rPr>
                      <w:rFonts w:hint="eastAsia" w:eastAsia="宋体"/>
                      <w:color w:val="auto"/>
                      <w:szCs w:val="21"/>
                      <w:lang w:eastAsia="zh-CN"/>
                    </w:rPr>
                  </w:pPr>
                </w:p>
              </w:tc>
              <w:tc>
                <w:tcPr>
                  <w:tcW w:w="1526" w:type="pct"/>
                  <w:gridSpan w:val="2"/>
                  <w:noWrap w:val="0"/>
                  <w:vAlign w:val="center"/>
                </w:tcPr>
                <w:p w14:paraId="596E747A">
                  <w:pPr>
                    <w:widowControl/>
                    <w:spacing w:line="240" w:lineRule="auto"/>
                    <w:jc w:val="center"/>
                    <w:rPr>
                      <w:color w:val="auto"/>
                      <w:szCs w:val="21"/>
                    </w:rPr>
                  </w:pPr>
                  <w:r>
                    <w:rPr>
                      <w:color w:val="auto"/>
                      <w:szCs w:val="21"/>
                    </w:rPr>
                    <w:t>生态保护与恢复措施</w:t>
                  </w:r>
                </w:p>
              </w:tc>
              <w:tc>
                <w:tcPr>
                  <w:tcW w:w="2554" w:type="pct"/>
                  <w:noWrap w:val="0"/>
                  <w:vAlign w:val="center"/>
                </w:tcPr>
                <w:p w14:paraId="096D439D">
                  <w:pPr>
                    <w:widowControl/>
                    <w:spacing w:line="240" w:lineRule="auto"/>
                    <w:jc w:val="center"/>
                    <w:rPr>
                      <w:color w:val="auto"/>
                      <w:szCs w:val="21"/>
                    </w:rPr>
                  </w:pPr>
                  <w:r>
                    <w:rPr>
                      <w:rFonts w:hint="eastAsia"/>
                      <w:color w:val="auto"/>
                      <w:szCs w:val="21"/>
                      <w:lang w:eastAsia="zh-CN"/>
                    </w:rPr>
                    <w:t>废土回填，</w:t>
                  </w:r>
                  <w:r>
                    <w:rPr>
                      <w:color w:val="auto"/>
                      <w:szCs w:val="21"/>
                    </w:rPr>
                    <w:t>所有地面建筑拆除，清除固废，平整场地，恢复其土地原貌。</w:t>
                  </w:r>
                </w:p>
              </w:tc>
              <w:tc>
                <w:tcPr>
                  <w:tcW w:w="396" w:type="pct"/>
                  <w:noWrap w:val="0"/>
                  <w:vAlign w:val="center"/>
                </w:tcPr>
                <w:p w14:paraId="7107B4A5">
                  <w:pPr>
                    <w:spacing w:line="240" w:lineRule="auto"/>
                    <w:jc w:val="center"/>
                    <w:rPr>
                      <w:rFonts w:hint="default" w:eastAsia="宋体"/>
                      <w:color w:val="auto"/>
                      <w:szCs w:val="21"/>
                      <w:lang w:val="en-US" w:eastAsia="zh-CN"/>
                    </w:rPr>
                  </w:pPr>
                  <w:r>
                    <w:rPr>
                      <w:rFonts w:hint="eastAsia"/>
                      <w:color w:val="auto"/>
                      <w:szCs w:val="21"/>
                      <w:lang w:val="en-US" w:eastAsia="zh-CN"/>
                    </w:rPr>
                    <w:t>6</w:t>
                  </w:r>
                </w:p>
              </w:tc>
            </w:tr>
            <w:tr w14:paraId="3D24EC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1" w:type="dxa"/>
                  <w:bottom w:w="0" w:type="dxa"/>
                  <w:right w:w="11" w:type="dxa"/>
                </w:tblCellMar>
              </w:tblPrEx>
              <w:trPr>
                <w:trHeight w:val="337" w:hRule="atLeast"/>
                <w:jc w:val="center"/>
              </w:trPr>
              <w:tc>
                <w:tcPr>
                  <w:tcW w:w="4603" w:type="pct"/>
                  <w:gridSpan w:val="4"/>
                  <w:noWrap w:val="0"/>
                  <w:vAlign w:val="center"/>
                </w:tcPr>
                <w:p w14:paraId="117CAB72">
                  <w:pPr>
                    <w:widowControl/>
                    <w:spacing w:line="240" w:lineRule="auto"/>
                    <w:jc w:val="center"/>
                    <w:rPr>
                      <w:color w:val="auto"/>
                      <w:szCs w:val="21"/>
                    </w:rPr>
                  </w:pPr>
                  <w:r>
                    <w:rPr>
                      <w:color w:val="auto"/>
                      <w:szCs w:val="21"/>
                    </w:rPr>
                    <w:t>合计</w:t>
                  </w:r>
                </w:p>
              </w:tc>
              <w:tc>
                <w:tcPr>
                  <w:tcW w:w="396" w:type="pct"/>
                  <w:noWrap w:val="0"/>
                  <w:vAlign w:val="center"/>
                </w:tcPr>
                <w:p w14:paraId="613B9046">
                  <w:pPr>
                    <w:spacing w:line="240" w:lineRule="auto"/>
                    <w:jc w:val="center"/>
                    <w:rPr>
                      <w:rFonts w:hint="default" w:eastAsia="宋体"/>
                      <w:color w:val="auto"/>
                      <w:szCs w:val="21"/>
                      <w:lang w:val="en-US" w:eastAsia="zh-CN"/>
                    </w:rPr>
                  </w:pPr>
                  <w:r>
                    <w:rPr>
                      <w:rFonts w:hint="eastAsia"/>
                      <w:color w:val="auto"/>
                      <w:szCs w:val="21"/>
                      <w:lang w:val="en-US" w:eastAsia="zh-CN"/>
                    </w:rPr>
                    <w:t>24</w:t>
                  </w:r>
                </w:p>
              </w:tc>
            </w:tr>
          </w:tbl>
          <w:p w14:paraId="02E61A23">
            <w:pPr>
              <w:adjustRightInd w:val="0"/>
              <w:snapToGrid w:val="0"/>
              <w:rPr>
                <w:rFonts w:ascii="宋体" w:hAnsi="宋体" w:cs="宋体"/>
                <w:bCs/>
                <w:color w:val="auto"/>
                <w:spacing w:val="10"/>
                <w:szCs w:val="21"/>
              </w:rPr>
            </w:pPr>
          </w:p>
          <w:p w14:paraId="2C9A430F">
            <w:pPr>
              <w:adjustRightInd w:val="0"/>
              <w:snapToGrid w:val="0"/>
              <w:rPr>
                <w:rFonts w:ascii="宋体" w:hAnsi="宋体" w:cs="宋体"/>
                <w:bCs/>
                <w:color w:val="auto"/>
                <w:spacing w:val="10"/>
                <w:szCs w:val="21"/>
              </w:rPr>
            </w:pPr>
          </w:p>
          <w:p w14:paraId="3CBA9AE2">
            <w:pPr>
              <w:adjustRightInd w:val="0"/>
              <w:snapToGrid w:val="0"/>
              <w:rPr>
                <w:rFonts w:ascii="宋体" w:hAnsi="宋体" w:cs="宋体"/>
                <w:bCs/>
                <w:color w:val="auto"/>
                <w:spacing w:val="10"/>
                <w:szCs w:val="21"/>
              </w:rPr>
            </w:pPr>
          </w:p>
        </w:tc>
      </w:tr>
    </w:tbl>
    <w:p w14:paraId="30295A00">
      <w:pPr>
        <w:rPr>
          <w:color w:val="auto"/>
        </w:rPr>
        <w:sectPr>
          <w:pgSz w:w="11907" w:h="16840"/>
          <w:pgMar w:top="1440" w:right="1797" w:bottom="1440" w:left="1797" w:header="851" w:footer="1077" w:gutter="0"/>
          <w:cols w:space="720" w:num="1"/>
          <w:docGrid w:linePitch="312" w:charSpace="0"/>
        </w:sectPr>
      </w:pPr>
    </w:p>
    <w:p w14:paraId="695C4D59">
      <w:pPr>
        <w:pStyle w:val="17"/>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六、生态环境保护措施监督检查清单</w:t>
      </w:r>
    </w:p>
    <w:tbl>
      <w:tblPr>
        <w:tblStyle w:val="20"/>
        <w:tblW w:w="504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2058"/>
        <w:gridCol w:w="1528"/>
        <w:gridCol w:w="2237"/>
        <w:gridCol w:w="1419"/>
      </w:tblGrid>
      <w:tr w14:paraId="2686CD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89" w:type="pct"/>
            <w:vMerge w:val="restart"/>
            <w:tcBorders>
              <w:tl2br w:val="single" w:color="auto" w:sz="4" w:space="0"/>
            </w:tcBorders>
            <w:noWrap w:val="0"/>
            <w:vAlign w:val="top"/>
          </w:tcPr>
          <w:p w14:paraId="164D6518">
            <w:pPr>
              <w:pStyle w:val="17"/>
              <w:adjustRightInd w:val="0"/>
              <w:snapToGrid w:val="0"/>
              <w:spacing w:before="72" w:beforeLines="30" w:beforeAutospacing="0" w:after="0" w:afterAutospacing="0"/>
              <w:jc w:val="center"/>
              <w:outlineLvl w:val="0"/>
              <w:rPr>
                <w:rFonts w:ascii="黑体" w:hAnsi="黑体" w:eastAsia="黑体" w:cs="宋体"/>
                <w:color w:val="auto"/>
                <w:kern w:val="2"/>
                <w:sz w:val="21"/>
                <w:szCs w:val="21"/>
              </w:rPr>
            </w:pPr>
            <w:r>
              <w:rPr>
                <w:rFonts w:hint="eastAsia" w:ascii="黑体" w:hAnsi="黑体" w:eastAsia="黑体" w:cs="宋体"/>
                <w:color w:val="auto"/>
                <w:kern w:val="2"/>
                <w:sz w:val="21"/>
                <w:szCs w:val="21"/>
              </w:rPr>
              <w:t xml:space="preserve">      内容</w:t>
            </w:r>
          </w:p>
          <w:p w14:paraId="5B672CAE">
            <w:pPr>
              <w:pStyle w:val="17"/>
              <w:adjustRightInd w:val="0"/>
              <w:snapToGrid w:val="0"/>
              <w:spacing w:before="0" w:beforeAutospacing="0" w:after="0" w:afterAutospacing="0" w:line="14" w:lineRule="auto"/>
              <w:outlineLvl w:val="0"/>
              <w:rPr>
                <w:rFonts w:hint="eastAsia" w:ascii="黑体" w:hAnsi="黑体" w:eastAsia="黑体" w:cs="宋体"/>
                <w:color w:val="auto"/>
                <w:kern w:val="2"/>
                <w:sz w:val="135"/>
                <w:szCs w:val="21"/>
              </w:rPr>
            </w:pPr>
            <w:r>
              <w:rPr>
                <w:rFonts w:hint="eastAsia" w:ascii="黑体" w:hAnsi="黑体" w:eastAsia="黑体" w:cs="宋体"/>
                <w:color w:val="auto"/>
                <w:kern w:val="2"/>
                <w:sz w:val="21"/>
                <w:szCs w:val="21"/>
              </w:rPr>
              <w:t xml:space="preserve"> </w:t>
            </w:r>
            <w:r>
              <w:rPr>
                <w:rFonts w:hint="eastAsia" w:ascii="黑体" w:hAnsi="黑体" w:eastAsia="黑体" w:cs="宋体"/>
                <w:color w:val="auto"/>
                <w:kern w:val="2"/>
                <w:sz w:val="135"/>
                <w:szCs w:val="21"/>
              </w:rPr>
              <w:t xml:space="preserve"> </w:t>
            </w:r>
          </w:p>
          <w:p w14:paraId="70B2ADFE">
            <w:pPr>
              <w:pStyle w:val="17"/>
              <w:adjustRightInd w:val="0"/>
              <w:snapToGrid w:val="0"/>
              <w:spacing w:before="0" w:beforeAutospacing="0" w:after="0" w:afterAutospacing="0"/>
              <w:outlineLvl w:val="0"/>
              <w:rPr>
                <w:rFonts w:hint="eastAsia" w:ascii="黑体" w:hAnsi="黑体" w:eastAsia="黑体" w:cs="宋体"/>
                <w:color w:val="auto"/>
                <w:kern w:val="2"/>
                <w:sz w:val="21"/>
                <w:szCs w:val="21"/>
              </w:rPr>
            </w:pPr>
            <w:r>
              <w:rPr>
                <w:rFonts w:hint="eastAsia" w:ascii="黑体" w:hAnsi="黑体" w:eastAsia="黑体" w:cs="宋体"/>
                <w:color w:val="auto"/>
                <w:kern w:val="2"/>
                <w:sz w:val="21"/>
                <w:szCs w:val="21"/>
              </w:rPr>
              <w:t>要素</w:t>
            </w:r>
          </w:p>
        </w:tc>
        <w:tc>
          <w:tcPr>
            <w:tcW w:w="2084" w:type="pct"/>
            <w:gridSpan w:val="2"/>
            <w:noWrap w:val="0"/>
            <w:vAlign w:val="center"/>
          </w:tcPr>
          <w:p w14:paraId="1AD92F15">
            <w:pPr>
              <w:pStyle w:val="17"/>
              <w:adjustRightInd w:val="0"/>
              <w:snapToGrid w:val="0"/>
              <w:spacing w:before="0" w:beforeAutospacing="0" w:after="0" w:afterAutospacing="0"/>
              <w:jc w:val="center"/>
              <w:outlineLvl w:val="0"/>
              <w:rPr>
                <w:rFonts w:ascii="黑体" w:hAnsi="黑体" w:eastAsia="黑体" w:cs="宋体"/>
                <w:color w:val="auto"/>
                <w:kern w:val="2"/>
                <w:sz w:val="21"/>
                <w:szCs w:val="21"/>
              </w:rPr>
            </w:pPr>
            <w:r>
              <w:rPr>
                <w:rFonts w:hint="eastAsia" w:ascii="黑体" w:hAnsi="黑体" w:eastAsia="黑体" w:cs="宋体"/>
                <w:color w:val="auto"/>
                <w:kern w:val="2"/>
                <w:sz w:val="21"/>
                <w:szCs w:val="21"/>
              </w:rPr>
              <w:t>施工期</w:t>
            </w:r>
          </w:p>
        </w:tc>
        <w:tc>
          <w:tcPr>
            <w:tcW w:w="2125" w:type="pct"/>
            <w:gridSpan w:val="2"/>
            <w:noWrap w:val="0"/>
            <w:vAlign w:val="center"/>
          </w:tcPr>
          <w:p w14:paraId="1079EE2D">
            <w:pPr>
              <w:pStyle w:val="17"/>
              <w:adjustRightInd w:val="0"/>
              <w:snapToGrid w:val="0"/>
              <w:spacing w:before="0" w:beforeAutospacing="0" w:after="0" w:afterAutospacing="0"/>
              <w:jc w:val="center"/>
              <w:outlineLvl w:val="0"/>
              <w:rPr>
                <w:rFonts w:ascii="黑体" w:hAnsi="黑体" w:eastAsia="黑体" w:cs="宋体"/>
                <w:color w:val="auto"/>
                <w:kern w:val="2"/>
                <w:sz w:val="21"/>
                <w:szCs w:val="21"/>
              </w:rPr>
            </w:pPr>
            <w:r>
              <w:rPr>
                <w:rFonts w:hint="eastAsia" w:ascii="黑体" w:hAnsi="黑体" w:eastAsia="黑体" w:cs="宋体"/>
                <w:color w:val="auto"/>
                <w:kern w:val="2"/>
                <w:sz w:val="21"/>
                <w:szCs w:val="21"/>
                <w:lang w:val="en-US" w:eastAsia="zh-CN"/>
              </w:rPr>
              <w:t>勘探</w:t>
            </w:r>
            <w:r>
              <w:rPr>
                <w:rFonts w:hint="eastAsia" w:ascii="黑体" w:hAnsi="黑体" w:eastAsia="黑体" w:cs="宋体"/>
                <w:color w:val="auto"/>
                <w:kern w:val="2"/>
                <w:sz w:val="21"/>
                <w:szCs w:val="21"/>
              </w:rPr>
              <w:t>期</w:t>
            </w:r>
          </w:p>
        </w:tc>
      </w:tr>
      <w:tr w14:paraId="03A581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89" w:type="pct"/>
            <w:vMerge w:val="continue"/>
            <w:noWrap w:val="0"/>
            <w:vAlign w:val="top"/>
          </w:tcPr>
          <w:p w14:paraId="0DACFED8">
            <w:pPr>
              <w:pStyle w:val="17"/>
              <w:adjustRightInd w:val="0"/>
              <w:snapToGrid w:val="0"/>
              <w:spacing w:before="0" w:beforeAutospacing="0" w:after="0" w:afterAutospacing="0"/>
              <w:ind w:firstLine="840"/>
              <w:jc w:val="center"/>
              <w:outlineLvl w:val="0"/>
              <w:rPr>
                <w:rFonts w:ascii="黑体" w:hAnsi="黑体" w:eastAsia="黑体" w:cs="宋体"/>
                <w:color w:val="auto"/>
                <w:kern w:val="2"/>
                <w:sz w:val="21"/>
                <w:szCs w:val="21"/>
              </w:rPr>
            </w:pPr>
          </w:p>
        </w:tc>
        <w:tc>
          <w:tcPr>
            <w:tcW w:w="1196" w:type="pct"/>
            <w:noWrap w:val="0"/>
            <w:vAlign w:val="center"/>
          </w:tcPr>
          <w:p w14:paraId="230008C6">
            <w:pPr>
              <w:pStyle w:val="17"/>
              <w:adjustRightInd w:val="0"/>
              <w:snapToGrid w:val="0"/>
              <w:spacing w:before="0" w:beforeAutospacing="0" w:after="0" w:afterAutospacing="0"/>
              <w:jc w:val="center"/>
              <w:outlineLvl w:val="0"/>
              <w:rPr>
                <w:rFonts w:ascii="黑体" w:hAnsi="黑体" w:eastAsia="黑体" w:cs="宋体"/>
                <w:color w:val="auto"/>
                <w:kern w:val="2"/>
                <w:sz w:val="21"/>
                <w:szCs w:val="21"/>
              </w:rPr>
            </w:pPr>
            <w:r>
              <w:rPr>
                <w:rFonts w:hint="eastAsia" w:ascii="黑体" w:hAnsi="黑体" w:eastAsia="黑体" w:cs="宋体"/>
                <w:color w:val="auto"/>
                <w:kern w:val="2"/>
                <w:sz w:val="21"/>
                <w:szCs w:val="21"/>
              </w:rPr>
              <w:t>环境保护措施</w:t>
            </w:r>
          </w:p>
        </w:tc>
        <w:tc>
          <w:tcPr>
            <w:tcW w:w="888" w:type="pct"/>
            <w:noWrap w:val="0"/>
            <w:vAlign w:val="center"/>
          </w:tcPr>
          <w:p w14:paraId="1CA10405">
            <w:pPr>
              <w:pStyle w:val="17"/>
              <w:adjustRightInd w:val="0"/>
              <w:snapToGrid w:val="0"/>
              <w:spacing w:before="0" w:beforeAutospacing="0" w:after="0" w:afterAutospacing="0"/>
              <w:jc w:val="center"/>
              <w:outlineLvl w:val="0"/>
              <w:rPr>
                <w:rFonts w:ascii="黑体" w:hAnsi="黑体" w:eastAsia="黑体" w:cs="宋体"/>
                <w:color w:val="auto"/>
                <w:kern w:val="2"/>
                <w:sz w:val="21"/>
                <w:szCs w:val="21"/>
              </w:rPr>
            </w:pPr>
            <w:r>
              <w:rPr>
                <w:rFonts w:hint="eastAsia" w:ascii="黑体" w:hAnsi="黑体" w:eastAsia="黑体" w:cs="宋体"/>
                <w:color w:val="auto"/>
                <w:kern w:val="2"/>
                <w:sz w:val="21"/>
                <w:szCs w:val="21"/>
              </w:rPr>
              <w:t>验收要求</w:t>
            </w:r>
          </w:p>
        </w:tc>
        <w:tc>
          <w:tcPr>
            <w:tcW w:w="1300" w:type="pct"/>
            <w:noWrap w:val="0"/>
            <w:vAlign w:val="center"/>
          </w:tcPr>
          <w:p w14:paraId="02E727E2">
            <w:pPr>
              <w:pStyle w:val="17"/>
              <w:adjustRightInd w:val="0"/>
              <w:snapToGrid w:val="0"/>
              <w:spacing w:before="0" w:beforeAutospacing="0" w:after="0" w:afterAutospacing="0"/>
              <w:jc w:val="center"/>
              <w:outlineLvl w:val="0"/>
              <w:rPr>
                <w:rFonts w:ascii="黑体" w:hAnsi="黑体" w:eastAsia="黑体" w:cs="宋体"/>
                <w:color w:val="auto"/>
                <w:kern w:val="2"/>
                <w:sz w:val="21"/>
                <w:szCs w:val="21"/>
              </w:rPr>
            </w:pPr>
            <w:r>
              <w:rPr>
                <w:rFonts w:hint="eastAsia" w:ascii="黑体" w:hAnsi="黑体" w:eastAsia="黑体" w:cs="宋体"/>
                <w:color w:val="auto"/>
                <w:kern w:val="2"/>
                <w:sz w:val="21"/>
                <w:szCs w:val="21"/>
              </w:rPr>
              <w:t>环境保护措施</w:t>
            </w:r>
          </w:p>
        </w:tc>
        <w:tc>
          <w:tcPr>
            <w:tcW w:w="825" w:type="pct"/>
            <w:noWrap w:val="0"/>
            <w:vAlign w:val="center"/>
          </w:tcPr>
          <w:p w14:paraId="0FE0A9BA">
            <w:pPr>
              <w:pStyle w:val="17"/>
              <w:adjustRightInd w:val="0"/>
              <w:snapToGrid w:val="0"/>
              <w:spacing w:before="0" w:beforeAutospacing="0" w:after="0" w:afterAutospacing="0"/>
              <w:jc w:val="center"/>
              <w:outlineLvl w:val="0"/>
              <w:rPr>
                <w:rFonts w:ascii="黑体" w:hAnsi="黑体" w:eastAsia="黑体" w:cs="宋体"/>
                <w:color w:val="auto"/>
                <w:kern w:val="2"/>
                <w:sz w:val="21"/>
                <w:szCs w:val="21"/>
              </w:rPr>
            </w:pPr>
            <w:r>
              <w:rPr>
                <w:rFonts w:hint="eastAsia" w:ascii="黑体" w:hAnsi="黑体" w:eastAsia="黑体" w:cs="宋体"/>
                <w:color w:val="auto"/>
                <w:kern w:val="2"/>
                <w:sz w:val="21"/>
                <w:szCs w:val="21"/>
              </w:rPr>
              <w:t>验收要求</w:t>
            </w:r>
          </w:p>
        </w:tc>
      </w:tr>
      <w:tr w14:paraId="0DB34B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9" w:type="pct"/>
            <w:noWrap w:val="0"/>
            <w:vAlign w:val="center"/>
          </w:tcPr>
          <w:p w14:paraId="6C482595">
            <w:pPr>
              <w:adjustRightInd w:val="0"/>
              <w:snapToGrid w:val="0"/>
              <w:jc w:val="center"/>
              <w:rPr>
                <w:rFonts w:ascii="宋体" w:hAnsi="宋体" w:cs="宋体"/>
                <w:color w:val="auto"/>
                <w:szCs w:val="21"/>
              </w:rPr>
            </w:pPr>
            <w:r>
              <w:rPr>
                <w:rFonts w:hint="eastAsia" w:ascii="宋体" w:hAnsi="宋体" w:cs="宋体"/>
                <w:color w:val="auto"/>
                <w:szCs w:val="21"/>
              </w:rPr>
              <w:t>陆生生态</w:t>
            </w:r>
          </w:p>
        </w:tc>
        <w:tc>
          <w:tcPr>
            <w:tcW w:w="1196" w:type="pct"/>
            <w:shd w:val="clear" w:color="auto" w:fill="auto"/>
            <w:noWrap w:val="0"/>
            <w:vAlign w:val="center"/>
          </w:tcPr>
          <w:p w14:paraId="2739EE74">
            <w:pPr>
              <w:pStyle w:val="43"/>
              <w:keepNext w:val="0"/>
              <w:keepLines w:val="0"/>
              <w:pageBreakBefore w:val="0"/>
              <w:widowControl w:val="0"/>
              <w:kinsoku/>
              <w:wordWrap w:val="0"/>
              <w:overflowPunct/>
              <w:topLinePunct w:val="0"/>
              <w:autoSpaceDE/>
              <w:autoSpaceDN/>
              <w:bidi w:val="0"/>
              <w:adjustRightInd/>
              <w:snapToGrid/>
              <w:jc w:val="center"/>
              <w:textAlignment w:val="auto"/>
              <w:rPr>
                <w:rFonts w:ascii="Times New Roman" w:hAnsi="Times New Roman" w:eastAsia="宋体" w:cs="Times New Roman"/>
                <w:color w:val="auto"/>
                <w:kern w:val="2"/>
                <w:sz w:val="21"/>
                <w:szCs w:val="21"/>
                <w:lang w:val="en-US" w:eastAsia="zh-CN" w:bidi="ar-SA"/>
              </w:rPr>
            </w:pPr>
            <w:r>
              <w:rPr>
                <w:rFonts w:hint="default"/>
                <w:color w:val="auto"/>
              </w:rPr>
              <w:t>合理设置临时堆放场，减少临时占地</w:t>
            </w:r>
            <w:r>
              <w:rPr>
                <w:rFonts w:hint="default"/>
                <w:color w:val="auto"/>
                <w:lang w:eastAsia="zh-CN"/>
              </w:rPr>
              <w:t>。</w:t>
            </w:r>
            <w:r>
              <w:rPr>
                <w:rFonts w:hint="default"/>
                <w:color w:val="auto"/>
              </w:rPr>
              <w:t>减少对植被的破坏</w:t>
            </w:r>
            <w:r>
              <w:rPr>
                <w:rFonts w:hint="default"/>
                <w:color w:val="auto"/>
                <w:lang w:eastAsia="zh-CN"/>
              </w:rPr>
              <w:t>。</w:t>
            </w:r>
            <w:r>
              <w:rPr>
                <w:rFonts w:hint="default"/>
                <w:color w:val="auto"/>
              </w:rPr>
              <w:t>施工结束后土地应及时平整恢复</w:t>
            </w:r>
            <w:r>
              <w:rPr>
                <w:rFonts w:hint="default"/>
                <w:color w:val="auto"/>
                <w:lang w:eastAsia="zh-CN"/>
              </w:rPr>
              <w:t>，尽可能恢复植被原貌</w:t>
            </w:r>
          </w:p>
        </w:tc>
        <w:tc>
          <w:tcPr>
            <w:tcW w:w="888" w:type="pct"/>
            <w:shd w:val="clear" w:color="auto" w:fill="auto"/>
            <w:noWrap w:val="0"/>
            <w:vAlign w:val="center"/>
          </w:tcPr>
          <w:p w14:paraId="534DE7E4">
            <w:pPr>
              <w:pStyle w:val="43"/>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w:t>
            </w:r>
          </w:p>
        </w:tc>
        <w:tc>
          <w:tcPr>
            <w:tcW w:w="1300" w:type="pct"/>
            <w:shd w:val="clear" w:color="auto" w:fill="auto"/>
            <w:noWrap w:val="0"/>
            <w:vAlign w:val="center"/>
          </w:tcPr>
          <w:p w14:paraId="135F05FE">
            <w:pPr>
              <w:pStyle w:val="43"/>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21"/>
                <w:szCs w:val="21"/>
                <w:lang w:val="en-US" w:eastAsia="zh-CN" w:bidi="ar-SA"/>
              </w:rPr>
            </w:pPr>
            <w:r>
              <w:rPr>
                <w:rFonts w:hint="default"/>
                <w:color w:val="auto"/>
              </w:rPr>
              <w:t>合理设置临时堆放场，减少临时占地</w:t>
            </w:r>
            <w:r>
              <w:rPr>
                <w:rFonts w:hint="default"/>
                <w:color w:val="auto"/>
                <w:lang w:eastAsia="zh-CN"/>
              </w:rPr>
              <w:t>。</w:t>
            </w:r>
            <w:r>
              <w:rPr>
                <w:rFonts w:hint="default"/>
                <w:color w:val="auto"/>
              </w:rPr>
              <w:t>减少对植被的破坏</w:t>
            </w:r>
            <w:r>
              <w:rPr>
                <w:rFonts w:hint="default"/>
                <w:color w:val="auto"/>
                <w:lang w:eastAsia="zh-CN"/>
              </w:rPr>
              <w:t>。</w:t>
            </w:r>
            <w:r>
              <w:rPr>
                <w:rFonts w:hint="default"/>
                <w:color w:val="auto"/>
              </w:rPr>
              <w:t>施工结束后土地应及时平整</w:t>
            </w:r>
            <w:r>
              <w:rPr>
                <w:rFonts w:hint="eastAsia"/>
                <w:color w:val="auto"/>
                <w:lang w:val="en-US" w:eastAsia="zh-CN"/>
              </w:rPr>
              <w:t>恢复，开挖土石方全部回填，拆除临时构筑物，</w:t>
            </w:r>
            <w:r>
              <w:rPr>
                <w:rFonts w:hint="default"/>
                <w:color w:val="auto"/>
                <w:lang w:eastAsia="zh-CN"/>
              </w:rPr>
              <w:t>定期检查已回填恢复的探槽，尽可能</w:t>
            </w:r>
            <w:r>
              <w:rPr>
                <w:rFonts w:hint="eastAsia"/>
                <w:color w:val="auto"/>
                <w:lang w:val="en-US" w:eastAsia="zh-CN"/>
              </w:rPr>
              <w:t>使其和周边原有地貌保持一致</w:t>
            </w:r>
          </w:p>
        </w:tc>
        <w:tc>
          <w:tcPr>
            <w:tcW w:w="825" w:type="pct"/>
            <w:shd w:val="clear" w:color="auto" w:fill="auto"/>
            <w:noWrap w:val="0"/>
            <w:vAlign w:val="center"/>
          </w:tcPr>
          <w:p w14:paraId="6D913853">
            <w:pPr>
              <w:pStyle w:val="43"/>
              <w:keepNext w:val="0"/>
              <w:keepLines w:val="0"/>
              <w:pageBreakBefore w:val="0"/>
              <w:widowControl w:val="0"/>
              <w:kinsoku/>
              <w:wordWrap w:val="0"/>
              <w:overflowPunct/>
              <w:topLinePunct w:val="0"/>
              <w:autoSpaceDE/>
              <w:autoSpaceDN/>
              <w:bidi w:val="0"/>
              <w:adjustRightInd/>
              <w:snapToGrid/>
              <w:jc w:val="center"/>
              <w:textAlignment w:val="auto"/>
              <w:rPr>
                <w:rFonts w:ascii="Times New Roman" w:hAnsi="Times New Roman" w:eastAsia="宋体" w:cs="Times New Roman"/>
                <w:color w:val="auto"/>
                <w:kern w:val="2"/>
                <w:sz w:val="21"/>
                <w:szCs w:val="21"/>
                <w:lang w:val="en-US" w:eastAsia="zh-CN" w:bidi="ar-SA"/>
              </w:rPr>
            </w:pPr>
            <w:r>
              <w:rPr>
                <w:rFonts w:hint="eastAsia"/>
                <w:color w:val="auto"/>
                <w:lang w:val="en-US" w:eastAsia="zh-CN"/>
              </w:rPr>
              <w:t>/</w:t>
            </w:r>
          </w:p>
        </w:tc>
      </w:tr>
      <w:tr w14:paraId="68C6E9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9" w:type="pct"/>
            <w:noWrap w:val="0"/>
            <w:vAlign w:val="center"/>
          </w:tcPr>
          <w:p w14:paraId="44327098">
            <w:pPr>
              <w:adjustRightInd w:val="0"/>
              <w:snapToGrid w:val="0"/>
              <w:jc w:val="center"/>
              <w:rPr>
                <w:rFonts w:ascii="宋体" w:hAnsi="宋体" w:cs="宋体"/>
                <w:color w:val="auto"/>
                <w:szCs w:val="21"/>
              </w:rPr>
            </w:pPr>
            <w:r>
              <w:rPr>
                <w:rFonts w:hint="eastAsia" w:ascii="宋体" w:hAnsi="宋体" w:cs="宋体"/>
                <w:color w:val="auto"/>
                <w:szCs w:val="21"/>
              </w:rPr>
              <w:t>水生生态</w:t>
            </w:r>
          </w:p>
        </w:tc>
        <w:tc>
          <w:tcPr>
            <w:tcW w:w="1196" w:type="pct"/>
            <w:shd w:val="clear" w:color="auto" w:fill="auto"/>
            <w:noWrap w:val="0"/>
            <w:vAlign w:val="center"/>
          </w:tcPr>
          <w:p w14:paraId="441FFDDC">
            <w:pPr>
              <w:pStyle w:val="43"/>
              <w:keepNext w:val="0"/>
              <w:keepLines w:val="0"/>
              <w:pageBreakBefore w:val="0"/>
              <w:widowControl w:val="0"/>
              <w:kinsoku/>
              <w:wordWrap w:val="0"/>
              <w:overflowPunct/>
              <w:topLinePunct w:val="0"/>
              <w:autoSpaceDE/>
              <w:autoSpaceDN/>
              <w:bidi w:val="0"/>
              <w:adjustRightInd/>
              <w:snapToGrid/>
              <w:jc w:val="center"/>
              <w:textAlignment w:val="auto"/>
              <w:rPr>
                <w:rFonts w:ascii="Times New Roman" w:hAnsi="Times New Roman" w:eastAsia="宋体" w:cs="Times New Roman"/>
                <w:color w:val="auto"/>
                <w:kern w:val="2"/>
                <w:sz w:val="21"/>
                <w:szCs w:val="21"/>
                <w:lang w:val="en-US" w:eastAsia="zh-CN" w:bidi="ar-SA"/>
              </w:rPr>
            </w:pPr>
            <w:r>
              <w:rPr>
                <w:rFonts w:hint="eastAsia"/>
                <w:color w:val="auto"/>
                <w:lang w:val="en-US" w:eastAsia="zh-CN"/>
              </w:rPr>
              <w:t>/</w:t>
            </w:r>
          </w:p>
        </w:tc>
        <w:tc>
          <w:tcPr>
            <w:tcW w:w="888" w:type="pct"/>
            <w:shd w:val="clear" w:color="auto" w:fill="auto"/>
            <w:noWrap w:val="0"/>
            <w:vAlign w:val="center"/>
          </w:tcPr>
          <w:p w14:paraId="73DE3FB1">
            <w:pPr>
              <w:pStyle w:val="43"/>
              <w:keepNext w:val="0"/>
              <w:keepLines w:val="0"/>
              <w:pageBreakBefore w:val="0"/>
              <w:widowControl w:val="0"/>
              <w:kinsoku/>
              <w:wordWrap w:val="0"/>
              <w:overflowPunct/>
              <w:topLinePunct w:val="0"/>
              <w:autoSpaceDE/>
              <w:autoSpaceDN/>
              <w:bidi w:val="0"/>
              <w:adjustRightInd/>
              <w:snapToGrid/>
              <w:jc w:val="center"/>
              <w:textAlignment w:val="auto"/>
              <w:rPr>
                <w:rFonts w:ascii="Times New Roman" w:hAnsi="Times New Roman" w:eastAsia="宋体" w:cs="Times New Roman"/>
                <w:color w:val="auto"/>
                <w:kern w:val="2"/>
                <w:sz w:val="21"/>
                <w:szCs w:val="21"/>
                <w:lang w:val="en-US" w:eastAsia="zh-CN" w:bidi="ar-SA"/>
              </w:rPr>
            </w:pPr>
            <w:r>
              <w:rPr>
                <w:rFonts w:hint="eastAsia"/>
                <w:color w:val="auto"/>
                <w:lang w:val="en-US" w:eastAsia="zh-CN"/>
              </w:rPr>
              <w:t>/</w:t>
            </w:r>
          </w:p>
        </w:tc>
        <w:tc>
          <w:tcPr>
            <w:tcW w:w="1300" w:type="pct"/>
            <w:shd w:val="clear" w:color="auto" w:fill="auto"/>
            <w:noWrap w:val="0"/>
            <w:vAlign w:val="center"/>
          </w:tcPr>
          <w:p w14:paraId="6718BB26">
            <w:pPr>
              <w:pStyle w:val="43"/>
              <w:keepNext w:val="0"/>
              <w:keepLines w:val="0"/>
              <w:pageBreakBefore w:val="0"/>
              <w:widowControl w:val="0"/>
              <w:kinsoku/>
              <w:wordWrap w:val="0"/>
              <w:overflowPunct/>
              <w:topLinePunct w:val="0"/>
              <w:autoSpaceDE/>
              <w:autoSpaceDN/>
              <w:bidi w:val="0"/>
              <w:adjustRightInd/>
              <w:snapToGrid/>
              <w:jc w:val="center"/>
              <w:textAlignment w:val="auto"/>
              <w:rPr>
                <w:rFonts w:ascii="Times New Roman" w:hAnsi="Times New Roman" w:eastAsia="宋体" w:cs="Times New Roman"/>
                <w:color w:val="auto"/>
                <w:kern w:val="2"/>
                <w:sz w:val="21"/>
                <w:szCs w:val="21"/>
                <w:lang w:val="en-US" w:eastAsia="zh-CN" w:bidi="ar-SA"/>
              </w:rPr>
            </w:pPr>
            <w:r>
              <w:rPr>
                <w:rFonts w:hint="eastAsia"/>
                <w:color w:val="auto"/>
                <w:lang w:val="en-US" w:eastAsia="zh-CN"/>
              </w:rPr>
              <w:t>/</w:t>
            </w:r>
          </w:p>
        </w:tc>
        <w:tc>
          <w:tcPr>
            <w:tcW w:w="825" w:type="pct"/>
            <w:shd w:val="clear" w:color="auto" w:fill="auto"/>
            <w:noWrap w:val="0"/>
            <w:vAlign w:val="center"/>
          </w:tcPr>
          <w:p w14:paraId="3E704EF2">
            <w:pPr>
              <w:pStyle w:val="43"/>
              <w:keepNext w:val="0"/>
              <w:keepLines w:val="0"/>
              <w:pageBreakBefore w:val="0"/>
              <w:widowControl w:val="0"/>
              <w:kinsoku/>
              <w:wordWrap w:val="0"/>
              <w:overflowPunct/>
              <w:topLinePunct w:val="0"/>
              <w:autoSpaceDE/>
              <w:autoSpaceDN/>
              <w:bidi w:val="0"/>
              <w:adjustRightInd/>
              <w:snapToGrid/>
              <w:jc w:val="center"/>
              <w:textAlignment w:val="auto"/>
              <w:rPr>
                <w:rFonts w:ascii="Times New Roman" w:hAnsi="Times New Roman" w:eastAsia="宋体" w:cs="Times New Roman"/>
                <w:color w:val="auto"/>
                <w:kern w:val="2"/>
                <w:sz w:val="21"/>
                <w:szCs w:val="21"/>
                <w:lang w:val="en-US" w:eastAsia="zh-CN" w:bidi="ar-SA"/>
              </w:rPr>
            </w:pPr>
            <w:r>
              <w:rPr>
                <w:rFonts w:hint="eastAsia"/>
                <w:color w:val="auto"/>
                <w:lang w:val="en-US" w:eastAsia="zh-CN"/>
              </w:rPr>
              <w:t>/</w:t>
            </w:r>
          </w:p>
        </w:tc>
      </w:tr>
      <w:tr w14:paraId="5568BC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9" w:type="pct"/>
            <w:noWrap w:val="0"/>
            <w:vAlign w:val="center"/>
          </w:tcPr>
          <w:p w14:paraId="74BB57DD">
            <w:pPr>
              <w:adjustRightInd w:val="0"/>
              <w:snapToGrid w:val="0"/>
              <w:jc w:val="center"/>
              <w:rPr>
                <w:rFonts w:ascii="宋体" w:hAnsi="宋体" w:cs="宋体"/>
                <w:color w:val="auto"/>
                <w:szCs w:val="21"/>
              </w:rPr>
            </w:pPr>
            <w:r>
              <w:rPr>
                <w:rFonts w:hint="eastAsia" w:ascii="宋体" w:hAnsi="宋体" w:cs="宋体"/>
                <w:color w:val="auto"/>
                <w:szCs w:val="21"/>
              </w:rPr>
              <w:t>地表水环境</w:t>
            </w:r>
          </w:p>
        </w:tc>
        <w:tc>
          <w:tcPr>
            <w:tcW w:w="1196" w:type="pct"/>
            <w:shd w:val="clear" w:color="auto" w:fill="auto"/>
            <w:noWrap w:val="0"/>
            <w:vAlign w:val="center"/>
          </w:tcPr>
          <w:p w14:paraId="135C7A79">
            <w:pPr>
              <w:pStyle w:val="43"/>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施工期较短，无生产废水产生；生活污水排入一体化污水处理设施后，用于洒水抑尘，全部自然蒸干，不外排</w:t>
            </w:r>
          </w:p>
        </w:tc>
        <w:tc>
          <w:tcPr>
            <w:tcW w:w="888" w:type="pct"/>
            <w:shd w:val="clear" w:color="auto" w:fill="auto"/>
            <w:noWrap w:val="0"/>
            <w:vAlign w:val="center"/>
          </w:tcPr>
          <w:p w14:paraId="58ED67E1">
            <w:pPr>
              <w:pStyle w:val="43"/>
              <w:keepNext w:val="0"/>
              <w:keepLines w:val="0"/>
              <w:pageBreakBefore w:val="0"/>
              <w:widowControl w:val="0"/>
              <w:kinsoku/>
              <w:wordWrap w:val="0"/>
              <w:overflowPunct/>
              <w:topLinePunct w:val="0"/>
              <w:autoSpaceDE/>
              <w:autoSpaceDN/>
              <w:bidi w:val="0"/>
              <w:adjustRightInd/>
              <w:snapToGrid/>
              <w:jc w:val="center"/>
              <w:textAlignment w:val="auto"/>
              <w:rPr>
                <w:rFonts w:ascii="Times New Roman" w:hAnsi="Times New Roman" w:eastAsia="宋体" w:cs="Times New Roman"/>
                <w:color w:val="auto"/>
                <w:kern w:val="2"/>
                <w:sz w:val="21"/>
                <w:szCs w:val="21"/>
                <w:lang w:val="en-US" w:eastAsia="zh-CN" w:bidi="ar-SA"/>
              </w:rPr>
            </w:pPr>
            <w:r>
              <w:rPr>
                <w:rFonts w:hint="default"/>
                <w:color w:val="auto"/>
                <w:lang w:val="en-US" w:eastAsia="zh-CN"/>
              </w:rPr>
              <w:t>/</w:t>
            </w:r>
          </w:p>
        </w:tc>
        <w:tc>
          <w:tcPr>
            <w:tcW w:w="1300" w:type="pct"/>
            <w:shd w:val="clear" w:color="auto" w:fill="auto"/>
            <w:noWrap w:val="0"/>
            <w:vAlign w:val="center"/>
          </w:tcPr>
          <w:p w14:paraId="42179D3C">
            <w:pPr>
              <w:pStyle w:val="48"/>
              <w:bidi w:val="0"/>
              <w:jc w:val="center"/>
              <w:rPr>
                <w:rFonts w:hint="default" w:ascii="Times New Roman" w:hAnsi="Times New Roman" w:eastAsia="宋体" w:cs="宋体"/>
                <w:color w:val="auto"/>
                <w:kern w:val="0"/>
                <w:sz w:val="21"/>
                <w:szCs w:val="21"/>
                <w:lang w:val="en-US" w:eastAsia="zh-CN" w:bidi="ar-SA"/>
              </w:rPr>
            </w:pPr>
            <w:r>
              <w:rPr>
                <w:rFonts w:hint="eastAsia"/>
                <w:color w:val="auto"/>
                <w:lang w:val="en-US" w:eastAsia="zh-CN"/>
              </w:rPr>
              <w:t>生活污水排入一体化污水处理设施后，用于洒水抑尘，全部自然蒸干，不外排；设备冲洗水经沉淀池处理后用于洒水降尘，蒸发逸散、不外排。</w:t>
            </w:r>
            <w:r>
              <w:rPr>
                <w:rFonts w:hint="eastAsia" w:ascii="Times New Roman" w:hAnsi="Times New Roman" w:cs="Times New Roman"/>
                <w:color w:val="auto"/>
                <w:szCs w:val="21"/>
                <w:lang w:val="en-US" w:eastAsia="zh-CN"/>
              </w:rPr>
              <w:t>钻井泥浆</w:t>
            </w:r>
            <w:r>
              <w:rPr>
                <w:rFonts w:hint="eastAsia" w:cs="Times New Roman"/>
                <w:color w:val="auto"/>
                <w:szCs w:val="21"/>
                <w:lang w:val="en-US" w:eastAsia="zh-CN"/>
              </w:rPr>
              <w:t>循环使用，不外排。</w:t>
            </w:r>
          </w:p>
        </w:tc>
        <w:tc>
          <w:tcPr>
            <w:tcW w:w="825" w:type="pct"/>
            <w:shd w:val="clear" w:color="auto" w:fill="auto"/>
            <w:noWrap w:val="0"/>
            <w:vAlign w:val="center"/>
          </w:tcPr>
          <w:p w14:paraId="5BEF17AB">
            <w:pPr>
              <w:pStyle w:val="43"/>
              <w:keepNext w:val="0"/>
              <w:keepLines w:val="0"/>
              <w:pageBreakBefore w:val="0"/>
              <w:widowControl w:val="0"/>
              <w:kinsoku/>
              <w:wordWrap w:val="0"/>
              <w:overflowPunct/>
              <w:topLinePunct w:val="0"/>
              <w:autoSpaceDE/>
              <w:autoSpaceDN/>
              <w:bidi w:val="0"/>
              <w:adjustRightInd/>
              <w:snapToGrid/>
              <w:jc w:val="center"/>
              <w:textAlignment w:val="auto"/>
              <w:rPr>
                <w:rFonts w:ascii="Times New Roman" w:hAnsi="Times New Roman" w:eastAsia="宋体" w:cs="Times New Roman"/>
                <w:color w:val="auto"/>
                <w:kern w:val="2"/>
                <w:sz w:val="21"/>
                <w:szCs w:val="21"/>
                <w:lang w:val="en-US" w:eastAsia="zh-CN" w:bidi="ar-SA"/>
              </w:rPr>
            </w:pPr>
            <w:r>
              <w:rPr>
                <w:rFonts w:hint="default"/>
                <w:color w:val="auto"/>
                <w:lang w:val="en-US" w:eastAsia="zh-CN"/>
              </w:rPr>
              <w:t>/</w:t>
            </w:r>
          </w:p>
        </w:tc>
      </w:tr>
      <w:tr w14:paraId="5647B6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9" w:type="pct"/>
            <w:noWrap w:val="0"/>
            <w:vAlign w:val="center"/>
          </w:tcPr>
          <w:p w14:paraId="11C9D8C5">
            <w:pPr>
              <w:adjustRightInd w:val="0"/>
              <w:snapToGrid w:val="0"/>
              <w:jc w:val="center"/>
              <w:rPr>
                <w:rFonts w:ascii="宋体" w:hAnsi="宋体" w:cs="宋体"/>
                <w:color w:val="auto"/>
                <w:szCs w:val="21"/>
              </w:rPr>
            </w:pPr>
            <w:r>
              <w:rPr>
                <w:rFonts w:hint="eastAsia" w:ascii="宋体" w:hAnsi="宋体" w:cs="宋体"/>
                <w:color w:val="auto"/>
                <w:szCs w:val="21"/>
              </w:rPr>
              <w:t>地下水及土壤环境</w:t>
            </w:r>
          </w:p>
        </w:tc>
        <w:tc>
          <w:tcPr>
            <w:tcW w:w="1196" w:type="pct"/>
            <w:shd w:val="clear" w:color="auto" w:fill="auto"/>
            <w:noWrap w:val="0"/>
            <w:vAlign w:val="center"/>
          </w:tcPr>
          <w:p w14:paraId="0831AD5C">
            <w:pPr>
              <w:pStyle w:val="43"/>
              <w:keepNext w:val="0"/>
              <w:keepLines w:val="0"/>
              <w:pageBreakBefore w:val="0"/>
              <w:widowControl w:val="0"/>
              <w:kinsoku/>
              <w:wordWrap w:val="0"/>
              <w:overflowPunct/>
              <w:topLinePunct w:val="0"/>
              <w:autoSpaceDE/>
              <w:autoSpaceDN/>
              <w:bidi w:val="0"/>
              <w:adjustRightInd/>
              <w:snapToGrid/>
              <w:jc w:val="center"/>
              <w:textAlignment w:val="auto"/>
              <w:rPr>
                <w:rFonts w:ascii="Times New Roman" w:hAnsi="Times New Roman" w:eastAsia="宋体" w:cs="Times New Roman"/>
                <w:color w:val="auto"/>
                <w:kern w:val="2"/>
                <w:sz w:val="21"/>
                <w:szCs w:val="21"/>
                <w:lang w:val="en-US" w:eastAsia="zh-CN" w:bidi="ar-SA"/>
              </w:rPr>
            </w:pPr>
            <w:r>
              <w:rPr>
                <w:rFonts w:hint="default"/>
                <w:color w:val="auto"/>
                <w:lang w:val="en-US" w:eastAsia="zh-CN"/>
              </w:rPr>
              <w:t>/</w:t>
            </w:r>
          </w:p>
        </w:tc>
        <w:tc>
          <w:tcPr>
            <w:tcW w:w="888" w:type="pct"/>
            <w:shd w:val="clear" w:color="auto" w:fill="auto"/>
            <w:noWrap w:val="0"/>
            <w:vAlign w:val="center"/>
          </w:tcPr>
          <w:p w14:paraId="45FCF2E3">
            <w:pPr>
              <w:pStyle w:val="43"/>
              <w:keepNext w:val="0"/>
              <w:keepLines w:val="0"/>
              <w:pageBreakBefore w:val="0"/>
              <w:widowControl w:val="0"/>
              <w:kinsoku/>
              <w:wordWrap w:val="0"/>
              <w:overflowPunct/>
              <w:topLinePunct w:val="0"/>
              <w:autoSpaceDE/>
              <w:autoSpaceDN/>
              <w:bidi w:val="0"/>
              <w:adjustRightInd/>
              <w:snapToGrid/>
              <w:jc w:val="center"/>
              <w:textAlignment w:val="auto"/>
              <w:rPr>
                <w:rFonts w:ascii="Times New Roman" w:hAnsi="Times New Roman" w:eastAsia="宋体" w:cs="Times New Roman"/>
                <w:color w:val="auto"/>
                <w:kern w:val="2"/>
                <w:sz w:val="21"/>
                <w:szCs w:val="21"/>
                <w:lang w:val="en-US" w:eastAsia="zh-CN" w:bidi="ar-SA"/>
              </w:rPr>
            </w:pPr>
            <w:r>
              <w:rPr>
                <w:rFonts w:hint="default"/>
                <w:color w:val="auto"/>
                <w:lang w:val="en-US" w:eastAsia="zh-CN"/>
              </w:rPr>
              <w:t>/</w:t>
            </w:r>
          </w:p>
        </w:tc>
        <w:tc>
          <w:tcPr>
            <w:tcW w:w="1300" w:type="pct"/>
            <w:shd w:val="clear" w:color="auto" w:fill="auto"/>
            <w:noWrap w:val="0"/>
            <w:vAlign w:val="center"/>
          </w:tcPr>
          <w:p w14:paraId="2ACA20EB">
            <w:pPr>
              <w:pStyle w:val="43"/>
              <w:keepNext w:val="0"/>
              <w:keepLines w:val="0"/>
              <w:pageBreakBefore w:val="0"/>
              <w:widowControl w:val="0"/>
              <w:kinsoku/>
              <w:wordWrap w:val="0"/>
              <w:overflowPunct/>
              <w:topLinePunct w:val="0"/>
              <w:autoSpaceDE/>
              <w:autoSpaceDN/>
              <w:bidi w:val="0"/>
              <w:adjustRightInd/>
              <w:snapToGrid/>
              <w:jc w:val="center"/>
              <w:textAlignment w:val="auto"/>
              <w:rPr>
                <w:rFonts w:ascii="Times New Roman" w:hAnsi="Times New Roman" w:eastAsia="宋体" w:cs="Times New Roman"/>
                <w:color w:val="auto"/>
                <w:kern w:val="2"/>
                <w:sz w:val="21"/>
                <w:szCs w:val="21"/>
                <w:lang w:val="en-US" w:eastAsia="zh-CN" w:bidi="ar-SA"/>
              </w:rPr>
            </w:pPr>
            <w:r>
              <w:rPr>
                <w:rFonts w:hint="default"/>
                <w:color w:val="auto"/>
                <w:lang w:val="en-US" w:eastAsia="zh-CN"/>
              </w:rPr>
              <w:t>/</w:t>
            </w:r>
          </w:p>
        </w:tc>
        <w:tc>
          <w:tcPr>
            <w:tcW w:w="825" w:type="pct"/>
            <w:shd w:val="clear" w:color="auto" w:fill="auto"/>
            <w:noWrap w:val="0"/>
            <w:vAlign w:val="center"/>
          </w:tcPr>
          <w:p w14:paraId="7DB644E0">
            <w:pPr>
              <w:pStyle w:val="43"/>
              <w:keepNext w:val="0"/>
              <w:keepLines w:val="0"/>
              <w:pageBreakBefore w:val="0"/>
              <w:widowControl w:val="0"/>
              <w:kinsoku/>
              <w:wordWrap w:val="0"/>
              <w:overflowPunct/>
              <w:topLinePunct w:val="0"/>
              <w:autoSpaceDE/>
              <w:autoSpaceDN/>
              <w:bidi w:val="0"/>
              <w:adjustRightInd/>
              <w:snapToGrid/>
              <w:jc w:val="center"/>
              <w:textAlignment w:val="auto"/>
              <w:rPr>
                <w:rFonts w:ascii="Times New Roman" w:hAnsi="Times New Roman" w:eastAsia="宋体" w:cs="Times New Roman"/>
                <w:color w:val="auto"/>
                <w:kern w:val="2"/>
                <w:sz w:val="21"/>
                <w:szCs w:val="21"/>
                <w:lang w:val="en-US" w:eastAsia="zh-CN" w:bidi="ar-SA"/>
              </w:rPr>
            </w:pPr>
            <w:r>
              <w:rPr>
                <w:rFonts w:hint="default"/>
                <w:color w:val="auto"/>
                <w:lang w:val="en-US" w:eastAsia="zh-CN"/>
              </w:rPr>
              <w:t>/</w:t>
            </w:r>
          </w:p>
        </w:tc>
      </w:tr>
      <w:tr w14:paraId="2593B2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9" w:type="pct"/>
            <w:noWrap w:val="0"/>
            <w:vAlign w:val="center"/>
          </w:tcPr>
          <w:p w14:paraId="050D0407">
            <w:pPr>
              <w:adjustRightInd w:val="0"/>
              <w:snapToGrid w:val="0"/>
              <w:jc w:val="center"/>
              <w:rPr>
                <w:rFonts w:ascii="宋体" w:hAnsi="宋体" w:cs="宋体"/>
                <w:color w:val="auto"/>
                <w:szCs w:val="21"/>
              </w:rPr>
            </w:pPr>
            <w:r>
              <w:rPr>
                <w:rFonts w:hint="eastAsia" w:ascii="宋体" w:hAnsi="宋体" w:cs="宋体"/>
                <w:color w:val="auto"/>
                <w:szCs w:val="21"/>
              </w:rPr>
              <w:t>声环境</w:t>
            </w:r>
          </w:p>
        </w:tc>
        <w:tc>
          <w:tcPr>
            <w:tcW w:w="1196" w:type="pct"/>
            <w:shd w:val="clear" w:color="auto" w:fill="auto"/>
            <w:noWrap w:val="0"/>
            <w:vAlign w:val="center"/>
          </w:tcPr>
          <w:p w14:paraId="47C771AC">
            <w:pPr>
              <w:pStyle w:val="43"/>
              <w:keepNext w:val="0"/>
              <w:keepLines w:val="0"/>
              <w:pageBreakBefore w:val="0"/>
              <w:widowControl w:val="0"/>
              <w:kinsoku/>
              <w:wordWrap w:val="0"/>
              <w:overflowPunct/>
              <w:topLinePunct w:val="0"/>
              <w:autoSpaceDE/>
              <w:autoSpaceDN/>
              <w:bidi w:val="0"/>
              <w:adjustRightInd/>
              <w:snapToGrid/>
              <w:jc w:val="center"/>
              <w:textAlignment w:val="auto"/>
              <w:rPr>
                <w:rFonts w:hint="default"/>
                <w:color w:val="auto"/>
              </w:rPr>
            </w:pPr>
            <w:r>
              <w:rPr>
                <w:rFonts w:hint="eastAsia"/>
                <w:color w:val="auto"/>
                <w:lang w:eastAsia="zh-CN"/>
              </w:rPr>
              <w:t>（</w:t>
            </w:r>
            <w:r>
              <w:rPr>
                <w:rFonts w:hint="default"/>
                <w:color w:val="auto"/>
              </w:rPr>
              <w:t>1</w:t>
            </w:r>
            <w:r>
              <w:rPr>
                <w:rFonts w:hint="eastAsia"/>
                <w:color w:val="auto"/>
                <w:lang w:eastAsia="zh-CN"/>
              </w:rPr>
              <w:t>）</w:t>
            </w:r>
            <w:r>
              <w:rPr>
                <w:rFonts w:hint="default"/>
                <w:color w:val="auto"/>
              </w:rPr>
              <w:t>合理安排施工时间、合理规划施工场地，合理分布施工机械；</w:t>
            </w:r>
          </w:p>
          <w:p w14:paraId="4F83061F">
            <w:pPr>
              <w:pStyle w:val="43"/>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21"/>
                <w:szCs w:val="21"/>
                <w:lang w:val="en-US" w:eastAsia="zh-CN" w:bidi="ar-SA"/>
              </w:rPr>
            </w:pPr>
            <w:r>
              <w:rPr>
                <w:rFonts w:hint="default"/>
                <w:color w:val="auto"/>
              </w:rPr>
              <w:t>（2）施工单位应采用噪声水平满足国家相应标准的施工机械设备，加强施工机械的维修、管理，保证施工机械处于低噪声、高效率的良好工作状态</w:t>
            </w:r>
          </w:p>
        </w:tc>
        <w:tc>
          <w:tcPr>
            <w:tcW w:w="888" w:type="pct"/>
            <w:shd w:val="clear" w:color="auto" w:fill="auto"/>
            <w:noWrap w:val="0"/>
            <w:vAlign w:val="center"/>
          </w:tcPr>
          <w:p w14:paraId="51A5B0FD">
            <w:pPr>
              <w:pStyle w:val="43"/>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21"/>
                <w:szCs w:val="21"/>
                <w:lang w:val="en-US" w:eastAsia="zh-CN" w:bidi="ar-SA"/>
              </w:rPr>
            </w:pPr>
            <w:r>
              <w:rPr>
                <w:rFonts w:hint="default"/>
                <w:color w:val="auto"/>
              </w:rPr>
              <w:t>执行《建筑施工噪声排放标准》（GB12523-20</w:t>
            </w:r>
            <w:r>
              <w:rPr>
                <w:rFonts w:hint="eastAsia"/>
                <w:color w:val="auto"/>
                <w:lang w:val="en-US" w:eastAsia="zh-CN"/>
              </w:rPr>
              <w:t>25</w:t>
            </w:r>
            <w:r>
              <w:rPr>
                <w:rFonts w:hint="default"/>
                <w:color w:val="auto"/>
              </w:rPr>
              <w:t>）</w:t>
            </w:r>
          </w:p>
        </w:tc>
        <w:tc>
          <w:tcPr>
            <w:tcW w:w="1300" w:type="pct"/>
            <w:shd w:val="clear" w:color="auto" w:fill="auto"/>
            <w:noWrap w:val="0"/>
            <w:vAlign w:val="center"/>
          </w:tcPr>
          <w:p w14:paraId="52D6A301">
            <w:pPr>
              <w:pStyle w:val="43"/>
              <w:keepNext w:val="0"/>
              <w:keepLines w:val="0"/>
              <w:pageBreakBefore w:val="0"/>
              <w:widowControl w:val="0"/>
              <w:kinsoku/>
              <w:wordWrap w:val="0"/>
              <w:overflowPunct/>
              <w:topLinePunct w:val="0"/>
              <w:autoSpaceDE/>
              <w:autoSpaceDN/>
              <w:bidi w:val="0"/>
              <w:adjustRightInd/>
              <w:snapToGrid/>
              <w:jc w:val="center"/>
              <w:textAlignment w:val="auto"/>
              <w:rPr>
                <w:rFonts w:hint="default"/>
                <w:color w:val="auto"/>
              </w:rPr>
            </w:pPr>
            <w:r>
              <w:rPr>
                <w:rFonts w:hint="eastAsia"/>
                <w:color w:val="auto"/>
                <w:lang w:eastAsia="zh-CN"/>
              </w:rPr>
              <w:t>（</w:t>
            </w:r>
            <w:r>
              <w:rPr>
                <w:rFonts w:hint="default"/>
                <w:color w:val="auto"/>
              </w:rPr>
              <w:t>1</w:t>
            </w:r>
            <w:r>
              <w:rPr>
                <w:rFonts w:hint="eastAsia"/>
                <w:color w:val="auto"/>
                <w:lang w:eastAsia="zh-CN"/>
              </w:rPr>
              <w:t>）</w:t>
            </w:r>
            <w:r>
              <w:rPr>
                <w:rFonts w:hint="default"/>
                <w:color w:val="auto"/>
              </w:rPr>
              <w:t>合理安排施工时间、合理规划施工场地</w:t>
            </w:r>
            <w:r>
              <w:rPr>
                <w:rFonts w:hint="eastAsia"/>
                <w:color w:val="auto"/>
                <w:lang w:eastAsia="zh-CN"/>
              </w:rPr>
              <w:t>、</w:t>
            </w:r>
            <w:r>
              <w:rPr>
                <w:rFonts w:hint="default"/>
                <w:color w:val="auto"/>
              </w:rPr>
              <w:t>合理分布施工机械；</w:t>
            </w:r>
          </w:p>
          <w:p w14:paraId="47198537">
            <w:pPr>
              <w:pStyle w:val="43"/>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21"/>
                <w:szCs w:val="21"/>
                <w:lang w:val="en-US" w:eastAsia="zh-CN" w:bidi="ar-SA"/>
              </w:rPr>
            </w:pPr>
            <w:r>
              <w:rPr>
                <w:rFonts w:hint="default"/>
                <w:color w:val="auto"/>
              </w:rPr>
              <w:t>（2）施工单位应采用噪声水平满足国家相应标准的施工机械设备，加强施工机械的维修、管理，保证施工机械处于低噪声、高效率的良好工作状态</w:t>
            </w:r>
          </w:p>
        </w:tc>
        <w:tc>
          <w:tcPr>
            <w:tcW w:w="825" w:type="pct"/>
            <w:shd w:val="clear" w:color="auto" w:fill="auto"/>
            <w:noWrap w:val="0"/>
            <w:vAlign w:val="center"/>
          </w:tcPr>
          <w:p w14:paraId="4625F841">
            <w:pPr>
              <w:pStyle w:val="43"/>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lang w:eastAsia="zh-CN"/>
              </w:rPr>
              <w:t>执行</w:t>
            </w:r>
            <w:r>
              <w:rPr>
                <w:rFonts w:hint="default"/>
                <w:color w:val="auto"/>
                <w:lang w:val="en-US" w:eastAsia="zh-CN"/>
              </w:rPr>
              <w:t>《建筑施工噪声排放标准》</w:t>
            </w:r>
            <w:r>
              <w:rPr>
                <w:rFonts w:hint="eastAsia"/>
                <w:color w:val="auto"/>
                <w:lang w:val="en-US" w:eastAsia="zh-CN"/>
              </w:rPr>
              <w:t>（</w:t>
            </w:r>
            <w:r>
              <w:rPr>
                <w:rFonts w:hint="default"/>
                <w:color w:val="auto"/>
                <w:lang w:val="en-US" w:eastAsia="zh-CN"/>
              </w:rPr>
              <w:t>GB12523-20</w:t>
            </w:r>
            <w:r>
              <w:rPr>
                <w:rFonts w:hint="eastAsia"/>
                <w:color w:val="auto"/>
                <w:lang w:val="en-US" w:eastAsia="zh-CN"/>
              </w:rPr>
              <w:t>25）</w:t>
            </w:r>
          </w:p>
        </w:tc>
      </w:tr>
      <w:tr w14:paraId="67DF0E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9" w:type="pct"/>
            <w:noWrap w:val="0"/>
            <w:vAlign w:val="center"/>
          </w:tcPr>
          <w:p w14:paraId="40AA204D">
            <w:pPr>
              <w:adjustRightInd w:val="0"/>
              <w:snapToGrid w:val="0"/>
              <w:jc w:val="center"/>
              <w:rPr>
                <w:rFonts w:ascii="宋体" w:hAnsi="宋体" w:cs="宋体"/>
                <w:color w:val="auto"/>
                <w:szCs w:val="21"/>
              </w:rPr>
            </w:pPr>
            <w:r>
              <w:rPr>
                <w:rFonts w:hint="eastAsia" w:ascii="宋体" w:hAnsi="宋体" w:cs="宋体"/>
                <w:color w:val="auto"/>
                <w:szCs w:val="21"/>
              </w:rPr>
              <w:t>振动</w:t>
            </w:r>
          </w:p>
        </w:tc>
        <w:tc>
          <w:tcPr>
            <w:tcW w:w="1196" w:type="pct"/>
            <w:shd w:val="clear" w:color="auto" w:fill="auto"/>
            <w:noWrap w:val="0"/>
            <w:vAlign w:val="center"/>
          </w:tcPr>
          <w:p w14:paraId="0DF71CD3">
            <w:pPr>
              <w:pStyle w:val="43"/>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w:t>
            </w:r>
          </w:p>
        </w:tc>
        <w:tc>
          <w:tcPr>
            <w:tcW w:w="888" w:type="pct"/>
            <w:shd w:val="clear" w:color="auto" w:fill="auto"/>
            <w:noWrap w:val="0"/>
            <w:vAlign w:val="center"/>
          </w:tcPr>
          <w:p w14:paraId="312ED1C1">
            <w:pPr>
              <w:pStyle w:val="43"/>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w:t>
            </w:r>
          </w:p>
        </w:tc>
        <w:tc>
          <w:tcPr>
            <w:tcW w:w="1300" w:type="pct"/>
            <w:shd w:val="clear" w:color="auto" w:fill="auto"/>
            <w:noWrap w:val="0"/>
            <w:vAlign w:val="center"/>
          </w:tcPr>
          <w:p w14:paraId="3486C9AB">
            <w:pPr>
              <w:pStyle w:val="43"/>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w:t>
            </w:r>
          </w:p>
        </w:tc>
        <w:tc>
          <w:tcPr>
            <w:tcW w:w="825" w:type="pct"/>
            <w:shd w:val="clear" w:color="auto" w:fill="auto"/>
            <w:noWrap w:val="0"/>
            <w:vAlign w:val="center"/>
          </w:tcPr>
          <w:p w14:paraId="25A42BEC">
            <w:pPr>
              <w:pStyle w:val="43"/>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w:t>
            </w:r>
          </w:p>
        </w:tc>
      </w:tr>
      <w:tr w14:paraId="434498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9" w:type="pct"/>
            <w:noWrap w:val="0"/>
            <w:vAlign w:val="center"/>
          </w:tcPr>
          <w:p w14:paraId="603CFCDD">
            <w:pPr>
              <w:adjustRightInd w:val="0"/>
              <w:snapToGrid w:val="0"/>
              <w:jc w:val="center"/>
              <w:rPr>
                <w:rFonts w:ascii="宋体" w:hAnsi="宋体" w:cs="宋体"/>
                <w:color w:val="auto"/>
                <w:szCs w:val="21"/>
              </w:rPr>
            </w:pPr>
            <w:r>
              <w:rPr>
                <w:rFonts w:hint="eastAsia" w:ascii="宋体" w:hAnsi="宋体" w:cs="宋体"/>
                <w:color w:val="auto"/>
                <w:szCs w:val="21"/>
              </w:rPr>
              <w:t>大气环境</w:t>
            </w:r>
          </w:p>
        </w:tc>
        <w:tc>
          <w:tcPr>
            <w:tcW w:w="1196" w:type="pct"/>
            <w:shd w:val="clear" w:color="auto" w:fill="auto"/>
            <w:noWrap w:val="0"/>
            <w:vAlign w:val="center"/>
          </w:tcPr>
          <w:p w14:paraId="7C6596FA">
            <w:pPr>
              <w:pStyle w:val="43"/>
              <w:keepNext w:val="0"/>
              <w:keepLines w:val="0"/>
              <w:pageBreakBefore w:val="0"/>
              <w:widowControl w:val="0"/>
              <w:kinsoku/>
              <w:wordWrap w:val="0"/>
              <w:overflowPunct/>
              <w:topLinePunct w:val="0"/>
              <w:autoSpaceDE/>
              <w:autoSpaceDN/>
              <w:bidi w:val="0"/>
              <w:adjustRightInd/>
              <w:snapToGrid/>
              <w:jc w:val="center"/>
              <w:textAlignment w:val="auto"/>
              <w:rPr>
                <w:rFonts w:ascii="Times New Roman" w:hAnsi="Times New Roman" w:eastAsia="宋体" w:cs="Times New Roman"/>
                <w:color w:val="auto"/>
                <w:kern w:val="2"/>
                <w:sz w:val="21"/>
                <w:szCs w:val="21"/>
                <w:lang w:val="en-US" w:eastAsia="zh-CN" w:bidi="ar-SA"/>
              </w:rPr>
            </w:pPr>
            <w:r>
              <w:rPr>
                <w:rFonts w:hint="eastAsia"/>
                <w:color w:val="auto"/>
                <w:lang w:val="en-US" w:eastAsia="zh-CN"/>
              </w:rPr>
              <w:t>道路</w:t>
            </w:r>
            <w:r>
              <w:rPr>
                <w:rFonts w:hint="default"/>
                <w:color w:val="auto"/>
              </w:rPr>
              <w:t>洒水抑尘</w:t>
            </w:r>
            <w:r>
              <w:rPr>
                <w:rFonts w:hint="eastAsia"/>
                <w:color w:val="auto"/>
                <w:lang w:eastAsia="zh-CN"/>
              </w:rPr>
              <w:t>，</w:t>
            </w:r>
            <w:r>
              <w:rPr>
                <w:rFonts w:hint="default"/>
                <w:color w:val="auto"/>
              </w:rPr>
              <w:t>开挖土</w:t>
            </w:r>
            <w:r>
              <w:rPr>
                <w:rFonts w:hint="eastAsia"/>
                <w:color w:val="auto"/>
                <w:lang w:val="en-US" w:eastAsia="zh-CN"/>
              </w:rPr>
              <w:t>石</w:t>
            </w:r>
            <w:r>
              <w:rPr>
                <w:rFonts w:hint="default"/>
                <w:color w:val="auto"/>
              </w:rPr>
              <w:t>方</w:t>
            </w:r>
            <w:r>
              <w:rPr>
                <w:rFonts w:hint="eastAsia"/>
                <w:color w:val="auto"/>
                <w:lang w:val="en-US" w:eastAsia="zh-CN"/>
              </w:rPr>
              <w:t>堆放在临时堆场，</w:t>
            </w:r>
            <w:r>
              <w:rPr>
                <w:rFonts w:hint="default"/>
                <w:color w:val="auto"/>
              </w:rPr>
              <w:t>使用彩条布</w:t>
            </w:r>
            <w:r>
              <w:rPr>
                <w:rFonts w:hint="eastAsia"/>
                <w:color w:val="auto"/>
                <w:lang w:eastAsia="zh-CN"/>
              </w:rPr>
              <w:t>苫盖；</w:t>
            </w:r>
            <w:r>
              <w:rPr>
                <w:rFonts w:hint="eastAsia"/>
                <w:color w:val="auto"/>
                <w:lang w:val="en-US" w:eastAsia="zh-CN"/>
              </w:rPr>
              <w:t>对柴油发电机及运输车辆定期维护保养，使用正品燃油，减少尾气排放</w:t>
            </w:r>
          </w:p>
        </w:tc>
        <w:tc>
          <w:tcPr>
            <w:tcW w:w="888" w:type="pct"/>
            <w:shd w:val="clear" w:color="auto" w:fill="auto"/>
            <w:noWrap w:val="0"/>
            <w:vAlign w:val="center"/>
          </w:tcPr>
          <w:p w14:paraId="1B3944D6">
            <w:pPr>
              <w:pStyle w:val="43"/>
              <w:keepNext w:val="0"/>
              <w:keepLines w:val="0"/>
              <w:pageBreakBefore w:val="0"/>
              <w:widowControl w:val="0"/>
              <w:kinsoku/>
              <w:wordWrap w:val="0"/>
              <w:overflowPunct/>
              <w:topLinePunct w:val="0"/>
              <w:autoSpaceDE/>
              <w:autoSpaceDN/>
              <w:bidi w:val="0"/>
              <w:adjustRightInd/>
              <w:snapToGrid/>
              <w:jc w:val="center"/>
              <w:textAlignment w:val="auto"/>
              <w:rPr>
                <w:rFonts w:ascii="Times New Roman" w:hAnsi="Times New Roman" w:eastAsia="宋体" w:cs="Times New Roman"/>
                <w:color w:val="auto"/>
                <w:kern w:val="2"/>
                <w:sz w:val="21"/>
                <w:szCs w:val="21"/>
                <w:lang w:val="en-US" w:eastAsia="zh-CN" w:bidi="ar-SA"/>
              </w:rPr>
            </w:pPr>
            <w:r>
              <w:rPr>
                <w:rFonts w:hint="eastAsia"/>
                <w:color w:val="auto"/>
                <w:lang w:eastAsia="zh-CN"/>
              </w:rPr>
              <w:t>满足</w:t>
            </w:r>
            <w:r>
              <w:rPr>
                <w:rFonts w:hint="default"/>
                <w:color w:val="auto"/>
              </w:rPr>
              <w:t>《大气污染物综合排放标准》（GB16297-1996）表2中的无组织排放监控浓度限值</w:t>
            </w:r>
          </w:p>
        </w:tc>
        <w:tc>
          <w:tcPr>
            <w:tcW w:w="1300" w:type="pct"/>
            <w:shd w:val="clear" w:color="auto" w:fill="auto"/>
            <w:noWrap w:val="0"/>
            <w:vAlign w:val="center"/>
          </w:tcPr>
          <w:p w14:paraId="18CB71E2">
            <w:pPr>
              <w:pStyle w:val="43"/>
              <w:keepNext w:val="0"/>
              <w:keepLines w:val="0"/>
              <w:pageBreakBefore w:val="0"/>
              <w:widowControl w:val="0"/>
              <w:kinsoku/>
              <w:wordWrap w:val="0"/>
              <w:overflowPunct/>
              <w:topLinePunct w:val="0"/>
              <w:autoSpaceDE/>
              <w:autoSpaceDN/>
              <w:bidi w:val="0"/>
              <w:adjustRightInd/>
              <w:snapToGrid/>
              <w:jc w:val="center"/>
              <w:textAlignment w:val="auto"/>
              <w:rPr>
                <w:rFonts w:ascii="Times New Roman" w:hAnsi="Times New Roman" w:eastAsia="宋体" w:cs="Times New Roman"/>
                <w:color w:val="auto"/>
                <w:kern w:val="2"/>
                <w:sz w:val="21"/>
                <w:szCs w:val="21"/>
                <w:lang w:val="en-US" w:eastAsia="zh-CN" w:bidi="ar-SA"/>
              </w:rPr>
            </w:pPr>
            <w:r>
              <w:rPr>
                <w:rFonts w:hint="eastAsia"/>
                <w:color w:val="auto"/>
                <w:lang w:val="en-US" w:eastAsia="zh-CN"/>
              </w:rPr>
              <w:t>道路</w:t>
            </w:r>
            <w:r>
              <w:rPr>
                <w:rFonts w:hint="default"/>
                <w:color w:val="auto"/>
              </w:rPr>
              <w:t>洒水抑尘</w:t>
            </w:r>
            <w:r>
              <w:rPr>
                <w:rFonts w:hint="eastAsia"/>
                <w:color w:val="auto"/>
                <w:lang w:eastAsia="zh-CN"/>
              </w:rPr>
              <w:t>，</w:t>
            </w:r>
            <w:r>
              <w:rPr>
                <w:rFonts w:hint="default"/>
                <w:color w:val="auto"/>
              </w:rPr>
              <w:t>开挖土</w:t>
            </w:r>
            <w:r>
              <w:rPr>
                <w:rFonts w:hint="eastAsia"/>
                <w:color w:val="auto"/>
                <w:lang w:val="en-US" w:eastAsia="zh-CN"/>
              </w:rPr>
              <w:t>石</w:t>
            </w:r>
            <w:r>
              <w:rPr>
                <w:rFonts w:hint="default"/>
                <w:color w:val="auto"/>
              </w:rPr>
              <w:t>方使用彩条布</w:t>
            </w:r>
            <w:r>
              <w:rPr>
                <w:rFonts w:hint="eastAsia"/>
                <w:color w:val="auto"/>
                <w:lang w:eastAsia="zh-CN"/>
              </w:rPr>
              <w:t>苫盖；</w:t>
            </w:r>
            <w:r>
              <w:rPr>
                <w:rFonts w:hint="eastAsia"/>
                <w:color w:val="auto"/>
                <w:lang w:val="en-US" w:eastAsia="zh-CN"/>
              </w:rPr>
              <w:t>对柴油发电机及运输车辆定期维护保养，使用正品燃油，减少尾气排放</w:t>
            </w:r>
          </w:p>
        </w:tc>
        <w:tc>
          <w:tcPr>
            <w:tcW w:w="825" w:type="pct"/>
            <w:shd w:val="clear" w:color="auto" w:fill="auto"/>
            <w:noWrap w:val="0"/>
            <w:vAlign w:val="center"/>
          </w:tcPr>
          <w:p w14:paraId="1B7A7A9D">
            <w:pPr>
              <w:pStyle w:val="43"/>
              <w:keepNext w:val="0"/>
              <w:keepLines w:val="0"/>
              <w:pageBreakBefore w:val="0"/>
              <w:widowControl w:val="0"/>
              <w:kinsoku/>
              <w:wordWrap w:val="0"/>
              <w:overflowPunct/>
              <w:topLinePunct w:val="0"/>
              <w:autoSpaceDE/>
              <w:autoSpaceDN/>
              <w:bidi w:val="0"/>
              <w:adjustRightInd/>
              <w:snapToGrid/>
              <w:jc w:val="center"/>
              <w:textAlignment w:val="auto"/>
              <w:rPr>
                <w:rFonts w:ascii="Times New Roman" w:hAnsi="Times New Roman" w:eastAsia="宋体" w:cs="Times New Roman"/>
                <w:color w:val="auto"/>
                <w:kern w:val="2"/>
                <w:sz w:val="21"/>
                <w:szCs w:val="21"/>
                <w:lang w:val="en-US" w:eastAsia="zh-CN" w:bidi="ar-SA"/>
              </w:rPr>
            </w:pPr>
            <w:r>
              <w:rPr>
                <w:rFonts w:hint="default"/>
                <w:color w:val="auto"/>
                <w:lang w:val="en-US" w:eastAsia="zh-CN"/>
              </w:rPr>
              <w:t>粉尘排放满足《大气污染物综合排放标准》（GB16297-1996）表2中的无组织排放监控浓度限值</w:t>
            </w:r>
            <w:r>
              <w:rPr>
                <w:rFonts w:hint="eastAsia"/>
                <w:color w:val="auto"/>
                <w:lang w:val="en-US" w:eastAsia="zh-CN"/>
              </w:rPr>
              <w:t>，柴油发电机烟气参照执行《非道路移动机械用柴油机排气污染物排放限值及测量方法（中国第三、四阶段）》（GB20891-2014）修改单以及《非道路柴油移动机械污染物排放控制技术要求》（HJ1014-2020）</w:t>
            </w:r>
          </w:p>
        </w:tc>
      </w:tr>
      <w:tr w14:paraId="7047FC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9" w:type="pct"/>
            <w:noWrap w:val="0"/>
            <w:vAlign w:val="center"/>
          </w:tcPr>
          <w:p w14:paraId="2B172D6D">
            <w:pPr>
              <w:adjustRightInd w:val="0"/>
              <w:snapToGrid w:val="0"/>
              <w:jc w:val="center"/>
              <w:rPr>
                <w:rFonts w:ascii="宋体" w:hAnsi="宋体" w:cs="宋体"/>
                <w:color w:val="auto"/>
                <w:szCs w:val="21"/>
              </w:rPr>
            </w:pPr>
            <w:r>
              <w:rPr>
                <w:rFonts w:hint="eastAsia" w:ascii="宋体" w:hAnsi="宋体" w:cs="宋体"/>
                <w:color w:val="auto"/>
                <w:szCs w:val="21"/>
              </w:rPr>
              <w:t>固体废物</w:t>
            </w:r>
          </w:p>
        </w:tc>
        <w:tc>
          <w:tcPr>
            <w:tcW w:w="1196" w:type="pct"/>
            <w:shd w:val="clear" w:color="auto" w:fill="auto"/>
            <w:noWrap w:val="0"/>
            <w:vAlign w:val="center"/>
          </w:tcPr>
          <w:p w14:paraId="1E8A2229">
            <w:pPr>
              <w:pStyle w:val="43"/>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21"/>
                <w:szCs w:val="21"/>
                <w:lang w:val="en-US" w:eastAsia="zh-CN" w:bidi="ar-SA"/>
              </w:rPr>
            </w:pPr>
            <w:r>
              <w:rPr>
                <w:rFonts w:hint="default"/>
                <w:color w:val="auto"/>
              </w:rPr>
              <w:t>施工期固体废物来自施工过程中</w:t>
            </w:r>
            <w:r>
              <w:rPr>
                <w:rFonts w:hint="default"/>
                <w:color w:val="auto"/>
                <w:lang w:val="en-US" w:eastAsia="zh-CN"/>
              </w:rPr>
              <w:t>土地平整所开挖</w:t>
            </w:r>
            <w:r>
              <w:rPr>
                <w:rFonts w:hint="default"/>
                <w:color w:val="auto"/>
              </w:rPr>
              <w:t>的</w:t>
            </w:r>
            <w:r>
              <w:rPr>
                <w:rFonts w:hint="default"/>
                <w:color w:val="auto"/>
                <w:lang w:val="en-US" w:eastAsia="zh-CN"/>
              </w:rPr>
              <w:t>土石方，全部堆放在临时堆场内，待项目</w:t>
            </w:r>
            <w:r>
              <w:rPr>
                <w:rFonts w:hint="eastAsia"/>
                <w:color w:val="auto"/>
                <w:lang w:val="en-US" w:eastAsia="zh-CN"/>
              </w:rPr>
              <w:t>勘探期</w:t>
            </w:r>
            <w:r>
              <w:rPr>
                <w:rFonts w:hint="default"/>
                <w:color w:val="auto"/>
                <w:lang w:val="en-US" w:eastAsia="zh-CN"/>
              </w:rPr>
              <w:t>结束后，全部回填，恢复原有地貌</w:t>
            </w:r>
          </w:p>
        </w:tc>
        <w:tc>
          <w:tcPr>
            <w:tcW w:w="888" w:type="pct"/>
            <w:shd w:val="clear" w:color="auto" w:fill="auto"/>
            <w:noWrap w:val="0"/>
            <w:vAlign w:val="center"/>
          </w:tcPr>
          <w:p w14:paraId="4F85D894">
            <w:pPr>
              <w:pStyle w:val="43"/>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lang w:eastAsia="zh-CN"/>
              </w:rPr>
              <w:t>工业</w:t>
            </w:r>
            <w:r>
              <w:rPr>
                <w:rFonts w:hint="eastAsia"/>
                <w:color w:val="auto"/>
                <w:lang w:val="en-US" w:eastAsia="zh-CN"/>
              </w:rPr>
              <w:t>固体废物应</w:t>
            </w:r>
            <w:r>
              <w:rPr>
                <w:rFonts w:hint="default"/>
                <w:color w:val="auto"/>
                <w:lang w:val="en-US" w:eastAsia="zh-CN"/>
              </w:rPr>
              <w:t>符合</w:t>
            </w:r>
            <w:r>
              <w:rPr>
                <w:rFonts w:hint="eastAsia"/>
                <w:color w:val="auto"/>
                <w:lang w:val="en-US" w:eastAsia="zh-CN"/>
              </w:rPr>
              <w:t>《一般工业固体废弃物贮存和填埋污染控制标准》（GB18599-2020）</w:t>
            </w:r>
            <w:r>
              <w:rPr>
                <w:rFonts w:hint="default"/>
                <w:color w:val="auto"/>
                <w:lang w:val="en-US" w:eastAsia="zh-CN"/>
              </w:rPr>
              <w:t>要求</w:t>
            </w:r>
          </w:p>
        </w:tc>
        <w:tc>
          <w:tcPr>
            <w:tcW w:w="1300" w:type="pct"/>
            <w:shd w:val="clear" w:color="auto" w:fill="auto"/>
            <w:noWrap w:val="0"/>
            <w:vAlign w:val="center"/>
          </w:tcPr>
          <w:p w14:paraId="459FEF9E">
            <w:pPr>
              <w:pStyle w:val="43"/>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21"/>
                <w:szCs w:val="21"/>
                <w:lang w:val="en-US" w:eastAsia="zh-CN" w:bidi="ar-SA"/>
              </w:rPr>
            </w:pPr>
            <w:r>
              <w:rPr>
                <w:rFonts w:hint="default"/>
                <w:color w:val="auto"/>
              </w:rPr>
              <w:t>槽探开挖产生的土石方在勘探期结束后全部回填至开挖地</w:t>
            </w:r>
            <w:r>
              <w:rPr>
                <w:rFonts w:hint="default"/>
                <w:color w:val="auto"/>
                <w:lang w:eastAsia="zh-CN"/>
              </w:rPr>
              <w:t>，</w:t>
            </w:r>
            <w:r>
              <w:rPr>
                <w:rFonts w:hint="default"/>
                <w:color w:val="auto"/>
                <w:lang w:val="en-US" w:eastAsia="zh-CN"/>
              </w:rPr>
              <w:t>临时占地应及时恢复</w:t>
            </w:r>
            <w:r>
              <w:rPr>
                <w:rFonts w:hint="eastAsia"/>
                <w:color w:val="auto"/>
                <w:lang w:val="en-US" w:eastAsia="zh-CN"/>
              </w:rPr>
              <w:t>；</w:t>
            </w:r>
            <w:r>
              <w:rPr>
                <w:rFonts w:hint="default"/>
                <w:color w:val="auto"/>
              </w:rPr>
              <w:t>施工营地内设置一定数量的垃圾桶，用于临时存放生活垃圾，统一收集后</w:t>
            </w:r>
            <w:r>
              <w:rPr>
                <w:rFonts w:hint="eastAsia"/>
                <w:color w:val="auto"/>
                <w:lang w:val="en-US" w:eastAsia="zh-CN"/>
              </w:rPr>
              <w:t>交由环卫部门处置；</w:t>
            </w:r>
            <w:r>
              <w:rPr>
                <w:rFonts w:hint="eastAsia" w:cs="Times New Roman"/>
                <w:color w:val="auto"/>
                <w:szCs w:val="21"/>
                <w:lang w:val="en-US" w:eastAsia="zh-CN"/>
              </w:rPr>
              <w:t>钻井岩芯</w:t>
            </w:r>
            <w:r>
              <w:rPr>
                <w:rFonts w:hint="eastAsia" w:ascii="Times New Roman" w:hAnsi="Times New Roman" w:cs="Times New Roman"/>
                <w:color w:val="auto"/>
                <w:szCs w:val="21"/>
                <w:lang w:val="en-US" w:eastAsia="zh-CN"/>
              </w:rPr>
              <w:t>由地质勘探队统一收集，最终交至单位</w:t>
            </w:r>
            <w:r>
              <w:rPr>
                <w:rFonts w:hint="eastAsia" w:cs="Times New Roman"/>
                <w:color w:val="auto"/>
                <w:szCs w:val="21"/>
                <w:lang w:val="en-US" w:eastAsia="zh-CN"/>
              </w:rPr>
              <w:t>岩芯</w:t>
            </w:r>
            <w:r>
              <w:rPr>
                <w:rFonts w:hint="eastAsia" w:ascii="Times New Roman" w:hAnsi="Times New Roman" w:cs="Times New Roman"/>
                <w:color w:val="auto"/>
                <w:szCs w:val="21"/>
                <w:lang w:val="en-US" w:eastAsia="zh-CN"/>
              </w:rPr>
              <w:t>库统一保管，钻井泥浆固化后就地填埋</w:t>
            </w:r>
          </w:p>
        </w:tc>
        <w:tc>
          <w:tcPr>
            <w:tcW w:w="825" w:type="pct"/>
            <w:shd w:val="clear" w:color="auto" w:fill="auto"/>
            <w:noWrap w:val="0"/>
            <w:vAlign w:val="center"/>
          </w:tcPr>
          <w:p w14:paraId="03796F14">
            <w:pPr>
              <w:pStyle w:val="43"/>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工业固体废物应</w:t>
            </w:r>
            <w:r>
              <w:rPr>
                <w:rFonts w:hint="default"/>
                <w:color w:val="auto"/>
                <w:lang w:val="en-US" w:eastAsia="zh-CN"/>
              </w:rPr>
              <w:t>符合《一般工业固体废弃物贮存和填埋污染控制标准》（GB18599-2020）及《中华人民共和国固体废物污染环境防治法》（2020年9月1日修订）要求</w:t>
            </w:r>
          </w:p>
        </w:tc>
      </w:tr>
      <w:tr w14:paraId="33AC36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9" w:type="pct"/>
            <w:noWrap w:val="0"/>
            <w:vAlign w:val="center"/>
          </w:tcPr>
          <w:p w14:paraId="2D9E8C87">
            <w:pPr>
              <w:adjustRightInd w:val="0"/>
              <w:snapToGrid w:val="0"/>
              <w:jc w:val="center"/>
              <w:rPr>
                <w:rFonts w:ascii="宋体" w:hAnsi="宋体" w:cs="宋体"/>
                <w:color w:val="auto"/>
                <w:szCs w:val="21"/>
              </w:rPr>
            </w:pPr>
            <w:r>
              <w:rPr>
                <w:rFonts w:hint="eastAsia" w:ascii="宋体" w:hAnsi="宋体" w:cs="宋体"/>
                <w:color w:val="auto"/>
                <w:szCs w:val="21"/>
              </w:rPr>
              <w:t>电磁环境</w:t>
            </w:r>
          </w:p>
        </w:tc>
        <w:tc>
          <w:tcPr>
            <w:tcW w:w="1196" w:type="pct"/>
            <w:shd w:val="clear" w:color="auto" w:fill="auto"/>
            <w:noWrap w:val="0"/>
            <w:vAlign w:val="center"/>
          </w:tcPr>
          <w:p w14:paraId="7E4457FE">
            <w:pPr>
              <w:pStyle w:val="43"/>
              <w:keepNext w:val="0"/>
              <w:keepLines w:val="0"/>
              <w:pageBreakBefore w:val="0"/>
              <w:widowControl w:val="0"/>
              <w:kinsoku/>
              <w:wordWrap w:val="0"/>
              <w:overflowPunct/>
              <w:topLinePunct w:val="0"/>
              <w:autoSpaceDE/>
              <w:autoSpaceDN/>
              <w:bidi w:val="0"/>
              <w:adjustRightInd/>
              <w:snapToGrid/>
              <w:jc w:val="center"/>
              <w:textAlignment w:val="auto"/>
              <w:rPr>
                <w:rFonts w:ascii="Times New Roman" w:hAnsi="Times New Roman" w:eastAsia="宋体" w:cs="Times New Roman"/>
                <w:color w:val="auto"/>
                <w:kern w:val="2"/>
                <w:sz w:val="21"/>
                <w:szCs w:val="21"/>
                <w:lang w:val="en-US" w:eastAsia="zh-CN" w:bidi="ar-SA"/>
              </w:rPr>
            </w:pPr>
            <w:r>
              <w:rPr>
                <w:rFonts w:hint="default"/>
                <w:color w:val="auto"/>
                <w:lang w:val="en-US" w:eastAsia="zh-CN"/>
              </w:rPr>
              <w:t>/</w:t>
            </w:r>
          </w:p>
        </w:tc>
        <w:tc>
          <w:tcPr>
            <w:tcW w:w="888" w:type="pct"/>
            <w:shd w:val="clear" w:color="auto" w:fill="auto"/>
            <w:noWrap w:val="0"/>
            <w:vAlign w:val="center"/>
          </w:tcPr>
          <w:p w14:paraId="10352AEE">
            <w:pPr>
              <w:pStyle w:val="43"/>
              <w:keepNext w:val="0"/>
              <w:keepLines w:val="0"/>
              <w:pageBreakBefore w:val="0"/>
              <w:widowControl w:val="0"/>
              <w:kinsoku/>
              <w:wordWrap w:val="0"/>
              <w:overflowPunct/>
              <w:topLinePunct w:val="0"/>
              <w:autoSpaceDE/>
              <w:autoSpaceDN/>
              <w:bidi w:val="0"/>
              <w:adjustRightInd/>
              <w:snapToGrid/>
              <w:jc w:val="center"/>
              <w:textAlignment w:val="auto"/>
              <w:rPr>
                <w:rFonts w:ascii="Times New Roman" w:hAnsi="Times New Roman" w:eastAsia="宋体" w:cs="Times New Roman"/>
                <w:color w:val="auto"/>
                <w:kern w:val="2"/>
                <w:sz w:val="21"/>
                <w:szCs w:val="21"/>
                <w:lang w:val="en-US" w:eastAsia="zh-CN" w:bidi="ar-SA"/>
              </w:rPr>
            </w:pPr>
            <w:r>
              <w:rPr>
                <w:rFonts w:hint="default"/>
                <w:color w:val="auto"/>
                <w:lang w:val="en-US" w:eastAsia="zh-CN"/>
              </w:rPr>
              <w:t>/</w:t>
            </w:r>
          </w:p>
        </w:tc>
        <w:tc>
          <w:tcPr>
            <w:tcW w:w="1300" w:type="pct"/>
            <w:shd w:val="clear" w:color="auto" w:fill="auto"/>
            <w:noWrap w:val="0"/>
            <w:vAlign w:val="center"/>
          </w:tcPr>
          <w:p w14:paraId="729E6490">
            <w:pPr>
              <w:pStyle w:val="43"/>
              <w:keepNext w:val="0"/>
              <w:keepLines w:val="0"/>
              <w:pageBreakBefore w:val="0"/>
              <w:widowControl w:val="0"/>
              <w:kinsoku/>
              <w:wordWrap w:val="0"/>
              <w:overflowPunct/>
              <w:topLinePunct w:val="0"/>
              <w:autoSpaceDE/>
              <w:autoSpaceDN/>
              <w:bidi w:val="0"/>
              <w:adjustRightInd/>
              <w:snapToGrid/>
              <w:jc w:val="center"/>
              <w:textAlignment w:val="auto"/>
              <w:rPr>
                <w:rFonts w:ascii="Times New Roman" w:hAnsi="Times New Roman" w:eastAsia="宋体" w:cs="Times New Roman"/>
                <w:color w:val="auto"/>
                <w:kern w:val="2"/>
                <w:sz w:val="21"/>
                <w:szCs w:val="21"/>
                <w:lang w:val="en-US" w:eastAsia="zh-CN" w:bidi="ar-SA"/>
              </w:rPr>
            </w:pPr>
            <w:r>
              <w:rPr>
                <w:rFonts w:hint="default"/>
                <w:color w:val="auto"/>
                <w:lang w:val="en-US" w:eastAsia="zh-CN"/>
              </w:rPr>
              <w:t>/</w:t>
            </w:r>
          </w:p>
        </w:tc>
        <w:tc>
          <w:tcPr>
            <w:tcW w:w="825" w:type="pct"/>
            <w:shd w:val="clear" w:color="auto" w:fill="auto"/>
            <w:noWrap w:val="0"/>
            <w:vAlign w:val="center"/>
          </w:tcPr>
          <w:p w14:paraId="2EDFB3E0">
            <w:pPr>
              <w:pStyle w:val="43"/>
              <w:keepNext w:val="0"/>
              <w:keepLines w:val="0"/>
              <w:pageBreakBefore w:val="0"/>
              <w:widowControl w:val="0"/>
              <w:kinsoku/>
              <w:wordWrap w:val="0"/>
              <w:overflowPunct/>
              <w:topLinePunct w:val="0"/>
              <w:autoSpaceDE/>
              <w:autoSpaceDN/>
              <w:bidi w:val="0"/>
              <w:adjustRightInd/>
              <w:snapToGrid/>
              <w:jc w:val="center"/>
              <w:textAlignment w:val="auto"/>
              <w:rPr>
                <w:rFonts w:ascii="Times New Roman" w:hAnsi="Times New Roman" w:eastAsia="宋体" w:cs="Times New Roman"/>
                <w:color w:val="auto"/>
                <w:kern w:val="2"/>
                <w:sz w:val="21"/>
                <w:szCs w:val="21"/>
                <w:lang w:val="en-US" w:eastAsia="zh-CN" w:bidi="ar-SA"/>
              </w:rPr>
            </w:pPr>
            <w:r>
              <w:rPr>
                <w:rFonts w:hint="default"/>
                <w:color w:val="auto"/>
                <w:lang w:val="en-US" w:eastAsia="zh-CN"/>
              </w:rPr>
              <w:t>/</w:t>
            </w:r>
          </w:p>
        </w:tc>
      </w:tr>
      <w:tr w14:paraId="1D2C79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9" w:type="pct"/>
            <w:noWrap w:val="0"/>
            <w:vAlign w:val="center"/>
          </w:tcPr>
          <w:p w14:paraId="4FDC2E34">
            <w:pPr>
              <w:adjustRightInd w:val="0"/>
              <w:snapToGrid w:val="0"/>
              <w:jc w:val="center"/>
              <w:rPr>
                <w:rFonts w:ascii="宋体" w:hAnsi="宋体" w:cs="宋体"/>
                <w:color w:val="auto"/>
                <w:szCs w:val="21"/>
              </w:rPr>
            </w:pPr>
            <w:r>
              <w:rPr>
                <w:rFonts w:hint="eastAsia" w:ascii="宋体" w:hAnsi="宋体" w:cs="宋体"/>
                <w:color w:val="auto"/>
                <w:szCs w:val="21"/>
              </w:rPr>
              <w:t>环境风险</w:t>
            </w:r>
          </w:p>
        </w:tc>
        <w:tc>
          <w:tcPr>
            <w:tcW w:w="1196" w:type="pct"/>
            <w:shd w:val="clear" w:color="auto" w:fill="auto"/>
            <w:noWrap w:val="0"/>
            <w:vAlign w:val="center"/>
          </w:tcPr>
          <w:p w14:paraId="1C20CC77">
            <w:pPr>
              <w:pStyle w:val="43"/>
              <w:bidi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highlight w:val="none"/>
                <w:lang w:val="en-US" w:eastAsia="zh-CN"/>
              </w:rPr>
              <w:t>/</w:t>
            </w:r>
          </w:p>
        </w:tc>
        <w:tc>
          <w:tcPr>
            <w:tcW w:w="888" w:type="pct"/>
            <w:shd w:val="clear" w:color="auto" w:fill="auto"/>
            <w:noWrap w:val="0"/>
            <w:vAlign w:val="center"/>
          </w:tcPr>
          <w:p w14:paraId="145A9007">
            <w:pPr>
              <w:pStyle w:val="43"/>
              <w:bidi w:val="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highlight w:val="none"/>
                <w:lang w:val="en-US" w:eastAsia="zh-CN"/>
              </w:rPr>
              <w:t>/</w:t>
            </w:r>
          </w:p>
        </w:tc>
        <w:tc>
          <w:tcPr>
            <w:tcW w:w="1300" w:type="pct"/>
            <w:shd w:val="clear" w:color="auto" w:fill="auto"/>
            <w:noWrap w:val="0"/>
            <w:vAlign w:val="center"/>
          </w:tcPr>
          <w:p w14:paraId="2CC45BE8">
            <w:pPr>
              <w:pStyle w:val="43"/>
              <w:bidi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highlight w:val="none"/>
                <w:lang w:val="en-US" w:eastAsia="zh-CN"/>
              </w:rPr>
              <w:t>建立健全突发环境事件</w:t>
            </w:r>
            <w:r>
              <w:rPr>
                <w:rFonts w:hint="eastAsia" w:cs="Times New Roman"/>
                <w:color w:val="auto"/>
                <w:highlight w:val="none"/>
                <w:lang w:val="en-US" w:eastAsia="zh-CN"/>
              </w:rPr>
              <w:t>管理制度</w:t>
            </w:r>
            <w:r>
              <w:rPr>
                <w:rFonts w:hint="default" w:ascii="Times New Roman" w:hAnsi="Times New Roman" w:eastAsia="宋体" w:cs="Times New Roman"/>
                <w:color w:val="auto"/>
                <w:highlight w:val="none"/>
                <w:lang w:val="en-US" w:eastAsia="zh-CN"/>
              </w:rPr>
              <w:t>；加强设备保养，保证设备设施的正常运行</w:t>
            </w:r>
          </w:p>
        </w:tc>
        <w:tc>
          <w:tcPr>
            <w:tcW w:w="825" w:type="pct"/>
            <w:shd w:val="clear" w:color="auto" w:fill="auto"/>
            <w:noWrap w:val="0"/>
            <w:vAlign w:val="center"/>
          </w:tcPr>
          <w:p w14:paraId="1911417A">
            <w:pPr>
              <w:pStyle w:val="43"/>
              <w:bidi w:val="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highlight w:val="none"/>
                <w:lang w:val="en-US" w:eastAsia="zh-CN"/>
              </w:rPr>
              <w:t>/</w:t>
            </w:r>
          </w:p>
        </w:tc>
      </w:tr>
      <w:tr w14:paraId="43A214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9" w:type="pct"/>
            <w:noWrap w:val="0"/>
            <w:vAlign w:val="center"/>
          </w:tcPr>
          <w:p w14:paraId="4111FF2F">
            <w:pPr>
              <w:adjustRightInd w:val="0"/>
              <w:snapToGrid w:val="0"/>
              <w:jc w:val="center"/>
              <w:rPr>
                <w:rFonts w:ascii="宋体" w:hAnsi="宋体" w:cs="宋体"/>
                <w:color w:val="auto"/>
                <w:szCs w:val="21"/>
              </w:rPr>
            </w:pPr>
            <w:r>
              <w:rPr>
                <w:rFonts w:hint="eastAsia" w:ascii="宋体" w:hAnsi="宋体" w:cs="宋体"/>
                <w:color w:val="auto"/>
                <w:szCs w:val="21"/>
              </w:rPr>
              <w:t>环境监测</w:t>
            </w:r>
          </w:p>
        </w:tc>
        <w:tc>
          <w:tcPr>
            <w:tcW w:w="1196" w:type="pct"/>
            <w:shd w:val="clear" w:color="auto" w:fill="auto"/>
            <w:noWrap w:val="0"/>
            <w:vAlign w:val="center"/>
          </w:tcPr>
          <w:p w14:paraId="1A9CFDEB">
            <w:pPr>
              <w:pStyle w:val="43"/>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color w:val="auto"/>
                <w:lang w:val="en-US" w:eastAsia="zh-CN"/>
              </w:rPr>
              <w:t>/</w:t>
            </w:r>
          </w:p>
        </w:tc>
        <w:tc>
          <w:tcPr>
            <w:tcW w:w="888" w:type="pct"/>
            <w:noWrap w:val="0"/>
            <w:vAlign w:val="center"/>
          </w:tcPr>
          <w:p w14:paraId="0BC0E1B9">
            <w:pPr>
              <w:pStyle w:val="43"/>
              <w:keepNext w:val="0"/>
              <w:keepLines w:val="0"/>
              <w:pageBreakBefore w:val="0"/>
              <w:widowControl w:val="0"/>
              <w:kinsoku/>
              <w:wordWrap w:val="0"/>
              <w:overflowPunct/>
              <w:topLinePunct w:val="0"/>
              <w:autoSpaceDE/>
              <w:autoSpaceDN/>
              <w:bidi w:val="0"/>
              <w:adjustRightInd/>
              <w:snapToGrid/>
              <w:jc w:val="center"/>
              <w:textAlignment w:val="auto"/>
              <w:rPr>
                <w:rFonts w:ascii="宋体" w:hAnsi="宋体" w:cs="宋体"/>
                <w:color w:val="auto"/>
                <w:szCs w:val="21"/>
              </w:rPr>
            </w:pPr>
            <w:r>
              <w:rPr>
                <w:rFonts w:hint="eastAsia"/>
                <w:color w:val="auto"/>
                <w:lang w:val="en-US" w:eastAsia="zh-CN"/>
              </w:rPr>
              <w:t>/</w:t>
            </w:r>
          </w:p>
        </w:tc>
        <w:tc>
          <w:tcPr>
            <w:tcW w:w="1300" w:type="pct"/>
            <w:noWrap w:val="0"/>
            <w:vAlign w:val="center"/>
          </w:tcPr>
          <w:p w14:paraId="67DAA223">
            <w:pPr>
              <w:pStyle w:val="43"/>
              <w:keepNext w:val="0"/>
              <w:keepLines w:val="0"/>
              <w:pageBreakBefore w:val="0"/>
              <w:widowControl w:val="0"/>
              <w:kinsoku/>
              <w:wordWrap w:val="0"/>
              <w:overflowPunct/>
              <w:topLinePunct w:val="0"/>
              <w:autoSpaceDE/>
              <w:autoSpaceDN/>
              <w:bidi w:val="0"/>
              <w:adjustRightInd/>
              <w:snapToGrid/>
              <w:jc w:val="center"/>
              <w:textAlignment w:val="auto"/>
              <w:rPr>
                <w:rFonts w:ascii="宋体" w:hAnsi="宋体" w:cs="宋体"/>
                <w:color w:val="auto"/>
                <w:szCs w:val="21"/>
              </w:rPr>
            </w:pPr>
            <w:r>
              <w:rPr>
                <w:rFonts w:hint="default"/>
                <w:color w:val="auto"/>
                <w:lang w:val="en-US" w:eastAsia="zh-CN"/>
              </w:rPr>
              <w:t>/</w:t>
            </w:r>
          </w:p>
        </w:tc>
        <w:tc>
          <w:tcPr>
            <w:tcW w:w="825" w:type="pct"/>
            <w:noWrap w:val="0"/>
            <w:vAlign w:val="center"/>
          </w:tcPr>
          <w:p w14:paraId="4E64E398">
            <w:pPr>
              <w:pStyle w:val="43"/>
              <w:keepNext w:val="0"/>
              <w:keepLines w:val="0"/>
              <w:pageBreakBefore w:val="0"/>
              <w:widowControl w:val="0"/>
              <w:kinsoku/>
              <w:wordWrap w:val="0"/>
              <w:overflowPunct/>
              <w:topLinePunct w:val="0"/>
              <w:autoSpaceDE/>
              <w:autoSpaceDN/>
              <w:bidi w:val="0"/>
              <w:adjustRightInd/>
              <w:snapToGrid/>
              <w:jc w:val="center"/>
              <w:textAlignment w:val="auto"/>
              <w:rPr>
                <w:rFonts w:ascii="宋体" w:hAnsi="宋体" w:cs="宋体"/>
                <w:color w:val="auto"/>
                <w:szCs w:val="21"/>
              </w:rPr>
            </w:pPr>
            <w:r>
              <w:rPr>
                <w:rFonts w:hint="eastAsia"/>
                <w:color w:val="auto"/>
                <w:lang w:val="en-US" w:eastAsia="zh-CN"/>
              </w:rPr>
              <w:t>/</w:t>
            </w:r>
          </w:p>
        </w:tc>
      </w:tr>
      <w:tr w14:paraId="1584DC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9" w:type="pct"/>
            <w:noWrap w:val="0"/>
            <w:vAlign w:val="center"/>
          </w:tcPr>
          <w:p w14:paraId="18F2B06E">
            <w:pPr>
              <w:adjustRightInd w:val="0"/>
              <w:snapToGrid w:val="0"/>
              <w:jc w:val="center"/>
              <w:rPr>
                <w:rFonts w:ascii="宋体" w:hAnsi="宋体" w:cs="宋体"/>
                <w:color w:val="auto"/>
                <w:szCs w:val="21"/>
              </w:rPr>
            </w:pPr>
            <w:r>
              <w:rPr>
                <w:rFonts w:hint="eastAsia" w:ascii="宋体" w:hAnsi="宋体" w:cs="宋体"/>
                <w:color w:val="auto"/>
                <w:szCs w:val="21"/>
              </w:rPr>
              <w:t>其他</w:t>
            </w:r>
          </w:p>
        </w:tc>
        <w:tc>
          <w:tcPr>
            <w:tcW w:w="1196" w:type="pct"/>
            <w:shd w:val="clear" w:color="auto" w:fill="auto"/>
            <w:noWrap w:val="0"/>
            <w:vAlign w:val="center"/>
          </w:tcPr>
          <w:p w14:paraId="18516566">
            <w:pPr>
              <w:pStyle w:val="43"/>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w:t>
            </w:r>
          </w:p>
        </w:tc>
        <w:tc>
          <w:tcPr>
            <w:tcW w:w="888" w:type="pct"/>
            <w:shd w:val="clear" w:color="auto" w:fill="auto"/>
            <w:noWrap w:val="0"/>
            <w:vAlign w:val="center"/>
          </w:tcPr>
          <w:p w14:paraId="766D5E9F">
            <w:pPr>
              <w:pStyle w:val="43"/>
              <w:keepNext w:val="0"/>
              <w:keepLines w:val="0"/>
              <w:pageBreakBefore w:val="0"/>
              <w:widowControl w:val="0"/>
              <w:kinsoku/>
              <w:wordWrap w:val="0"/>
              <w:overflowPunct/>
              <w:topLinePunct w:val="0"/>
              <w:autoSpaceDE/>
              <w:autoSpaceDN/>
              <w:bidi w:val="0"/>
              <w:adjustRightInd/>
              <w:snapToGrid/>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w:t>
            </w:r>
          </w:p>
        </w:tc>
        <w:tc>
          <w:tcPr>
            <w:tcW w:w="1300" w:type="pct"/>
            <w:shd w:val="clear" w:color="auto" w:fill="auto"/>
            <w:noWrap w:val="0"/>
            <w:vAlign w:val="center"/>
          </w:tcPr>
          <w:p w14:paraId="01405152">
            <w:pPr>
              <w:pStyle w:val="43"/>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w:t>
            </w:r>
          </w:p>
        </w:tc>
        <w:tc>
          <w:tcPr>
            <w:tcW w:w="825" w:type="pct"/>
            <w:shd w:val="clear" w:color="auto" w:fill="auto"/>
            <w:noWrap w:val="0"/>
            <w:vAlign w:val="center"/>
          </w:tcPr>
          <w:p w14:paraId="0B30781E">
            <w:pPr>
              <w:pStyle w:val="43"/>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w:t>
            </w:r>
          </w:p>
        </w:tc>
      </w:tr>
    </w:tbl>
    <w:p w14:paraId="7A654D43">
      <w:pPr>
        <w:pStyle w:val="17"/>
        <w:jc w:val="center"/>
        <w:outlineLvl w:val="0"/>
        <w:rPr>
          <w:rFonts w:ascii="黑体" w:hAnsi="黑体" w:eastAsia="黑体"/>
          <w:snapToGrid w:val="0"/>
          <w:color w:val="auto"/>
          <w:sz w:val="30"/>
          <w:szCs w:val="30"/>
        </w:rPr>
      </w:pPr>
    </w:p>
    <w:p w14:paraId="437A0CD0">
      <w:pPr>
        <w:pStyle w:val="17"/>
        <w:spacing w:before="0" w:beforeAutospacing="0" w:line="14" w:lineRule="auto"/>
        <w:jc w:val="center"/>
        <w:outlineLvl w:val="0"/>
        <w:rPr>
          <w:rFonts w:hint="eastAsia" w:ascii="黑体" w:hAnsi="黑体" w:eastAsia="黑体"/>
          <w:snapToGrid w:val="0"/>
          <w:color w:val="auto"/>
          <w:sz w:val="30"/>
          <w:szCs w:val="30"/>
        </w:rPr>
      </w:pPr>
      <w:r>
        <w:rPr>
          <w:rFonts w:ascii="黑体" w:hAnsi="黑体" w:eastAsia="黑体"/>
          <w:snapToGrid w:val="0"/>
          <w:color w:val="auto"/>
          <w:sz w:val="30"/>
          <w:szCs w:val="30"/>
        </w:rPr>
        <w:br w:type="page"/>
      </w:r>
    </w:p>
    <w:p w14:paraId="1C603E97">
      <w:pPr>
        <w:pStyle w:val="17"/>
        <w:spacing w:before="192" w:beforeLines="80" w:beforeAutospacing="0"/>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七、结论</w:t>
      </w:r>
    </w:p>
    <w:tbl>
      <w:tblPr>
        <w:tblStyle w:val="20"/>
        <w:tblW w:w="92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289"/>
      </w:tblGrid>
      <w:tr w14:paraId="0DE31F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49" w:hRule="atLeast"/>
          <w:jc w:val="center"/>
        </w:trPr>
        <w:tc>
          <w:tcPr>
            <w:tcW w:w="9289" w:type="dxa"/>
            <w:noWrap w:val="0"/>
            <w:vAlign w:val="top"/>
          </w:tcPr>
          <w:p w14:paraId="43906CD1">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ascii="宋体" w:hAnsi="宋体" w:cs="宋体"/>
                <w:color w:val="auto"/>
                <w:szCs w:val="21"/>
              </w:rPr>
            </w:pPr>
            <w:r>
              <w:rPr>
                <w:color w:val="auto"/>
                <w:sz w:val="24"/>
                <w:szCs w:val="24"/>
              </w:rPr>
              <w:t>综合上述，项目方应严格实施本环评报告提出的各项环保措施和建议，做到污染物达标排放，做好生态环境的保护与恢复。在严格落实本环评提出的各项污染物治理和生态保护措施的前提下，该项目的建设不会对区域环境质量及生态</w:t>
            </w:r>
            <w:r>
              <w:rPr>
                <w:rFonts w:hint="eastAsia"/>
                <w:color w:val="auto"/>
                <w:sz w:val="24"/>
                <w:szCs w:val="24"/>
              </w:rPr>
              <w:t>环境</w:t>
            </w:r>
            <w:r>
              <w:rPr>
                <w:color w:val="auto"/>
                <w:sz w:val="24"/>
                <w:szCs w:val="24"/>
              </w:rPr>
              <w:t>产生大的影响，从环境保护角度分析，本项</w:t>
            </w:r>
            <w:r>
              <w:rPr>
                <w:rFonts w:hint="eastAsia"/>
                <w:color w:val="auto"/>
                <w:sz w:val="24"/>
                <w:szCs w:val="24"/>
                <w:lang w:eastAsia="zh-CN"/>
              </w:rPr>
              <w:t>目环境影响</w:t>
            </w:r>
            <w:r>
              <w:rPr>
                <w:color w:val="auto"/>
                <w:sz w:val="24"/>
                <w:szCs w:val="24"/>
              </w:rPr>
              <w:t>可行。</w:t>
            </w:r>
          </w:p>
        </w:tc>
      </w:tr>
    </w:tbl>
    <w:p w14:paraId="45AB2514">
      <w:pPr>
        <w:widowControl/>
        <w:adjustRightInd w:val="0"/>
        <w:snapToGrid w:val="0"/>
        <w:spacing w:before="192" w:beforeLines="80"/>
        <w:jc w:val="left"/>
        <w:rPr>
          <w:rFonts w:ascii="宋体"/>
          <w:color w:val="auto"/>
        </w:rPr>
      </w:pPr>
    </w:p>
    <w:sectPr>
      <w:pgSz w:w="11906" w:h="16838"/>
      <w:pgMar w:top="1440" w:right="1800" w:bottom="1440" w:left="1800" w:header="851" w:footer="107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52D95">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D7ADA">
    <w:pPr>
      <w:pStyle w:val="14"/>
      <w:framePr w:wrap="around" w:vAnchor="text" w:hAnchor="margin" w:xAlign="outside" w:y="1"/>
      <w:rPr>
        <w:rStyle w:val="23"/>
      </w:rPr>
    </w:pPr>
    <w:r>
      <w:rPr>
        <w:rStyle w:val="23"/>
      </w:rPr>
      <w:fldChar w:fldCharType="begin"/>
    </w:r>
    <w:r>
      <w:rPr>
        <w:rStyle w:val="23"/>
      </w:rPr>
      <w:instrText xml:space="preserve">PAGE  </w:instrText>
    </w:r>
    <w:r>
      <w:rPr>
        <w:rStyle w:val="23"/>
      </w:rPr>
      <w:fldChar w:fldCharType="end"/>
    </w:r>
  </w:p>
  <w:p w14:paraId="66A479CD">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5AA5C">
    <w:pPr>
      <w:pStyle w:val="14"/>
      <w:framePr w:wrap="around" w:vAnchor="text" w:hAnchor="margin" w:xAlign="outside" w:y="1"/>
      <w:rPr>
        <w:rStyle w:val="23"/>
        <w:rFonts w:ascii="宋体" w:hAnsi="宋体"/>
        <w:sz w:val="28"/>
        <w:szCs w:val="28"/>
      </w:rPr>
    </w:pPr>
    <w:r>
      <w:rPr>
        <w:rStyle w:val="23"/>
        <w:rFonts w:hint="eastAsia" w:ascii="宋体" w:hAnsi="宋体"/>
        <w:sz w:val="28"/>
        <w:szCs w:val="28"/>
      </w:rPr>
      <w:t>—</w:t>
    </w:r>
    <w:r>
      <w:rPr>
        <w:rStyle w:val="23"/>
        <w:rFonts w:hint="eastAsia" w:ascii="宋体" w:hAnsi="宋体"/>
        <w:sz w:val="20"/>
        <w:szCs w:val="20"/>
      </w:rPr>
      <w:t xml:space="preserve">  </w:t>
    </w:r>
    <w:r>
      <w:rPr>
        <w:rStyle w:val="23"/>
        <w:rFonts w:ascii="宋体" w:hAnsi="宋体"/>
        <w:sz w:val="26"/>
        <w:szCs w:val="26"/>
      </w:rPr>
      <w:fldChar w:fldCharType="begin"/>
    </w:r>
    <w:r>
      <w:rPr>
        <w:rStyle w:val="23"/>
        <w:rFonts w:ascii="宋体" w:hAnsi="宋体"/>
        <w:sz w:val="26"/>
        <w:szCs w:val="26"/>
      </w:rPr>
      <w:instrText xml:space="preserve">PAGE  </w:instrText>
    </w:r>
    <w:r>
      <w:rPr>
        <w:rStyle w:val="23"/>
        <w:rFonts w:ascii="宋体" w:hAnsi="宋体"/>
        <w:sz w:val="26"/>
        <w:szCs w:val="26"/>
      </w:rPr>
      <w:fldChar w:fldCharType="separate"/>
    </w:r>
    <w:r>
      <w:rPr>
        <w:rStyle w:val="23"/>
        <w:rFonts w:ascii="宋体" w:hAnsi="宋体"/>
        <w:sz w:val="26"/>
        <w:szCs w:val="26"/>
      </w:rPr>
      <w:t>22</w:t>
    </w:r>
    <w:r>
      <w:rPr>
        <w:rStyle w:val="23"/>
        <w:rFonts w:ascii="宋体" w:hAnsi="宋体"/>
        <w:sz w:val="26"/>
        <w:szCs w:val="26"/>
      </w:rPr>
      <w:fldChar w:fldCharType="end"/>
    </w:r>
    <w:r>
      <w:rPr>
        <w:rStyle w:val="23"/>
        <w:rFonts w:hint="eastAsia" w:ascii="宋体" w:hAnsi="宋体"/>
        <w:sz w:val="20"/>
        <w:szCs w:val="20"/>
      </w:rPr>
      <w:t xml:space="preserve">  </w:t>
    </w:r>
    <w:r>
      <w:rPr>
        <w:rStyle w:val="23"/>
        <w:rFonts w:hint="eastAsia" w:ascii="宋体" w:hAnsi="宋体"/>
        <w:sz w:val="28"/>
        <w:szCs w:val="28"/>
      </w:rPr>
      <w:t>—</w:t>
    </w:r>
  </w:p>
  <w:p w14:paraId="26FE1CAD">
    <w:pPr>
      <w:pStyle w:val="14"/>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A5D222"/>
    <w:multiLevelType w:val="singleLevel"/>
    <w:tmpl w:val="5BA5D22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947"/>
    <w:rsid w:val="00001CED"/>
    <w:rsid w:val="00001E67"/>
    <w:rsid w:val="00003CD8"/>
    <w:rsid w:val="00014965"/>
    <w:rsid w:val="0001523A"/>
    <w:rsid w:val="00016ECB"/>
    <w:rsid w:val="000269F6"/>
    <w:rsid w:val="00031939"/>
    <w:rsid w:val="00032D25"/>
    <w:rsid w:val="0005219D"/>
    <w:rsid w:val="0005568F"/>
    <w:rsid w:val="0006153D"/>
    <w:rsid w:val="00061B1F"/>
    <w:rsid w:val="000664DB"/>
    <w:rsid w:val="0007127D"/>
    <w:rsid w:val="00071AE5"/>
    <w:rsid w:val="00074783"/>
    <w:rsid w:val="000801E0"/>
    <w:rsid w:val="00082A29"/>
    <w:rsid w:val="0008331D"/>
    <w:rsid w:val="00083C18"/>
    <w:rsid w:val="00092899"/>
    <w:rsid w:val="000A178E"/>
    <w:rsid w:val="000A557E"/>
    <w:rsid w:val="000B058F"/>
    <w:rsid w:val="000B693F"/>
    <w:rsid w:val="000C09AC"/>
    <w:rsid w:val="000C0A63"/>
    <w:rsid w:val="000C437E"/>
    <w:rsid w:val="000E5F16"/>
    <w:rsid w:val="000F4452"/>
    <w:rsid w:val="000F6DA1"/>
    <w:rsid w:val="000F701B"/>
    <w:rsid w:val="001056A0"/>
    <w:rsid w:val="00115279"/>
    <w:rsid w:val="00117459"/>
    <w:rsid w:val="0011749A"/>
    <w:rsid w:val="00127A68"/>
    <w:rsid w:val="00140B13"/>
    <w:rsid w:val="00141B68"/>
    <w:rsid w:val="001466DA"/>
    <w:rsid w:val="00154DE1"/>
    <w:rsid w:val="00155B40"/>
    <w:rsid w:val="00157435"/>
    <w:rsid w:val="00163EEA"/>
    <w:rsid w:val="00167A07"/>
    <w:rsid w:val="0017046A"/>
    <w:rsid w:val="001704A3"/>
    <w:rsid w:val="0017504D"/>
    <w:rsid w:val="00177422"/>
    <w:rsid w:val="00184F10"/>
    <w:rsid w:val="00185546"/>
    <w:rsid w:val="0019146B"/>
    <w:rsid w:val="00194398"/>
    <w:rsid w:val="001A7D2A"/>
    <w:rsid w:val="001B574C"/>
    <w:rsid w:val="001C0AF9"/>
    <w:rsid w:val="001C155A"/>
    <w:rsid w:val="001C48C0"/>
    <w:rsid w:val="001D6726"/>
    <w:rsid w:val="001F3347"/>
    <w:rsid w:val="001F4440"/>
    <w:rsid w:val="001F69E4"/>
    <w:rsid w:val="00206A65"/>
    <w:rsid w:val="00212D31"/>
    <w:rsid w:val="002130C7"/>
    <w:rsid w:val="002218A8"/>
    <w:rsid w:val="0022306D"/>
    <w:rsid w:val="00226574"/>
    <w:rsid w:val="002278EC"/>
    <w:rsid w:val="002357C7"/>
    <w:rsid w:val="002367C4"/>
    <w:rsid w:val="0025679E"/>
    <w:rsid w:val="00260C68"/>
    <w:rsid w:val="002648B0"/>
    <w:rsid w:val="00275271"/>
    <w:rsid w:val="0027535E"/>
    <w:rsid w:val="00275AA6"/>
    <w:rsid w:val="002807D5"/>
    <w:rsid w:val="00282CCD"/>
    <w:rsid w:val="002A168C"/>
    <w:rsid w:val="002A2C48"/>
    <w:rsid w:val="002A3EED"/>
    <w:rsid w:val="002A4A39"/>
    <w:rsid w:val="002A5A17"/>
    <w:rsid w:val="002A6425"/>
    <w:rsid w:val="002B49E2"/>
    <w:rsid w:val="002B7B00"/>
    <w:rsid w:val="002B7C44"/>
    <w:rsid w:val="002C1388"/>
    <w:rsid w:val="002C3C6A"/>
    <w:rsid w:val="002D42DB"/>
    <w:rsid w:val="002E1F3A"/>
    <w:rsid w:val="002E298A"/>
    <w:rsid w:val="002F02A4"/>
    <w:rsid w:val="002F272B"/>
    <w:rsid w:val="002F7C6D"/>
    <w:rsid w:val="003027E4"/>
    <w:rsid w:val="0030332C"/>
    <w:rsid w:val="00312296"/>
    <w:rsid w:val="0031340E"/>
    <w:rsid w:val="00316464"/>
    <w:rsid w:val="0032073A"/>
    <w:rsid w:val="00321D8E"/>
    <w:rsid w:val="00334996"/>
    <w:rsid w:val="00336969"/>
    <w:rsid w:val="00336C52"/>
    <w:rsid w:val="00341B3E"/>
    <w:rsid w:val="00341B42"/>
    <w:rsid w:val="00345154"/>
    <w:rsid w:val="0034560E"/>
    <w:rsid w:val="00350523"/>
    <w:rsid w:val="00352975"/>
    <w:rsid w:val="00356868"/>
    <w:rsid w:val="0036485B"/>
    <w:rsid w:val="00373B0D"/>
    <w:rsid w:val="00376988"/>
    <w:rsid w:val="00381A72"/>
    <w:rsid w:val="003A1948"/>
    <w:rsid w:val="003B152A"/>
    <w:rsid w:val="003B545B"/>
    <w:rsid w:val="003D3EE9"/>
    <w:rsid w:val="003E7681"/>
    <w:rsid w:val="003F0809"/>
    <w:rsid w:val="003F611C"/>
    <w:rsid w:val="003F755C"/>
    <w:rsid w:val="00406F01"/>
    <w:rsid w:val="00411B36"/>
    <w:rsid w:val="004121D7"/>
    <w:rsid w:val="00416D50"/>
    <w:rsid w:val="00417772"/>
    <w:rsid w:val="00420E6A"/>
    <w:rsid w:val="00433CA9"/>
    <w:rsid w:val="0043521D"/>
    <w:rsid w:val="00442024"/>
    <w:rsid w:val="0044254C"/>
    <w:rsid w:val="00443F6A"/>
    <w:rsid w:val="00450A17"/>
    <w:rsid w:val="00466321"/>
    <w:rsid w:val="004672AF"/>
    <w:rsid w:val="004727B0"/>
    <w:rsid w:val="00480247"/>
    <w:rsid w:val="0048081D"/>
    <w:rsid w:val="0048117E"/>
    <w:rsid w:val="004855F6"/>
    <w:rsid w:val="00486F0C"/>
    <w:rsid w:val="00494670"/>
    <w:rsid w:val="004A0EB4"/>
    <w:rsid w:val="004A3823"/>
    <w:rsid w:val="004A59BB"/>
    <w:rsid w:val="004B43A3"/>
    <w:rsid w:val="004B4C49"/>
    <w:rsid w:val="004B58A5"/>
    <w:rsid w:val="004B63D9"/>
    <w:rsid w:val="004C0882"/>
    <w:rsid w:val="004C55BE"/>
    <w:rsid w:val="004E5B30"/>
    <w:rsid w:val="004F0779"/>
    <w:rsid w:val="004F1230"/>
    <w:rsid w:val="004F173F"/>
    <w:rsid w:val="004F177C"/>
    <w:rsid w:val="004F2DCE"/>
    <w:rsid w:val="005039CB"/>
    <w:rsid w:val="0050558F"/>
    <w:rsid w:val="005057E0"/>
    <w:rsid w:val="00506286"/>
    <w:rsid w:val="00510813"/>
    <w:rsid w:val="00511DE0"/>
    <w:rsid w:val="00517F02"/>
    <w:rsid w:val="00524547"/>
    <w:rsid w:val="005258A2"/>
    <w:rsid w:val="00530F7C"/>
    <w:rsid w:val="00534567"/>
    <w:rsid w:val="00534F43"/>
    <w:rsid w:val="00535A84"/>
    <w:rsid w:val="00536889"/>
    <w:rsid w:val="00542E07"/>
    <w:rsid w:val="00554A7B"/>
    <w:rsid w:val="0055572C"/>
    <w:rsid w:val="0056064F"/>
    <w:rsid w:val="00561B84"/>
    <w:rsid w:val="00571D98"/>
    <w:rsid w:val="005720AE"/>
    <w:rsid w:val="0058030D"/>
    <w:rsid w:val="00582045"/>
    <w:rsid w:val="00590AE3"/>
    <w:rsid w:val="005918F1"/>
    <w:rsid w:val="005A06B7"/>
    <w:rsid w:val="005A1759"/>
    <w:rsid w:val="005D0369"/>
    <w:rsid w:val="005D53FE"/>
    <w:rsid w:val="005D7A0F"/>
    <w:rsid w:val="005E0438"/>
    <w:rsid w:val="005E1791"/>
    <w:rsid w:val="005E2CE6"/>
    <w:rsid w:val="005E6324"/>
    <w:rsid w:val="005F228B"/>
    <w:rsid w:val="005F29CD"/>
    <w:rsid w:val="005F4DFB"/>
    <w:rsid w:val="005F6CC0"/>
    <w:rsid w:val="00603E5B"/>
    <w:rsid w:val="00604BC8"/>
    <w:rsid w:val="00615B4C"/>
    <w:rsid w:val="00615B5D"/>
    <w:rsid w:val="0062146F"/>
    <w:rsid w:val="006343AF"/>
    <w:rsid w:val="0063634A"/>
    <w:rsid w:val="0064250D"/>
    <w:rsid w:val="006535EB"/>
    <w:rsid w:val="00663016"/>
    <w:rsid w:val="00674605"/>
    <w:rsid w:val="006748B8"/>
    <w:rsid w:val="0068535B"/>
    <w:rsid w:val="0068736E"/>
    <w:rsid w:val="0069290A"/>
    <w:rsid w:val="00697032"/>
    <w:rsid w:val="006975AC"/>
    <w:rsid w:val="006A15FB"/>
    <w:rsid w:val="006A72BF"/>
    <w:rsid w:val="006B332A"/>
    <w:rsid w:val="006B33BD"/>
    <w:rsid w:val="006C3F75"/>
    <w:rsid w:val="006D170E"/>
    <w:rsid w:val="006E06AF"/>
    <w:rsid w:val="006F1789"/>
    <w:rsid w:val="00706C5D"/>
    <w:rsid w:val="007118E6"/>
    <w:rsid w:val="007225C9"/>
    <w:rsid w:val="00735CD7"/>
    <w:rsid w:val="00754034"/>
    <w:rsid w:val="00754BF1"/>
    <w:rsid w:val="00755A30"/>
    <w:rsid w:val="00755E1C"/>
    <w:rsid w:val="00756556"/>
    <w:rsid w:val="0076132B"/>
    <w:rsid w:val="007623AE"/>
    <w:rsid w:val="00770B19"/>
    <w:rsid w:val="00774FA0"/>
    <w:rsid w:val="00776620"/>
    <w:rsid w:val="00777B6D"/>
    <w:rsid w:val="00784855"/>
    <w:rsid w:val="00784F39"/>
    <w:rsid w:val="0078545C"/>
    <w:rsid w:val="007906C4"/>
    <w:rsid w:val="007940EA"/>
    <w:rsid w:val="007967E8"/>
    <w:rsid w:val="007A63F2"/>
    <w:rsid w:val="007B68DE"/>
    <w:rsid w:val="007C1857"/>
    <w:rsid w:val="007C514F"/>
    <w:rsid w:val="007D0F95"/>
    <w:rsid w:val="007D7ECB"/>
    <w:rsid w:val="007E25A1"/>
    <w:rsid w:val="007E4BD2"/>
    <w:rsid w:val="007E7145"/>
    <w:rsid w:val="007F3916"/>
    <w:rsid w:val="00801179"/>
    <w:rsid w:val="00802479"/>
    <w:rsid w:val="00805372"/>
    <w:rsid w:val="00805B7B"/>
    <w:rsid w:val="0081293E"/>
    <w:rsid w:val="00814FFB"/>
    <w:rsid w:val="00820568"/>
    <w:rsid w:val="00831A80"/>
    <w:rsid w:val="008332C8"/>
    <w:rsid w:val="00833743"/>
    <w:rsid w:val="008340A4"/>
    <w:rsid w:val="00836799"/>
    <w:rsid w:val="00837028"/>
    <w:rsid w:val="00837131"/>
    <w:rsid w:val="00845F57"/>
    <w:rsid w:val="008521E0"/>
    <w:rsid w:val="008525B0"/>
    <w:rsid w:val="00867CBC"/>
    <w:rsid w:val="00876C30"/>
    <w:rsid w:val="00877017"/>
    <w:rsid w:val="008773C0"/>
    <w:rsid w:val="00880364"/>
    <w:rsid w:val="00886C4C"/>
    <w:rsid w:val="0088711C"/>
    <w:rsid w:val="00892ECF"/>
    <w:rsid w:val="00892F06"/>
    <w:rsid w:val="00894285"/>
    <w:rsid w:val="008A40AE"/>
    <w:rsid w:val="008A4E19"/>
    <w:rsid w:val="008A67C5"/>
    <w:rsid w:val="008B22E1"/>
    <w:rsid w:val="008B3C78"/>
    <w:rsid w:val="008B4AE9"/>
    <w:rsid w:val="008C30AD"/>
    <w:rsid w:val="008D068E"/>
    <w:rsid w:val="008D0F7A"/>
    <w:rsid w:val="008D63BE"/>
    <w:rsid w:val="008E0CFF"/>
    <w:rsid w:val="008E5D6B"/>
    <w:rsid w:val="008E689B"/>
    <w:rsid w:val="008E76F0"/>
    <w:rsid w:val="008F15FE"/>
    <w:rsid w:val="008F2A94"/>
    <w:rsid w:val="008F5187"/>
    <w:rsid w:val="008F709C"/>
    <w:rsid w:val="0090312B"/>
    <w:rsid w:val="00904961"/>
    <w:rsid w:val="0091736D"/>
    <w:rsid w:val="00931001"/>
    <w:rsid w:val="00931863"/>
    <w:rsid w:val="00933524"/>
    <w:rsid w:val="0094278D"/>
    <w:rsid w:val="0095308A"/>
    <w:rsid w:val="00955AEE"/>
    <w:rsid w:val="00956F14"/>
    <w:rsid w:val="009620FD"/>
    <w:rsid w:val="0096247A"/>
    <w:rsid w:val="00965F4B"/>
    <w:rsid w:val="00970F8A"/>
    <w:rsid w:val="00971FB5"/>
    <w:rsid w:val="00972D2A"/>
    <w:rsid w:val="00975CC5"/>
    <w:rsid w:val="00976328"/>
    <w:rsid w:val="00976B4E"/>
    <w:rsid w:val="00984458"/>
    <w:rsid w:val="00985283"/>
    <w:rsid w:val="00987322"/>
    <w:rsid w:val="009A0F3B"/>
    <w:rsid w:val="009A72C7"/>
    <w:rsid w:val="009B0897"/>
    <w:rsid w:val="009D0852"/>
    <w:rsid w:val="009D1FBF"/>
    <w:rsid w:val="009E399C"/>
    <w:rsid w:val="009E43C1"/>
    <w:rsid w:val="009E7E95"/>
    <w:rsid w:val="009F116F"/>
    <w:rsid w:val="009F329E"/>
    <w:rsid w:val="009F7ED3"/>
    <w:rsid w:val="00A03607"/>
    <w:rsid w:val="00A047FF"/>
    <w:rsid w:val="00A04FEF"/>
    <w:rsid w:val="00A122CD"/>
    <w:rsid w:val="00A12A32"/>
    <w:rsid w:val="00A14248"/>
    <w:rsid w:val="00A14947"/>
    <w:rsid w:val="00A23DC5"/>
    <w:rsid w:val="00A34028"/>
    <w:rsid w:val="00A35568"/>
    <w:rsid w:val="00A37056"/>
    <w:rsid w:val="00A4358F"/>
    <w:rsid w:val="00A46F67"/>
    <w:rsid w:val="00A54AA1"/>
    <w:rsid w:val="00A568FF"/>
    <w:rsid w:val="00A61496"/>
    <w:rsid w:val="00A61833"/>
    <w:rsid w:val="00A624C6"/>
    <w:rsid w:val="00A63CEC"/>
    <w:rsid w:val="00A7031E"/>
    <w:rsid w:val="00A728B1"/>
    <w:rsid w:val="00A763DE"/>
    <w:rsid w:val="00A803D6"/>
    <w:rsid w:val="00A81282"/>
    <w:rsid w:val="00A8713F"/>
    <w:rsid w:val="00A91167"/>
    <w:rsid w:val="00A9171C"/>
    <w:rsid w:val="00A92FFD"/>
    <w:rsid w:val="00A95975"/>
    <w:rsid w:val="00A9708D"/>
    <w:rsid w:val="00AA2C17"/>
    <w:rsid w:val="00AA4172"/>
    <w:rsid w:val="00AB1914"/>
    <w:rsid w:val="00AB5330"/>
    <w:rsid w:val="00AB7747"/>
    <w:rsid w:val="00AC2532"/>
    <w:rsid w:val="00AD1507"/>
    <w:rsid w:val="00AD5A70"/>
    <w:rsid w:val="00AD738B"/>
    <w:rsid w:val="00AE1BF4"/>
    <w:rsid w:val="00AE5D97"/>
    <w:rsid w:val="00AE6794"/>
    <w:rsid w:val="00B01110"/>
    <w:rsid w:val="00B02262"/>
    <w:rsid w:val="00B03CEC"/>
    <w:rsid w:val="00B1209F"/>
    <w:rsid w:val="00B12AD0"/>
    <w:rsid w:val="00B24F30"/>
    <w:rsid w:val="00B31ABF"/>
    <w:rsid w:val="00B335AE"/>
    <w:rsid w:val="00B37CE1"/>
    <w:rsid w:val="00B40ACF"/>
    <w:rsid w:val="00B46BAA"/>
    <w:rsid w:val="00B50B5F"/>
    <w:rsid w:val="00B54128"/>
    <w:rsid w:val="00B55826"/>
    <w:rsid w:val="00B60426"/>
    <w:rsid w:val="00B622DD"/>
    <w:rsid w:val="00B63522"/>
    <w:rsid w:val="00B76F1D"/>
    <w:rsid w:val="00B92A19"/>
    <w:rsid w:val="00B9544C"/>
    <w:rsid w:val="00BA29E9"/>
    <w:rsid w:val="00BB3618"/>
    <w:rsid w:val="00BC0C9E"/>
    <w:rsid w:val="00BC32DC"/>
    <w:rsid w:val="00BD1B51"/>
    <w:rsid w:val="00BD47F6"/>
    <w:rsid w:val="00BE312D"/>
    <w:rsid w:val="00BE3FCA"/>
    <w:rsid w:val="00C05719"/>
    <w:rsid w:val="00C10578"/>
    <w:rsid w:val="00C17D62"/>
    <w:rsid w:val="00C21FDC"/>
    <w:rsid w:val="00C24EE7"/>
    <w:rsid w:val="00C2596A"/>
    <w:rsid w:val="00C271BE"/>
    <w:rsid w:val="00C27425"/>
    <w:rsid w:val="00C328FE"/>
    <w:rsid w:val="00C33A05"/>
    <w:rsid w:val="00C42500"/>
    <w:rsid w:val="00C4409D"/>
    <w:rsid w:val="00C455BE"/>
    <w:rsid w:val="00C51E5F"/>
    <w:rsid w:val="00C61E4B"/>
    <w:rsid w:val="00C62E3A"/>
    <w:rsid w:val="00C64503"/>
    <w:rsid w:val="00C64A1F"/>
    <w:rsid w:val="00C64BFF"/>
    <w:rsid w:val="00C763C9"/>
    <w:rsid w:val="00C80057"/>
    <w:rsid w:val="00C82C79"/>
    <w:rsid w:val="00C84753"/>
    <w:rsid w:val="00C91611"/>
    <w:rsid w:val="00CA3585"/>
    <w:rsid w:val="00CA3D5A"/>
    <w:rsid w:val="00CA4C7C"/>
    <w:rsid w:val="00CB0183"/>
    <w:rsid w:val="00CB1EA3"/>
    <w:rsid w:val="00CB552C"/>
    <w:rsid w:val="00CB6A9E"/>
    <w:rsid w:val="00CC6181"/>
    <w:rsid w:val="00CD2BCD"/>
    <w:rsid w:val="00CD36AA"/>
    <w:rsid w:val="00CD3791"/>
    <w:rsid w:val="00CD65B0"/>
    <w:rsid w:val="00CE02CD"/>
    <w:rsid w:val="00CE10E9"/>
    <w:rsid w:val="00D0072E"/>
    <w:rsid w:val="00D15727"/>
    <w:rsid w:val="00D16332"/>
    <w:rsid w:val="00D24972"/>
    <w:rsid w:val="00D2515E"/>
    <w:rsid w:val="00D308ED"/>
    <w:rsid w:val="00D56178"/>
    <w:rsid w:val="00D56CF0"/>
    <w:rsid w:val="00D56F5C"/>
    <w:rsid w:val="00D704B1"/>
    <w:rsid w:val="00D70B63"/>
    <w:rsid w:val="00D72B92"/>
    <w:rsid w:val="00D72ED4"/>
    <w:rsid w:val="00D73F61"/>
    <w:rsid w:val="00D754C0"/>
    <w:rsid w:val="00D776A2"/>
    <w:rsid w:val="00D801C4"/>
    <w:rsid w:val="00D90836"/>
    <w:rsid w:val="00D95896"/>
    <w:rsid w:val="00D95CC6"/>
    <w:rsid w:val="00DA2DA3"/>
    <w:rsid w:val="00DA6615"/>
    <w:rsid w:val="00DA76AE"/>
    <w:rsid w:val="00DB181E"/>
    <w:rsid w:val="00DB1C7A"/>
    <w:rsid w:val="00DB2983"/>
    <w:rsid w:val="00DB343D"/>
    <w:rsid w:val="00DB5579"/>
    <w:rsid w:val="00DB5CFE"/>
    <w:rsid w:val="00DC72A6"/>
    <w:rsid w:val="00DD2113"/>
    <w:rsid w:val="00DD265E"/>
    <w:rsid w:val="00DF1930"/>
    <w:rsid w:val="00DF514A"/>
    <w:rsid w:val="00E0358D"/>
    <w:rsid w:val="00E06327"/>
    <w:rsid w:val="00E2064B"/>
    <w:rsid w:val="00E25239"/>
    <w:rsid w:val="00E265B1"/>
    <w:rsid w:val="00E275B0"/>
    <w:rsid w:val="00E412D0"/>
    <w:rsid w:val="00E47CDB"/>
    <w:rsid w:val="00E566BC"/>
    <w:rsid w:val="00E60982"/>
    <w:rsid w:val="00E60C8D"/>
    <w:rsid w:val="00E6162F"/>
    <w:rsid w:val="00E6311B"/>
    <w:rsid w:val="00E65D97"/>
    <w:rsid w:val="00E67EFD"/>
    <w:rsid w:val="00E702DC"/>
    <w:rsid w:val="00E71FFB"/>
    <w:rsid w:val="00E76D1D"/>
    <w:rsid w:val="00E806F8"/>
    <w:rsid w:val="00E87752"/>
    <w:rsid w:val="00E8793B"/>
    <w:rsid w:val="00E90F81"/>
    <w:rsid w:val="00E91A6D"/>
    <w:rsid w:val="00E9242D"/>
    <w:rsid w:val="00EB041C"/>
    <w:rsid w:val="00EC5874"/>
    <w:rsid w:val="00ED192D"/>
    <w:rsid w:val="00ED30B4"/>
    <w:rsid w:val="00ED31F5"/>
    <w:rsid w:val="00EF2759"/>
    <w:rsid w:val="00EF45EB"/>
    <w:rsid w:val="00EF5099"/>
    <w:rsid w:val="00EF5E33"/>
    <w:rsid w:val="00F00075"/>
    <w:rsid w:val="00F07822"/>
    <w:rsid w:val="00F15C95"/>
    <w:rsid w:val="00F22985"/>
    <w:rsid w:val="00F241AB"/>
    <w:rsid w:val="00F31382"/>
    <w:rsid w:val="00F35829"/>
    <w:rsid w:val="00F42868"/>
    <w:rsid w:val="00F465A7"/>
    <w:rsid w:val="00F50B7C"/>
    <w:rsid w:val="00F5202D"/>
    <w:rsid w:val="00F52CF6"/>
    <w:rsid w:val="00F54496"/>
    <w:rsid w:val="00F61097"/>
    <w:rsid w:val="00F74345"/>
    <w:rsid w:val="00F74441"/>
    <w:rsid w:val="00F77F30"/>
    <w:rsid w:val="00F82589"/>
    <w:rsid w:val="00F82B19"/>
    <w:rsid w:val="00F90AA7"/>
    <w:rsid w:val="00F9212D"/>
    <w:rsid w:val="00FA301A"/>
    <w:rsid w:val="00FA406A"/>
    <w:rsid w:val="00FA5CB6"/>
    <w:rsid w:val="00FC66AC"/>
    <w:rsid w:val="00FD18F4"/>
    <w:rsid w:val="00FD74B4"/>
    <w:rsid w:val="00FF6FCE"/>
    <w:rsid w:val="00FF7518"/>
    <w:rsid w:val="00FF7FD8"/>
    <w:rsid w:val="029142EA"/>
    <w:rsid w:val="03581CEF"/>
    <w:rsid w:val="04BD49BA"/>
    <w:rsid w:val="05742AC8"/>
    <w:rsid w:val="06352F05"/>
    <w:rsid w:val="063E7D85"/>
    <w:rsid w:val="070875E0"/>
    <w:rsid w:val="07293586"/>
    <w:rsid w:val="07295285"/>
    <w:rsid w:val="07770C56"/>
    <w:rsid w:val="092217DD"/>
    <w:rsid w:val="093A7294"/>
    <w:rsid w:val="0B91548F"/>
    <w:rsid w:val="0BD27BF6"/>
    <w:rsid w:val="0E110D06"/>
    <w:rsid w:val="0F13775A"/>
    <w:rsid w:val="0F4918C8"/>
    <w:rsid w:val="0F9A112B"/>
    <w:rsid w:val="0FE34EB2"/>
    <w:rsid w:val="106D2F64"/>
    <w:rsid w:val="10B63710"/>
    <w:rsid w:val="111C2F7A"/>
    <w:rsid w:val="113013DE"/>
    <w:rsid w:val="122B06C2"/>
    <w:rsid w:val="13951726"/>
    <w:rsid w:val="14396509"/>
    <w:rsid w:val="1447165C"/>
    <w:rsid w:val="1464431F"/>
    <w:rsid w:val="14EF4645"/>
    <w:rsid w:val="15BA54A9"/>
    <w:rsid w:val="16484905"/>
    <w:rsid w:val="17735226"/>
    <w:rsid w:val="199B3E6D"/>
    <w:rsid w:val="1A1C66C0"/>
    <w:rsid w:val="1A2609AF"/>
    <w:rsid w:val="1A42393B"/>
    <w:rsid w:val="1B046F80"/>
    <w:rsid w:val="1B3267B5"/>
    <w:rsid w:val="1BC25DC8"/>
    <w:rsid w:val="1C5E7925"/>
    <w:rsid w:val="1C887FC8"/>
    <w:rsid w:val="1D5F6196"/>
    <w:rsid w:val="1D6132A5"/>
    <w:rsid w:val="1D8E56D5"/>
    <w:rsid w:val="1E7A43DA"/>
    <w:rsid w:val="1EB277FE"/>
    <w:rsid w:val="1F567529"/>
    <w:rsid w:val="1FE7539E"/>
    <w:rsid w:val="20963CB8"/>
    <w:rsid w:val="20B07FB6"/>
    <w:rsid w:val="210D15FE"/>
    <w:rsid w:val="213B74B1"/>
    <w:rsid w:val="215A2310"/>
    <w:rsid w:val="21DE318A"/>
    <w:rsid w:val="21EF5B80"/>
    <w:rsid w:val="22576990"/>
    <w:rsid w:val="229C4EAB"/>
    <w:rsid w:val="2520152E"/>
    <w:rsid w:val="252D53FE"/>
    <w:rsid w:val="25EC2D81"/>
    <w:rsid w:val="26447E5F"/>
    <w:rsid w:val="264528BD"/>
    <w:rsid w:val="269700DB"/>
    <w:rsid w:val="270A4A32"/>
    <w:rsid w:val="27D15DD1"/>
    <w:rsid w:val="28A76295"/>
    <w:rsid w:val="29206EB8"/>
    <w:rsid w:val="29E325E0"/>
    <w:rsid w:val="2A452503"/>
    <w:rsid w:val="2A7C7C74"/>
    <w:rsid w:val="2BA936A8"/>
    <w:rsid w:val="2C315A5A"/>
    <w:rsid w:val="2CDF6B61"/>
    <w:rsid w:val="2D9E56F5"/>
    <w:rsid w:val="2E667F96"/>
    <w:rsid w:val="2E8226AB"/>
    <w:rsid w:val="2EAC67D3"/>
    <w:rsid w:val="2F741CBB"/>
    <w:rsid w:val="2F832C79"/>
    <w:rsid w:val="2FEF2D58"/>
    <w:rsid w:val="30580BC9"/>
    <w:rsid w:val="30A07E5D"/>
    <w:rsid w:val="311E2ED7"/>
    <w:rsid w:val="315C449C"/>
    <w:rsid w:val="31B82709"/>
    <w:rsid w:val="31F906DA"/>
    <w:rsid w:val="32147D5E"/>
    <w:rsid w:val="32400B34"/>
    <w:rsid w:val="329E6876"/>
    <w:rsid w:val="33A855B9"/>
    <w:rsid w:val="33D934D4"/>
    <w:rsid w:val="33FE2F6A"/>
    <w:rsid w:val="36074A7F"/>
    <w:rsid w:val="36923549"/>
    <w:rsid w:val="36B75FBF"/>
    <w:rsid w:val="36DA6697"/>
    <w:rsid w:val="36FB4891"/>
    <w:rsid w:val="37D54D01"/>
    <w:rsid w:val="38F12CD3"/>
    <w:rsid w:val="38F94775"/>
    <w:rsid w:val="392971ED"/>
    <w:rsid w:val="3B3763D1"/>
    <w:rsid w:val="3CDA245A"/>
    <w:rsid w:val="3CEE0A37"/>
    <w:rsid w:val="3E4D3549"/>
    <w:rsid w:val="3F660E74"/>
    <w:rsid w:val="3FE72B21"/>
    <w:rsid w:val="407A6407"/>
    <w:rsid w:val="41852DBE"/>
    <w:rsid w:val="423A3BCC"/>
    <w:rsid w:val="433A6FE6"/>
    <w:rsid w:val="4350713C"/>
    <w:rsid w:val="436653E0"/>
    <w:rsid w:val="446947E0"/>
    <w:rsid w:val="44CD14E0"/>
    <w:rsid w:val="458946E9"/>
    <w:rsid w:val="466F7234"/>
    <w:rsid w:val="46D955A7"/>
    <w:rsid w:val="47133957"/>
    <w:rsid w:val="47156C56"/>
    <w:rsid w:val="4779329E"/>
    <w:rsid w:val="47A07E0C"/>
    <w:rsid w:val="4870272E"/>
    <w:rsid w:val="49DC7715"/>
    <w:rsid w:val="4A023139"/>
    <w:rsid w:val="4A7B576F"/>
    <w:rsid w:val="4A807E3B"/>
    <w:rsid w:val="4AAD2BC8"/>
    <w:rsid w:val="4B01026D"/>
    <w:rsid w:val="4C4A0649"/>
    <w:rsid w:val="4CE470D3"/>
    <w:rsid w:val="4DEC4FB0"/>
    <w:rsid w:val="4E075D8A"/>
    <w:rsid w:val="4FC62A8C"/>
    <w:rsid w:val="4FE20F0D"/>
    <w:rsid w:val="50504C4B"/>
    <w:rsid w:val="50972065"/>
    <w:rsid w:val="509C6E7C"/>
    <w:rsid w:val="50B9229B"/>
    <w:rsid w:val="5162104E"/>
    <w:rsid w:val="52931E39"/>
    <w:rsid w:val="53A039CC"/>
    <w:rsid w:val="53A1505A"/>
    <w:rsid w:val="54063E08"/>
    <w:rsid w:val="543437E8"/>
    <w:rsid w:val="559B174B"/>
    <w:rsid w:val="55CE0CF4"/>
    <w:rsid w:val="56B22A9C"/>
    <w:rsid w:val="56EA63C3"/>
    <w:rsid w:val="57B72A76"/>
    <w:rsid w:val="57BF5B07"/>
    <w:rsid w:val="5A3C747D"/>
    <w:rsid w:val="5A7F67C4"/>
    <w:rsid w:val="5ABE2233"/>
    <w:rsid w:val="5B276D18"/>
    <w:rsid w:val="5BDF5D95"/>
    <w:rsid w:val="5C325AE6"/>
    <w:rsid w:val="5DCE3495"/>
    <w:rsid w:val="5DF87A0F"/>
    <w:rsid w:val="5F1A2B43"/>
    <w:rsid w:val="5FB837BB"/>
    <w:rsid w:val="6206451B"/>
    <w:rsid w:val="62364782"/>
    <w:rsid w:val="63D40BE9"/>
    <w:rsid w:val="63E0211F"/>
    <w:rsid w:val="65373578"/>
    <w:rsid w:val="673F2C7A"/>
    <w:rsid w:val="681F6961"/>
    <w:rsid w:val="68610A2F"/>
    <w:rsid w:val="68805514"/>
    <w:rsid w:val="694E2071"/>
    <w:rsid w:val="697A3B33"/>
    <w:rsid w:val="699E2456"/>
    <w:rsid w:val="6B322639"/>
    <w:rsid w:val="6C636C38"/>
    <w:rsid w:val="6DB34098"/>
    <w:rsid w:val="6DB545B6"/>
    <w:rsid w:val="6E4375A0"/>
    <w:rsid w:val="6E514CED"/>
    <w:rsid w:val="6E79491A"/>
    <w:rsid w:val="6EB563D5"/>
    <w:rsid w:val="6F225983"/>
    <w:rsid w:val="6F24202A"/>
    <w:rsid w:val="6FFC5590"/>
    <w:rsid w:val="700D7294"/>
    <w:rsid w:val="70301DA3"/>
    <w:rsid w:val="706D1DD0"/>
    <w:rsid w:val="70856B87"/>
    <w:rsid w:val="70D527EE"/>
    <w:rsid w:val="715B5300"/>
    <w:rsid w:val="715F4BD7"/>
    <w:rsid w:val="71D27F8A"/>
    <w:rsid w:val="71F744C6"/>
    <w:rsid w:val="71F960CF"/>
    <w:rsid w:val="721B6FB3"/>
    <w:rsid w:val="731F5D5E"/>
    <w:rsid w:val="741E793C"/>
    <w:rsid w:val="7554195E"/>
    <w:rsid w:val="758D75E2"/>
    <w:rsid w:val="77762421"/>
    <w:rsid w:val="780F09F4"/>
    <w:rsid w:val="789C4F47"/>
    <w:rsid w:val="78A90480"/>
    <w:rsid w:val="79811327"/>
    <w:rsid w:val="79C15784"/>
    <w:rsid w:val="7A364017"/>
    <w:rsid w:val="7A46421A"/>
    <w:rsid w:val="7A8265E1"/>
    <w:rsid w:val="7B686D42"/>
    <w:rsid w:val="7B841746"/>
    <w:rsid w:val="7D0239FF"/>
    <w:rsid w:val="7D5E40CD"/>
    <w:rsid w:val="7D693BED"/>
    <w:rsid w:val="7EE614D7"/>
    <w:rsid w:val="7FE47E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ocked="1"/>
    <w:lsdException w:qFormat="1" w:unhideWhenUsed="0" w:uiPriority="0" w:semiHidden="0" w:name="heading 3" w:locked="1"/>
    <w:lsdException w:qFormat="1" w:uiPriority="0" w:semiHidden="0" w:name="heading 4" w:locked="1"/>
    <w:lsdException w:unhideWhenUsed="0" w:uiPriority="0" w:semiHidden="0" w:name="heading 5" w:locked="1"/>
    <w:lsdException w:unhideWhenUsed="0" w:uiPriority="0" w:semiHidden="0" w:name="heading 6" w:locked="1"/>
    <w:lsdException w:unhideWhenUsed="0" w:uiPriority="0" w:semiHidden="0" w:name="heading 7" w:locked="1"/>
    <w:lsdException w:unhideWhenUsed="0" w:uiPriority="0" w:semiHidden="0" w:name="heading 8" w:locked="1"/>
    <w:lsdException w:unhideWhenUsed="0" w:uiPriority="0" w:semiHidden="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ocked="1"/>
    <w:lsdException w:qFormat="1" w:unhideWhenUsed="0" w:uiPriority="0" w:semiHidden="0" w:name="Emphasis" w:locked="1"/>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2"/>
    <w:basedOn w:val="1"/>
    <w:next w:val="1"/>
    <w:qFormat/>
    <w:locked/>
    <w:uiPriority w:val="0"/>
    <w:pPr>
      <w:keepNext/>
      <w:keepLines/>
      <w:spacing w:before="120" w:after="120"/>
      <w:ind w:firstLine="602"/>
      <w:outlineLvl w:val="1"/>
    </w:pPr>
    <w:rPr>
      <w:rFonts w:ascii="仿宋_GB2312" w:hAnsi="宋体"/>
      <w:b/>
      <w:bCs/>
      <w:sz w:val="30"/>
      <w:szCs w:val="30"/>
    </w:rPr>
  </w:style>
  <w:style w:type="paragraph" w:styleId="5">
    <w:name w:val="heading 3"/>
    <w:basedOn w:val="1"/>
    <w:next w:val="1"/>
    <w:qFormat/>
    <w:locked/>
    <w:uiPriority w:val="0"/>
    <w:pPr>
      <w:spacing w:before="50" w:beforeLines="50"/>
      <w:outlineLvl w:val="2"/>
    </w:pPr>
    <w:rPr>
      <w:rFonts w:ascii="仿宋_GB2312" w:hAnsi="宋体"/>
      <w:b/>
      <w:szCs w:val="28"/>
    </w:rPr>
  </w:style>
  <w:style w:type="paragraph" w:styleId="6">
    <w:name w:val="heading 4"/>
    <w:basedOn w:val="1"/>
    <w:next w:val="1"/>
    <w:unhideWhenUsed/>
    <w:qFormat/>
    <w:locked/>
    <w:uiPriority w:val="0"/>
    <w:pPr>
      <w:spacing w:line="240" w:lineRule="auto"/>
      <w:ind w:firstLine="0" w:firstLineChars="0"/>
      <w:outlineLvl w:val="3"/>
    </w:pPr>
    <w:rPr>
      <w:rFonts w:ascii="Times New Roman" w:hAnsi="Times New Roman" w:eastAsia="宋体"/>
      <w:bCs/>
      <w:sz w:val="21"/>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Title"/>
    <w:basedOn w:val="1"/>
    <w:next w:val="1"/>
    <w:qFormat/>
    <w:locked/>
    <w:uiPriority w:val="0"/>
    <w:pPr>
      <w:spacing w:before="240" w:beforeLines="0" w:beforeAutospacing="0" w:after="60" w:afterLines="0" w:afterAutospacing="0"/>
      <w:jc w:val="center"/>
      <w:outlineLvl w:val="0"/>
    </w:pPr>
    <w:rPr>
      <w:rFonts w:ascii="Arial" w:hAnsi="Arial"/>
      <w:b/>
      <w:sz w:val="32"/>
    </w:rPr>
  </w:style>
  <w:style w:type="paragraph" w:styleId="7">
    <w:name w:val="caption"/>
    <w:basedOn w:val="1"/>
    <w:next w:val="1"/>
    <w:qFormat/>
    <w:locked/>
    <w:uiPriority w:val="0"/>
    <w:pPr>
      <w:spacing w:before="152" w:beforeLines="0" w:after="160" w:afterLines="0" w:line="240" w:lineRule="auto"/>
      <w:ind w:firstLine="0" w:firstLineChars="0"/>
      <w:jc w:val="center"/>
    </w:pPr>
    <w:rPr>
      <w:rFonts w:ascii="Times New Roman" w:hAnsi="Times New Roman" w:eastAsia="宋体" w:cs="Arial"/>
      <w:kern w:val="2"/>
      <w:sz w:val="21"/>
      <w:szCs w:val="21"/>
    </w:rPr>
  </w:style>
  <w:style w:type="paragraph" w:styleId="8">
    <w:name w:val="annotation text"/>
    <w:basedOn w:val="1"/>
    <w:link w:val="26"/>
    <w:semiHidden/>
    <w:qFormat/>
    <w:uiPriority w:val="0"/>
    <w:pPr>
      <w:jc w:val="left"/>
    </w:pPr>
    <w:rPr>
      <w:kern w:val="0"/>
      <w:sz w:val="20"/>
    </w:rPr>
  </w:style>
  <w:style w:type="paragraph" w:styleId="9">
    <w:name w:val="Body Text"/>
    <w:basedOn w:val="1"/>
    <w:link w:val="27"/>
    <w:qFormat/>
    <w:uiPriority w:val="0"/>
    <w:pPr>
      <w:widowControl/>
      <w:snapToGrid w:val="0"/>
      <w:spacing w:before="60" w:after="160" w:line="259" w:lineRule="auto"/>
      <w:ind w:right="113"/>
    </w:pPr>
    <w:rPr>
      <w:kern w:val="0"/>
      <w:sz w:val="18"/>
      <w:szCs w:val="18"/>
    </w:rPr>
  </w:style>
  <w:style w:type="paragraph" w:styleId="10">
    <w:name w:val="Body Text Indent"/>
    <w:basedOn w:val="1"/>
    <w:link w:val="28"/>
    <w:semiHidden/>
    <w:qFormat/>
    <w:uiPriority w:val="0"/>
    <w:pPr>
      <w:spacing w:after="120"/>
      <w:ind w:left="420" w:leftChars="200"/>
    </w:pPr>
  </w:style>
  <w:style w:type="paragraph" w:styleId="11">
    <w:name w:val="Plain Text"/>
    <w:basedOn w:val="1"/>
    <w:next w:val="1"/>
    <w:qFormat/>
    <w:uiPriority w:val="0"/>
    <w:pPr>
      <w:adjustRightInd w:val="0"/>
      <w:spacing w:line="300" w:lineRule="auto"/>
      <w:ind w:firstLine="567"/>
      <w:jc w:val="left"/>
      <w:textAlignment w:val="baseline"/>
    </w:pPr>
    <w:rPr>
      <w:rFonts w:ascii="宋体" w:hAnsi="Courier New" w:eastAsia="宋体"/>
      <w:sz w:val="24"/>
      <w:lang w:val="en-US" w:eastAsia="zh-CN" w:bidi="ar-SA"/>
    </w:rPr>
  </w:style>
  <w:style w:type="paragraph" w:styleId="12">
    <w:name w:val="Date"/>
    <w:basedOn w:val="1"/>
    <w:next w:val="1"/>
    <w:link w:val="29"/>
    <w:qFormat/>
    <w:uiPriority w:val="0"/>
    <w:pPr>
      <w:ind w:left="100" w:leftChars="2500"/>
    </w:pPr>
    <w:rPr>
      <w:kern w:val="0"/>
      <w:sz w:val="20"/>
    </w:rPr>
  </w:style>
  <w:style w:type="paragraph" w:styleId="13">
    <w:name w:val="Balloon Text"/>
    <w:basedOn w:val="1"/>
    <w:link w:val="30"/>
    <w:semiHidden/>
    <w:qFormat/>
    <w:uiPriority w:val="0"/>
    <w:rPr>
      <w:sz w:val="18"/>
      <w:szCs w:val="18"/>
    </w:rPr>
  </w:style>
  <w:style w:type="paragraph" w:styleId="14">
    <w:name w:val="footer"/>
    <w:basedOn w:val="1"/>
    <w:link w:val="31"/>
    <w:qFormat/>
    <w:uiPriority w:val="0"/>
    <w:pPr>
      <w:tabs>
        <w:tab w:val="center" w:pos="4153"/>
        <w:tab w:val="right" w:pos="8306"/>
      </w:tabs>
      <w:snapToGrid w:val="0"/>
      <w:jc w:val="left"/>
    </w:pPr>
    <w:rPr>
      <w:sz w:val="18"/>
      <w:szCs w:val="18"/>
    </w:rPr>
  </w:style>
  <w:style w:type="paragraph" w:styleId="15">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6">
    <w:name w:val="List"/>
    <w:basedOn w:val="1"/>
    <w:next w:val="1"/>
    <w:qFormat/>
    <w:uiPriority w:val="0"/>
    <w:pPr>
      <w:spacing w:line="360" w:lineRule="auto"/>
      <w:ind w:left="200" w:hanging="200" w:hangingChars="200"/>
    </w:pPr>
    <w:rPr>
      <w:sz w:val="24"/>
    </w:rPr>
  </w:style>
  <w:style w:type="paragraph" w:styleId="17">
    <w:name w:val="Normal (Web)"/>
    <w:basedOn w:val="1"/>
    <w:link w:val="33"/>
    <w:qFormat/>
    <w:uiPriority w:val="0"/>
    <w:pPr>
      <w:widowControl/>
      <w:spacing w:before="100" w:beforeAutospacing="1" w:after="100" w:afterAutospacing="1"/>
      <w:jc w:val="left"/>
    </w:pPr>
    <w:rPr>
      <w:rFonts w:ascii="宋体" w:hAnsi="宋体"/>
      <w:kern w:val="0"/>
      <w:sz w:val="24"/>
    </w:rPr>
  </w:style>
  <w:style w:type="paragraph" w:styleId="18">
    <w:name w:val="annotation subject"/>
    <w:basedOn w:val="8"/>
    <w:next w:val="8"/>
    <w:link w:val="34"/>
    <w:semiHidden/>
    <w:qFormat/>
    <w:uiPriority w:val="0"/>
    <w:rPr>
      <w:b/>
      <w:bCs/>
    </w:rPr>
  </w:style>
  <w:style w:type="paragraph" w:styleId="19">
    <w:name w:val="Body Text First Indent 2"/>
    <w:basedOn w:val="10"/>
    <w:next w:val="10"/>
    <w:unhideWhenUsed/>
    <w:qFormat/>
    <w:uiPriority w:val="0"/>
    <w:pPr>
      <w:ind w:firstLine="420"/>
    </w:pPr>
    <w:rPr>
      <w:rFonts w:ascii="Calibri" w:hAnsi="Calibri" w:cs="Times New Roman"/>
    </w:rPr>
  </w:style>
  <w:style w:type="table" w:styleId="21">
    <w:name w:val="Table Grid"/>
    <w:basedOn w:val="20"/>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Emphasis"/>
    <w:basedOn w:val="22"/>
    <w:qFormat/>
    <w:locked/>
    <w:uiPriority w:val="0"/>
    <w:rPr>
      <w:i/>
    </w:rPr>
  </w:style>
  <w:style w:type="character" w:styleId="25">
    <w:name w:val="annotation reference"/>
    <w:basedOn w:val="22"/>
    <w:semiHidden/>
    <w:qFormat/>
    <w:uiPriority w:val="0"/>
    <w:rPr>
      <w:sz w:val="21"/>
    </w:rPr>
  </w:style>
  <w:style w:type="character" w:customStyle="1" w:styleId="26">
    <w:name w:val="Comment Text Char"/>
    <w:link w:val="8"/>
    <w:qFormat/>
    <w:locked/>
    <w:uiPriority w:val="0"/>
    <w:rPr>
      <w:rFonts w:ascii="Times New Roman" w:hAnsi="Times New Roman" w:eastAsia="宋体"/>
      <w:sz w:val="24"/>
    </w:rPr>
  </w:style>
  <w:style w:type="character" w:customStyle="1" w:styleId="27">
    <w:name w:val="Body Text Char"/>
    <w:link w:val="9"/>
    <w:qFormat/>
    <w:locked/>
    <w:uiPriority w:val="0"/>
    <w:rPr>
      <w:sz w:val="18"/>
    </w:rPr>
  </w:style>
  <w:style w:type="character" w:customStyle="1" w:styleId="28">
    <w:name w:val="Body Text Indent Char"/>
    <w:basedOn w:val="22"/>
    <w:link w:val="10"/>
    <w:semiHidden/>
    <w:qFormat/>
    <w:locked/>
    <w:uiPriority w:val="0"/>
    <w:rPr>
      <w:rFonts w:ascii="Times New Roman" w:hAnsi="Times New Roman" w:eastAsia="宋体" w:cs="Times New Roman"/>
      <w:sz w:val="24"/>
      <w:szCs w:val="24"/>
    </w:rPr>
  </w:style>
  <w:style w:type="character" w:customStyle="1" w:styleId="29">
    <w:name w:val="Date Char"/>
    <w:link w:val="12"/>
    <w:qFormat/>
    <w:locked/>
    <w:uiPriority w:val="0"/>
    <w:rPr>
      <w:rFonts w:ascii="Times New Roman" w:hAnsi="Times New Roman" w:eastAsia="宋体"/>
      <w:sz w:val="24"/>
    </w:rPr>
  </w:style>
  <w:style w:type="character" w:customStyle="1" w:styleId="30">
    <w:name w:val="Balloon Text Char"/>
    <w:basedOn w:val="22"/>
    <w:link w:val="13"/>
    <w:semiHidden/>
    <w:qFormat/>
    <w:locked/>
    <w:uiPriority w:val="0"/>
    <w:rPr>
      <w:rFonts w:ascii="Times New Roman" w:hAnsi="Times New Roman" w:eastAsia="宋体" w:cs="Times New Roman"/>
      <w:sz w:val="18"/>
      <w:szCs w:val="18"/>
    </w:rPr>
  </w:style>
  <w:style w:type="character" w:customStyle="1" w:styleId="31">
    <w:name w:val="Footer Char"/>
    <w:basedOn w:val="22"/>
    <w:link w:val="14"/>
    <w:qFormat/>
    <w:locked/>
    <w:uiPriority w:val="0"/>
    <w:rPr>
      <w:rFonts w:cs="Times New Roman"/>
      <w:sz w:val="18"/>
      <w:szCs w:val="18"/>
    </w:rPr>
  </w:style>
  <w:style w:type="character" w:customStyle="1" w:styleId="32">
    <w:name w:val="Header Char"/>
    <w:basedOn w:val="22"/>
    <w:link w:val="15"/>
    <w:qFormat/>
    <w:locked/>
    <w:uiPriority w:val="0"/>
    <w:rPr>
      <w:rFonts w:cs="Times New Roman"/>
      <w:sz w:val="18"/>
      <w:szCs w:val="18"/>
    </w:rPr>
  </w:style>
  <w:style w:type="character" w:customStyle="1" w:styleId="33">
    <w:name w:val="Normal (Web) Char"/>
    <w:link w:val="17"/>
    <w:qFormat/>
    <w:locked/>
    <w:uiPriority w:val="0"/>
    <w:rPr>
      <w:rFonts w:ascii="宋体" w:hAnsi="宋体" w:eastAsia="宋体"/>
      <w:sz w:val="24"/>
    </w:rPr>
  </w:style>
  <w:style w:type="character" w:customStyle="1" w:styleId="34">
    <w:name w:val="Comment Subject Char"/>
    <w:basedOn w:val="26"/>
    <w:link w:val="18"/>
    <w:semiHidden/>
    <w:qFormat/>
    <w:locked/>
    <w:uiPriority w:val="0"/>
    <w:rPr>
      <w:rFonts w:cs="Times New Roman"/>
      <w:b/>
      <w:bCs/>
      <w:kern w:val="2"/>
      <w:szCs w:val="24"/>
    </w:rPr>
  </w:style>
  <w:style w:type="character" w:customStyle="1" w:styleId="35">
    <w:name w:val="日期 字符"/>
    <w:basedOn w:val="22"/>
    <w:semiHidden/>
    <w:qFormat/>
    <w:uiPriority w:val="0"/>
    <w:rPr>
      <w:rFonts w:ascii="Times New Roman" w:hAnsi="Times New Roman" w:eastAsia="宋体" w:cs="Times New Roman"/>
      <w:sz w:val="24"/>
      <w:szCs w:val="24"/>
    </w:rPr>
  </w:style>
  <w:style w:type="character" w:customStyle="1" w:styleId="36">
    <w:name w:val="正文文本 字符1"/>
    <w:basedOn w:val="22"/>
    <w:semiHidden/>
    <w:qFormat/>
    <w:uiPriority w:val="0"/>
    <w:rPr>
      <w:rFonts w:ascii="Times New Roman" w:hAnsi="Times New Roman" w:eastAsia="宋体" w:cs="Times New Roman"/>
      <w:sz w:val="24"/>
      <w:szCs w:val="24"/>
    </w:rPr>
  </w:style>
  <w:style w:type="paragraph" w:customStyle="1" w:styleId="37">
    <w:name w:val="普通(网站)2"/>
    <w:basedOn w:val="1"/>
    <w:qFormat/>
    <w:uiPriority w:val="0"/>
    <w:pPr>
      <w:widowControl/>
      <w:spacing w:before="100" w:beforeAutospacing="1" w:after="100" w:afterAutospacing="1"/>
      <w:jc w:val="left"/>
    </w:pPr>
    <w:rPr>
      <w:rFonts w:ascii="宋体" w:hAnsi="宋体"/>
      <w:sz w:val="24"/>
      <w:szCs w:val="20"/>
    </w:rPr>
  </w:style>
  <w:style w:type="character" w:customStyle="1" w:styleId="38">
    <w:name w:val="表格 Char"/>
    <w:link w:val="39"/>
    <w:qFormat/>
    <w:locked/>
    <w:uiPriority w:val="0"/>
    <w:rPr>
      <w:rFonts w:ascii="宋体"/>
      <w:sz w:val="21"/>
    </w:rPr>
  </w:style>
  <w:style w:type="paragraph" w:customStyle="1" w:styleId="39">
    <w:name w:val="表格"/>
    <w:basedOn w:val="1"/>
    <w:next w:val="1"/>
    <w:link w:val="38"/>
    <w:qFormat/>
    <w:uiPriority w:val="0"/>
    <w:pPr>
      <w:adjustRightInd w:val="0"/>
      <w:snapToGrid w:val="0"/>
      <w:spacing w:beforeLines="10" w:afterLines="10" w:line="259" w:lineRule="auto"/>
      <w:jc w:val="center"/>
    </w:pPr>
    <w:rPr>
      <w:rFonts w:ascii="宋体"/>
      <w:kern w:val="0"/>
      <w:sz w:val="20"/>
      <w:szCs w:val="21"/>
    </w:rPr>
  </w:style>
  <w:style w:type="character" w:customStyle="1" w:styleId="40">
    <w:name w:val="批注文字 字符1"/>
    <w:basedOn w:val="22"/>
    <w:semiHidden/>
    <w:qFormat/>
    <w:uiPriority w:val="0"/>
    <w:rPr>
      <w:rFonts w:ascii="Times New Roman" w:hAnsi="Times New Roman" w:eastAsia="宋体" w:cs="Times New Roman"/>
      <w:sz w:val="24"/>
      <w:szCs w:val="24"/>
    </w:rPr>
  </w:style>
  <w:style w:type="character" w:customStyle="1" w:styleId="41">
    <w:name w:val="普通(网站) Char"/>
    <w:qFormat/>
    <w:locked/>
    <w:uiPriority w:val="0"/>
    <w:rPr>
      <w:rFonts w:ascii="宋体" w:hAnsi="宋体" w:eastAsia="宋体"/>
      <w:sz w:val="24"/>
    </w:rPr>
  </w:style>
  <w:style w:type="paragraph" w:customStyle="1" w:styleId="42">
    <w:name w:val="默认段落"/>
    <w:unhideWhenUsed/>
    <w:qFormat/>
    <w:uiPriority w:val="0"/>
    <w:pPr>
      <w:widowControl w:val="0"/>
      <w:spacing w:beforeLines="0" w:afterLines="0"/>
      <w:jc w:val="both"/>
    </w:pPr>
    <w:rPr>
      <w:rFonts w:hint="default" w:ascii="Times New Roman" w:hAnsi="Times New Roman" w:eastAsia="宋体" w:cs="Times New Roman"/>
      <w:kern w:val="2"/>
      <w:sz w:val="21"/>
      <w:szCs w:val="24"/>
      <w:lang w:val="en-US" w:eastAsia="zh-CN" w:bidi="ar-SA"/>
    </w:rPr>
  </w:style>
  <w:style w:type="paragraph" w:customStyle="1" w:styleId="43">
    <w:name w:val="表格里面啊啊啊啊"/>
    <w:basedOn w:val="1"/>
    <w:qFormat/>
    <w:uiPriority w:val="0"/>
    <w:pPr>
      <w:jc w:val="center"/>
    </w:pPr>
    <w:rPr>
      <w:rFonts w:ascii="Times New Roman" w:hAnsi="Times New Roman" w:eastAsia="宋体" w:cs="Times New Roman"/>
      <w:szCs w:val="21"/>
    </w:rPr>
  </w:style>
  <w:style w:type="paragraph" w:customStyle="1" w:styleId="44">
    <w:name w:val="表头啊啊啊啊啊"/>
    <w:basedOn w:val="1"/>
    <w:qFormat/>
    <w:uiPriority w:val="0"/>
    <w:pPr>
      <w:jc w:val="center"/>
    </w:pPr>
    <w:rPr>
      <w:rFonts w:ascii="Times New Roman" w:hAnsi="Times New Roman" w:eastAsia="宋体" w:cs="Times New Roman"/>
      <w:b/>
      <w:bCs/>
      <w:szCs w:val="21"/>
    </w:rPr>
  </w:style>
  <w:style w:type="paragraph" w:customStyle="1" w:styleId="45">
    <w:name w:val="小标题啊啊啊啊啊"/>
    <w:basedOn w:val="1"/>
    <w:link w:val="58"/>
    <w:qFormat/>
    <w:uiPriority w:val="0"/>
    <w:pPr>
      <w:adjustRightInd w:val="0"/>
      <w:snapToGrid w:val="0"/>
      <w:spacing w:line="520" w:lineRule="exact"/>
      <w:jc w:val="left"/>
    </w:pPr>
    <w:rPr>
      <w:rFonts w:ascii="Times New Roman" w:hAnsi="Times New Roman" w:eastAsia="宋体" w:cs="宋体"/>
      <w:b/>
      <w:kern w:val="0"/>
      <w:sz w:val="24"/>
    </w:rPr>
  </w:style>
  <w:style w:type="paragraph" w:customStyle="1" w:styleId="46">
    <w:name w:val="正文格式啊啊啊啊"/>
    <w:basedOn w:val="1"/>
    <w:link w:val="59"/>
    <w:qFormat/>
    <w:uiPriority w:val="0"/>
    <w:pPr>
      <w:wordWrap w:val="0"/>
      <w:adjustRightInd w:val="0"/>
      <w:snapToGrid w:val="0"/>
      <w:spacing w:line="520" w:lineRule="exact"/>
      <w:ind w:firstLine="720" w:firstLineChars="200"/>
      <w:jc w:val="left"/>
    </w:pPr>
    <w:rPr>
      <w:rFonts w:ascii="Times New Roman" w:hAnsi="Times New Roman" w:eastAsia="宋体" w:cs="宋体"/>
      <w:kern w:val="0"/>
      <w:sz w:val="24"/>
    </w:rPr>
  </w:style>
  <w:style w:type="paragraph" w:customStyle="1" w:styleId="47">
    <w:name w:val="表头啊啊啊啊"/>
    <w:basedOn w:val="1"/>
    <w:link w:val="50"/>
    <w:qFormat/>
    <w:uiPriority w:val="0"/>
    <w:pPr>
      <w:adjustRightInd w:val="0"/>
      <w:snapToGrid w:val="0"/>
      <w:jc w:val="center"/>
    </w:pPr>
    <w:rPr>
      <w:rFonts w:hint="eastAsia" w:ascii="Times New Roman" w:hAnsi="Times New Roman" w:cs="宋体"/>
      <w:b/>
      <w:szCs w:val="21"/>
    </w:rPr>
  </w:style>
  <w:style w:type="paragraph" w:customStyle="1" w:styleId="48">
    <w:name w:val="表格内文字啊啊啊啊"/>
    <w:basedOn w:val="1"/>
    <w:qFormat/>
    <w:uiPriority w:val="0"/>
    <w:pPr>
      <w:widowControl/>
      <w:wordWrap w:val="0"/>
      <w:jc w:val="center"/>
    </w:pPr>
    <w:rPr>
      <w:rFonts w:hint="eastAsia" w:ascii="Times New Roman" w:hAnsi="Times New Roman" w:eastAsia="宋体" w:cs="宋体"/>
      <w:color w:val="000000"/>
      <w:kern w:val="0"/>
      <w:szCs w:val="21"/>
    </w:rPr>
  </w:style>
  <w:style w:type="paragraph" w:customStyle="1" w:styleId="49">
    <w:name w:val="表内居左"/>
    <w:qFormat/>
    <w:uiPriority w:val="0"/>
    <w:pPr>
      <w:adjustRightInd w:val="0"/>
      <w:snapToGrid w:val="0"/>
      <w:jc w:val="both"/>
    </w:pPr>
    <w:rPr>
      <w:rFonts w:ascii="宋体" w:hAnsi="Times New Roman" w:eastAsia="宋体" w:cs="Times New Roman"/>
      <w:sz w:val="21"/>
      <w:lang w:val="en-US" w:eastAsia="zh-CN" w:bidi="ar-SA"/>
    </w:rPr>
  </w:style>
  <w:style w:type="character" w:customStyle="1" w:styleId="50">
    <w:name w:val="表头啊啊啊啊 Char"/>
    <w:link w:val="47"/>
    <w:qFormat/>
    <w:uiPriority w:val="0"/>
    <w:rPr>
      <w:rFonts w:hint="eastAsia" w:ascii="Times New Roman" w:hAnsi="Times New Roman" w:cs="宋体"/>
      <w:b/>
      <w:szCs w:val="21"/>
    </w:rPr>
  </w:style>
  <w:style w:type="paragraph" w:customStyle="1" w:styleId="51">
    <w:name w:val="Default"/>
    <w:basedOn w:val="52"/>
    <w:next w:val="1"/>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52">
    <w:name w:val="1 表头"/>
    <w:basedOn w:val="1"/>
    <w:qFormat/>
    <w:uiPriority w:val="0"/>
    <w:pPr>
      <w:spacing w:line="240" w:lineRule="auto"/>
      <w:ind w:firstLine="0" w:firstLineChars="0"/>
      <w:jc w:val="center"/>
    </w:pPr>
    <w:rPr>
      <w:b/>
      <w:color w:val="000000"/>
      <w:sz w:val="21"/>
      <w:szCs w:val="21"/>
    </w:rPr>
  </w:style>
  <w:style w:type="paragraph" w:customStyle="1" w:styleId="53">
    <w:name w:val="纯文本1"/>
    <w:basedOn w:val="1"/>
    <w:qFormat/>
    <w:uiPriority w:val="0"/>
    <w:rPr>
      <w:rFonts w:ascii="宋体" w:hAnsi="Courier New" w:cs="Courier New"/>
      <w:szCs w:val="21"/>
    </w:rPr>
  </w:style>
  <w:style w:type="paragraph" w:customStyle="1" w:styleId="54">
    <w:name w:val="1正文段落"/>
    <w:basedOn w:val="1"/>
    <w:qFormat/>
    <w:uiPriority w:val="0"/>
    <w:pPr>
      <w:spacing w:line="360" w:lineRule="auto"/>
      <w:ind w:firstLine="480" w:firstLineChars="200"/>
      <w:jc w:val="left"/>
    </w:pPr>
    <w:rPr>
      <w:snapToGrid w:val="0"/>
      <w:kern w:val="0"/>
      <w:sz w:val="24"/>
    </w:rPr>
  </w:style>
  <w:style w:type="paragraph" w:customStyle="1" w:styleId="55">
    <w:name w:val="正文+宋体"/>
    <w:basedOn w:val="1"/>
    <w:qFormat/>
    <w:uiPriority w:val="0"/>
    <w:pPr>
      <w:spacing w:line="360" w:lineRule="auto"/>
      <w:ind w:firstLine="480" w:firstLineChars="200"/>
    </w:pPr>
    <w:rPr>
      <w:rFonts w:ascii="宋体" w:hAnsi="宋体" w:eastAsia="宋体"/>
      <w:snapToGrid w:val="0"/>
      <w:kern w:val="24"/>
      <w:sz w:val="24"/>
    </w:rPr>
  </w:style>
  <w:style w:type="paragraph" w:customStyle="1" w:styleId="56">
    <w:name w:val="Table Paragraph"/>
    <w:basedOn w:val="1"/>
    <w:qFormat/>
    <w:uiPriority w:val="1"/>
    <w:pPr>
      <w:autoSpaceDE w:val="0"/>
      <w:autoSpaceDN w:val="0"/>
      <w:jc w:val="center"/>
    </w:pPr>
    <w:rPr>
      <w:rFonts w:ascii="宋体" w:hAnsi="宋体" w:cs="宋体"/>
      <w:kern w:val="0"/>
      <w:sz w:val="22"/>
      <w:szCs w:val="22"/>
      <w:lang w:eastAsia="en-US"/>
    </w:rPr>
  </w:style>
  <w:style w:type="paragraph" w:customStyle="1" w:styleId="57">
    <w:name w:val="A正文啊啊啊啊啊"/>
    <w:basedOn w:val="1"/>
    <w:qFormat/>
    <w:uiPriority w:val="0"/>
    <w:pPr>
      <w:wordWrap w:val="0"/>
      <w:spacing w:line="520" w:lineRule="exact"/>
      <w:ind w:firstLine="720" w:firstLineChars="200"/>
    </w:pPr>
    <w:rPr>
      <w:rFonts w:ascii="Times New Roman" w:hAnsi="Times New Roman" w:eastAsia="宋体" w:cs="宋体"/>
      <w:sz w:val="24"/>
    </w:rPr>
  </w:style>
  <w:style w:type="character" w:customStyle="1" w:styleId="58">
    <w:name w:val="小标题啊啊啊啊啊 Char"/>
    <w:link w:val="45"/>
    <w:qFormat/>
    <w:uiPriority w:val="0"/>
    <w:rPr>
      <w:rFonts w:ascii="Times New Roman" w:hAnsi="Times New Roman" w:eastAsia="宋体" w:cs="宋体"/>
      <w:b/>
      <w:kern w:val="0"/>
      <w:sz w:val="24"/>
    </w:rPr>
  </w:style>
  <w:style w:type="character" w:customStyle="1" w:styleId="59">
    <w:name w:val="正文格式啊啊啊啊 Char"/>
    <w:link w:val="46"/>
    <w:qFormat/>
    <w:uiPriority w:val="0"/>
    <w:rPr>
      <w:rFonts w:ascii="Times New Roman" w:hAnsi="Times New Roman" w:eastAsia="宋体" w:cs="宋体"/>
      <w:kern w:val="0"/>
      <w:sz w:val="24"/>
    </w:rPr>
  </w:style>
  <w:style w:type="table" w:customStyle="1" w:styleId="60">
    <w:name w:val="TableGrid"/>
    <w:basedOn w:val="20"/>
    <w:qFormat/>
    <w:uiPriority w:val="0"/>
    <w:rPr>
      <w:rFonts w:ascii="等线" w:hAnsi="等线" w:eastAsia="等线" w:cs="等线"/>
      <w:kern w:val="2"/>
      <w:sz w:val="21"/>
      <w:szCs w:val="22"/>
    </w:rPr>
    <w:tblPr>
      <w:tblCellMar>
        <w:top w:w="0" w:type="dxa"/>
        <w:left w:w="0" w:type="dxa"/>
        <w:bottom w:w="0" w:type="dxa"/>
        <w:right w:w="0" w:type="dxa"/>
      </w:tblCellMar>
    </w:tblPr>
  </w:style>
  <w:style w:type="paragraph" w:customStyle="1" w:styleId="61">
    <w:name w:val="常用正文"/>
    <w:basedOn w:val="1"/>
    <w:qFormat/>
    <w:uiPriority w:val="0"/>
    <w:pPr>
      <w:widowControl/>
      <w:wordWrap w:val="0"/>
      <w:topLinePunct/>
      <w:adjustRightInd w:val="0"/>
      <w:snapToGrid w:val="0"/>
      <w:spacing w:line="360" w:lineRule="auto"/>
      <w:ind w:right="0" w:firstLine="72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extobjs>
    <extobj name="ECB019B1-382A-4266-B25C-5B523AA43C14-1">
      <extobjdata type="ECB019B1-382A-4266-B25C-5B523AA43C14" data="ewoJIkZpbGVJZCIgOiAiNTAzODcwNDgwMTQyIiwKCSJHcm91cElkIiA6ICIxMDQzNTE2OTM4IiwKCSJJbWFnZSIgOiAiaVZCT1J3MEtHZ29BQUFBTlNVaEVVZ0FBQXBnQUFBRjJDQVlBQUFES2wraW1BQUFBQVhOU1IwSUFyczRjNlFBQUlBQkpSRUZVZUp6czNYbDhEZWYrQi9EUE0zT3l5Q2F4VjdsaUs0TGt6RW1yL05DaXBkUk9WNjJ0dEpacTdkV3FyU2gxVVV1NWxLaTFVZFZXcVNwU1MybXJSYzVFYUVTbDVSYWxFVVQyNUNUei9QNUljbTRpaWFWTmNySjgzcStYbDh6TU16UGZtVE5PdnA1dEFD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"/>
    </extobj>
  </extobjs>
</s:customData>
</file>

<file path=customXml/item2.xml><?xml version="1.0" encoding="utf-8"?>
<contractReview xmlns="http://schemas.wps.cn/vas-ai-hub/contract-review">
  <reviewItems>
    <reviewItem>
      <errorID>5c9add8e-1d7d-428b-aa4b-75fc5ca26ed7</errorID>
      <errorWord>大理石岩矿</errorWord>
      <group>L1_Other</group>
      <groupName>其他问题</groupName>
      <ability>L2_Consistency</ability>
      <abilityName>一致性检查</abilityName>
      <candidateList>
        <item>大理岩矿</item>
      </candidateList>
      <explain>术语一致性：文档中项目名称为‘新疆且末县修特库依干大理岩矿普查’，应统一使用‘大理岩矿’表述</explain>
      <paraID>58A26933</paraID>
      <start>9</start>
      <end>14</end>
      <status>ignored</status>
      <modifiedWord/>
      <trackRevisions>false</trackRevisions>
    </reviewItem>
    <reviewItem>
      <errorID>21955961-dae6-480a-b0b1-7c7b10313788</errorID>
      <errorWord>大理石岩矿</errorWord>
      <group>L1_Other</group>
      <groupName>其他问题</groupName>
      <ability>L2_Consistency</ability>
      <abilityName>一致性检查</abilityName>
      <candidateList>
        <item>大理岩矿</item>
      </candidateList>
      <explain>术语一致性：文档中项目名称为‘新疆且末县修特库依干大理岩矿普查’，应统一使用‘大理岩矿’表述</explain>
      <paraID>58FAB3DF</paraID>
      <start>9</start>
      <end>14</end>
      <status>ignored</status>
      <modifiedWord/>
      <trackRevisions>false</trackRevisions>
    </reviewItem>
    <reviewItem>
      <errorID>c1345366-02eb-4d61-876b-410e60162f21</errorID>
      <errorWord>3.2平方千米</errorWord>
      <group>L1_Other</group>
      <groupName>其他问题</groupName>
      <ability>L2_Consistency</ability>
      <abilityName>一致性检查</abilityName>
      <candidateList>
        <item>3.2平方公里</item>
      </candidateList>
      <explain>数字一致性：文档中关于探矿权面积多次表述为‘3.2平方公里’，应统一表述</explain>
      <paraID>632C5DE0</paraID>
      <start>94</start>
      <end>101</end>
      <status>modified</status>
      <modifiedWord>3.2平方公里</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1b77bf-4f61-49c8-bec5-2a215c12668c}">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60</Pages>
  <Words>8935</Words>
  <Characters>9603</Characters>
  <Lines>9</Lines>
  <Paragraphs>2</Paragraphs>
  <TotalTime>38</TotalTime>
  <ScaleCrop>false</ScaleCrop>
  <LinksUpToDate>false</LinksUpToDate>
  <CharactersWithSpaces>9750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2020-12-24T01:42:00Z</dcterms:created>
  <dc:creator>lhj</dc:creator>
  <cp:lastModifiedBy>WPS_1562320662</cp:lastModifiedBy>
  <cp:lastPrinted>2025-09-02T05:45:00Z</cp:lastPrinted>
  <dcterms:modified xsi:type="dcterms:W3CDTF">2026-04-17T10:39:06Z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eyJoZGlkIjoiNGRhODgyNjQ5YTE5ZjFmYjE2NDEwOTU4OTE2MjU0N2MiLCJ1c2VySWQiOiI2MDE2NTE5NzkifQ==</vt:lpwstr>
  </property>
  <property fmtid="{D5CDD505-2E9C-101B-9397-08002B2CF9AE}" pid="4" name="ICV">
    <vt:lpwstr>79BCE297EE454234A8F03BB2EF5F281D_13</vt:lpwstr>
  </property>
</Properties>
</file>