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28EF1F">
      <w:pPr>
        <w:pStyle w:val="20"/>
        <w:jc w:val="center"/>
        <w:outlineLvl w:val="0"/>
        <w:rPr>
          <w:rFonts w:hint="eastAsia" w:ascii="黑体" w:hAnsi="黑体" w:eastAsia="黑体"/>
          <w:snapToGrid w:val="0"/>
          <w:color w:val="auto"/>
          <w:sz w:val="30"/>
          <w:szCs w:val="30"/>
        </w:rPr>
      </w:pPr>
      <w:r>
        <w:drawing>
          <wp:inline distT="0" distB="0" distL="114300" distR="114300">
            <wp:extent cx="4972050" cy="7134225"/>
            <wp:effectExtent l="0" t="0" r="0" b="952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0"/>
                    <a:stretch>
                      <a:fillRect/>
                    </a:stretch>
                  </pic:blipFill>
                  <pic:spPr>
                    <a:xfrm>
                      <a:off x="0" y="0"/>
                      <a:ext cx="4972050" cy="7134225"/>
                    </a:xfrm>
                    <a:prstGeom prst="rect">
                      <a:avLst/>
                    </a:prstGeom>
                    <a:noFill/>
                    <a:ln>
                      <a:noFill/>
                    </a:ln>
                  </pic:spPr>
                </pic:pic>
              </a:graphicData>
            </a:graphic>
          </wp:inline>
        </w:drawing>
      </w:r>
    </w:p>
    <w:p w14:paraId="63E3062A">
      <w:pPr>
        <w:pStyle w:val="20"/>
        <w:jc w:val="center"/>
        <w:outlineLvl w:val="0"/>
      </w:pPr>
      <w:r>
        <w:drawing>
          <wp:inline distT="0" distB="0" distL="114300" distR="114300">
            <wp:extent cx="5295900" cy="7448550"/>
            <wp:effectExtent l="0" t="0" r="0" b="0"/>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11"/>
                    <a:stretch>
                      <a:fillRect/>
                    </a:stretch>
                  </pic:blipFill>
                  <pic:spPr>
                    <a:xfrm>
                      <a:off x="0" y="0"/>
                      <a:ext cx="5295900" cy="7448550"/>
                    </a:xfrm>
                    <a:prstGeom prst="rect">
                      <a:avLst/>
                    </a:prstGeom>
                    <a:noFill/>
                    <a:ln>
                      <a:noFill/>
                    </a:ln>
                  </pic:spPr>
                </pic:pic>
              </a:graphicData>
            </a:graphic>
          </wp:inline>
        </w:drawing>
      </w:r>
    </w:p>
    <w:p w14:paraId="062F1544">
      <w:pPr>
        <w:pStyle w:val="20"/>
        <w:jc w:val="center"/>
        <w:outlineLvl w:val="0"/>
      </w:pPr>
    </w:p>
    <w:p w14:paraId="2EC06B8D">
      <w:pPr>
        <w:pStyle w:val="20"/>
        <w:jc w:val="center"/>
        <w:outlineLvl w:val="0"/>
        <w:rPr>
          <w:rFonts w:hint="eastAsia" w:ascii="黑体" w:hAnsi="黑体" w:eastAsia="黑体"/>
          <w:snapToGrid w:val="0"/>
          <w:color w:val="auto"/>
          <w:sz w:val="30"/>
          <w:szCs w:val="30"/>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96"/>
      </w:tblGrid>
      <w:tr w14:paraId="15673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6" w:hRule="atLeast"/>
        </w:trPr>
        <w:tc>
          <w:tcPr>
            <w:tcW w:w="4261" w:type="dxa"/>
          </w:tcPr>
          <w:p w14:paraId="0CB7BE44">
            <w:pPr>
              <w:widowControl w:val="0"/>
              <w:ind w:left="0" w:leftChars="0" w:firstLine="0" w:firstLineChars="0"/>
              <w:jc w:val="center"/>
              <w:rPr>
                <w:rFonts w:hint="default" w:eastAsia="宋体"/>
                <w:vertAlign w:val="baseline"/>
                <w:lang w:val="en-US" w:eastAsia="zh-CN"/>
              </w:rPr>
            </w:pPr>
            <w:r>
              <w:rPr>
                <w:rFonts w:hint="eastAsia" w:eastAsia="宋体"/>
                <w:vertAlign w:val="baseline"/>
                <w:lang w:eastAsia="zh-CN"/>
              </w:rPr>
              <w:drawing>
                <wp:anchor distT="0" distB="0" distL="114300" distR="114300" simplePos="0" relativeHeight="251668480" behindDoc="0" locked="0" layoutInCell="1" allowOverlap="1">
                  <wp:simplePos x="0" y="0"/>
                  <wp:positionH relativeFrom="column">
                    <wp:posOffset>-46990</wp:posOffset>
                  </wp:positionH>
                  <wp:positionV relativeFrom="paragraph">
                    <wp:posOffset>18415</wp:posOffset>
                  </wp:positionV>
                  <wp:extent cx="2653030" cy="1661795"/>
                  <wp:effectExtent l="0" t="0" r="13970" b="14605"/>
                  <wp:wrapTopAndBottom/>
                  <wp:docPr id="5" name="图片 5" descr="04c73e414901cf88b84b3c33fd4d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4c73e414901cf88b84b3c33fd4d893"/>
                          <pic:cNvPicPr>
                            <a:picLocks noChangeAspect="1"/>
                          </pic:cNvPicPr>
                        </pic:nvPicPr>
                        <pic:blipFill>
                          <a:blip r:embed="rId12"/>
                          <a:stretch>
                            <a:fillRect/>
                          </a:stretch>
                        </pic:blipFill>
                        <pic:spPr>
                          <a:xfrm>
                            <a:off x="0" y="0"/>
                            <a:ext cx="2653030" cy="1661795"/>
                          </a:xfrm>
                          <a:prstGeom prst="rect">
                            <a:avLst/>
                          </a:prstGeom>
                        </pic:spPr>
                      </pic:pic>
                    </a:graphicData>
                  </a:graphic>
                </wp:anchor>
              </w:drawing>
            </w:r>
            <w:r>
              <w:rPr>
                <w:rFonts w:hint="eastAsia"/>
                <w:vertAlign w:val="baseline"/>
                <w:lang w:val="en-US" w:eastAsia="zh-CN"/>
              </w:rPr>
              <w:t>拟建项目北侧（荒料堆放区）</w:t>
            </w:r>
          </w:p>
        </w:tc>
        <w:tc>
          <w:tcPr>
            <w:tcW w:w="4261" w:type="dxa"/>
          </w:tcPr>
          <w:p w14:paraId="1954B5CC">
            <w:pPr>
              <w:widowControl w:val="0"/>
              <w:ind w:left="0" w:leftChars="0" w:firstLine="0" w:firstLineChars="0"/>
              <w:jc w:val="center"/>
              <w:rPr>
                <w:rFonts w:hint="eastAsia" w:eastAsia="宋体"/>
                <w:vertAlign w:val="baseline"/>
                <w:lang w:eastAsia="zh-CN"/>
              </w:rPr>
            </w:pPr>
            <w:r>
              <w:rPr>
                <w:rFonts w:hint="eastAsia"/>
                <w:vertAlign w:val="baseline"/>
                <w:lang w:val="en-US" w:eastAsia="zh-CN"/>
              </w:rPr>
              <w:drawing>
                <wp:inline distT="0" distB="0" distL="114300" distR="114300">
                  <wp:extent cx="2580640" cy="1935480"/>
                  <wp:effectExtent l="0" t="0" r="10160" b="7620"/>
                  <wp:docPr id="40" name="图片 40" descr="微信图片_20251215185505_309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微信图片_20251215185505_309_25"/>
                          <pic:cNvPicPr>
                            <a:picLocks noChangeAspect="1"/>
                          </pic:cNvPicPr>
                        </pic:nvPicPr>
                        <pic:blipFill>
                          <a:blip r:embed="rId13"/>
                          <a:stretch>
                            <a:fillRect/>
                          </a:stretch>
                        </pic:blipFill>
                        <pic:spPr>
                          <a:xfrm>
                            <a:off x="0" y="0"/>
                            <a:ext cx="2580640" cy="1935480"/>
                          </a:xfrm>
                          <a:prstGeom prst="rect">
                            <a:avLst/>
                          </a:prstGeom>
                        </pic:spPr>
                      </pic:pic>
                    </a:graphicData>
                  </a:graphic>
                </wp:inline>
              </w:drawing>
            </w:r>
            <w:r>
              <w:rPr>
                <w:rFonts w:hint="eastAsia"/>
                <w:vertAlign w:val="baseline"/>
                <w:lang w:val="en-US" w:eastAsia="zh-CN"/>
              </w:rPr>
              <w:t>拟建项目南侧（绿化）</w:t>
            </w:r>
          </w:p>
        </w:tc>
      </w:tr>
      <w:tr w14:paraId="685C2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2" w:hRule="atLeast"/>
        </w:trPr>
        <w:tc>
          <w:tcPr>
            <w:tcW w:w="4261" w:type="dxa"/>
          </w:tcPr>
          <w:p w14:paraId="52AED7A4">
            <w:pPr>
              <w:widowControl w:val="0"/>
              <w:ind w:left="0" w:leftChars="0" w:firstLine="0" w:firstLineChars="0"/>
              <w:jc w:val="center"/>
              <w:rPr>
                <w:rFonts w:hint="eastAsia" w:eastAsia="宋体"/>
                <w:vertAlign w:val="baseline"/>
                <w:lang w:eastAsia="zh-CN"/>
              </w:rPr>
            </w:pPr>
            <w:r>
              <w:rPr>
                <w:rFonts w:hint="eastAsia"/>
                <w:vertAlign w:val="baseline"/>
                <w:lang w:val="en-US" w:eastAsia="zh-CN"/>
              </w:rPr>
              <w:drawing>
                <wp:inline distT="0" distB="0" distL="114300" distR="114300">
                  <wp:extent cx="2541905" cy="1551940"/>
                  <wp:effectExtent l="0" t="0" r="10795" b="10160"/>
                  <wp:docPr id="35" name="图片 35" descr="415c08e046dd3ea6a0ddeabbae3eb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15c08e046dd3ea6a0ddeabbae3eb1a"/>
                          <pic:cNvPicPr>
                            <a:picLocks noChangeAspect="1"/>
                          </pic:cNvPicPr>
                        </pic:nvPicPr>
                        <pic:blipFill>
                          <a:blip r:embed="rId14"/>
                          <a:stretch>
                            <a:fillRect/>
                          </a:stretch>
                        </pic:blipFill>
                        <pic:spPr>
                          <a:xfrm>
                            <a:off x="0" y="0"/>
                            <a:ext cx="2541905" cy="1551940"/>
                          </a:xfrm>
                          <a:prstGeom prst="rect">
                            <a:avLst/>
                          </a:prstGeom>
                        </pic:spPr>
                      </pic:pic>
                    </a:graphicData>
                  </a:graphic>
                </wp:inline>
              </w:drawing>
            </w:r>
            <w:r>
              <w:rPr>
                <w:rFonts w:hint="eastAsia"/>
                <w:vertAlign w:val="baseline"/>
                <w:lang w:val="en-US" w:eastAsia="zh-CN"/>
              </w:rPr>
              <w:t>拟建项目西侧（绿化）</w:t>
            </w:r>
          </w:p>
        </w:tc>
        <w:tc>
          <w:tcPr>
            <w:tcW w:w="4261" w:type="dxa"/>
          </w:tcPr>
          <w:p w14:paraId="3B866F3A">
            <w:pPr>
              <w:widowControl w:val="0"/>
              <w:ind w:left="0" w:leftChars="0" w:firstLine="0" w:firstLineChars="0"/>
              <w:jc w:val="center"/>
              <w:rPr>
                <w:rFonts w:hint="eastAsia" w:eastAsia="宋体"/>
                <w:vertAlign w:val="baseline"/>
                <w:lang w:eastAsia="zh-CN"/>
              </w:rPr>
            </w:pPr>
            <w:r>
              <w:rPr>
                <w:rFonts w:hint="eastAsia" w:eastAsia="宋体"/>
                <w:vertAlign w:val="baseline"/>
                <w:lang w:eastAsia="zh-CN"/>
              </w:rPr>
              <w:drawing>
                <wp:anchor distT="0" distB="0" distL="114300" distR="114300" simplePos="0" relativeHeight="251669504" behindDoc="0" locked="0" layoutInCell="1" allowOverlap="1">
                  <wp:simplePos x="0" y="0"/>
                  <wp:positionH relativeFrom="column">
                    <wp:posOffset>-39370</wp:posOffset>
                  </wp:positionH>
                  <wp:positionV relativeFrom="paragraph">
                    <wp:posOffset>24765</wp:posOffset>
                  </wp:positionV>
                  <wp:extent cx="2656205" cy="1536700"/>
                  <wp:effectExtent l="0" t="0" r="10795" b="6350"/>
                  <wp:wrapTopAndBottom/>
                  <wp:docPr id="36" name="图片 36" descr="5cbc69576d214450aa50a6d609dd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5cbc69576d214450aa50a6d609dde93"/>
                          <pic:cNvPicPr>
                            <a:picLocks noChangeAspect="1"/>
                          </pic:cNvPicPr>
                        </pic:nvPicPr>
                        <pic:blipFill>
                          <a:blip r:embed="rId15"/>
                          <a:stretch>
                            <a:fillRect/>
                          </a:stretch>
                        </pic:blipFill>
                        <pic:spPr>
                          <a:xfrm>
                            <a:off x="0" y="0"/>
                            <a:ext cx="2656205" cy="1536700"/>
                          </a:xfrm>
                          <a:prstGeom prst="rect">
                            <a:avLst/>
                          </a:prstGeom>
                        </pic:spPr>
                      </pic:pic>
                    </a:graphicData>
                  </a:graphic>
                </wp:anchor>
              </w:drawing>
            </w:r>
            <w:r>
              <w:rPr>
                <w:rFonts w:hint="eastAsia"/>
                <w:vertAlign w:val="baseline"/>
                <w:lang w:val="en-US" w:eastAsia="zh-CN"/>
              </w:rPr>
              <w:t>拟建项目东侧（空地）</w:t>
            </w:r>
          </w:p>
        </w:tc>
      </w:tr>
      <w:tr w14:paraId="76ED2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7" w:hRule="atLeast"/>
        </w:trPr>
        <w:tc>
          <w:tcPr>
            <w:tcW w:w="4261" w:type="dxa"/>
          </w:tcPr>
          <w:p w14:paraId="7CC0E507">
            <w:pPr>
              <w:widowControl w:val="0"/>
              <w:ind w:left="0" w:leftChars="0" w:firstLine="0" w:firstLineChars="0"/>
              <w:jc w:val="center"/>
              <w:rPr>
                <w:rFonts w:hint="default" w:eastAsia="宋体"/>
                <w:vertAlign w:val="baseline"/>
                <w:lang w:val="en-US" w:eastAsia="zh-CN"/>
              </w:rPr>
            </w:pPr>
            <w:r>
              <w:rPr>
                <w:rFonts w:hint="eastAsia"/>
                <w:vertAlign w:val="baseline"/>
                <w:lang w:val="en-US" w:eastAsia="zh-CN"/>
              </w:rPr>
              <w:drawing>
                <wp:inline distT="0" distB="0" distL="114300" distR="114300">
                  <wp:extent cx="2549525" cy="1911985"/>
                  <wp:effectExtent l="0" t="0" r="3175" b="12065"/>
                  <wp:docPr id="3" name="图片 3" descr="微信图片_20251215185530_328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51215185530_328_25"/>
                          <pic:cNvPicPr>
                            <a:picLocks noChangeAspect="1"/>
                          </pic:cNvPicPr>
                        </pic:nvPicPr>
                        <pic:blipFill>
                          <a:blip r:embed="rId16"/>
                          <a:stretch>
                            <a:fillRect/>
                          </a:stretch>
                        </pic:blipFill>
                        <pic:spPr>
                          <a:xfrm>
                            <a:off x="0" y="0"/>
                            <a:ext cx="2549525" cy="1911985"/>
                          </a:xfrm>
                          <a:prstGeom prst="rect">
                            <a:avLst/>
                          </a:prstGeom>
                        </pic:spPr>
                      </pic:pic>
                    </a:graphicData>
                  </a:graphic>
                </wp:inline>
              </w:drawing>
            </w:r>
            <w:r>
              <w:rPr>
                <w:rFonts w:hint="eastAsia"/>
                <w:vertAlign w:val="baseline"/>
                <w:lang w:val="en-US" w:eastAsia="zh-CN"/>
              </w:rPr>
              <w:t>项目现场照片1</w:t>
            </w:r>
          </w:p>
        </w:tc>
        <w:tc>
          <w:tcPr>
            <w:tcW w:w="4261" w:type="dxa"/>
          </w:tcPr>
          <w:p w14:paraId="4687E6EF">
            <w:pPr>
              <w:widowControl w:val="0"/>
              <w:ind w:left="0" w:leftChars="0" w:firstLine="0" w:firstLineChars="0"/>
              <w:jc w:val="center"/>
              <w:rPr>
                <w:rFonts w:hint="eastAsia" w:eastAsia="宋体"/>
                <w:vertAlign w:val="baseline"/>
                <w:lang w:eastAsia="zh-CN"/>
              </w:rPr>
            </w:pPr>
            <w:r>
              <w:rPr>
                <w:rFonts w:hint="eastAsia"/>
                <w:vertAlign w:val="baseline"/>
                <w:lang w:val="en-US" w:eastAsia="zh-CN"/>
              </w:rPr>
              <w:drawing>
                <wp:inline distT="0" distB="0" distL="114300" distR="114300">
                  <wp:extent cx="2574925" cy="1931035"/>
                  <wp:effectExtent l="0" t="0" r="15875" b="12065"/>
                  <wp:docPr id="14" name="图片 14" descr="059678a956a1d51e81d204d2c5119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59678a956a1d51e81d204d2c5119c60"/>
                          <pic:cNvPicPr>
                            <a:picLocks noChangeAspect="1"/>
                          </pic:cNvPicPr>
                        </pic:nvPicPr>
                        <pic:blipFill>
                          <a:blip r:embed="rId17"/>
                          <a:stretch>
                            <a:fillRect/>
                          </a:stretch>
                        </pic:blipFill>
                        <pic:spPr>
                          <a:xfrm>
                            <a:off x="0" y="0"/>
                            <a:ext cx="2574925" cy="1931035"/>
                          </a:xfrm>
                          <a:prstGeom prst="rect">
                            <a:avLst/>
                          </a:prstGeom>
                        </pic:spPr>
                      </pic:pic>
                    </a:graphicData>
                  </a:graphic>
                </wp:inline>
              </w:drawing>
            </w:r>
            <w:r>
              <w:rPr>
                <w:rFonts w:hint="eastAsia"/>
                <w:vertAlign w:val="baseline"/>
                <w:lang w:val="en-US" w:eastAsia="zh-CN"/>
              </w:rPr>
              <w:t>项目现场照片2</w:t>
            </w:r>
          </w:p>
        </w:tc>
      </w:tr>
      <w:tr w14:paraId="7D477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3" w:hRule="atLeast"/>
        </w:trPr>
        <w:tc>
          <w:tcPr>
            <w:tcW w:w="4261" w:type="dxa"/>
          </w:tcPr>
          <w:p w14:paraId="009FAF52">
            <w:pPr>
              <w:widowControl w:val="0"/>
              <w:ind w:left="0" w:leftChars="0" w:firstLine="0" w:firstLineChars="0"/>
              <w:jc w:val="center"/>
              <w:rPr>
                <w:rFonts w:hint="eastAsia" w:eastAsia="宋体"/>
                <w:vertAlign w:val="baseline"/>
                <w:lang w:eastAsia="zh-CN"/>
              </w:rPr>
            </w:pPr>
            <w:r>
              <w:rPr>
                <w:rFonts w:hint="eastAsia"/>
                <w:vertAlign w:val="baseline"/>
                <w:lang w:val="en-US" w:eastAsia="zh-CN"/>
              </w:rPr>
              <w:drawing>
                <wp:inline distT="0" distB="0" distL="114300" distR="114300">
                  <wp:extent cx="2549525" cy="1911985"/>
                  <wp:effectExtent l="0" t="0" r="3175" b="12065"/>
                  <wp:docPr id="42" name="图片 42" descr="微信图片_20251215185519_319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251215185519_319_25"/>
                          <pic:cNvPicPr>
                            <a:picLocks noChangeAspect="1"/>
                          </pic:cNvPicPr>
                        </pic:nvPicPr>
                        <pic:blipFill>
                          <a:blip r:embed="rId18"/>
                          <a:stretch>
                            <a:fillRect/>
                          </a:stretch>
                        </pic:blipFill>
                        <pic:spPr>
                          <a:xfrm>
                            <a:off x="0" y="0"/>
                            <a:ext cx="2549525" cy="1911985"/>
                          </a:xfrm>
                          <a:prstGeom prst="rect">
                            <a:avLst/>
                          </a:prstGeom>
                        </pic:spPr>
                      </pic:pic>
                    </a:graphicData>
                  </a:graphic>
                </wp:inline>
              </w:drawing>
            </w:r>
            <w:r>
              <w:rPr>
                <w:rFonts w:hint="eastAsia"/>
                <w:vertAlign w:val="baseline"/>
                <w:lang w:val="en-US" w:eastAsia="zh-CN"/>
              </w:rPr>
              <w:t>项目现场照片3</w:t>
            </w:r>
          </w:p>
        </w:tc>
        <w:tc>
          <w:tcPr>
            <w:tcW w:w="4261" w:type="dxa"/>
          </w:tcPr>
          <w:p w14:paraId="7B9C14ED">
            <w:pPr>
              <w:widowControl w:val="0"/>
              <w:ind w:left="0" w:leftChars="0" w:firstLine="0" w:firstLineChars="0"/>
              <w:rPr>
                <w:rFonts w:hint="eastAsia" w:eastAsia="宋体"/>
                <w:vertAlign w:val="baseline"/>
                <w:lang w:eastAsia="zh-CN"/>
              </w:rPr>
            </w:pPr>
            <w:r>
              <w:rPr>
                <w:rFonts w:hint="eastAsia" w:eastAsia="宋体"/>
                <w:vertAlign w:val="baseline"/>
                <w:lang w:eastAsia="zh-CN"/>
              </w:rPr>
              <w:drawing>
                <wp:inline distT="0" distB="0" distL="114300" distR="114300">
                  <wp:extent cx="2574925" cy="1931035"/>
                  <wp:effectExtent l="0" t="0" r="15875" b="12065"/>
                  <wp:docPr id="38" name="图片 38" descr="微信图片_20251215185456_305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图片_20251215185456_305_25"/>
                          <pic:cNvPicPr>
                            <a:picLocks noChangeAspect="1"/>
                          </pic:cNvPicPr>
                        </pic:nvPicPr>
                        <pic:blipFill>
                          <a:blip r:embed="rId19"/>
                          <a:stretch>
                            <a:fillRect/>
                          </a:stretch>
                        </pic:blipFill>
                        <pic:spPr>
                          <a:xfrm>
                            <a:off x="0" y="0"/>
                            <a:ext cx="2574925" cy="1931035"/>
                          </a:xfrm>
                          <a:prstGeom prst="rect">
                            <a:avLst/>
                          </a:prstGeom>
                        </pic:spPr>
                      </pic:pic>
                    </a:graphicData>
                  </a:graphic>
                </wp:inline>
              </w:drawing>
            </w:r>
          </w:p>
          <w:p w14:paraId="61B81A60">
            <w:pPr>
              <w:pStyle w:val="6"/>
              <w:widowControl w:val="0"/>
              <w:spacing w:line="240" w:lineRule="auto"/>
              <w:jc w:val="center"/>
              <w:rPr>
                <w:rFonts w:hint="default"/>
                <w:lang w:val="en-US" w:eastAsia="zh-CN"/>
              </w:rPr>
            </w:pPr>
            <w:r>
              <w:rPr>
                <w:rFonts w:hint="eastAsia" w:ascii="Times New Roman" w:hAnsi="Times New Roman" w:eastAsia="宋体" w:cs="Times New Roman"/>
                <w:b w:val="0"/>
                <w:bCs w:val="0"/>
                <w:kern w:val="2"/>
                <w:sz w:val="21"/>
                <w:szCs w:val="24"/>
                <w:vertAlign w:val="baseline"/>
                <w:lang w:val="en-US" w:eastAsia="zh-CN" w:bidi="ar-SA"/>
              </w:rPr>
              <w:t>环评人员现场照</w:t>
            </w:r>
          </w:p>
        </w:tc>
      </w:tr>
    </w:tbl>
    <w:p w14:paraId="6FE924AB">
      <w:pPr>
        <w:ind w:left="0" w:leftChars="0" w:firstLine="0" w:firstLineChars="0"/>
        <w:jc w:val="center"/>
        <w:rPr>
          <w:rFonts w:hint="eastAsia" w:eastAsia="宋体"/>
          <w:lang w:val="en-US" w:eastAsia="zh-CN"/>
        </w:rPr>
      </w:pPr>
      <w:r>
        <w:rPr>
          <w:rFonts w:hint="eastAsia"/>
          <w:b/>
          <w:bCs/>
          <w:sz w:val="36"/>
          <w:szCs w:val="24"/>
          <w:lang w:val="en-US" w:eastAsia="zh-CN"/>
        </w:rPr>
        <w:t>现场照片</w:t>
      </w:r>
    </w:p>
    <w:p w14:paraId="4F30483C">
      <w:pPr>
        <w:pStyle w:val="20"/>
        <w:jc w:val="center"/>
        <w:outlineLvl w:val="0"/>
        <w:rPr>
          <w:rFonts w:hint="eastAsia" w:ascii="黑体" w:hAnsi="黑体" w:eastAsia="黑体"/>
          <w:snapToGrid w:val="0"/>
          <w:color w:val="auto"/>
          <w:sz w:val="30"/>
          <w:szCs w:val="30"/>
        </w:rPr>
        <w:sectPr>
          <w:footerReference r:id="rId4" w:type="default"/>
          <w:pgSz w:w="11906" w:h="16838"/>
          <w:pgMar w:top="1417" w:right="1531" w:bottom="1417"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1716FE28">
      <w:pPr>
        <w:pStyle w:val="20"/>
        <w:jc w:val="center"/>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rPr>
        <w:t>一、建设项目基本情况</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402"/>
        <w:gridCol w:w="2617"/>
        <w:gridCol w:w="2212"/>
        <w:gridCol w:w="2639"/>
      </w:tblGrid>
      <w:tr w14:paraId="52BD38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02" w:type="dxa"/>
            <w:noWrap w:val="0"/>
            <w:tcMar>
              <w:top w:w="16" w:type="dxa"/>
              <w:left w:w="16" w:type="dxa"/>
              <w:right w:w="16" w:type="dxa"/>
            </w:tcMar>
            <w:vAlign w:val="center"/>
          </w:tcPr>
          <w:p w14:paraId="745C20E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建设项目名称</w:t>
            </w:r>
          </w:p>
        </w:tc>
        <w:tc>
          <w:tcPr>
            <w:tcW w:w="7468" w:type="dxa"/>
            <w:gridSpan w:val="3"/>
            <w:noWrap w:val="0"/>
            <w:vAlign w:val="center"/>
          </w:tcPr>
          <w:p w14:paraId="6511D5A3">
            <w:pPr>
              <w:adjustRightInd w:val="0"/>
              <w:snapToGrid w:val="0"/>
              <w:jc w:val="center"/>
              <w:rPr>
                <w:rFonts w:hint="default" w:ascii="Times New Roman" w:hAnsi="Times New Roman" w:cs="Times New Roman"/>
                <w:color w:val="auto"/>
                <w:szCs w:val="21"/>
              </w:rPr>
            </w:pPr>
            <w:r>
              <w:rPr>
                <w:rFonts w:hint="eastAsia"/>
                <w:color w:val="auto"/>
                <w:vertAlign w:val="baseline"/>
                <w:lang w:val="en-US" w:eastAsia="zh-CN"/>
              </w:rPr>
              <w:t>新疆富邦国源矿业有限公司和硕石材加工厂改扩建项目</w:t>
            </w:r>
            <w:r>
              <w:rPr>
                <w:rFonts w:hint="eastAsia"/>
                <w:color w:val="FF0000"/>
                <w:vertAlign w:val="baseline"/>
                <w:lang w:val="en-US" w:eastAsia="zh-CN"/>
              </w:rPr>
              <w:t>（重新报批）</w:t>
            </w:r>
          </w:p>
        </w:tc>
      </w:tr>
      <w:tr w14:paraId="3399CB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02" w:type="dxa"/>
            <w:noWrap w:val="0"/>
            <w:tcMar>
              <w:top w:w="16" w:type="dxa"/>
              <w:left w:w="16" w:type="dxa"/>
              <w:right w:w="16" w:type="dxa"/>
            </w:tcMar>
            <w:vAlign w:val="center"/>
          </w:tcPr>
          <w:p w14:paraId="3CD7F8B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项目代码</w:t>
            </w:r>
          </w:p>
        </w:tc>
        <w:tc>
          <w:tcPr>
            <w:tcW w:w="7468" w:type="dxa"/>
            <w:gridSpan w:val="3"/>
            <w:noWrap w:val="0"/>
            <w:vAlign w:val="center"/>
          </w:tcPr>
          <w:p w14:paraId="097D4ED8">
            <w:pPr>
              <w:adjustRightInd w:val="0"/>
              <w:snapToGrid w:val="0"/>
              <w:jc w:val="center"/>
              <w:rPr>
                <w:rFonts w:hint="default" w:ascii="Times New Roman" w:hAnsi="Times New Roman" w:eastAsia="宋体" w:cs="Times New Roman"/>
                <w:color w:val="auto"/>
                <w:szCs w:val="21"/>
                <w:lang w:val="en-US" w:eastAsia="zh-CN"/>
              </w:rPr>
            </w:pPr>
          </w:p>
        </w:tc>
      </w:tr>
      <w:tr w14:paraId="6D8F89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02" w:type="dxa"/>
            <w:noWrap w:val="0"/>
            <w:tcMar>
              <w:top w:w="16" w:type="dxa"/>
              <w:left w:w="16" w:type="dxa"/>
              <w:right w:w="16" w:type="dxa"/>
            </w:tcMar>
            <w:vAlign w:val="center"/>
          </w:tcPr>
          <w:p w14:paraId="38B6149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建设单位联系人</w:t>
            </w:r>
          </w:p>
        </w:tc>
        <w:tc>
          <w:tcPr>
            <w:tcW w:w="2617" w:type="dxa"/>
            <w:noWrap w:val="0"/>
            <w:vAlign w:val="center"/>
          </w:tcPr>
          <w:p w14:paraId="4CD742C7">
            <w:pPr>
              <w:adjustRightInd w:val="0"/>
              <w:snapToGrid w:val="0"/>
              <w:jc w:val="center"/>
              <w:rPr>
                <w:rFonts w:hint="default" w:ascii="Times New Roman" w:hAnsi="Times New Roman" w:eastAsia="宋体" w:cs="Times New Roman"/>
                <w:color w:val="auto"/>
                <w:szCs w:val="21"/>
                <w:lang w:val="en-US" w:eastAsia="zh-CN"/>
              </w:rPr>
            </w:pPr>
          </w:p>
        </w:tc>
        <w:tc>
          <w:tcPr>
            <w:tcW w:w="2212" w:type="dxa"/>
            <w:noWrap w:val="0"/>
            <w:vAlign w:val="center"/>
          </w:tcPr>
          <w:p w14:paraId="723F8A8D">
            <w:pPr>
              <w:adjustRightInd w:val="0"/>
              <w:snapToGrid w:val="0"/>
              <w:jc w:val="center"/>
              <w:rPr>
                <w:rFonts w:hint="default" w:ascii="Times New Roman" w:hAnsi="Times New Roman" w:cs="Times New Roman"/>
                <w:color w:val="auto"/>
                <w:szCs w:val="21"/>
              </w:rPr>
            </w:pPr>
          </w:p>
        </w:tc>
        <w:tc>
          <w:tcPr>
            <w:tcW w:w="2639" w:type="dxa"/>
            <w:noWrap w:val="0"/>
            <w:vAlign w:val="center"/>
          </w:tcPr>
          <w:p w14:paraId="5C87B247">
            <w:pPr>
              <w:adjustRightInd w:val="0"/>
              <w:snapToGrid w:val="0"/>
              <w:jc w:val="center"/>
              <w:rPr>
                <w:rFonts w:hint="default" w:ascii="Times New Roman" w:hAnsi="Times New Roman" w:eastAsia="宋体" w:cs="Times New Roman"/>
                <w:color w:val="auto"/>
                <w:szCs w:val="21"/>
                <w:lang w:val="en-US" w:eastAsia="zh-CN"/>
              </w:rPr>
            </w:pPr>
          </w:p>
        </w:tc>
      </w:tr>
      <w:tr w14:paraId="203B7B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02" w:type="dxa"/>
            <w:noWrap w:val="0"/>
            <w:tcMar>
              <w:top w:w="16" w:type="dxa"/>
              <w:left w:w="16" w:type="dxa"/>
              <w:right w:w="16" w:type="dxa"/>
            </w:tcMar>
            <w:vAlign w:val="center"/>
          </w:tcPr>
          <w:p w14:paraId="74893E99">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建设地点</w:t>
            </w:r>
          </w:p>
        </w:tc>
        <w:tc>
          <w:tcPr>
            <w:tcW w:w="7468" w:type="dxa"/>
            <w:gridSpan w:val="3"/>
            <w:noWrap w:val="0"/>
            <w:vAlign w:val="center"/>
          </w:tcPr>
          <w:p w14:paraId="62A972F6">
            <w:pPr>
              <w:adjustRightInd w:val="0"/>
              <w:snapToGrid w:val="0"/>
              <w:jc w:val="center"/>
              <w:rPr>
                <w:rFonts w:hint="default" w:ascii="Times New Roman" w:hAnsi="Times New Roman" w:eastAsia="宋体" w:cs="Times New Roman"/>
                <w:color w:val="auto"/>
                <w:szCs w:val="21"/>
                <w:lang w:val="en-US" w:eastAsia="zh-CN"/>
              </w:rPr>
            </w:pPr>
          </w:p>
        </w:tc>
      </w:tr>
      <w:tr w14:paraId="328438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7" w:hRule="atLeast"/>
          <w:jc w:val="center"/>
        </w:trPr>
        <w:tc>
          <w:tcPr>
            <w:tcW w:w="1402" w:type="dxa"/>
            <w:noWrap w:val="0"/>
            <w:tcMar>
              <w:top w:w="16" w:type="dxa"/>
              <w:left w:w="16" w:type="dxa"/>
              <w:right w:w="16" w:type="dxa"/>
            </w:tcMar>
            <w:vAlign w:val="center"/>
          </w:tcPr>
          <w:p w14:paraId="7DDF3C9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地理坐标</w:t>
            </w:r>
          </w:p>
        </w:tc>
        <w:tc>
          <w:tcPr>
            <w:tcW w:w="7468" w:type="dxa"/>
            <w:gridSpan w:val="3"/>
            <w:noWrap w:val="0"/>
            <w:vAlign w:val="center"/>
          </w:tcPr>
          <w:p w14:paraId="5F6329D9">
            <w:pPr>
              <w:jc w:val="center"/>
              <w:rPr>
                <w:rFonts w:hint="default"/>
                <w:color w:val="auto"/>
                <w:lang w:val="en-US" w:eastAsia="zh-CN"/>
              </w:rPr>
            </w:pPr>
          </w:p>
        </w:tc>
      </w:tr>
      <w:tr w14:paraId="199EA9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10" w:hRule="atLeast"/>
          <w:jc w:val="center"/>
        </w:trPr>
        <w:tc>
          <w:tcPr>
            <w:tcW w:w="1402" w:type="dxa"/>
            <w:noWrap w:val="0"/>
            <w:tcMar>
              <w:top w:w="16" w:type="dxa"/>
              <w:left w:w="16" w:type="dxa"/>
              <w:right w:w="16" w:type="dxa"/>
            </w:tcMar>
            <w:vAlign w:val="center"/>
          </w:tcPr>
          <w:p w14:paraId="4C06FF0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国民经济</w:t>
            </w:r>
          </w:p>
          <w:p w14:paraId="490AD6F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行业类别</w:t>
            </w:r>
          </w:p>
        </w:tc>
        <w:tc>
          <w:tcPr>
            <w:tcW w:w="2617" w:type="dxa"/>
            <w:noWrap w:val="0"/>
            <w:vAlign w:val="center"/>
          </w:tcPr>
          <w:p w14:paraId="60184154">
            <w:pPr>
              <w:adjustRightInd w:val="0"/>
              <w:snapToGrid w:val="0"/>
              <w:jc w:val="center"/>
              <w:rPr>
                <w:rFonts w:hint="default" w:ascii="Times New Roman" w:hAnsi="Times New Roman" w:cs="Times New Roman"/>
                <w:color w:val="auto"/>
                <w:szCs w:val="21"/>
                <w:lang w:val="en-US"/>
              </w:rPr>
            </w:pPr>
            <w:r>
              <w:rPr>
                <w:rFonts w:hint="eastAsia"/>
                <w:color w:val="auto"/>
              </w:rPr>
              <w:t>C</w:t>
            </w:r>
            <w:r>
              <w:rPr>
                <w:rFonts w:hint="eastAsia"/>
                <w:color w:val="auto"/>
                <w:lang w:val="en-US" w:eastAsia="zh-CN"/>
              </w:rPr>
              <w:t>3032 建筑用石加工</w:t>
            </w:r>
          </w:p>
        </w:tc>
        <w:tc>
          <w:tcPr>
            <w:tcW w:w="2212" w:type="dxa"/>
            <w:noWrap w:val="0"/>
            <w:vAlign w:val="center"/>
          </w:tcPr>
          <w:p w14:paraId="18AC0B7A">
            <w:pPr>
              <w:adjustRightInd w:val="0"/>
              <w:snapToGrid w:val="0"/>
              <w:jc w:val="center"/>
              <w:rPr>
                <w:rFonts w:hint="default" w:ascii="Times New Roman" w:hAnsi="Times New Roman" w:cs="Times New Roman"/>
                <w:color w:val="auto"/>
                <w:szCs w:val="21"/>
                <w:lang w:val="en-US" w:eastAsia="zh-CN"/>
              </w:rPr>
            </w:pPr>
            <w:bookmarkStart w:id="0" w:name="_Hlk49843745"/>
            <w:r>
              <w:rPr>
                <w:rFonts w:hint="default" w:ascii="Times New Roman" w:hAnsi="Times New Roman" w:cs="Times New Roman"/>
                <w:color w:val="auto"/>
                <w:szCs w:val="21"/>
                <w:lang w:val="en-US" w:eastAsia="zh-CN"/>
              </w:rPr>
              <w:t>建设项目</w:t>
            </w:r>
          </w:p>
          <w:p w14:paraId="77B0A27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行业类别</w:t>
            </w:r>
            <w:bookmarkEnd w:id="0"/>
          </w:p>
        </w:tc>
        <w:tc>
          <w:tcPr>
            <w:tcW w:w="2639" w:type="dxa"/>
            <w:noWrap w:val="0"/>
            <w:vAlign w:val="center"/>
          </w:tcPr>
          <w:p w14:paraId="1AE1CA91">
            <w:pPr>
              <w:adjustRightInd w:val="0"/>
              <w:snapToGrid w:val="0"/>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二十七、非金属矿物制品业30-56砖瓦、石材等建筑材料制造303</w:t>
            </w:r>
          </w:p>
        </w:tc>
      </w:tr>
      <w:tr w14:paraId="1BB659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402" w:type="dxa"/>
            <w:noWrap w:val="0"/>
            <w:tcMar>
              <w:top w:w="16" w:type="dxa"/>
              <w:left w:w="16" w:type="dxa"/>
              <w:right w:w="16" w:type="dxa"/>
            </w:tcMar>
            <w:vAlign w:val="center"/>
          </w:tcPr>
          <w:p w14:paraId="0CBBE0D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建设性质</w:t>
            </w:r>
          </w:p>
        </w:tc>
        <w:tc>
          <w:tcPr>
            <w:tcW w:w="2617" w:type="dxa"/>
            <w:noWrap w:val="0"/>
            <w:vAlign w:val="center"/>
          </w:tcPr>
          <w:p w14:paraId="150B8EBD">
            <w:pPr>
              <w:jc w:val="left"/>
              <w:rPr>
                <w:rFonts w:hint="default" w:ascii="Times New Roman" w:hAnsi="Times New Roman" w:cs="Times New Roman"/>
                <w:color w:val="auto"/>
                <w:szCs w:val="21"/>
              </w:rPr>
            </w:pPr>
            <w:r>
              <w:rPr>
                <w:rFonts w:hint="eastAsia" w:cs="Times New Roman"/>
                <w:color w:val="auto"/>
                <w:szCs w:val="21"/>
                <w:lang w:eastAsia="zh-CN"/>
              </w:rPr>
              <w:t>□</w:t>
            </w:r>
            <w:r>
              <w:rPr>
                <w:rFonts w:hint="default" w:ascii="Times New Roman" w:hAnsi="Times New Roman" w:cs="Times New Roman"/>
                <w:color w:val="auto"/>
                <w:szCs w:val="21"/>
              </w:rPr>
              <w:t>新建（迁建）</w:t>
            </w:r>
          </w:p>
          <w:p w14:paraId="470F5E99">
            <w:pPr>
              <w:jc w:val="left"/>
              <w:rPr>
                <w:rFonts w:hint="default" w:ascii="Times New Roman" w:hAnsi="Times New Roman" w:cs="Times New Roman"/>
                <w:color w:val="auto"/>
                <w:szCs w:val="21"/>
              </w:rPr>
            </w:pPr>
            <w:r>
              <w:rPr>
                <w:rFonts w:hint="eastAsia" w:cs="Times New Roman"/>
                <w:color w:val="auto"/>
                <w:szCs w:val="21"/>
                <w:lang w:eastAsia="zh-CN"/>
              </w:rPr>
              <w:t>□</w:t>
            </w:r>
            <w:r>
              <w:rPr>
                <w:rFonts w:hint="default" w:ascii="Times New Roman" w:hAnsi="Times New Roman" w:cs="Times New Roman"/>
                <w:color w:val="auto"/>
                <w:szCs w:val="21"/>
              </w:rPr>
              <w:t>改建</w:t>
            </w:r>
          </w:p>
          <w:p w14:paraId="5CEDBBFD">
            <w:pPr>
              <w:jc w:val="left"/>
              <w:rPr>
                <w:rFonts w:hint="default" w:ascii="Times New Roman" w:hAnsi="Times New Roman" w:cs="Times New Roman"/>
                <w:color w:val="auto"/>
                <w:szCs w:val="21"/>
              </w:rPr>
            </w:pPr>
            <w:r>
              <w:rPr>
                <w:rFonts w:hint="eastAsia" w:cs="Times New Roman"/>
                <w:color w:val="auto"/>
                <w:szCs w:val="21"/>
                <w:lang w:eastAsia="zh-CN"/>
              </w:rPr>
              <w:t>☑</w:t>
            </w:r>
            <w:r>
              <w:rPr>
                <w:rFonts w:hint="default" w:ascii="Times New Roman" w:hAnsi="Times New Roman" w:cs="Times New Roman"/>
                <w:color w:val="auto"/>
                <w:szCs w:val="21"/>
              </w:rPr>
              <w:t>扩建</w:t>
            </w:r>
          </w:p>
          <w:p w14:paraId="1BFAE0D0">
            <w:pPr>
              <w:jc w:val="left"/>
              <w:rPr>
                <w:rFonts w:hint="default" w:ascii="Times New Roman" w:hAnsi="Times New Roman" w:cs="Times New Roman"/>
                <w:color w:val="auto"/>
                <w:szCs w:val="21"/>
              </w:rPr>
            </w:pPr>
            <w:r>
              <w:rPr>
                <w:rFonts w:hint="eastAsia" w:cs="Times New Roman"/>
                <w:color w:val="auto"/>
                <w:szCs w:val="21"/>
                <w:lang w:eastAsia="zh-CN"/>
              </w:rPr>
              <w:t>□</w:t>
            </w:r>
            <w:r>
              <w:rPr>
                <w:rFonts w:hint="default" w:ascii="Times New Roman" w:hAnsi="Times New Roman" w:cs="Times New Roman"/>
                <w:color w:val="auto"/>
                <w:szCs w:val="21"/>
              </w:rPr>
              <w:t>技术改造</w:t>
            </w:r>
          </w:p>
        </w:tc>
        <w:tc>
          <w:tcPr>
            <w:tcW w:w="2212" w:type="dxa"/>
            <w:noWrap w:val="0"/>
            <w:vAlign w:val="center"/>
          </w:tcPr>
          <w:p w14:paraId="3BEE0B0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建设项目</w:t>
            </w:r>
          </w:p>
          <w:p w14:paraId="26FE285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申报情形</w:t>
            </w:r>
          </w:p>
        </w:tc>
        <w:tc>
          <w:tcPr>
            <w:tcW w:w="2639" w:type="dxa"/>
            <w:noWrap w:val="0"/>
            <w:vAlign w:val="center"/>
          </w:tcPr>
          <w:p w14:paraId="4137A060">
            <w:pPr>
              <w:jc w:val="left"/>
              <w:rPr>
                <w:rFonts w:hint="eastAsia" w:ascii="Times New Roman" w:hAnsi="Times New Roman" w:eastAsia="宋体" w:cs="Times New Roman"/>
                <w:color w:val="auto"/>
                <w:szCs w:val="21"/>
                <w:lang w:eastAsia="zh-CN"/>
              </w:rPr>
            </w:pPr>
            <w:r>
              <w:rPr>
                <w:rFonts w:hint="eastAsia" w:cs="Times New Roman"/>
                <w:color w:val="auto"/>
                <w:szCs w:val="21"/>
                <w:lang w:eastAsia="zh-CN"/>
              </w:rPr>
              <w:t>□</w:t>
            </w:r>
            <w:r>
              <w:rPr>
                <w:rFonts w:hint="default" w:ascii="Times New Roman" w:hAnsi="Times New Roman" w:cs="Times New Roman"/>
                <w:color w:val="auto"/>
                <w:szCs w:val="21"/>
              </w:rPr>
              <w:t>首次申报项目</w:t>
            </w:r>
          </w:p>
          <w:p w14:paraId="03953EF6">
            <w:pPr>
              <w:jc w:val="left"/>
              <w:rPr>
                <w:rFonts w:hint="default" w:ascii="Times New Roman" w:hAnsi="Times New Roman" w:cs="Times New Roman"/>
                <w:color w:val="auto"/>
                <w:szCs w:val="21"/>
              </w:rPr>
            </w:pPr>
            <w:r>
              <w:rPr>
                <w:rFonts w:hint="eastAsia" w:cs="Times New Roman"/>
                <w:color w:val="auto"/>
                <w:szCs w:val="21"/>
                <w:lang w:eastAsia="zh-CN"/>
              </w:rPr>
              <w:t>□</w:t>
            </w:r>
            <w:r>
              <w:rPr>
                <w:rFonts w:hint="default" w:ascii="Times New Roman" w:hAnsi="Times New Roman" w:cs="Times New Roman"/>
                <w:color w:val="auto"/>
                <w:szCs w:val="21"/>
              </w:rPr>
              <w:t>不予批准后再次申报项目</w:t>
            </w:r>
          </w:p>
          <w:p w14:paraId="16AC03DD">
            <w:pPr>
              <w:jc w:val="left"/>
              <w:rPr>
                <w:rFonts w:hint="eastAsia" w:ascii="Times New Roman" w:hAnsi="Times New Roman" w:eastAsia="宋体" w:cs="Times New Roman"/>
                <w:color w:val="auto"/>
                <w:szCs w:val="21"/>
                <w:lang w:eastAsia="zh-CN"/>
              </w:rPr>
            </w:pPr>
            <w:r>
              <w:rPr>
                <w:rFonts w:hint="eastAsia" w:cs="Times New Roman"/>
                <w:color w:val="auto"/>
                <w:szCs w:val="21"/>
                <w:lang w:eastAsia="zh-CN"/>
              </w:rPr>
              <w:t>□</w:t>
            </w:r>
            <w:r>
              <w:rPr>
                <w:rFonts w:hint="default" w:ascii="Times New Roman" w:hAnsi="Times New Roman" w:cs="Times New Roman"/>
                <w:color w:val="auto"/>
                <w:szCs w:val="21"/>
              </w:rPr>
              <w:t>超五年重新审核项目</w:t>
            </w:r>
          </w:p>
          <w:p w14:paraId="6CCB22A6">
            <w:pPr>
              <w:jc w:val="left"/>
              <w:rPr>
                <w:rFonts w:hint="default" w:ascii="Times New Roman" w:hAnsi="Times New Roman" w:cs="Times New Roman"/>
                <w:color w:val="auto"/>
                <w:szCs w:val="21"/>
              </w:rPr>
            </w:pPr>
            <w:r>
              <w:rPr>
                <w:rFonts w:hint="eastAsia" w:cs="Times New Roman"/>
                <w:color w:val="auto"/>
                <w:szCs w:val="21"/>
                <w:lang w:eastAsia="zh-CN"/>
              </w:rPr>
              <w:t>☑</w:t>
            </w:r>
            <w:r>
              <w:rPr>
                <w:rFonts w:hint="default" w:ascii="Times New Roman" w:hAnsi="Times New Roman" w:cs="Times New Roman"/>
                <w:color w:val="auto"/>
                <w:szCs w:val="21"/>
              </w:rPr>
              <w:t>重大变动重新报批项目</w:t>
            </w:r>
          </w:p>
        </w:tc>
      </w:tr>
      <w:tr w14:paraId="17089C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402" w:type="dxa"/>
            <w:noWrap w:val="0"/>
            <w:tcMar>
              <w:top w:w="16" w:type="dxa"/>
              <w:left w:w="16" w:type="dxa"/>
              <w:right w:w="16" w:type="dxa"/>
            </w:tcMar>
            <w:vAlign w:val="center"/>
          </w:tcPr>
          <w:p w14:paraId="11C3C47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项目审批（核准/</w:t>
            </w:r>
          </w:p>
          <w:p w14:paraId="48C3327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备案）部门（选填）</w:t>
            </w:r>
          </w:p>
        </w:tc>
        <w:tc>
          <w:tcPr>
            <w:tcW w:w="2617" w:type="dxa"/>
            <w:noWrap w:val="0"/>
            <w:vAlign w:val="center"/>
          </w:tcPr>
          <w:p w14:paraId="36A15932">
            <w:pPr>
              <w:adjustRightInd w:val="0"/>
              <w:snapToGrid w:val="0"/>
              <w:jc w:val="both"/>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和硕县发展和改革委员会</w:t>
            </w:r>
          </w:p>
        </w:tc>
        <w:tc>
          <w:tcPr>
            <w:tcW w:w="2212" w:type="dxa"/>
            <w:noWrap w:val="0"/>
            <w:vAlign w:val="center"/>
          </w:tcPr>
          <w:p w14:paraId="13872B9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项目审批（核准/</w:t>
            </w:r>
          </w:p>
          <w:p w14:paraId="33B8C62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备案）文号（选填）</w:t>
            </w:r>
          </w:p>
        </w:tc>
        <w:tc>
          <w:tcPr>
            <w:tcW w:w="2639" w:type="dxa"/>
            <w:noWrap w:val="0"/>
            <w:vAlign w:val="center"/>
          </w:tcPr>
          <w:p w14:paraId="65405454">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2404071865652800000072</w:t>
            </w:r>
          </w:p>
        </w:tc>
      </w:tr>
      <w:tr w14:paraId="52256A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02" w:type="dxa"/>
            <w:noWrap w:val="0"/>
            <w:tcMar>
              <w:top w:w="16" w:type="dxa"/>
              <w:left w:w="16" w:type="dxa"/>
              <w:right w:w="16" w:type="dxa"/>
            </w:tcMar>
            <w:vAlign w:val="center"/>
          </w:tcPr>
          <w:p w14:paraId="4D67C05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总投资（万元）</w:t>
            </w:r>
          </w:p>
        </w:tc>
        <w:tc>
          <w:tcPr>
            <w:tcW w:w="2617" w:type="dxa"/>
            <w:noWrap w:val="0"/>
            <w:vAlign w:val="center"/>
          </w:tcPr>
          <w:p w14:paraId="61694CBF">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2600</w:t>
            </w:r>
          </w:p>
        </w:tc>
        <w:tc>
          <w:tcPr>
            <w:tcW w:w="2212" w:type="dxa"/>
            <w:noWrap w:val="0"/>
            <w:tcMar>
              <w:top w:w="16" w:type="dxa"/>
              <w:left w:w="16" w:type="dxa"/>
              <w:right w:w="16" w:type="dxa"/>
            </w:tcMar>
            <w:vAlign w:val="center"/>
          </w:tcPr>
          <w:p w14:paraId="0AF0A4E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环保投资（万元）</w:t>
            </w:r>
          </w:p>
        </w:tc>
        <w:tc>
          <w:tcPr>
            <w:tcW w:w="2639" w:type="dxa"/>
            <w:noWrap w:val="0"/>
            <w:vAlign w:val="center"/>
          </w:tcPr>
          <w:p w14:paraId="5BCD9F67">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81</w:t>
            </w:r>
          </w:p>
        </w:tc>
      </w:tr>
      <w:tr w14:paraId="634A0B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02" w:type="dxa"/>
            <w:noWrap w:val="0"/>
            <w:tcMar>
              <w:top w:w="16" w:type="dxa"/>
              <w:left w:w="16" w:type="dxa"/>
              <w:right w:w="16" w:type="dxa"/>
            </w:tcMar>
            <w:vAlign w:val="center"/>
          </w:tcPr>
          <w:p w14:paraId="038FD6F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环保投资占比（%）</w:t>
            </w:r>
          </w:p>
        </w:tc>
        <w:tc>
          <w:tcPr>
            <w:tcW w:w="2617" w:type="dxa"/>
            <w:noWrap w:val="0"/>
            <w:vAlign w:val="center"/>
          </w:tcPr>
          <w:p w14:paraId="36425378">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3.12</w:t>
            </w:r>
          </w:p>
        </w:tc>
        <w:tc>
          <w:tcPr>
            <w:tcW w:w="2212" w:type="dxa"/>
            <w:noWrap w:val="0"/>
            <w:tcMar>
              <w:top w:w="16" w:type="dxa"/>
              <w:left w:w="16" w:type="dxa"/>
              <w:right w:w="16" w:type="dxa"/>
            </w:tcMar>
            <w:vAlign w:val="center"/>
          </w:tcPr>
          <w:p w14:paraId="64DFFC1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施工工期</w:t>
            </w:r>
          </w:p>
        </w:tc>
        <w:tc>
          <w:tcPr>
            <w:tcW w:w="2639" w:type="dxa"/>
            <w:noWrap w:val="0"/>
            <w:vAlign w:val="center"/>
          </w:tcPr>
          <w:p w14:paraId="669BE9F0">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12个月</w:t>
            </w:r>
          </w:p>
        </w:tc>
      </w:tr>
      <w:tr w14:paraId="308FEC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02" w:type="dxa"/>
            <w:noWrap w:val="0"/>
            <w:tcMar>
              <w:top w:w="16" w:type="dxa"/>
              <w:left w:w="16" w:type="dxa"/>
              <w:right w:w="16" w:type="dxa"/>
            </w:tcMar>
            <w:vAlign w:val="center"/>
          </w:tcPr>
          <w:p w14:paraId="39331BC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是否开工建设</w:t>
            </w:r>
          </w:p>
        </w:tc>
        <w:tc>
          <w:tcPr>
            <w:tcW w:w="2617" w:type="dxa"/>
            <w:noWrap w:val="0"/>
            <w:vAlign w:val="center"/>
          </w:tcPr>
          <w:p w14:paraId="3C0A4F7E">
            <w:pPr>
              <w:adjustRightInd w:val="0"/>
              <w:snapToGrid w:val="0"/>
              <w:rPr>
                <w:rFonts w:hint="default" w:ascii="Times New Roman" w:hAnsi="Times New Roman" w:cs="Times New Roman"/>
                <w:color w:val="auto"/>
                <w:szCs w:val="21"/>
              </w:rPr>
            </w:pPr>
            <w:r>
              <w:rPr>
                <w:rFonts w:hint="eastAsia" w:cs="Times New Roman"/>
                <w:color w:val="auto"/>
                <w:szCs w:val="21"/>
                <w:lang w:eastAsia="zh-CN"/>
              </w:rPr>
              <w:t>□</w:t>
            </w:r>
            <w:r>
              <w:rPr>
                <w:rFonts w:hint="default" w:ascii="Times New Roman" w:hAnsi="Times New Roman" w:cs="Times New Roman"/>
                <w:color w:val="auto"/>
                <w:szCs w:val="21"/>
              </w:rPr>
              <w:t>否</w:t>
            </w:r>
          </w:p>
          <w:p w14:paraId="41314F29">
            <w:pPr>
              <w:adjustRightInd w:val="0"/>
              <w:snapToGrid w:val="0"/>
              <w:rPr>
                <w:rFonts w:hint="default" w:ascii="Times New Roman" w:hAnsi="Times New Roman" w:eastAsia="宋体" w:cs="Times New Roman"/>
                <w:color w:val="auto"/>
                <w:szCs w:val="21"/>
                <w:lang w:val="en-US" w:eastAsia="zh-CN"/>
              </w:rPr>
            </w:pPr>
            <w:r>
              <w:rPr>
                <w:rFonts w:hint="eastAsia" w:cs="Times New Roman"/>
                <w:color w:val="auto"/>
                <w:szCs w:val="21"/>
                <w:lang w:eastAsia="zh-CN"/>
              </w:rPr>
              <w:t>☑</w:t>
            </w:r>
            <w:r>
              <w:rPr>
                <w:rFonts w:hint="default" w:ascii="Times New Roman" w:hAnsi="Times New Roman" w:cs="Times New Roman"/>
                <w:color w:val="auto"/>
                <w:szCs w:val="21"/>
              </w:rPr>
              <w:t>是：</w:t>
            </w:r>
            <w:r>
              <w:rPr>
                <w:rFonts w:hint="eastAsia" w:cs="Times New Roman"/>
                <w:color w:val="auto"/>
                <w:szCs w:val="21"/>
                <w:lang w:val="en-US" w:eastAsia="zh-CN"/>
              </w:rPr>
              <w:t>设备已安装、未生产</w:t>
            </w:r>
          </w:p>
        </w:tc>
        <w:tc>
          <w:tcPr>
            <w:tcW w:w="2212" w:type="dxa"/>
            <w:noWrap w:val="0"/>
            <w:tcMar>
              <w:top w:w="16" w:type="dxa"/>
              <w:left w:w="16" w:type="dxa"/>
              <w:right w:w="16" w:type="dxa"/>
            </w:tcMar>
            <w:vAlign w:val="center"/>
          </w:tcPr>
          <w:p w14:paraId="06033FA6">
            <w:pPr>
              <w:adjustRightInd w:val="0"/>
              <w:snapToGrid w:val="0"/>
              <w:jc w:val="center"/>
              <w:rPr>
                <w:rFonts w:hint="default" w:ascii="Times New Roman" w:hAnsi="Times New Roman" w:cs="Times New Roman"/>
                <w:color w:val="auto"/>
                <w:spacing w:val="-6"/>
                <w:szCs w:val="21"/>
              </w:rPr>
            </w:pPr>
            <w:r>
              <w:rPr>
                <w:rFonts w:hint="default" w:ascii="Times New Roman" w:hAnsi="Times New Roman" w:cs="Times New Roman"/>
                <w:color w:val="auto"/>
                <w:spacing w:val="-6"/>
                <w:szCs w:val="21"/>
              </w:rPr>
              <w:t>用地（用海）</w:t>
            </w:r>
          </w:p>
          <w:p w14:paraId="4607A7F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pacing w:val="-6"/>
                <w:szCs w:val="21"/>
              </w:rPr>
              <w:t>面积（m</w:t>
            </w:r>
            <w:r>
              <w:rPr>
                <w:rFonts w:hint="default" w:ascii="Times New Roman" w:hAnsi="Times New Roman" w:cs="Times New Roman"/>
                <w:color w:val="auto"/>
                <w:spacing w:val="-6"/>
                <w:szCs w:val="21"/>
                <w:vertAlign w:val="superscript"/>
              </w:rPr>
              <w:t>2</w:t>
            </w:r>
            <w:r>
              <w:rPr>
                <w:rFonts w:hint="default" w:ascii="Times New Roman" w:hAnsi="Times New Roman" w:cs="Times New Roman"/>
                <w:color w:val="auto"/>
                <w:spacing w:val="-6"/>
                <w:szCs w:val="21"/>
              </w:rPr>
              <w:t>）</w:t>
            </w:r>
          </w:p>
        </w:tc>
        <w:tc>
          <w:tcPr>
            <w:tcW w:w="2639" w:type="dxa"/>
            <w:noWrap w:val="0"/>
            <w:vAlign w:val="center"/>
          </w:tcPr>
          <w:p w14:paraId="2ED62F50">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无新增用地</w:t>
            </w:r>
          </w:p>
        </w:tc>
      </w:tr>
      <w:tr w14:paraId="03E026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402" w:type="dxa"/>
            <w:noWrap w:val="0"/>
            <w:vAlign w:val="center"/>
          </w:tcPr>
          <w:p w14:paraId="783BD45B">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专项评价设置情况</w:t>
            </w:r>
          </w:p>
        </w:tc>
        <w:tc>
          <w:tcPr>
            <w:tcW w:w="7468" w:type="dxa"/>
            <w:gridSpan w:val="3"/>
            <w:noWrap w:val="0"/>
            <w:vAlign w:val="center"/>
          </w:tcPr>
          <w:p w14:paraId="76FCDC7B">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无</w:t>
            </w:r>
          </w:p>
        </w:tc>
      </w:tr>
      <w:tr w14:paraId="75EEFB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2" w:type="dxa"/>
            <w:noWrap w:val="0"/>
            <w:vAlign w:val="center"/>
          </w:tcPr>
          <w:p w14:paraId="5C949E48">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规划情况</w:t>
            </w:r>
          </w:p>
        </w:tc>
        <w:tc>
          <w:tcPr>
            <w:tcW w:w="7468" w:type="dxa"/>
            <w:gridSpan w:val="3"/>
            <w:noWrap w:val="0"/>
            <w:vAlign w:val="center"/>
          </w:tcPr>
          <w:p w14:paraId="6E44A9FF">
            <w:pPr>
              <w:pStyle w:val="20"/>
              <w:numPr>
                <w:ilvl w:val="0"/>
                <w:numId w:val="0"/>
              </w:numPr>
              <w:spacing w:before="0" w:beforeAutospacing="0" w:after="0" w:afterAutospacing="0" w:line="520" w:lineRule="exact"/>
              <w:rPr>
                <w:rFonts w:hint="default" w:ascii="Times New Roman" w:hAnsi="Times New Roman" w:cs="Times New Roman"/>
                <w:b w:val="0"/>
                <w:bCs w:val="0"/>
                <w:color w:val="auto"/>
                <w:szCs w:val="24"/>
                <w:lang w:val="en-US" w:eastAsia="zh-CN"/>
              </w:rPr>
            </w:pPr>
            <w:r>
              <w:rPr>
                <w:rFonts w:hint="eastAsia" w:ascii="Times New Roman" w:hAnsi="Times New Roman" w:cs="Times New Roman"/>
                <w:b w:val="0"/>
                <w:bCs w:val="0"/>
                <w:color w:val="auto"/>
                <w:szCs w:val="24"/>
                <w:lang w:val="en-US" w:eastAsia="zh-CN"/>
              </w:rPr>
              <w:t>（1）规划名称：《和硕经济开发区扩区总体规划（2015—2030年）》</w:t>
            </w:r>
          </w:p>
          <w:p w14:paraId="1EE09E41">
            <w:pPr>
              <w:pStyle w:val="20"/>
              <w:numPr>
                <w:ilvl w:val="0"/>
                <w:numId w:val="0"/>
              </w:numPr>
              <w:spacing w:before="0" w:beforeAutospacing="0" w:after="0" w:afterAutospacing="0" w:line="520" w:lineRule="exact"/>
              <w:rPr>
                <w:rFonts w:hint="default" w:ascii="Times New Roman" w:hAnsi="Times New Roman" w:cs="Times New Roman"/>
                <w:b w:val="0"/>
                <w:bCs w:val="0"/>
                <w:color w:val="auto"/>
                <w:szCs w:val="24"/>
                <w:lang w:val="en-US" w:eastAsia="zh-CN"/>
              </w:rPr>
            </w:pPr>
            <w:r>
              <w:rPr>
                <w:rFonts w:hint="default" w:ascii="Times New Roman" w:hAnsi="Times New Roman" w:cs="Times New Roman"/>
                <w:b w:val="0"/>
                <w:bCs w:val="0"/>
                <w:color w:val="auto"/>
                <w:szCs w:val="24"/>
                <w:lang w:val="en-US" w:eastAsia="zh-CN"/>
              </w:rPr>
              <w:t>审查机关：新疆维吾尔自治区人民政府</w:t>
            </w:r>
          </w:p>
          <w:p w14:paraId="17E64C3A">
            <w:pPr>
              <w:pStyle w:val="20"/>
              <w:numPr>
                <w:ilvl w:val="0"/>
                <w:numId w:val="0"/>
              </w:numPr>
              <w:spacing w:before="0" w:beforeAutospacing="0" w:after="0" w:afterAutospacing="0" w:line="520" w:lineRule="exact"/>
              <w:rPr>
                <w:rFonts w:hint="default" w:ascii="Times New Roman" w:hAnsi="Times New Roman" w:cs="Times New Roman"/>
                <w:color w:val="auto"/>
                <w:kern w:val="0"/>
                <w:szCs w:val="21"/>
              </w:rPr>
            </w:pPr>
            <w:r>
              <w:rPr>
                <w:rFonts w:hint="default" w:ascii="Times New Roman" w:hAnsi="Times New Roman" w:cs="Times New Roman"/>
                <w:b w:val="0"/>
                <w:bCs w:val="0"/>
                <w:color w:val="auto"/>
                <w:szCs w:val="24"/>
                <w:lang w:val="en-US" w:eastAsia="zh-CN"/>
              </w:rPr>
              <w:t>审批文件名称及文号：《关于同意和硕经济开发区（扩园）总体规划的批复》</w:t>
            </w:r>
            <w:r>
              <w:rPr>
                <w:rFonts w:hint="eastAsia" w:ascii="Times New Roman" w:hAnsi="Times New Roman" w:cs="Times New Roman"/>
                <w:b w:val="0"/>
                <w:bCs w:val="0"/>
                <w:color w:val="auto"/>
                <w:szCs w:val="24"/>
                <w:lang w:val="en-US" w:eastAsia="zh-CN"/>
              </w:rPr>
              <w:t>（</w:t>
            </w:r>
            <w:r>
              <w:rPr>
                <w:rFonts w:hint="default" w:ascii="Times New Roman" w:hAnsi="Times New Roman" w:cs="Times New Roman"/>
                <w:b w:val="0"/>
                <w:bCs w:val="0"/>
                <w:color w:val="auto"/>
                <w:szCs w:val="24"/>
                <w:lang w:val="en-US" w:eastAsia="zh-CN"/>
              </w:rPr>
              <w:t>新政函</w:t>
            </w:r>
            <w:r>
              <w:rPr>
                <w:rFonts w:hint="eastAsia" w:ascii="Times New Roman" w:hAnsi="Times New Roman" w:cs="Times New Roman"/>
                <w:b w:val="0"/>
                <w:bCs w:val="0"/>
                <w:color w:val="auto"/>
                <w:szCs w:val="24"/>
                <w:lang w:val="en-US" w:eastAsia="zh-CN"/>
              </w:rPr>
              <w:t>〔2016〕195号）</w:t>
            </w:r>
          </w:p>
        </w:tc>
      </w:tr>
      <w:tr w14:paraId="7FA9E9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402" w:type="dxa"/>
            <w:noWrap w:val="0"/>
            <w:vAlign w:val="center"/>
          </w:tcPr>
          <w:p w14:paraId="01C3E15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规划环境影响</w:t>
            </w:r>
          </w:p>
          <w:p w14:paraId="304A1F4C">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评价情况</w:t>
            </w:r>
          </w:p>
        </w:tc>
        <w:tc>
          <w:tcPr>
            <w:tcW w:w="7468" w:type="dxa"/>
            <w:gridSpan w:val="3"/>
            <w:noWrap w:val="0"/>
            <w:vAlign w:val="center"/>
          </w:tcPr>
          <w:p w14:paraId="65997F36">
            <w:pPr>
              <w:pStyle w:val="20"/>
              <w:numPr>
                <w:ilvl w:val="0"/>
                <w:numId w:val="0"/>
              </w:numPr>
              <w:spacing w:before="0" w:beforeAutospacing="0" w:after="0" w:afterAutospacing="0" w:line="520" w:lineRule="exact"/>
              <w:rPr>
                <w:rFonts w:hint="default" w:ascii="Times New Roman" w:hAnsi="Times New Roman" w:cs="Times New Roman"/>
                <w:b w:val="0"/>
                <w:bCs w:val="0"/>
                <w:color w:val="auto"/>
                <w:szCs w:val="24"/>
              </w:rPr>
            </w:pPr>
            <w:r>
              <w:rPr>
                <w:rFonts w:hint="eastAsia" w:ascii="Times New Roman" w:hAnsi="Times New Roman" w:cs="Times New Roman"/>
                <w:color w:val="auto"/>
                <w:szCs w:val="24"/>
                <w:lang w:val="en-US" w:eastAsia="zh-CN"/>
              </w:rPr>
              <w:t>（1）规划</w:t>
            </w:r>
            <w:r>
              <w:rPr>
                <w:rFonts w:hint="eastAsia" w:ascii="Times New Roman" w:hAnsi="Times New Roman" w:cs="Times New Roman"/>
                <w:b w:val="0"/>
                <w:bCs w:val="0"/>
                <w:color w:val="auto"/>
                <w:szCs w:val="24"/>
                <w:lang w:val="en-US" w:eastAsia="zh-CN"/>
              </w:rPr>
              <w:t>名称：</w:t>
            </w:r>
            <w:r>
              <w:rPr>
                <w:rFonts w:hint="eastAsia" w:ascii="Times New Roman" w:hAnsi="Times New Roman" w:cs="Times New Roman"/>
                <w:b w:val="0"/>
                <w:bCs w:val="0"/>
                <w:color w:val="auto"/>
                <w:szCs w:val="24"/>
                <w:lang w:eastAsia="zh-CN"/>
              </w:rPr>
              <w:t>《</w:t>
            </w:r>
            <w:r>
              <w:rPr>
                <w:rFonts w:hint="eastAsia" w:ascii="Times New Roman" w:hAnsi="Times New Roman" w:cs="Times New Roman"/>
                <w:b w:val="0"/>
                <w:bCs w:val="0"/>
                <w:color w:val="auto"/>
                <w:szCs w:val="24"/>
                <w:lang w:val="en-US" w:eastAsia="zh-CN"/>
              </w:rPr>
              <w:t>和硕经济开发区清水河综合园区（扩园）总体规划（2012—2030</w:t>
            </w:r>
            <w:r>
              <w:rPr>
                <w:rFonts w:hint="default" w:ascii="Times New Roman" w:hAnsi="Times New Roman" w:eastAsia="宋体" w:cs="Times New Roman"/>
                <w:b w:val="0"/>
                <w:bCs w:val="0"/>
                <w:color w:val="auto"/>
                <w:kern w:val="0"/>
                <w:sz w:val="24"/>
                <w:szCs w:val="24"/>
                <w:lang w:val="en-US" w:eastAsia="zh-CN" w:bidi="ar-SA"/>
              </w:rPr>
              <w:t>年</w:t>
            </w:r>
            <w:r>
              <w:rPr>
                <w:rFonts w:hint="eastAsia" w:ascii="Times New Roman" w:hAnsi="Times New Roman" w:cs="Times New Roman"/>
                <w:b w:val="0"/>
                <w:bCs w:val="0"/>
                <w:color w:val="auto"/>
                <w:szCs w:val="24"/>
                <w:lang w:val="en-US" w:eastAsia="zh-CN"/>
              </w:rPr>
              <w:t>）环境影响报告书</w:t>
            </w:r>
            <w:r>
              <w:rPr>
                <w:rFonts w:hint="eastAsia" w:ascii="Times New Roman" w:hAnsi="Times New Roman" w:cs="Times New Roman"/>
                <w:b w:val="0"/>
                <w:bCs w:val="0"/>
                <w:color w:val="auto"/>
                <w:szCs w:val="24"/>
                <w:lang w:eastAsia="zh-CN"/>
              </w:rPr>
              <w:t>》</w:t>
            </w:r>
          </w:p>
          <w:p w14:paraId="63B834FA">
            <w:pPr>
              <w:pStyle w:val="20"/>
              <w:numPr>
                <w:ilvl w:val="0"/>
                <w:numId w:val="0"/>
              </w:numPr>
              <w:spacing w:before="0" w:beforeAutospacing="0" w:after="0" w:afterAutospacing="0" w:line="520" w:lineRule="exact"/>
              <w:rPr>
                <w:rFonts w:hint="default" w:ascii="Times New Roman" w:hAnsi="Times New Roman" w:cs="Times New Roman"/>
                <w:b w:val="0"/>
                <w:bCs w:val="0"/>
                <w:color w:val="auto"/>
                <w:szCs w:val="24"/>
              </w:rPr>
            </w:pPr>
            <w:r>
              <w:rPr>
                <w:rFonts w:hint="eastAsia" w:ascii="Times New Roman" w:hAnsi="Times New Roman" w:cs="Times New Roman"/>
                <w:b w:val="0"/>
                <w:bCs w:val="0"/>
                <w:color w:val="auto"/>
                <w:szCs w:val="24"/>
                <w:lang w:val="en-US" w:eastAsia="zh-CN"/>
              </w:rPr>
              <w:t>审查机关：</w:t>
            </w:r>
            <w:r>
              <w:rPr>
                <w:rFonts w:hint="default" w:ascii="Times New Roman" w:hAnsi="Times New Roman" w:cs="Times New Roman"/>
                <w:b w:val="0"/>
                <w:bCs w:val="0"/>
                <w:color w:val="auto"/>
                <w:szCs w:val="24"/>
              </w:rPr>
              <w:t>新疆维吾尔自治区环境保护厅</w:t>
            </w:r>
          </w:p>
          <w:p w14:paraId="3C0B4658">
            <w:pPr>
              <w:pStyle w:val="20"/>
              <w:numPr>
                <w:ilvl w:val="0"/>
                <w:numId w:val="0"/>
              </w:numPr>
              <w:spacing w:before="0" w:beforeAutospacing="0" w:after="0" w:afterAutospacing="0" w:line="520" w:lineRule="exact"/>
              <w:rPr>
                <w:rFonts w:hint="default" w:ascii="Times New Roman" w:hAnsi="Times New Roman" w:cs="Times New Roman"/>
                <w:color w:val="auto"/>
                <w:szCs w:val="24"/>
                <w:lang w:eastAsia="zh-CN"/>
              </w:rPr>
            </w:pPr>
            <w:r>
              <w:rPr>
                <w:rFonts w:hint="eastAsia" w:ascii="Times New Roman" w:hAnsi="Times New Roman" w:cs="Times New Roman"/>
                <w:b w:val="0"/>
                <w:bCs w:val="0"/>
                <w:color w:val="auto"/>
                <w:szCs w:val="24"/>
                <w:lang w:val="en-US" w:eastAsia="zh-CN"/>
              </w:rPr>
              <w:t>审批文件名称及文号：</w:t>
            </w:r>
            <w:r>
              <w:rPr>
                <w:rFonts w:hint="default" w:ascii="Times New Roman" w:hAnsi="Times New Roman" w:cs="Times New Roman"/>
                <w:b w:val="0"/>
                <w:bCs w:val="0"/>
                <w:color w:val="auto"/>
                <w:szCs w:val="24"/>
              </w:rPr>
              <w:t>《关于</w:t>
            </w:r>
            <w:r>
              <w:rPr>
                <w:rFonts w:hint="eastAsia" w:ascii="Times New Roman" w:hAnsi="Times New Roman" w:cs="Times New Roman"/>
                <w:b w:val="0"/>
                <w:bCs w:val="0"/>
                <w:color w:val="auto"/>
                <w:szCs w:val="24"/>
                <w:lang w:val="en-US" w:eastAsia="zh-CN"/>
              </w:rPr>
              <w:t>和硕经济开发区清水河综合园区（扩园）总体规划（2012-2030）环境影响报告书的审查意见</w:t>
            </w:r>
            <w:r>
              <w:rPr>
                <w:rFonts w:hint="default" w:ascii="Times New Roman" w:hAnsi="Times New Roman" w:cs="Times New Roman"/>
                <w:b w:val="0"/>
                <w:bCs w:val="0"/>
                <w:color w:val="auto"/>
                <w:szCs w:val="24"/>
              </w:rPr>
              <w:t>》（新环函</w:t>
            </w:r>
            <w:r>
              <w:rPr>
                <w:rFonts w:hint="eastAsia" w:ascii="Times New Roman" w:hAnsi="Times New Roman" w:cs="Times New Roman"/>
                <w:b w:val="0"/>
                <w:bCs w:val="0"/>
                <w:color w:val="auto"/>
                <w:szCs w:val="24"/>
                <w:lang w:val="en-US" w:eastAsia="zh-CN"/>
              </w:rPr>
              <w:t>〔2014〕154</w:t>
            </w:r>
            <w:r>
              <w:rPr>
                <w:rFonts w:hint="default" w:ascii="Times New Roman" w:hAnsi="Times New Roman" w:cs="Times New Roman"/>
                <w:b w:val="0"/>
                <w:bCs w:val="0"/>
                <w:color w:val="auto"/>
                <w:szCs w:val="24"/>
              </w:rPr>
              <w:t>号）</w:t>
            </w:r>
          </w:p>
        </w:tc>
      </w:tr>
      <w:tr w14:paraId="606134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04" w:hRule="atLeast"/>
          <w:jc w:val="center"/>
        </w:trPr>
        <w:tc>
          <w:tcPr>
            <w:tcW w:w="1402" w:type="dxa"/>
            <w:noWrap w:val="0"/>
            <w:vAlign w:val="center"/>
          </w:tcPr>
          <w:p w14:paraId="065F24F6">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规划及规划环境</w:t>
            </w:r>
          </w:p>
          <w:p w14:paraId="73DE2436">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影响评价符合性分析</w:t>
            </w:r>
          </w:p>
        </w:tc>
        <w:tc>
          <w:tcPr>
            <w:tcW w:w="7468" w:type="dxa"/>
            <w:gridSpan w:val="3"/>
            <w:noWrap w:val="0"/>
            <w:vAlign w:val="center"/>
          </w:tcPr>
          <w:p w14:paraId="1D34A284">
            <w:pPr>
              <w:spacing w:line="520" w:lineRule="exact"/>
              <w:ind w:firstLine="480" w:firstLineChars="200"/>
              <w:rPr>
                <w:rFonts w:hint="default" w:ascii="Times New Roman" w:hAnsi="Times New Roman" w:eastAsia="宋体" w:cs="Times New Roman"/>
                <w:b w:val="0"/>
                <w:bCs w:val="0"/>
                <w:color w:val="auto"/>
                <w:kern w:val="0"/>
                <w:sz w:val="24"/>
                <w:szCs w:val="24"/>
                <w:lang w:val="en-US" w:eastAsia="zh-CN" w:bidi="ar-SA"/>
              </w:rPr>
            </w:pPr>
            <w:r>
              <w:rPr>
                <w:rFonts w:hint="default" w:ascii="Times New Roman" w:hAnsi="Times New Roman" w:eastAsia="宋体" w:cs="Times New Roman"/>
                <w:b w:val="0"/>
                <w:bCs w:val="0"/>
                <w:color w:val="auto"/>
                <w:kern w:val="0"/>
                <w:sz w:val="24"/>
                <w:szCs w:val="24"/>
                <w:lang w:val="en-US" w:eastAsia="zh-CN" w:bidi="ar-SA"/>
              </w:rPr>
              <w:t>项目选址位于</w:t>
            </w:r>
            <w:r>
              <w:rPr>
                <w:rFonts w:hint="eastAsia" w:ascii="Times New Roman" w:hAnsi="Times New Roman" w:eastAsia="宋体" w:cs="Times New Roman"/>
                <w:b w:val="0"/>
                <w:bCs w:val="0"/>
                <w:color w:val="auto"/>
                <w:kern w:val="0"/>
                <w:sz w:val="24"/>
                <w:szCs w:val="24"/>
                <w:lang w:val="en-US" w:eastAsia="zh-CN" w:bidi="ar-SA"/>
              </w:rPr>
              <w:t>和硕经济开发区清水河综合园区</w:t>
            </w:r>
            <w:r>
              <w:rPr>
                <w:rFonts w:hint="default" w:ascii="Times New Roman" w:hAnsi="Times New Roman" w:cs="Times New Roman"/>
                <w:color w:val="auto"/>
                <w:sz w:val="24"/>
              </w:rPr>
              <w:t>，根据</w:t>
            </w:r>
            <w:r>
              <w:rPr>
                <w:rFonts w:hint="default" w:ascii="Times New Roman" w:hAnsi="Times New Roman" w:eastAsia="宋体" w:cs="Times New Roman"/>
                <w:b w:val="0"/>
                <w:bCs w:val="0"/>
                <w:color w:val="auto"/>
                <w:kern w:val="0"/>
                <w:sz w:val="24"/>
                <w:szCs w:val="24"/>
                <w:lang w:val="en-US" w:eastAsia="zh-CN" w:bidi="ar-SA"/>
              </w:rPr>
              <w:t>《</w:t>
            </w:r>
            <w:r>
              <w:rPr>
                <w:rFonts w:hint="eastAsia" w:ascii="Times New Roman" w:hAnsi="Times New Roman" w:eastAsia="宋体" w:cs="Times New Roman"/>
                <w:b w:val="0"/>
                <w:bCs w:val="0"/>
                <w:color w:val="auto"/>
                <w:kern w:val="0"/>
                <w:sz w:val="24"/>
                <w:szCs w:val="24"/>
                <w:lang w:val="en-US" w:eastAsia="zh-CN" w:bidi="ar-SA"/>
              </w:rPr>
              <w:t>和硕经济开发区清水河综合园区</w:t>
            </w:r>
            <w:r>
              <w:rPr>
                <w:rFonts w:hint="eastAsia" w:cs="Times New Roman"/>
                <w:b w:val="0"/>
                <w:bCs w:val="0"/>
                <w:color w:val="auto"/>
                <w:kern w:val="0"/>
                <w:sz w:val="24"/>
                <w:szCs w:val="24"/>
                <w:lang w:val="en-US" w:eastAsia="zh-CN" w:bidi="ar-SA"/>
              </w:rPr>
              <w:t>（扩园）总体规划（</w:t>
            </w:r>
            <w:r>
              <w:rPr>
                <w:rFonts w:hint="default" w:ascii="Times New Roman" w:hAnsi="Times New Roman" w:eastAsia="宋体" w:cs="Times New Roman"/>
                <w:b w:val="0"/>
                <w:bCs w:val="0"/>
                <w:color w:val="auto"/>
                <w:kern w:val="0"/>
                <w:sz w:val="24"/>
                <w:szCs w:val="24"/>
                <w:lang w:val="en-US" w:eastAsia="zh-CN" w:bidi="ar-SA"/>
              </w:rPr>
              <w:t>20</w:t>
            </w:r>
            <w:r>
              <w:rPr>
                <w:rFonts w:hint="eastAsia" w:ascii="Times New Roman" w:hAnsi="Times New Roman" w:eastAsia="宋体" w:cs="Times New Roman"/>
                <w:b w:val="0"/>
                <w:bCs w:val="0"/>
                <w:color w:val="auto"/>
                <w:kern w:val="0"/>
                <w:sz w:val="24"/>
                <w:szCs w:val="24"/>
                <w:lang w:val="en-US" w:eastAsia="zh-CN" w:bidi="ar-SA"/>
              </w:rPr>
              <w:t>12</w:t>
            </w:r>
            <w:r>
              <w:rPr>
                <w:rFonts w:hint="eastAsia" w:cs="Times New Roman"/>
                <w:b w:val="0"/>
                <w:bCs w:val="0"/>
                <w:color w:val="auto"/>
                <w:kern w:val="0"/>
                <w:sz w:val="24"/>
                <w:szCs w:val="24"/>
                <w:lang w:val="en-US" w:eastAsia="zh-CN" w:bidi="ar-SA"/>
              </w:rPr>
              <w:t>—</w:t>
            </w:r>
            <w:r>
              <w:rPr>
                <w:rFonts w:hint="default" w:ascii="Times New Roman" w:hAnsi="Times New Roman" w:eastAsia="宋体" w:cs="Times New Roman"/>
                <w:b w:val="0"/>
                <w:bCs w:val="0"/>
                <w:color w:val="auto"/>
                <w:kern w:val="0"/>
                <w:sz w:val="24"/>
                <w:szCs w:val="24"/>
                <w:lang w:val="en-US" w:eastAsia="zh-CN" w:bidi="ar-SA"/>
              </w:rPr>
              <w:t>2030年）》，本项目与产业园总体规划的相符性分析见表1-1。</w:t>
            </w:r>
          </w:p>
          <w:p w14:paraId="5B6D9D08">
            <w:pPr>
              <w:pStyle w:val="19"/>
              <w:spacing w:line="240" w:lineRule="auto"/>
              <w:ind w:left="0" w:firstLine="0" w:firstLineChars="0"/>
              <w:jc w:val="center"/>
              <w:rPr>
                <w:rFonts w:hint="default" w:ascii="Times New Roman" w:hAnsi="Times New Roman" w:cs="Times New Roman"/>
                <w:color w:val="auto"/>
              </w:rPr>
            </w:pPr>
            <w:r>
              <w:rPr>
                <w:rFonts w:hint="default" w:ascii="Times New Roman" w:hAnsi="Times New Roman" w:cs="Times New Roman"/>
                <w:b/>
                <w:bCs/>
                <w:color w:val="auto"/>
                <w:sz w:val="21"/>
                <w:szCs w:val="21"/>
              </w:rPr>
              <w:t>表1-1规划相符性分析表</w:t>
            </w:r>
          </w:p>
          <w:tbl>
            <w:tblPr>
              <w:tblStyle w:val="24"/>
              <w:tblW w:w="48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58"/>
              <w:gridCol w:w="2892"/>
              <w:gridCol w:w="833"/>
            </w:tblGrid>
            <w:tr w14:paraId="5C8C6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70" w:type="pct"/>
                  <w:tcBorders>
                    <w:top w:val="single" w:color="auto" w:sz="4" w:space="0"/>
                    <w:left w:val="nil"/>
                    <w:bottom w:val="single" w:color="auto" w:sz="4" w:space="0"/>
                    <w:right w:val="single" w:color="auto" w:sz="4" w:space="0"/>
                  </w:tcBorders>
                  <w:noWrap w:val="0"/>
                  <w:vAlign w:val="center"/>
                </w:tcPr>
                <w:p w14:paraId="48D3D0A9">
                  <w:pPr>
                    <w:keepNext w:val="0"/>
                    <w:keepLines w:val="0"/>
                    <w:widowControl/>
                    <w:suppressLineNumbers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规划内容</w:t>
                  </w:r>
                </w:p>
              </w:tc>
              <w:tc>
                <w:tcPr>
                  <w:tcW w:w="2041" w:type="pct"/>
                  <w:tcBorders>
                    <w:top w:val="single" w:color="auto" w:sz="4" w:space="0"/>
                    <w:left w:val="single" w:color="auto" w:sz="4" w:space="0"/>
                    <w:bottom w:val="single" w:color="auto" w:sz="4" w:space="0"/>
                    <w:right w:val="single" w:color="auto" w:sz="4" w:space="0"/>
                  </w:tcBorders>
                  <w:noWrap w:val="0"/>
                  <w:vAlign w:val="center"/>
                </w:tcPr>
                <w:p w14:paraId="65B24E84">
                  <w:pPr>
                    <w:keepNext w:val="0"/>
                    <w:keepLines w:val="0"/>
                    <w:widowControl/>
                    <w:suppressLineNumbers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本项目情况</w:t>
                  </w:r>
                </w:p>
              </w:tc>
              <w:tc>
                <w:tcPr>
                  <w:tcW w:w="588" w:type="pct"/>
                  <w:tcBorders>
                    <w:top w:val="single" w:color="auto" w:sz="4" w:space="0"/>
                    <w:left w:val="single" w:color="auto" w:sz="4" w:space="0"/>
                    <w:bottom w:val="single" w:color="auto" w:sz="4" w:space="0"/>
                    <w:right w:val="nil"/>
                  </w:tcBorders>
                  <w:noWrap w:val="0"/>
                  <w:vAlign w:val="center"/>
                </w:tcPr>
                <w:p w14:paraId="0996E317">
                  <w:pPr>
                    <w:keepNext w:val="0"/>
                    <w:keepLines w:val="0"/>
                    <w:widowControl/>
                    <w:suppressLineNumbers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w:t>
                  </w:r>
                </w:p>
                <w:p w14:paraId="1DC04CC0">
                  <w:pPr>
                    <w:keepNext w:val="0"/>
                    <w:keepLines w:val="0"/>
                    <w:widowControl/>
                    <w:suppressLineNumbers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50FE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70" w:type="pct"/>
                  <w:tcBorders>
                    <w:top w:val="single" w:color="auto" w:sz="4" w:space="0"/>
                    <w:left w:val="nil"/>
                    <w:bottom w:val="single" w:color="auto" w:sz="4" w:space="0"/>
                    <w:right w:val="single" w:color="auto" w:sz="4" w:space="0"/>
                  </w:tcBorders>
                  <w:noWrap w:val="0"/>
                  <w:vAlign w:val="center"/>
                </w:tcPr>
                <w:p w14:paraId="5865C30C">
                  <w:pPr>
                    <w:keepNext w:val="0"/>
                    <w:keepLines w:val="0"/>
                    <w:widowControl/>
                    <w:suppressLineNumbers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园区主要</w:t>
                  </w:r>
                  <w:r>
                    <w:rPr>
                      <w:rFonts w:hint="eastAsia" w:ascii="Times New Roman" w:hAnsi="Times New Roman" w:eastAsia="宋体" w:cs="Times New Roman"/>
                      <w:color w:val="auto"/>
                      <w:sz w:val="21"/>
                      <w:szCs w:val="21"/>
                      <w:lang w:val="en-US" w:eastAsia="zh-CN"/>
                    </w:rPr>
                    <w:t>以石材加工、综合加工、新型建材、农副产品加工及轻工业加工等为主的综合园区。</w:t>
                  </w:r>
                </w:p>
              </w:tc>
              <w:tc>
                <w:tcPr>
                  <w:tcW w:w="2041" w:type="pct"/>
                  <w:tcBorders>
                    <w:top w:val="single" w:color="auto" w:sz="4" w:space="0"/>
                    <w:left w:val="single" w:color="auto" w:sz="4" w:space="0"/>
                    <w:bottom w:val="single" w:color="auto" w:sz="4" w:space="0"/>
                    <w:right w:val="single" w:color="auto" w:sz="4" w:space="0"/>
                  </w:tcBorders>
                  <w:noWrap w:val="0"/>
                  <w:vAlign w:val="center"/>
                </w:tcPr>
                <w:p w14:paraId="2F4BFC6C">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属于</w:t>
                  </w:r>
                  <w:r>
                    <w:rPr>
                      <w:rFonts w:hint="eastAsia" w:ascii="Times New Roman" w:hAnsi="Times New Roman" w:eastAsia="宋体" w:cs="Times New Roman"/>
                      <w:color w:val="auto"/>
                      <w:sz w:val="21"/>
                      <w:szCs w:val="21"/>
                      <w:lang w:val="en-US" w:eastAsia="zh-CN"/>
                    </w:rPr>
                    <w:t>非金属矿物制品业</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主要生产人造石材，位于和硕县经济开发区清水河综合工业园区</w:t>
                  </w:r>
                  <w:r>
                    <w:rPr>
                      <w:rFonts w:hint="eastAsia" w:cs="Times New Roman"/>
                      <w:color w:val="auto"/>
                      <w:sz w:val="21"/>
                      <w:szCs w:val="21"/>
                      <w:lang w:val="en-US" w:eastAsia="zh-CN"/>
                    </w:rPr>
                    <w:t>石材加工区</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符合园区规划。</w:t>
                  </w:r>
                </w:p>
              </w:tc>
              <w:tc>
                <w:tcPr>
                  <w:tcW w:w="588" w:type="pct"/>
                  <w:tcBorders>
                    <w:top w:val="single" w:color="auto" w:sz="4" w:space="0"/>
                    <w:left w:val="single" w:color="auto" w:sz="4" w:space="0"/>
                    <w:bottom w:val="single" w:color="auto" w:sz="4" w:space="0"/>
                    <w:right w:val="nil"/>
                  </w:tcBorders>
                  <w:noWrap w:val="0"/>
                  <w:vAlign w:val="center"/>
                </w:tcPr>
                <w:p w14:paraId="4A1A69E5">
                  <w:pPr>
                    <w:keepNext w:val="0"/>
                    <w:keepLines w:val="0"/>
                    <w:widowControl/>
                    <w:suppressLineNumbers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01D1E5B8">
            <w:pPr>
              <w:spacing w:line="520" w:lineRule="exact"/>
              <w:ind w:firstLine="420" w:firstLineChars="200"/>
              <w:rPr>
                <w:rFonts w:hint="eastAsia" w:ascii="Times New Roman" w:hAnsi="Times New Roman" w:eastAsia="宋体" w:cs="Times New Roman"/>
                <w:color w:val="auto"/>
                <w:sz w:val="24"/>
                <w:lang w:eastAsia="zh-CN"/>
              </w:rPr>
            </w:pPr>
            <w:r>
              <w:rPr>
                <w:color w:val="auto"/>
                <w:sz w:val="21"/>
              </w:rPr>
              <mc:AlternateContent>
                <mc:Choice Requires="wps">
                  <w:drawing>
                    <wp:anchor distT="0" distB="0" distL="114300" distR="114300" simplePos="0" relativeHeight="251667456" behindDoc="0" locked="0" layoutInCell="1" allowOverlap="1">
                      <wp:simplePos x="0" y="0"/>
                      <wp:positionH relativeFrom="column">
                        <wp:posOffset>2369820</wp:posOffset>
                      </wp:positionH>
                      <wp:positionV relativeFrom="paragraph">
                        <wp:posOffset>1400175</wp:posOffset>
                      </wp:positionV>
                      <wp:extent cx="575945" cy="329565"/>
                      <wp:effectExtent l="225425" t="6350" r="17780" b="64135"/>
                      <wp:wrapNone/>
                      <wp:docPr id="9" name="线形标注 1 9"/>
                      <wp:cNvGraphicFramePr/>
                      <a:graphic xmlns:a="http://schemas.openxmlformats.org/drawingml/2006/main">
                        <a:graphicData uri="http://schemas.microsoft.com/office/word/2010/wordprocessingShape">
                          <wps:wsp>
                            <wps:cNvSpPr/>
                            <wps:spPr>
                              <a:xfrm>
                                <a:off x="4058285" y="5878195"/>
                                <a:ext cx="575945" cy="329565"/>
                              </a:xfrm>
                              <a:prstGeom prst="borderCallout1">
                                <a:avLst>
                                  <a:gd name="adj1" fmla="val 48940"/>
                                  <a:gd name="adj2" fmla="val -882"/>
                                  <a:gd name="adj3" fmla="val 112500"/>
                                  <a:gd name="adj4" fmla="val -38333"/>
                                </a:avLst>
                              </a:pr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6EB1091">
                                  <w:pPr>
                                    <w:jc w:val="center"/>
                                    <w:rPr>
                                      <w:rFonts w:hint="default" w:eastAsia="宋体"/>
                                      <w:color w:val="FFFF00"/>
                                      <w:sz w:val="18"/>
                                      <w:szCs w:val="21"/>
                                      <w:lang w:val="en-US" w:eastAsia="zh-CN"/>
                                    </w:rPr>
                                  </w:pPr>
                                  <w:r>
                                    <w:rPr>
                                      <w:rFonts w:hint="eastAsia"/>
                                      <w:color w:val="FFFF00"/>
                                      <w:sz w:val="18"/>
                                      <w:szCs w:val="21"/>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7" type="#_x0000_t47" style="position:absolute;left:0pt;margin-left:186.6pt;margin-top:110.25pt;height:25.95pt;width:45.35pt;z-index:251667456;v-text-anchor:middle;mso-width-relative:page;mso-height-relative:page;" filled="f" stroked="t" coordsize="21600,21600" o:gfxdata="UEsDBAoAAAAAAIdO4kAAAAAAAAAAAAAAAAAEAAAAZHJzL1BLAwQUAAAACACHTuJAKY5cptsAAAAL&#10;AQAADwAAAGRycy9kb3ducmV2LnhtbE2PwU7DMAyG70i8Q2QkbixdOjZWmk6AhBAXJFYk4OY1pq3W&#10;JKXJ1u7tMSc42v70+/vzzWQ7caQhtN5pmM8SEOQqb1pXa3grH69uQISIzmDnHWk4UYBNcX6WY2b8&#10;6F7puI214BAXMtTQxNhnUoaqIYth5ntyfPvyg8XI41BLM+DI4baTKkmW0mLr+EODPT00VO23B6vh&#10;e/+5frl7xvuPsqdxCqf30uCT1pcX8+QWRKQp/sHwq8/qULDTzh+cCaLTkK5SxagGpZJrEEwsluka&#10;xI43K7UAWeTyf4fiB1BLAwQUAAAACACHTuJAuXw9FrsCAAB2BQAADgAAAGRycy9lMm9Eb2MueG1s&#10;rVTNbtNAEL4j8Q6rvbeOHbuxozpVlKgIqYJKBXHerNex0f6xu4lTXoDXQJy4c0NCPA3lNZhdu60p&#10;PfRADs6M5/O3883Pnp4dBEd7ZmyrZInj4wlGTFJVtXJb4rdvzo9yjKwjsiJcSVbia2bx2eL5s9NO&#10;z1miGsUrZhCQSDvvdIkb5/Q8iixtmCD2WGkmIVgrI4gD12yjypAO2AWPksnkJOqUqbRRlFkLb9d9&#10;EA+M5imEqq5bytaK7gSTrmc1jBMHkmzTaosXIdu6ZtS9rmvLHOIlBqUuPOEQsDf+GS1OyXxriG5a&#10;OqRAnpLCA02CtBIOvaNaE0fQzrT/UImWGmVV7Y6pElEvJFQEVMSTB7W5aohmQQuU2uq7otv/R0tf&#10;7S8NaqsSFxhJIqDhv7///PXjy83nTzffvqIYFb5GnbZzgF7pSzN4Fkwv+FAb4f9BCjqUOJ1keZJn&#10;GF2XOMtneVxkfY3ZwSEKgGyWFSnEKQCmSZGdhHh0T6SNdS+YEsgbJd7AtDCzIpyrnYtDjcn+wrpQ&#10;7GpImVTvY4xqwaF3e8JRmhfpbW9HmGSMOcrzZGj/CDIdQ+I4ySaP8KRj0NE0n06nnglEDKmBdSvD&#10;5ynVect5GDUuUQdbl8yAF1EC+1PD3IIpNPTAyi1GhG9hMakzQaxVvK38557Imu1mxQ0CjTC84Tcc&#10;/BfMn70mtulxITTAuIQ0fTP79nnLHTaHoacbVV3DNBjVr4nV9LwFqgti3SUxUFvIGW4O9xoeNVcg&#10;RA0WRo0yHx977/EwrhDFqIM9A5EfdsQwjPhLCYNcxCm0CrngpNksAceMI5txRO7ESoF26DZkF0yP&#10;d/zWrI0S72Bklv5UCBFJ4ey+nIOzcv3+wxVF2XIZYLCMmrgLeaWpJ++bttw5VbfOd9YXqq/O4MA6&#10;hoYPV4ff97EfUPfX5e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KY5cptsAAAALAQAADwAAAAAA&#10;AAABACAAAAAiAAAAZHJzL2Rvd25yZXYueG1sUEsBAhQAFAAAAAgAh07iQLl8PRa7AgAAdgUAAA4A&#10;AAAAAAAAAQAgAAAAKgEAAGRycy9lMm9Eb2MueG1sUEsFBgAAAAAGAAYAWQEAAFcGAAAAAA==&#10;" adj="-8280,24300,-191,10571">
                      <v:fill on="f" focussize="0,0"/>
                      <v:stroke weight="1pt" color="#000000 [3213]" joinstyle="round"/>
                      <v:imagedata o:title=""/>
                      <o:lock v:ext="edit" aspectratio="f"/>
                      <v:textbox>
                        <w:txbxContent>
                          <w:p w14:paraId="26EB1091">
                            <w:pPr>
                              <w:jc w:val="center"/>
                              <w:rPr>
                                <w:rFonts w:hint="default" w:eastAsia="宋体"/>
                                <w:color w:val="FFFF00"/>
                                <w:sz w:val="18"/>
                                <w:szCs w:val="21"/>
                                <w:lang w:val="en-US" w:eastAsia="zh-CN"/>
                              </w:rPr>
                            </w:pPr>
                            <w:r>
                              <w:rPr>
                                <w:rFonts w:hint="eastAsia"/>
                                <w:color w:val="FFFF00"/>
                                <w:sz w:val="18"/>
                                <w:szCs w:val="21"/>
                                <w:lang w:val="en-US" w:eastAsia="zh-CN"/>
                              </w:rPr>
                              <w:t>本项目</w:t>
                            </w:r>
                          </w:p>
                        </w:txbxContent>
                      </v:textbox>
                    </v:shape>
                  </w:pict>
                </mc:Fallback>
              </mc:AlternateContent>
            </w:r>
            <w:r>
              <w:rPr>
                <w:color w:val="auto"/>
                <w:sz w:val="21"/>
              </w:rPr>
              <mc:AlternateContent>
                <mc:Choice Requires="wps">
                  <w:drawing>
                    <wp:anchor distT="0" distB="0" distL="114300" distR="114300" simplePos="0" relativeHeight="251666432" behindDoc="0" locked="0" layoutInCell="1" allowOverlap="1">
                      <wp:simplePos x="0" y="0"/>
                      <wp:positionH relativeFrom="column">
                        <wp:posOffset>2086610</wp:posOffset>
                      </wp:positionH>
                      <wp:positionV relativeFrom="paragraph">
                        <wp:posOffset>1726565</wp:posOffset>
                      </wp:positionV>
                      <wp:extent cx="76200" cy="76200"/>
                      <wp:effectExtent l="12700" t="12700" r="25400" b="25400"/>
                      <wp:wrapNone/>
                      <wp:docPr id="7" name="椭圆 7"/>
                      <wp:cNvGraphicFramePr/>
                      <a:graphic xmlns:a="http://schemas.openxmlformats.org/drawingml/2006/main">
                        <a:graphicData uri="http://schemas.microsoft.com/office/word/2010/wordprocessingShape">
                          <wps:wsp>
                            <wps:cNvSpPr/>
                            <wps:spPr>
                              <a:xfrm>
                                <a:off x="3996055" y="6270625"/>
                                <a:ext cx="76200" cy="76200"/>
                              </a:xfrm>
                              <a:prstGeom prst="ellips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64.3pt;margin-top:135.95pt;height:6pt;width:6pt;z-index:251666432;v-text-anchor:middle;mso-width-relative:page;mso-height-relative:page;" fillcolor="#FF0000" filled="t" stroked="t" coordsize="21600,21600" o:gfxdata="UEsDBAoAAAAAAIdO4kAAAAAAAAAAAAAAAAAEAAAAZHJzL1BLAwQUAAAACACHTuJAO9XM19cAAAAL&#10;AQAADwAAAGRycy9kb3ducmV2LnhtbE2Py07DMBBF90j8gzVI7KidBCVpGqcLJJZIUB5rJzZx1Hgc&#10;2W5a+HqGFSznztGdM+3+4ma2mhAnjxKyjQBmcPB6wlHC2+vjXQ0sJoVazR6NhC8TYd9dX7Wq0f6M&#10;L2Y9pJFRCcZGSbApLQ3ncbDGqbjxi0HaffrgVKIxjFwHdaZyN/NciJI7NSFdsGoxD9YMx8PJSfiu&#10;CruGWL5/1E/P+SpCnwaspLy9ycQOWDKX9AfDrz6pQ0dOvT+hjmyWUOR1SaiEvMq2wIgo7gUlPSV1&#10;sQXetfz/D90PUEsDBBQAAAAIAIdO4kDy1Id2agIAAOkEAAAOAAAAZHJzL2Uyb0RvYy54bWytVEuO&#10;EzEQ3SNxB8t7pjshHyaaziiaKAhpBCMNiLXjdqct+YftpDMcgFOwZMux4Bw8u3u+sJgFWThVrupX&#10;Va+qfHZ+1IochA/SmoqOTkpKhOG2lmZX0U8fN6/eUBIiMzVT1oiK3ohAz5cvX5x1biHGtrWqFp4A&#10;xIRF5yraxugWRRF4KzQLJ9YJA2NjvWYRqt8VtWcd0LUqxmU5Kzrra+ctFyHgdt0b6YDonwNom0Zy&#10;sbZ8r4WJPaoXikWUFFrpAl3mbJtG8PihaYKIRFUUlcZ8IgjkbTqL5Rlb7DxzreRDCuw5KTypSTNp&#10;EPQOas0iI3sv/4LSknsbbBNPuNVFX0hmBFWMyifcXLfMiVwLqA7ujvTw/2D5+8OVJ7Ku6JwSwzQa&#10;/vvHz1/fv5F54qZzYQGXa3flBy1ATIUeG6/TP0ogx4q+Pj2dldMpJTcVnY3n5Ww87bkVx0g4HOYz&#10;NJ8SDnsvAq+4h3E+xLfCapKEigql0MZUO1uww2WIvfetV7oOVsl6I5XKit9tL5QnB4Y+bzYlfik8&#10;AjxyU4Z0FR1PJzkVhultMDXISjswEMyOEqZ2WAsefY796OvwvCApyTULbZ9MRhhyUQYpJUp7EpO0&#10;tfUNGuBtP5nB8Y3E95csxCvmMYrgDMsaP+BolEX2dpAoaa3/+q/75I8JgZWSDqONyr7smReUqHcG&#10;s3M6mkzSLmRlMp2PofiHlu1Di9nrCwtWR3gWHM9i8o/qVmy81Z+x06sUFSZmOGL3HA7KRexXDq8C&#10;F6tVdsP8OxYvzbXjCTx10djVPtpG5m7fszOQhg3IHR22Na3YQz173b9Qy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71czX1wAAAAsBAAAPAAAAAAAAAAEAIAAAACIAAABkcnMvZG93bnJldi54bWxQ&#10;SwECFAAUAAAACACHTuJA8tSHdmoCAADpBAAADgAAAAAAAAABACAAAAAmAQAAZHJzL2Uyb0RvYy54&#10;bWxQSwUGAAAAAAYABgBZAQAAAgYAAAAA&#10;">
                      <v:fill on="t" focussize="0,0"/>
                      <v:stroke weight="2pt" color="#FF0000 [2404]" joinstyle="round"/>
                      <v:imagedata o:title=""/>
                      <o:lock v:ext="edit" aspectratio="f"/>
                    </v:shape>
                  </w:pict>
                </mc:Fallback>
              </mc:AlternateContent>
            </w:r>
            <w:r>
              <w:rPr>
                <w:color w:val="auto"/>
              </w:rPr>
              <w:drawing>
                <wp:anchor distT="0" distB="0" distL="114300" distR="114300" simplePos="0" relativeHeight="251665408" behindDoc="0" locked="0" layoutInCell="1" allowOverlap="1">
                  <wp:simplePos x="0" y="0"/>
                  <wp:positionH relativeFrom="column">
                    <wp:posOffset>-6985</wp:posOffset>
                  </wp:positionH>
                  <wp:positionV relativeFrom="paragraph">
                    <wp:posOffset>255905</wp:posOffset>
                  </wp:positionV>
                  <wp:extent cx="4602480" cy="3159760"/>
                  <wp:effectExtent l="0" t="0" r="7620" b="2540"/>
                  <wp:wrapTopAndBottom/>
                  <wp:docPr id="6" name="图片 1"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C:/Users/Administrator/Desktop/图片1.png图片1"/>
                          <pic:cNvPicPr>
                            <a:picLocks noChangeAspect="1"/>
                          </pic:cNvPicPr>
                        </pic:nvPicPr>
                        <pic:blipFill>
                          <a:blip r:embed="rId20"/>
                          <a:srcRect l="10" r="10"/>
                          <a:stretch>
                            <a:fillRect/>
                          </a:stretch>
                        </pic:blipFill>
                        <pic:spPr>
                          <a:xfrm>
                            <a:off x="0" y="0"/>
                            <a:ext cx="4602480" cy="3159760"/>
                          </a:xfrm>
                          <a:prstGeom prst="rect">
                            <a:avLst/>
                          </a:prstGeom>
                          <a:noFill/>
                          <a:ln>
                            <a:noFill/>
                          </a:ln>
                        </pic:spPr>
                      </pic:pic>
                    </a:graphicData>
                  </a:graphic>
                </wp:anchor>
              </w:drawing>
            </w:r>
          </w:p>
          <w:p w14:paraId="458691ED">
            <w:pPr>
              <w:spacing w:line="240" w:lineRule="auto"/>
              <w:ind w:firstLine="422" w:firstLineChars="200"/>
              <w:jc w:val="center"/>
              <w:rPr>
                <w:rFonts w:hint="default" w:ascii="Times New Roman" w:hAnsi="Times New Roman" w:cs="Times New Roman"/>
                <w:b/>
                <w:bCs/>
                <w:color w:val="auto"/>
                <w:sz w:val="32"/>
                <w:szCs w:val="32"/>
              </w:rPr>
            </w:pPr>
            <w:r>
              <w:rPr>
                <w:rFonts w:hint="eastAsia"/>
                <w:b/>
                <w:bCs/>
                <w:color w:val="auto"/>
                <w:sz w:val="21"/>
                <w:szCs w:val="21"/>
                <w:lang w:val="en-US" w:eastAsia="zh-CN"/>
              </w:rPr>
              <w:t>图1-1</w:t>
            </w:r>
            <w:r>
              <w:rPr>
                <w:rFonts w:hint="eastAsia"/>
                <w:b/>
                <w:bCs/>
                <w:color w:val="auto"/>
                <w:sz w:val="21"/>
                <w:szCs w:val="21"/>
                <w:lang w:eastAsia="zh-CN"/>
              </w:rPr>
              <w:t>园区产业布局规划位置关系图</w:t>
            </w:r>
          </w:p>
          <w:p w14:paraId="0DF4FDCB">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本项目与规划环评审查意见的相符性分析见表1-2。</w:t>
            </w:r>
          </w:p>
          <w:p w14:paraId="00BEDF4A">
            <w:pPr>
              <w:pStyle w:val="19"/>
              <w:spacing w:line="520" w:lineRule="exact"/>
              <w:ind w:left="0" w:firstLine="0" w:firstLineChars="0"/>
              <w:jc w:val="center"/>
              <w:rPr>
                <w:rFonts w:hint="default" w:ascii="Times New Roman" w:hAnsi="Times New Roman" w:cs="Times New Roman"/>
                <w:b/>
                <w:bCs/>
                <w:color w:val="auto"/>
                <w:sz w:val="24"/>
              </w:rPr>
            </w:pPr>
          </w:p>
          <w:p w14:paraId="1D6EE0B7">
            <w:pPr>
              <w:pStyle w:val="19"/>
              <w:spacing w:line="520" w:lineRule="exact"/>
              <w:ind w:left="0" w:firstLine="0" w:firstLineChars="0"/>
              <w:jc w:val="center"/>
              <w:rPr>
                <w:rFonts w:hint="default" w:ascii="Times New Roman" w:hAnsi="Times New Roman" w:cs="Times New Roman"/>
                <w:b/>
                <w:bCs/>
                <w:color w:val="auto"/>
                <w:sz w:val="24"/>
              </w:rPr>
            </w:pPr>
          </w:p>
          <w:p w14:paraId="1DE8FA12">
            <w:pPr>
              <w:rPr>
                <w:rFonts w:hint="default" w:ascii="Times New Roman" w:hAnsi="Times New Roman" w:cs="Times New Roman"/>
                <w:b/>
                <w:bCs/>
                <w:color w:val="auto"/>
                <w:sz w:val="24"/>
              </w:rPr>
            </w:pPr>
          </w:p>
          <w:p w14:paraId="7058A1D0">
            <w:pPr>
              <w:pStyle w:val="6"/>
              <w:rPr>
                <w:rFonts w:hint="default"/>
              </w:rPr>
            </w:pPr>
          </w:p>
          <w:p w14:paraId="3E0DDCE6">
            <w:pPr>
              <w:rPr>
                <w:rFonts w:hint="default" w:ascii="Times New Roman" w:hAnsi="Times New Roman" w:cs="Times New Roman"/>
                <w:b/>
                <w:bCs/>
                <w:color w:val="auto"/>
                <w:sz w:val="24"/>
              </w:rPr>
            </w:pPr>
          </w:p>
          <w:p w14:paraId="4B2220DF">
            <w:pPr>
              <w:pStyle w:val="6"/>
              <w:rPr>
                <w:rFonts w:hint="default"/>
              </w:rPr>
            </w:pPr>
          </w:p>
          <w:p w14:paraId="02402BDA">
            <w:pPr>
              <w:pStyle w:val="19"/>
              <w:spacing w:line="240" w:lineRule="auto"/>
              <w:ind w:left="0" w:firstLine="0" w:firstLineChars="0"/>
              <w:jc w:val="center"/>
              <w:rPr>
                <w:rFonts w:hint="default" w:ascii="Times New Roman" w:hAnsi="Times New Roman" w:cs="Times New Roman"/>
                <w:color w:val="auto"/>
              </w:rPr>
            </w:pPr>
            <w:r>
              <w:rPr>
                <w:rFonts w:hint="default" w:ascii="Times New Roman" w:hAnsi="Times New Roman" w:cs="Times New Roman"/>
                <w:b/>
                <w:bCs/>
                <w:color w:val="auto"/>
                <w:sz w:val="21"/>
                <w:szCs w:val="21"/>
              </w:rPr>
              <w:t>表1-2规划环评审查意见的相符性分析</w:t>
            </w:r>
          </w:p>
          <w:tbl>
            <w:tblPr>
              <w:tblStyle w:val="24"/>
              <w:tblW w:w="48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1"/>
              <w:gridCol w:w="2654"/>
              <w:gridCol w:w="741"/>
            </w:tblGrid>
            <w:tr w14:paraId="14137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04" w:type="pct"/>
                  <w:tcBorders>
                    <w:top w:val="single" w:color="auto" w:sz="4" w:space="0"/>
                    <w:left w:val="nil"/>
                    <w:bottom w:val="single" w:color="auto" w:sz="4" w:space="0"/>
                    <w:right w:val="single" w:color="auto" w:sz="4" w:space="0"/>
                  </w:tcBorders>
                  <w:shd w:val="clear" w:color="auto" w:fill="auto"/>
                  <w:noWrap w:val="0"/>
                  <w:vAlign w:val="center"/>
                </w:tcPr>
                <w:p w14:paraId="5B99009F">
                  <w:pPr>
                    <w:keepNext w:val="0"/>
                    <w:keepLines w:val="0"/>
                    <w:pageBreakBefore w:val="0"/>
                    <w:widowControl w:val="0"/>
                    <w:kinsoku/>
                    <w:wordWrap/>
                    <w:overflowPunct/>
                    <w:topLinePunct w:val="0"/>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规划环评审查意见</w:t>
                  </w:r>
                </w:p>
              </w:tc>
              <w:tc>
                <w:tcPr>
                  <w:tcW w:w="187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27E4C2F">
                  <w:pPr>
                    <w:keepNext w:val="0"/>
                    <w:keepLines w:val="0"/>
                    <w:pageBreakBefore w:val="0"/>
                    <w:widowControl w:val="0"/>
                    <w:kinsoku/>
                    <w:wordWrap/>
                    <w:overflowPunct/>
                    <w:topLinePunct w:val="0"/>
                    <w:bidi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本项目情况</w:t>
                  </w:r>
                </w:p>
              </w:tc>
              <w:tc>
                <w:tcPr>
                  <w:tcW w:w="522" w:type="pct"/>
                  <w:tcBorders>
                    <w:top w:val="single" w:color="auto" w:sz="4" w:space="0"/>
                    <w:left w:val="single" w:color="auto" w:sz="4" w:space="0"/>
                    <w:bottom w:val="single" w:color="auto" w:sz="4" w:space="0"/>
                    <w:right w:val="nil"/>
                  </w:tcBorders>
                  <w:shd w:val="clear" w:color="auto" w:fill="auto"/>
                  <w:noWrap w:val="0"/>
                  <w:vAlign w:val="center"/>
                </w:tcPr>
                <w:p w14:paraId="3EBDB0FC">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是否符合</w:t>
                  </w:r>
                </w:p>
              </w:tc>
            </w:tr>
            <w:tr w14:paraId="74402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04" w:type="pct"/>
                  <w:tcBorders>
                    <w:top w:val="single" w:color="auto" w:sz="4" w:space="0"/>
                    <w:left w:val="nil"/>
                    <w:bottom w:val="single" w:color="auto" w:sz="4" w:space="0"/>
                    <w:right w:val="single" w:color="auto" w:sz="4" w:space="0"/>
                  </w:tcBorders>
                  <w:noWrap w:val="0"/>
                  <w:vAlign w:val="center"/>
                </w:tcPr>
                <w:p w14:paraId="58E820A5">
                  <w:pPr>
                    <w:keepNext w:val="0"/>
                    <w:keepLines w:val="0"/>
                    <w:pageBreakBefore w:val="0"/>
                    <w:widowControl w:val="0"/>
                    <w:kinsoku/>
                    <w:wordWrap/>
                    <w:overflowPunct/>
                    <w:topLinePunct w:val="0"/>
                    <w:bidi w:val="0"/>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应统一规划园区的排水系统</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污水处理系统和中水回用系统</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必须按照</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清污分流</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污污分治</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的原则规划、设计和建设</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逐步建成完整的排水和中水回用体系。做好园区初期雨水的收集</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生产废水</w:t>
                  </w:r>
                  <w:r>
                    <w:rPr>
                      <w:rFonts w:hint="eastAsia" w:cs="Times New Roman"/>
                      <w:color w:val="auto"/>
                      <w:sz w:val="21"/>
                      <w:szCs w:val="21"/>
                      <w:lang w:eastAsia="zh-CN"/>
                    </w:rPr>
                    <w:t>应</w:t>
                  </w:r>
                  <w:r>
                    <w:rPr>
                      <w:rFonts w:hint="default" w:ascii="Times New Roman" w:hAnsi="Times New Roman" w:eastAsia="宋体" w:cs="Times New Roman"/>
                      <w:color w:val="auto"/>
                      <w:sz w:val="21"/>
                      <w:szCs w:val="21"/>
                    </w:rPr>
                    <w:t>循环使用</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生活污水经处理达到相应标准后综合利用。应配套建设工业固废处置场</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产生的固废优先综合利用</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不能利用的按规范安全处置。</w:t>
                  </w:r>
                </w:p>
              </w:tc>
              <w:tc>
                <w:tcPr>
                  <w:tcW w:w="1872" w:type="pct"/>
                  <w:tcBorders>
                    <w:top w:val="single" w:color="auto" w:sz="4" w:space="0"/>
                    <w:left w:val="single" w:color="auto" w:sz="4" w:space="0"/>
                    <w:bottom w:val="single" w:color="auto" w:sz="4" w:space="0"/>
                    <w:right w:val="single" w:color="auto" w:sz="4" w:space="0"/>
                  </w:tcBorders>
                  <w:noWrap w:val="0"/>
                  <w:vAlign w:val="center"/>
                </w:tcPr>
                <w:p w14:paraId="6B49CFAB">
                  <w:pPr>
                    <w:keepNext w:val="0"/>
                    <w:keepLines w:val="0"/>
                    <w:pageBreakBefore w:val="0"/>
                    <w:widowControl w:val="0"/>
                    <w:kinsoku/>
                    <w:wordWrap/>
                    <w:overflowPunct/>
                    <w:topLinePunct w:val="0"/>
                    <w:bidi w:val="0"/>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eastAsia" w:cs="Times New Roman"/>
                      <w:color w:val="auto"/>
                      <w:sz w:val="21"/>
                      <w:szCs w:val="21"/>
                      <w:lang w:val="en-US" w:eastAsia="zh-CN"/>
                    </w:rPr>
                    <w:t>供水由园区统一提供，原料清洗产生的废水经四级沉淀处理后循环使用，不外排；生活污水排入项目区化粪池，定期清运至和硕县污水处理厂处理；生活垃圾统一收集后由环卫部门统一处理。</w:t>
                  </w:r>
                </w:p>
              </w:tc>
              <w:tc>
                <w:tcPr>
                  <w:tcW w:w="522" w:type="pct"/>
                  <w:tcBorders>
                    <w:top w:val="single" w:color="auto" w:sz="4" w:space="0"/>
                    <w:left w:val="single" w:color="auto" w:sz="4" w:space="0"/>
                    <w:bottom w:val="single" w:color="auto" w:sz="4" w:space="0"/>
                    <w:right w:val="nil"/>
                  </w:tcBorders>
                  <w:noWrap w:val="0"/>
                  <w:vAlign w:val="center"/>
                </w:tcPr>
                <w:p w14:paraId="26D5D083">
                  <w:pPr>
                    <w:keepNext w:val="0"/>
                    <w:keepLines w:val="0"/>
                    <w:pageBreakBefore w:val="0"/>
                    <w:widowControl w:val="0"/>
                    <w:kinsoku/>
                    <w:wordWrap/>
                    <w:overflowPunct/>
                    <w:topLinePunct w:val="0"/>
                    <w:bidi w:val="0"/>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2E44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04" w:type="pct"/>
                  <w:tcBorders>
                    <w:top w:val="single" w:color="auto" w:sz="4" w:space="0"/>
                    <w:left w:val="nil"/>
                    <w:bottom w:val="single" w:color="auto" w:sz="4" w:space="0"/>
                    <w:right w:val="single" w:color="auto" w:sz="4" w:space="0"/>
                  </w:tcBorders>
                  <w:noWrap w:val="0"/>
                  <w:vAlign w:val="center"/>
                </w:tcPr>
                <w:p w14:paraId="67BBB241">
                  <w:pPr>
                    <w:keepNext w:val="0"/>
                    <w:keepLines w:val="0"/>
                    <w:pageBreakBefore w:val="0"/>
                    <w:widowControl w:val="0"/>
                    <w:kinsoku/>
                    <w:wordWrap/>
                    <w:overflowPunct/>
                    <w:topLinePunct w:val="0"/>
                    <w:bidi w:val="0"/>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严格设置园区企业的环境准入标准</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入园企业的清洁生产水平必须达到国内先进水平。</w:t>
                  </w:r>
                </w:p>
              </w:tc>
              <w:tc>
                <w:tcPr>
                  <w:tcW w:w="1872" w:type="pct"/>
                  <w:tcBorders>
                    <w:top w:val="single" w:color="auto" w:sz="4" w:space="0"/>
                    <w:left w:val="single" w:color="auto" w:sz="4" w:space="0"/>
                    <w:bottom w:val="single" w:color="auto" w:sz="4" w:space="0"/>
                    <w:right w:val="single" w:color="auto" w:sz="4" w:space="0"/>
                  </w:tcBorders>
                  <w:noWrap w:val="0"/>
                  <w:vAlign w:val="center"/>
                </w:tcPr>
                <w:p w14:paraId="1B6220A9">
                  <w:pPr>
                    <w:keepNext w:val="0"/>
                    <w:keepLines w:val="0"/>
                    <w:pageBreakBefore w:val="0"/>
                    <w:widowControl w:val="0"/>
                    <w:kinsoku/>
                    <w:wordWrap/>
                    <w:overflowPunct/>
                    <w:topLinePunct w:val="0"/>
                    <w:bidi w:val="0"/>
                    <w:ind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本项目生产采用电等清洁能源，生产设备均安放在密闭厂房内，大部分设备均为封闭设备，符合清洁生产要求。</w:t>
                  </w:r>
                </w:p>
              </w:tc>
              <w:tc>
                <w:tcPr>
                  <w:tcW w:w="522" w:type="pct"/>
                  <w:tcBorders>
                    <w:top w:val="single" w:color="auto" w:sz="4" w:space="0"/>
                    <w:left w:val="single" w:color="auto" w:sz="4" w:space="0"/>
                    <w:bottom w:val="single" w:color="auto" w:sz="4" w:space="0"/>
                    <w:right w:val="nil"/>
                  </w:tcBorders>
                  <w:noWrap w:val="0"/>
                  <w:vAlign w:val="center"/>
                </w:tcPr>
                <w:p w14:paraId="1CC8F156">
                  <w:pPr>
                    <w:keepNext w:val="0"/>
                    <w:keepLines w:val="0"/>
                    <w:pageBreakBefore w:val="0"/>
                    <w:widowControl w:val="0"/>
                    <w:kinsoku/>
                    <w:wordWrap/>
                    <w:overflowPunct/>
                    <w:topLinePunct w:val="0"/>
                    <w:bidi w:val="0"/>
                    <w:ind w:firstLine="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符合</w:t>
                  </w:r>
                </w:p>
              </w:tc>
            </w:tr>
            <w:tr w14:paraId="7AB16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04" w:type="pct"/>
                  <w:tcBorders>
                    <w:top w:val="single" w:color="auto" w:sz="4" w:space="0"/>
                    <w:left w:val="nil"/>
                    <w:bottom w:val="single" w:color="auto" w:sz="4" w:space="0"/>
                    <w:right w:val="single" w:color="auto" w:sz="4" w:space="0"/>
                  </w:tcBorders>
                  <w:noWrap w:val="0"/>
                  <w:vAlign w:val="center"/>
                </w:tcPr>
                <w:p w14:paraId="04763C3D">
                  <w:pPr>
                    <w:keepNext w:val="0"/>
                    <w:keepLines w:val="0"/>
                    <w:pageBreakBefore w:val="0"/>
                    <w:widowControl w:val="0"/>
                    <w:kinsoku/>
                    <w:wordWrap/>
                    <w:overflowPunct/>
                    <w:topLinePunct w:val="0"/>
                    <w:bidi w:val="0"/>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根据园区产业定位和用地布局</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对目前园区不符合功能定位要求的企业提出关停或搬迁计划。</w:t>
                  </w:r>
                </w:p>
              </w:tc>
              <w:tc>
                <w:tcPr>
                  <w:tcW w:w="1872" w:type="pct"/>
                  <w:tcBorders>
                    <w:top w:val="single" w:color="auto" w:sz="4" w:space="0"/>
                    <w:left w:val="single" w:color="auto" w:sz="4" w:space="0"/>
                    <w:bottom w:val="single" w:color="auto" w:sz="4" w:space="0"/>
                    <w:right w:val="single" w:color="auto" w:sz="4" w:space="0"/>
                  </w:tcBorders>
                  <w:noWrap w:val="0"/>
                  <w:vAlign w:val="center"/>
                </w:tcPr>
                <w:p w14:paraId="10FDFDE8">
                  <w:pPr>
                    <w:keepNext w:val="0"/>
                    <w:keepLines w:val="0"/>
                    <w:pageBreakBefore w:val="0"/>
                    <w:widowControl w:val="0"/>
                    <w:kinsoku/>
                    <w:wordWrap/>
                    <w:overflowPunct/>
                    <w:topLinePunct w:val="0"/>
                    <w:bidi w:val="0"/>
                    <w:ind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本项目位于和硕经济开发区清水河综合园区，园区定位为石材加工、综合加工、新型建材、农副产品加工及轻工业加工等为主的综合园区。本项目为人造石加工项目，位于园区石材加工区，符合园区产业定位。</w:t>
                  </w:r>
                </w:p>
              </w:tc>
              <w:tc>
                <w:tcPr>
                  <w:tcW w:w="522" w:type="pct"/>
                  <w:tcBorders>
                    <w:top w:val="single" w:color="auto" w:sz="4" w:space="0"/>
                    <w:left w:val="single" w:color="auto" w:sz="4" w:space="0"/>
                    <w:bottom w:val="single" w:color="auto" w:sz="4" w:space="0"/>
                    <w:right w:val="nil"/>
                  </w:tcBorders>
                  <w:noWrap w:val="0"/>
                  <w:vAlign w:val="center"/>
                </w:tcPr>
                <w:p w14:paraId="71902A9D">
                  <w:pPr>
                    <w:keepNext w:val="0"/>
                    <w:keepLines w:val="0"/>
                    <w:pageBreakBefore w:val="0"/>
                    <w:widowControl w:val="0"/>
                    <w:kinsoku/>
                    <w:wordWrap/>
                    <w:overflowPunct/>
                    <w:topLinePunct w:val="0"/>
                    <w:bidi w:val="0"/>
                    <w:ind w:firstLine="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符合</w:t>
                  </w:r>
                </w:p>
              </w:tc>
            </w:tr>
          </w:tbl>
          <w:p w14:paraId="0B553EE7">
            <w:pPr>
              <w:autoSpaceDE w:val="0"/>
              <w:autoSpaceDN w:val="0"/>
              <w:adjustRightInd w:val="0"/>
              <w:snapToGrid w:val="0"/>
              <w:jc w:val="center"/>
              <w:rPr>
                <w:rFonts w:hint="default" w:ascii="Times New Roman" w:hAnsi="Times New Roman" w:cs="Times New Roman"/>
                <w:color w:val="auto"/>
                <w:kern w:val="0"/>
                <w:szCs w:val="21"/>
              </w:rPr>
            </w:pPr>
          </w:p>
        </w:tc>
      </w:tr>
      <w:tr w14:paraId="724A8B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402" w:type="dxa"/>
            <w:noWrap w:val="0"/>
            <w:vAlign w:val="center"/>
          </w:tcPr>
          <w:p w14:paraId="684ABCC3">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其他符合性分析</w:t>
            </w:r>
          </w:p>
        </w:tc>
        <w:tc>
          <w:tcPr>
            <w:tcW w:w="7468" w:type="dxa"/>
            <w:gridSpan w:val="3"/>
            <w:noWrap w:val="0"/>
            <w:vAlign w:val="center"/>
          </w:tcPr>
          <w:p w14:paraId="04406B4E">
            <w:pPr>
              <w:keepNext w:val="0"/>
              <w:keepLines w:val="0"/>
              <w:suppressLineNumbers w:val="0"/>
              <w:spacing w:before="0" w:beforeAutospacing="0" w:after="0" w:afterAutospacing="0" w:line="500" w:lineRule="exact"/>
              <w:ind w:left="0" w:right="0" w:firstLine="482" w:firstLineChars="200"/>
              <w:rPr>
                <w:rFonts w:hint="default" w:ascii="Times New Roman" w:hAnsi="Times New Roman" w:cs="Times New Roman"/>
                <w:b/>
                <w:color w:val="auto"/>
                <w:kern w:val="0"/>
                <w:sz w:val="24"/>
                <w:lang w:bidi="ar"/>
              </w:rPr>
            </w:pPr>
            <w:r>
              <w:rPr>
                <w:rFonts w:hint="eastAsia" w:ascii="Times New Roman" w:hAnsi="Times New Roman" w:cs="Times New Roman"/>
                <w:b/>
                <w:color w:val="auto"/>
                <w:kern w:val="0"/>
                <w:sz w:val="24"/>
                <w:lang w:val="en-US" w:eastAsia="zh-CN" w:bidi="ar"/>
              </w:rPr>
              <w:t>1</w:t>
            </w:r>
            <w:r>
              <w:rPr>
                <w:rFonts w:hint="default" w:ascii="Times New Roman" w:hAnsi="Times New Roman" w:cs="Times New Roman"/>
                <w:b/>
                <w:color w:val="auto"/>
                <w:kern w:val="0"/>
                <w:sz w:val="24"/>
                <w:lang w:val="en-US" w:eastAsia="zh-CN" w:bidi="ar"/>
              </w:rPr>
              <w:t>.</w:t>
            </w:r>
            <w:r>
              <w:rPr>
                <w:rFonts w:hint="default" w:ascii="Times New Roman" w:hAnsi="Times New Roman" w:cs="Times New Roman"/>
                <w:b/>
                <w:color w:val="auto"/>
                <w:kern w:val="0"/>
                <w:sz w:val="24"/>
                <w:lang w:bidi="ar"/>
              </w:rPr>
              <w:t>产业政策</w:t>
            </w:r>
            <w:r>
              <w:rPr>
                <w:rFonts w:hint="eastAsia" w:cs="Times New Roman"/>
                <w:b/>
                <w:color w:val="auto"/>
                <w:kern w:val="0"/>
                <w:sz w:val="24"/>
                <w:lang w:eastAsia="zh-CN" w:bidi="ar"/>
              </w:rPr>
              <w:t>合理性</w:t>
            </w:r>
            <w:r>
              <w:rPr>
                <w:rFonts w:hint="default" w:ascii="Times New Roman" w:hAnsi="Times New Roman" w:cs="Times New Roman"/>
                <w:b/>
                <w:color w:val="auto"/>
                <w:kern w:val="0"/>
                <w:sz w:val="24"/>
                <w:lang w:bidi="ar"/>
              </w:rPr>
              <w:t>分析</w:t>
            </w:r>
          </w:p>
          <w:p w14:paraId="3924EFEF">
            <w:pPr>
              <w:spacing w:line="52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w:t>
            </w:r>
            <w:r>
              <w:rPr>
                <w:rFonts w:hint="eastAsia" w:ascii="Times New Roman" w:hAnsi="Times New Roman" w:eastAsia="宋体" w:cs="Times New Roman"/>
                <w:color w:val="auto"/>
                <w:sz w:val="24"/>
                <w:lang w:eastAsia="zh-CN"/>
              </w:rPr>
              <w:t>为</w:t>
            </w:r>
            <w:r>
              <w:rPr>
                <w:rFonts w:hint="eastAsia" w:cs="Times New Roman"/>
                <w:color w:val="auto"/>
                <w:sz w:val="24"/>
                <w:lang w:val="en-US" w:eastAsia="zh-CN"/>
              </w:rPr>
              <w:t>人造石材</w:t>
            </w:r>
            <w:r>
              <w:rPr>
                <w:rFonts w:hint="eastAsia" w:ascii="Times New Roman" w:hAnsi="Times New Roman" w:eastAsia="宋体" w:cs="Times New Roman"/>
                <w:color w:val="auto"/>
                <w:sz w:val="24"/>
                <w:lang w:eastAsia="zh-CN"/>
              </w:rPr>
              <w:t>项目</w:t>
            </w:r>
            <w:r>
              <w:rPr>
                <w:rFonts w:hint="default" w:ascii="Times New Roman" w:hAnsi="Times New Roman" w:eastAsia="宋体" w:cs="Times New Roman"/>
                <w:color w:val="auto"/>
                <w:sz w:val="24"/>
              </w:rPr>
              <w:t>，</w:t>
            </w:r>
            <w:r>
              <w:rPr>
                <w:rFonts w:hint="eastAsia" w:cs="Times New Roman"/>
                <w:color w:val="auto"/>
                <w:sz w:val="24"/>
                <w:lang w:val="en-US" w:eastAsia="zh-CN"/>
              </w:rPr>
              <w:t>根据《产业结构调整指导目录（2024年本）》</w:t>
            </w:r>
            <w:r>
              <w:rPr>
                <w:rFonts w:hint="default" w:ascii="Times New Roman" w:hAnsi="Times New Roman" w:eastAsia="宋体" w:cs="Times New Roman"/>
                <w:color w:val="auto"/>
                <w:sz w:val="24"/>
              </w:rPr>
              <w:t>，本项目</w:t>
            </w:r>
            <w:r>
              <w:rPr>
                <w:rFonts w:hint="eastAsia" w:cs="Times New Roman"/>
                <w:color w:val="auto"/>
                <w:sz w:val="24"/>
                <w:lang w:val="en-US" w:eastAsia="zh-CN"/>
              </w:rPr>
              <w:t>属于目录中规定的鼓励类，符合产业政策要求。</w:t>
            </w:r>
          </w:p>
          <w:p w14:paraId="277CAACC">
            <w:pPr>
              <w:keepNext w:val="0"/>
              <w:keepLines w:val="0"/>
              <w:suppressLineNumbers w:val="0"/>
              <w:spacing w:before="0" w:beforeAutospacing="0" w:after="0" w:afterAutospacing="0" w:line="500" w:lineRule="exact"/>
              <w:ind w:left="0" w:right="0" w:firstLine="482" w:firstLineChars="200"/>
              <w:rPr>
                <w:rFonts w:hint="default" w:ascii="Times New Roman" w:hAnsi="Times New Roman" w:eastAsia="宋体" w:cs="Times New Roman"/>
                <w:b/>
                <w:color w:val="auto"/>
                <w:kern w:val="0"/>
                <w:sz w:val="24"/>
                <w:lang w:val="en-US" w:eastAsia="zh-CN" w:bidi="ar"/>
              </w:rPr>
            </w:pPr>
            <w:r>
              <w:rPr>
                <w:rFonts w:hint="eastAsia" w:ascii="Times New Roman" w:hAnsi="Times New Roman" w:eastAsia="宋体" w:cs="Times New Roman"/>
                <w:b/>
                <w:color w:val="auto"/>
                <w:kern w:val="0"/>
                <w:sz w:val="24"/>
                <w:lang w:val="en-US" w:eastAsia="zh-CN" w:bidi="ar"/>
              </w:rPr>
              <w:t>2</w:t>
            </w:r>
            <w:r>
              <w:rPr>
                <w:rFonts w:hint="default" w:ascii="Times New Roman" w:hAnsi="Times New Roman" w:eastAsia="宋体" w:cs="Times New Roman"/>
                <w:b/>
                <w:color w:val="auto"/>
                <w:kern w:val="0"/>
                <w:sz w:val="24"/>
                <w:lang w:val="en-US" w:eastAsia="zh-CN" w:bidi="ar"/>
              </w:rPr>
              <w:t>.符合性分析</w:t>
            </w:r>
          </w:p>
          <w:p w14:paraId="5157FAAB">
            <w:pPr>
              <w:spacing w:line="360" w:lineRule="auto"/>
              <w:ind w:firstLine="480" w:firstLineChars="200"/>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与</w:t>
            </w:r>
            <w:r>
              <w:rPr>
                <w:rFonts w:hint="default" w:ascii="Times New Roman" w:hAnsi="Times New Roman" w:eastAsia="宋体" w:cs="Times New Roman"/>
                <w:color w:val="auto"/>
                <w:sz w:val="24"/>
                <w:lang w:val="en-US" w:eastAsia="zh-CN"/>
              </w:rPr>
              <w:t>《新疆维吾尔自治区</w:t>
            </w:r>
            <w:r>
              <w:rPr>
                <w:rFonts w:hint="eastAsia" w:cs="Times New Roman"/>
                <w:color w:val="auto"/>
                <w:sz w:val="24"/>
                <w:lang w:val="en-US" w:eastAsia="zh-CN"/>
              </w:rPr>
              <w:t>生态环境分区管控动态更新成果</w:t>
            </w:r>
            <w:r>
              <w:rPr>
                <w:rFonts w:hint="eastAsia" w:ascii="Times New Roman" w:hAnsi="Times New Roman" w:cs="Times New Roman"/>
                <w:color w:val="auto"/>
                <w:sz w:val="24"/>
                <w:lang w:val="en-US" w:eastAsia="zh-CN"/>
              </w:rPr>
              <w:t>》</w:t>
            </w:r>
            <w:r>
              <w:rPr>
                <w:rFonts w:hint="eastAsia" w:cs="Times New Roman"/>
                <w:color w:val="auto"/>
                <w:sz w:val="24"/>
                <w:lang w:val="en-US" w:eastAsia="zh-CN"/>
              </w:rPr>
              <w:t>（新环环评发〔2024〕157号）</w:t>
            </w:r>
            <w:r>
              <w:rPr>
                <w:rFonts w:hint="eastAsia" w:ascii="Times New Roman" w:hAnsi="Times New Roman" w:cs="Times New Roman"/>
                <w:color w:val="auto"/>
                <w:sz w:val="24"/>
                <w:lang w:val="en-US" w:eastAsia="zh-CN"/>
              </w:rPr>
              <w:t>符合性分析。</w:t>
            </w:r>
          </w:p>
          <w:p w14:paraId="2B71A737">
            <w:pPr>
              <w:pStyle w:val="37"/>
              <w:spacing w:line="240" w:lineRule="auto"/>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1"/>
                <w:szCs w:val="21"/>
                <w:lang w:val="en-US" w:eastAsia="zh-CN" w:bidi="ar-SA"/>
              </w:rPr>
              <w:t>表1-3</w:t>
            </w:r>
            <w:r>
              <w:rPr>
                <w:rFonts w:hint="eastAsia" w:ascii="Times New Roman" w:cs="Times New Roman"/>
                <w:b/>
                <w:bCs/>
                <w:color w:val="auto"/>
                <w:kern w:val="2"/>
                <w:sz w:val="21"/>
                <w:szCs w:val="21"/>
                <w:lang w:val="en-US" w:eastAsia="zh-CN" w:bidi="ar-SA"/>
              </w:rPr>
              <w:t xml:space="preserve">  </w:t>
            </w:r>
            <w:r>
              <w:rPr>
                <w:rFonts w:hint="default" w:ascii="Times New Roman" w:hAnsi="Times New Roman" w:eastAsia="宋体" w:cs="Times New Roman"/>
                <w:b/>
                <w:bCs/>
                <w:color w:val="auto"/>
                <w:kern w:val="2"/>
                <w:sz w:val="21"/>
                <w:szCs w:val="21"/>
                <w:lang w:val="en-US" w:eastAsia="zh-CN" w:bidi="ar-SA"/>
              </w:rPr>
              <w:t>自治区生态环境分区管控</w:t>
            </w:r>
            <w:r>
              <w:rPr>
                <w:rFonts w:hint="eastAsia" w:ascii="Times New Roman" w:cs="Times New Roman"/>
                <w:b/>
                <w:bCs/>
                <w:color w:val="auto"/>
                <w:kern w:val="2"/>
                <w:sz w:val="21"/>
                <w:szCs w:val="21"/>
                <w:lang w:val="en-US" w:eastAsia="zh-CN" w:bidi="ar-SA"/>
              </w:rPr>
              <w:t>总体要求</w:t>
            </w:r>
            <w:r>
              <w:rPr>
                <w:rFonts w:hint="eastAsia" w:ascii="Times New Roman" w:hAnsi="Times New Roman" w:eastAsia="宋体" w:cs="Times New Roman"/>
                <w:b/>
                <w:bCs/>
                <w:color w:val="auto"/>
                <w:kern w:val="2"/>
                <w:sz w:val="21"/>
                <w:szCs w:val="21"/>
                <w:lang w:val="en-US" w:eastAsia="zh-CN" w:bidi="ar-SA"/>
              </w:rPr>
              <w:t>的符合性分析</w:t>
            </w:r>
          </w:p>
          <w:tbl>
            <w:tblPr>
              <w:tblStyle w:val="25"/>
              <w:tblW w:w="725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906"/>
              <w:gridCol w:w="2850"/>
              <w:gridCol w:w="2046"/>
              <w:gridCol w:w="544"/>
            </w:tblGrid>
            <w:tr w14:paraId="08589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gridSpan w:val="2"/>
                  <w:tcBorders>
                    <w:left w:val="nil"/>
                  </w:tcBorders>
                  <w:vAlign w:val="center"/>
                </w:tcPr>
                <w:p w14:paraId="17D13C55">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管控维度</w:t>
                  </w:r>
                </w:p>
              </w:tc>
              <w:tc>
                <w:tcPr>
                  <w:tcW w:w="2850" w:type="dxa"/>
                  <w:vAlign w:val="center"/>
                </w:tcPr>
                <w:p w14:paraId="1FE728CB">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管控要求</w:t>
                  </w:r>
                </w:p>
              </w:tc>
              <w:tc>
                <w:tcPr>
                  <w:tcW w:w="2046" w:type="dxa"/>
                  <w:vAlign w:val="center"/>
                </w:tcPr>
                <w:p w14:paraId="1D9A81EA">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本项目情况</w:t>
                  </w:r>
                </w:p>
              </w:tc>
              <w:tc>
                <w:tcPr>
                  <w:tcW w:w="544" w:type="dxa"/>
                  <w:tcBorders>
                    <w:right w:val="nil"/>
                  </w:tcBorders>
                  <w:vAlign w:val="center"/>
                </w:tcPr>
                <w:p w14:paraId="1601925C">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符合性</w:t>
                  </w:r>
                </w:p>
              </w:tc>
            </w:tr>
            <w:tr w14:paraId="7A29C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restart"/>
                  <w:tcBorders>
                    <w:left w:val="nil"/>
                  </w:tcBorders>
                  <w:vAlign w:val="center"/>
                </w:tcPr>
                <w:p w14:paraId="4F47130B">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A1空间布局约束</w:t>
                  </w:r>
                </w:p>
              </w:tc>
              <w:tc>
                <w:tcPr>
                  <w:tcW w:w="906" w:type="dxa"/>
                  <w:vMerge w:val="restart"/>
                  <w:vAlign w:val="center"/>
                </w:tcPr>
                <w:p w14:paraId="2D6BD6BC">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A1.1禁止开发建设的活动</w:t>
                  </w:r>
                </w:p>
              </w:tc>
              <w:tc>
                <w:tcPr>
                  <w:tcW w:w="2850" w:type="dxa"/>
                  <w:vAlign w:val="center"/>
                </w:tcPr>
                <w:p w14:paraId="611C052E">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禁止新建、扩建《产业结构调整指导目录（2024年本）》中淘汰类项目。禁止引入《市场准入负面清单（2022年版）》禁止准入类事项。</w:t>
                  </w:r>
                </w:p>
              </w:tc>
              <w:tc>
                <w:tcPr>
                  <w:tcW w:w="2046" w:type="dxa"/>
                  <w:vAlign w:val="center"/>
                </w:tcPr>
                <w:p w14:paraId="6C97D9CF">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本项目为人造石材项目，根据《产业结构调整指导目录（2024年本）》，本项目属于目录中规定的鼓励类，符合产业政策要求。</w:t>
                  </w:r>
                </w:p>
              </w:tc>
              <w:tc>
                <w:tcPr>
                  <w:tcW w:w="544" w:type="dxa"/>
                  <w:tcBorders>
                    <w:right w:val="nil"/>
                  </w:tcBorders>
                  <w:vAlign w:val="center"/>
                </w:tcPr>
                <w:p w14:paraId="68462CF6">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符合</w:t>
                  </w:r>
                </w:p>
              </w:tc>
            </w:tr>
            <w:tr w14:paraId="5253C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continue"/>
                  <w:tcBorders>
                    <w:left w:val="nil"/>
                  </w:tcBorders>
                  <w:vAlign w:val="center"/>
                </w:tcPr>
                <w:p w14:paraId="3D4C6789">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p>
              </w:tc>
              <w:tc>
                <w:tcPr>
                  <w:tcW w:w="906" w:type="dxa"/>
                  <w:vMerge w:val="continue"/>
                  <w:vAlign w:val="center"/>
                </w:tcPr>
                <w:p w14:paraId="6953BDD7">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p>
              </w:tc>
              <w:tc>
                <w:tcPr>
                  <w:tcW w:w="2850" w:type="dxa"/>
                  <w:vAlign w:val="center"/>
                </w:tcPr>
                <w:p w14:paraId="5E3B96AE">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禁止在自治区行政区域内引进能（水）耗不符合相关国家标准中准入值要求且污染物排放和环境风险防控不符合国家（地方）标准及有关产业准入条件的高污染（排放）、高能（水）耗、高环境风险的工业项目。</w:t>
                  </w:r>
                </w:p>
              </w:tc>
              <w:tc>
                <w:tcPr>
                  <w:tcW w:w="2046" w:type="dxa"/>
                  <w:vAlign w:val="center"/>
                </w:tcPr>
                <w:p w14:paraId="75150510">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本项目运营期生产过程中不用水，以电能作为主要能源，能耗较低。</w:t>
                  </w:r>
                </w:p>
              </w:tc>
              <w:tc>
                <w:tcPr>
                  <w:tcW w:w="544" w:type="dxa"/>
                  <w:tcBorders>
                    <w:right w:val="nil"/>
                  </w:tcBorders>
                  <w:vAlign w:val="center"/>
                </w:tcPr>
                <w:p w14:paraId="111156E2">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符合</w:t>
                  </w:r>
                </w:p>
              </w:tc>
            </w:tr>
            <w:tr w14:paraId="0E2D4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continue"/>
                  <w:tcBorders>
                    <w:left w:val="nil"/>
                  </w:tcBorders>
                  <w:vAlign w:val="center"/>
                </w:tcPr>
                <w:p w14:paraId="4AC202A5">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p>
              </w:tc>
              <w:tc>
                <w:tcPr>
                  <w:tcW w:w="906" w:type="dxa"/>
                  <w:vMerge w:val="restart"/>
                  <w:vAlign w:val="center"/>
                </w:tcPr>
                <w:p w14:paraId="6898C989">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A1.2限制开发建设的活动</w:t>
                  </w:r>
                </w:p>
              </w:tc>
              <w:tc>
                <w:tcPr>
                  <w:tcW w:w="2850" w:type="dxa"/>
                  <w:vAlign w:val="center"/>
                </w:tcPr>
                <w:p w14:paraId="41053AFF">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严格控制缺水地区、水污染严重区域和敏感区域高耗水、高污染行业发展。</w:t>
                  </w:r>
                </w:p>
              </w:tc>
              <w:tc>
                <w:tcPr>
                  <w:tcW w:w="2046" w:type="dxa"/>
                  <w:vAlign w:val="center"/>
                </w:tcPr>
                <w:p w14:paraId="0A36BD5F">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项</w:t>
                  </w:r>
                  <w:r>
                    <w:rPr>
                      <w:rFonts w:hint="eastAsia" w:cs="Times New Roman"/>
                      <w:b w:val="0"/>
                      <w:bCs w:val="0"/>
                      <w:color w:val="auto"/>
                      <w:sz w:val="21"/>
                      <w:szCs w:val="21"/>
                      <w:lang w:val="en-US" w:eastAsia="zh-CN"/>
                    </w:rPr>
                    <w:t>目位于新疆和硕经济开发区清水河综合工业园区，不涉及</w:t>
                  </w:r>
                  <w:r>
                    <w:rPr>
                      <w:rFonts w:hint="eastAsia" w:cs="Times New Roman"/>
                      <w:color w:val="auto"/>
                      <w:sz w:val="21"/>
                      <w:szCs w:val="21"/>
                      <w:lang w:val="en-US" w:eastAsia="zh-CN"/>
                    </w:rPr>
                    <w:t>缺水地区、水污染严重区域和敏感区域。</w:t>
                  </w:r>
                </w:p>
              </w:tc>
              <w:tc>
                <w:tcPr>
                  <w:tcW w:w="544" w:type="dxa"/>
                  <w:tcBorders>
                    <w:right w:val="nil"/>
                  </w:tcBorders>
                  <w:vAlign w:val="center"/>
                </w:tcPr>
                <w:p w14:paraId="3E017829">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符合</w:t>
                  </w:r>
                </w:p>
              </w:tc>
            </w:tr>
            <w:tr w14:paraId="7AA87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continue"/>
                  <w:tcBorders>
                    <w:left w:val="nil"/>
                  </w:tcBorders>
                  <w:vAlign w:val="center"/>
                </w:tcPr>
                <w:p w14:paraId="131FCF13">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p>
              </w:tc>
              <w:tc>
                <w:tcPr>
                  <w:tcW w:w="906" w:type="dxa"/>
                  <w:vMerge w:val="continue"/>
                  <w:vAlign w:val="center"/>
                </w:tcPr>
                <w:p w14:paraId="66B0604B">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p>
              </w:tc>
              <w:tc>
                <w:tcPr>
                  <w:tcW w:w="2850" w:type="dxa"/>
                  <w:vAlign w:val="center"/>
                </w:tcPr>
                <w:p w14:paraId="46D97785">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建设项目用地原则上不得占用永久基本农田，确需占用永久基本农田的建设项目须符合《中华人民共和国基本农田保护条例》中相关要求，占用耕地、林地或草地的建设项目须按照国家、自治区相关补偿要求进行补偿。</w:t>
                  </w:r>
                </w:p>
              </w:tc>
              <w:tc>
                <w:tcPr>
                  <w:tcW w:w="2046" w:type="dxa"/>
                  <w:vAlign w:val="center"/>
                </w:tcPr>
                <w:p w14:paraId="73BE714D">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项</w:t>
                  </w:r>
                  <w:r>
                    <w:rPr>
                      <w:rFonts w:hint="eastAsia" w:cs="Times New Roman"/>
                      <w:b w:val="0"/>
                      <w:bCs w:val="0"/>
                      <w:color w:val="auto"/>
                      <w:sz w:val="21"/>
                      <w:szCs w:val="21"/>
                      <w:lang w:val="en-US" w:eastAsia="zh-CN"/>
                    </w:rPr>
                    <w:t>目位于新疆和硕经济开发区清水河综合工业园区，不涉及</w:t>
                  </w:r>
                  <w:r>
                    <w:rPr>
                      <w:rFonts w:hint="eastAsia" w:cs="Times New Roman"/>
                      <w:color w:val="auto"/>
                      <w:sz w:val="21"/>
                      <w:szCs w:val="21"/>
                      <w:lang w:val="en-US" w:eastAsia="zh-CN"/>
                    </w:rPr>
                    <w:t>永久基本农田。</w:t>
                  </w:r>
                </w:p>
              </w:tc>
              <w:tc>
                <w:tcPr>
                  <w:tcW w:w="544" w:type="dxa"/>
                  <w:tcBorders>
                    <w:right w:val="nil"/>
                  </w:tcBorders>
                  <w:vAlign w:val="center"/>
                </w:tcPr>
                <w:p w14:paraId="186B034B">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符合</w:t>
                  </w:r>
                </w:p>
              </w:tc>
            </w:tr>
            <w:tr w14:paraId="0F5D7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continue"/>
                  <w:tcBorders>
                    <w:left w:val="nil"/>
                  </w:tcBorders>
                  <w:vAlign w:val="center"/>
                </w:tcPr>
                <w:p w14:paraId="6CD8CE8F">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p>
              </w:tc>
              <w:tc>
                <w:tcPr>
                  <w:tcW w:w="906" w:type="dxa"/>
                  <w:vMerge w:val="continue"/>
                  <w:vAlign w:val="center"/>
                </w:tcPr>
                <w:p w14:paraId="36B35533">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p>
              </w:tc>
              <w:tc>
                <w:tcPr>
                  <w:tcW w:w="2850" w:type="dxa"/>
                  <w:vAlign w:val="center"/>
                </w:tcPr>
                <w:p w14:paraId="08FDA1D2">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严格控制建设项目占用湿地。因国家和自治区重点建设工程、基础设施建设，以及重点公益性项目建设，确需占用湿地的，应当按照有关法律法规规定的权限和程序办理批准手续。</w:t>
                  </w:r>
                </w:p>
              </w:tc>
              <w:tc>
                <w:tcPr>
                  <w:tcW w:w="2046" w:type="dxa"/>
                  <w:vAlign w:val="center"/>
                </w:tcPr>
                <w:p w14:paraId="1DC985F7">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项</w:t>
                  </w:r>
                  <w:r>
                    <w:rPr>
                      <w:rFonts w:hint="eastAsia" w:cs="Times New Roman"/>
                      <w:b w:val="0"/>
                      <w:bCs w:val="0"/>
                      <w:color w:val="auto"/>
                      <w:sz w:val="21"/>
                      <w:szCs w:val="21"/>
                      <w:lang w:val="en-US" w:eastAsia="zh-CN"/>
                    </w:rPr>
                    <w:t>目位于新疆和硕经济开发区清水河综合工业园区，不涉及</w:t>
                  </w:r>
                  <w:r>
                    <w:rPr>
                      <w:rFonts w:hint="eastAsia" w:cs="Times New Roman"/>
                      <w:color w:val="auto"/>
                      <w:sz w:val="21"/>
                      <w:szCs w:val="21"/>
                      <w:lang w:val="en-US" w:eastAsia="zh-CN"/>
                    </w:rPr>
                    <w:t>占用湿地。</w:t>
                  </w:r>
                </w:p>
              </w:tc>
              <w:tc>
                <w:tcPr>
                  <w:tcW w:w="544" w:type="dxa"/>
                  <w:tcBorders>
                    <w:right w:val="nil"/>
                  </w:tcBorders>
                  <w:vAlign w:val="center"/>
                </w:tcPr>
                <w:p w14:paraId="66389143">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符合</w:t>
                  </w:r>
                </w:p>
              </w:tc>
            </w:tr>
            <w:tr w14:paraId="47FC9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continue"/>
                  <w:tcBorders>
                    <w:left w:val="nil"/>
                  </w:tcBorders>
                  <w:vAlign w:val="center"/>
                </w:tcPr>
                <w:p w14:paraId="2BE4795A">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p>
              </w:tc>
              <w:tc>
                <w:tcPr>
                  <w:tcW w:w="906" w:type="dxa"/>
                  <w:vAlign w:val="center"/>
                </w:tcPr>
                <w:p w14:paraId="61BDDD84">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A1.3不符合空间布局要求活动的退出要求</w:t>
                  </w:r>
                </w:p>
              </w:tc>
              <w:tc>
                <w:tcPr>
                  <w:tcW w:w="2850" w:type="dxa"/>
                  <w:vAlign w:val="center"/>
                </w:tcPr>
                <w:p w14:paraId="0FB27598">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对不符合国家产业政策、严重污染水环境的生产项目全部予以取缔。</w:t>
                  </w:r>
                </w:p>
              </w:tc>
              <w:tc>
                <w:tcPr>
                  <w:tcW w:w="2046" w:type="dxa"/>
                  <w:vAlign w:val="center"/>
                </w:tcPr>
                <w:p w14:paraId="0341A232">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本项目属于《产业结构调整指导目录（2024年本）》中规定的鼓励类，符合产业政策要求。</w:t>
                  </w:r>
                </w:p>
              </w:tc>
              <w:tc>
                <w:tcPr>
                  <w:tcW w:w="544" w:type="dxa"/>
                  <w:tcBorders>
                    <w:right w:val="nil"/>
                  </w:tcBorders>
                  <w:vAlign w:val="center"/>
                </w:tcPr>
                <w:p w14:paraId="203E0E6E">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符合</w:t>
                  </w:r>
                </w:p>
              </w:tc>
            </w:tr>
            <w:tr w14:paraId="7C51C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restart"/>
                  <w:tcBorders>
                    <w:left w:val="nil"/>
                  </w:tcBorders>
                  <w:vAlign w:val="center"/>
                </w:tcPr>
                <w:p w14:paraId="4FC53A89">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A2污染物排放管控</w:t>
                  </w:r>
                </w:p>
              </w:tc>
              <w:tc>
                <w:tcPr>
                  <w:tcW w:w="906" w:type="dxa"/>
                  <w:vMerge w:val="restart"/>
                  <w:vAlign w:val="center"/>
                </w:tcPr>
                <w:p w14:paraId="74D17EC9">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A2.1污染物消减/替代要求</w:t>
                  </w:r>
                </w:p>
              </w:tc>
              <w:tc>
                <w:tcPr>
                  <w:tcW w:w="2850" w:type="dxa"/>
                  <w:vAlign w:val="center"/>
                </w:tcPr>
                <w:p w14:paraId="18EF3B74">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新、改、扩建重点行业建设项目应符合“三线一单”、产</w:t>
                  </w:r>
                </w:p>
                <w:p w14:paraId="323AB185">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业政策、区域环评、规划环评和行业环境准入管控要求。重点区域的新、改、扩建重点行业建设项目应遵循重点重金属污染物排放“减量替代”原则。</w:t>
                  </w:r>
                </w:p>
              </w:tc>
              <w:tc>
                <w:tcPr>
                  <w:tcW w:w="2046" w:type="dxa"/>
                  <w:vAlign w:val="center"/>
                </w:tcPr>
                <w:p w14:paraId="703CB7B3">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本项目属于《产业结构调整指导目录（2024年本）》中规定的鼓励类，符合产业政策要求。</w:t>
                  </w:r>
                </w:p>
              </w:tc>
              <w:tc>
                <w:tcPr>
                  <w:tcW w:w="544" w:type="dxa"/>
                  <w:tcBorders>
                    <w:right w:val="nil"/>
                  </w:tcBorders>
                  <w:vAlign w:val="center"/>
                </w:tcPr>
                <w:p w14:paraId="4A4EBC3F">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符合</w:t>
                  </w:r>
                </w:p>
              </w:tc>
            </w:tr>
            <w:tr w14:paraId="20F98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continue"/>
                  <w:tcBorders>
                    <w:left w:val="nil"/>
                  </w:tcBorders>
                  <w:vAlign w:val="center"/>
                </w:tcPr>
                <w:p w14:paraId="4013B3AF">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p>
              </w:tc>
              <w:tc>
                <w:tcPr>
                  <w:tcW w:w="906" w:type="dxa"/>
                  <w:vMerge w:val="continue"/>
                  <w:vAlign w:val="center"/>
                </w:tcPr>
                <w:p w14:paraId="696AAC74">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p>
              </w:tc>
              <w:tc>
                <w:tcPr>
                  <w:tcW w:w="2850" w:type="dxa"/>
                  <w:vAlign w:val="center"/>
                </w:tcPr>
                <w:p w14:paraId="7CA1E9FA">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严控建材、铸造、冶炼等行业无组织排放，推进石化、化工、涂装、医药、包装印刷、油品储运销等行业项目挥发性有机物（VOCs）防治。严格有色金属冶炼、石油加工、化工、焦化等行业项目的土壤、地下水污染防治措施要求。推进工业园区和企业集群建设涉VOCs“绿岛”项目，统筹规划建设一批集中涂装中心、活性炭集中处理中心、溶剂回收中心等，实现VOCs集中高效处理。</w:t>
                  </w:r>
                </w:p>
              </w:tc>
              <w:tc>
                <w:tcPr>
                  <w:tcW w:w="2046" w:type="dxa"/>
                  <w:vAlign w:val="center"/>
                </w:tcPr>
                <w:p w14:paraId="3B5ED059">
                  <w:pPr>
                    <w:jc w:val="center"/>
                    <w:rPr>
                      <w:rFonts w:hint="eastAsia" w:cs="Times New Roman"/>
                      <w:color w:val="auto"/>
                      <w:sz w:val="21"/>
                      <w:szCs w:val="21"/>
                      <w:lang w:val="en-US" w:eastAsia="zh-CN"/>
                    </w:rPr>
                  </w:pPr>
                  <w:r>
                    <w:rPr>
                      <w:rFonts w:hint="eastAsia"/>
                      <w:color w:val="auto"/>
                      <w:lang w:val="en-US" w:eastAsia="zh-CN"/>
                    </w:rPr>
                    <w:t>本项目施工期仅为设备安装，产生污染较小，运营期在封闭的厂房内进行生产，并配有相应的除尘设施，VOCs（以非甲烷总烃计）经布袋除尘器+活性炭吸附装置处理后达标排放，有效减少废气排放。</w:t>
                  </w:r>
                </w:p>
              </w:tc>
              <w:tc>
                <w:tcPr>
                  <w:tcW w:w="544" w:type="dxa"/>
                  <w:tcBorders>
                    <w:right w:val="nil"/>
                  </w:tcBorders>
                  <w:vAlign w:val="center"/>
                </w:tcPr>
                <w:p w14:paraId="03F84643">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符合</w:t>
                  </w:r>
                </w:p>
              </w:tc>
            </w:tr>
            <w:tr w14:paraId="7B912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continue"/>
                  <w:tcBorders>
                    <w:left w:val="nil"/>
                  </w:tcBorders>
                  <w:vAlign w:val="center"/>
                </w:tcPr>
                <w:p w14:paraId="66D3A29C">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p>
              </w:tc>
              <w:tc>
                <w:tcPr>
                  <w:tcW w:w="906" w:type="dxa"/>
                  <w:vAlign w:val="center"/>
                </w:tcPr>
                <w:p w14:paraId="44E088A9">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A2.2污染物控制措施要求</w:t>
                  </w:r>
                </w:p>
              </w:tc>
              <w:tc>
                <w:tcPr>
                  <w:tcW w:w="2850" w:type="dxa"/>
                  <w:vAlign w:val="center"/>
                </w:tcPr>
                <w:p w14:paraId="2A45EFB4">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强化重点区域大气污染联防联控，合理确定产业布局，推动区域内统一产业准入和排放标准。实施水泥行业错峰生产，推进散煤整治、挥发性有机污染物综合治理、钢铁、水泥、焦化和燃煤工业锅炉行业超低排放改造、燃气锅炉低氮燃烧改造、工业园区内轨道运输（大宗货物“公转铁”）、柴油货车治理、锅炉炉窑综合治理等工程项目。全面推行绿色施工，持续推动城市建成区重污染企业搬迁或关闭退出。</w:t>
                  </w:r>
                </w:p>
              </w:tc>
              <w:tc>
                <w:tcPr>
                  <w:tcW w:w="2046" w:type="dxa"/>
                  <w:vAlign w:val="center"/>
                </w:tcPr>
                <w:p w14:paraId="20AEF4B8">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项</w:t>
                  </w:r>
                  <w:r>
                    <w:rPr>
                      <w:rFonts w:hint="eastAsia" w:cs="Times New Roman"/>
                      <w:b w:val="0"/>
                      <w:bCs w:val="0"/>
                      <w:color w:val="auto"/>
                      <w:sz w:val="21"/>
                      <w:szCs w:val="21"/>
                      <w:lang w:val="en-US" w:eastAsia="zh-CN"/>
                    </w:rPr>
                    <w:t>目位于新疆和硕经济开发区清水河综合工业园区，本项目不涉及锅炉，VOCs（以非甲烷总烃计）经布袋除尘器+活性炭吸附装置处理后达标排放。</w:t>
                  </w:r>
                </w:p>
              </w:tc>
              <w:tc>
                <w:tcPr>
                  <w:tcW w:w="544" w:type="dxa"/>
                  <w:tcBorders>
                    <w:right w:val="nil"/>
                  </w:tcBorders>
                  <w:vAlign w:val="center"/>
                </w:tcPr>
                <w:p w14:paraId="02DF76DB">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符合</w:t>
                  </w:r>
                </w:p>
              </w:tc>
            </w:tr>
            <w:tr w14:paraId="0C167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restart"/>
                  <w:tcBorders>
                    <w:left w:val="nil"/>
                  </w:tcBorders>
                  <w:vAlign w:val="center"/>
                </w:tcPr>
                <w:p w14:paraId="6EC3703E">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A3环境风险防控</w:t>
                  </w:r>
                </w:p>
              </w:tc>
              <w:tc>
                <w:tcPr>
                  <w:tcW w:w="906" w:type="dxa"/>
                  <w:vAlign w:val="center"/>
                </w:tcPr>
                <w:p w14:paraId="3D8C93E1">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A3.1人居环境要求</w:t>
                  </w:r>
                </w:p>
              </w:tc>
              <w:tc>
                <w:tcPr>
                  <w:tcW w:w="2850" w:type="dxa"/>
                  <w:vAlign w:val="center"/>
                </w:tcPr>
                <w:p w14:paraId="4CC8B557">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建立和完善重污染天气兵地联合应急预案、预报预警应急机制和会商联动机制。“乌一昌一石”区域内可能影响相邻行政区域大气环境的项目，兵地间、城市间必须相互征求意见。</w:t>
                  </w:r>
                </w:p>
              </w:tc>
              <w:tc>
                <w:tcPr>
                  <w:tcW w:w="2046" w:type="dxa"/>
                  <w:vAlign w:val="center"/>
                </w:tcPr>
                <w:p w14:paraId="62D43BA3">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本项目不涉及此区域</w:t>
                  </w:r>
                </w:p>
              </w:tc>
              <w:tc>
                <w:tcPr>
                  <w:tcW w:w="544" w:type="dxa"/>
                  <w:tcBorders>
                    <w:right w:val="nil"/>
                  </w:tcBorders>
                  <w:vAlign w:val="center"/>
                </w:tcPr>
                <w:p w14:paraId="40A820E1">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符合</w:t>
                  </w:r>
                </w:p>
              </w:tc>
            </w:tr>
            <w:tr w14:paraId="1E03B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continue"/>
                  <w:tcBorders>
                    <w:left w:val="nil"/>
                  </w:tcBorders>
                  <w:vAlign w:val="center"/>
                </w:tcPr>
                <w:p w14:paraId="21ACE742">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p>
              </w:tc>
              <w:tc>
                <w:tcPr>
                  <w:tcW w:w="906" w:type="dxa"/>
                  <w:vMerge w:val="restart"/>
                  <w:vAlign w:val="center"/>
                </w:tcPr>
                <w:p w14:paraId="0DA27397">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A3.2联防联控要求</w:t>
                  </w:r>
                </w:p>
              </w:tc>
              <w:tc>
                <w:tcPr>
                  <w:tcW w:w="2850" w:type="dxa"/>
                  <w:vAlign w:val="center"/>
                </w:tcPr>
                <w:p w14:paraId="6B7A09C5">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加强新污染物多环境介质协同治理。排放重点管控新污染物的企事业单位应采取污染控制措施，达到相关污染物排放标准及环境质量目标要求；按照排污许可管理有关要求，依法申领排污许可证或填写排污登记表，并在其中载明执行的污染控制标准要求及采取的污染控制措施。排放重点管控新污染物的企事业单位和其他生产经营者应按照相关法律法规要求，对排放（污）口及其周边环境定期开展环境监测，评估环境风险，排查整治环境安全隐患，依法公开新污染物信息，采取措施防范环境风险。土壤污染重点监管单位应严格控制有毒有害物质排放，建立土壤污染隐患排查制度，防止有毒有害物质渗漏、流失、扬散。</w:t>
                  </w:r>
                </w:p>
              </w:tc>
              <w:tc>
                <w:tcPr>
                  <w:tcW w:w="2046" w:type="dxa"/>
                  <w:vAlign w:val="center"/>
                </w:tcPr>
                <w:p w14:paraId="7441325D">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本项目无生产废水，生活污水经化粪池处理后，定期清运至和硕县污水处理厂处理，运营期在封闭的厂房内进行生产，并配有相应的除尘设施，废气处理后达标排放。</w:t>
                  </w:r>
                </w:p>
              </w:tc>
              <w:tc>
                <w:tcPr>
                  <w:tcW w:w="544" w:type="dxa"/>
                  <w:tcBorders>
                    <w:right w:val="nil"/>
                  </w:tcBorders>
                  <w:vAlign w:val="center"/>
                </w:tcPr>
                <w:p w14:paraId="3F48FE88">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符合</w:t>
                  </w:r>
                </w:p>
              </w:tc>
            </w:tr>
            <w:tr w14:paraId="2DAFF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continue"/>
                  <w:tcBorders>
                    <w:left w:val="nil"/>
                  </w:tcBorders>
                  <w:vAlign w:val="center"/>
                </w:tcPr>
                <w:p w14:paraId="1509D021">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p>
              </w:tc>
              <w:tc>
                <w:tcPr>
                  <w:tcW w:w="906" w:type="dxa"/>
                  <w:vMerge w:val="continue"/>
                  <w:vAlign w:val="center"/>
                </w:tcPr>
                <w:p w14:paraId="7A06F468">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p>
              </w:tc>
              <w:tc>
                <w:tcPr>
                  <w:tcW w:w="2850" w:type="dxa"/>
                  <w:vAlign w:val="center"/>
                </w:tcPr>
                <w:p w14:paraId="329DCD1E">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强化生态环境应急管理。实施企业突发生态环境应急预案电子化备案，完成县级以上政府突发环境事件应急预案修编。完善区域和企业应急处置物资储备系统，结合新疆各地特征污染物的特性，加强应急物资储备及应急物资信息化建设，掌握社会应急物资储备动态信息，妥善应对各类突发生态环境事件。加强应急监测装备配置，定期开展应急演练，增强实战能力。</w:t>
                  </w:r>
                </w:p>
              </w:tc>
              <w:tc>
                <w:tcPr>
                  <w:tcW w:w="2046" w:type="dxa"/>
                  <w:vAlign w:val="center"/>
                </w:tcPr>
                <w:p w14:paraId="20229F78">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ascii="Times New Roman" w:hAnsi="Times New Roman" w:cs="Times New Roman"/>
                      <w:color w:val="auto"/>
                      <w:sz w:val="21"/>
                      <w:szCs w:val="21"/>
                      <w:lang w:val="en-US" w:eastAsia="zh-CN"/>
                    </w:rPr>
                    <w:t>本项目建成后编制突发环境事件应急预案。</w:t>
                  </w:r>
                  <w:r>
                    <w:rPr>
                      <w:rFonts w:hint="eastAsia" w:cs="Times New Roman"/>
                      <w:color w:val="auto"/>
                      <w:sz w:val="21"/>
                      <w:szCs w:val="21"/>
                      <w:lang w:val="en-US" w:eastAsia="zh-CN"/>
                    </w:rPr>
                    <w:t>按要求配备相应的应急物资，定期开展应急预案演练。</w:t>
                  </w:r>
                </w:p>
              </w:tc>
              <w:tc>
                <w:tcPr>
                  <w:tcW w:w="544" w:type="dxa"/>
                  <w:tcBorders>
                    <w:right w:val="nil"/>
                  </w:tcBorders>
                  <w:vAlign w:val="center"/>
                </w:tcPr>
                <w:p w14:paraId="4B5A4432">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符合</w:t>
                  </w:r>
                </w:p>
              </w:tc>
            </w:tr>
            <w:tr w14:paraId="0842C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restart"/>
                  <w:tcBorders>
                    <w:left w:val="nil"/>
                  </w:tcBorders>
                  <w:vAlign w:val="center"/>
                </w:tcPr>
                <w:p w14:paraId="0750DAA5">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A4资源利用要求</w:t>
                  </w:r>
                </w:p>
              </w:tc>
              <w:tc>
                <w:tcPr>
                  <w:tcW w:w="906" w:type="dxa"/>
                  <w:vMerge w:val="restart"/>
                  <w:vAlign w:val="center"/>
                </w:tcPr>
                <w:p w14:paraId="31873B4B">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A4.1水资源</w:t>
                  </w:r>
                </w:p>
              </w:tc>
              <w:tc>
                <w:tcPr>
                  <w:tcW w:w="2850" w:type="dxa"/>
                  <w:vAlign w:val="center"/>
                </w:tcPr>
                <w:p w14:paraId="44540FDD">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自治区用水总量2025年、2030年控制在国家下达的指标内。</w:t>
                  </w:r>
                </w:p>
              </w:tc>
              <w:tc>
                <w:tcPr>
                  <w:tcW w:w="2046" w:type="dxa"/>
                  <w:vAlign w:val="center"/>
                </w:tcPr>
                <w:p w14:paraId="1690F85A">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本项目由园区供水，原料清洗产生的废水经四级沉淀处理后循环使用，不外排。</w:t>
                  </w:r>
                </w:p>
              </w:tc>
              <w:tc>
                <w:tcPr>
                  <w:tcW w:w="544" w:type="dxa"/>
                  <w:tcBorders>
                    <w:right w:val="nil"/>
                  </w:tcBorders>
                  <w:vAlign w:val="center"/>
                </w:tcPr>
                <w:p w14:paraId="5E03E232">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符合</w:t>
                  </w:r>
                </w:p>
              </w:tc>
            </w:tr>
            <w:tr w14:paraId="3EEBC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continue"/>
                  <w:tcBorders>
                    <w:left w:val="nil"/>
                  </w:tcBorders>
                  <w:vAlign w:val="center"/>
                </w:tcPr>
                <w:p w14:paraId="245398B7">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p>
              </w:tc>
              <w:tc>
                <w:tcPr>
                  <w:tcW w:w="906" w:type="dxa"/>
                  <w:vMerge w:val="continue"/>
                  <w:vAlign w:val="center"/>
                </w:tcPr>
                <w:p w14:paraId="709C81E3">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p>
              </w:tc>
              <w:tc>
                <w:tcPr>
                  <w:tcW w:w="2850" w:type="dxa"/>
                  <w:vAlign w:val="center"/>
                </w:tcPr>
                <w:p w14:paraId="7F3BE898">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地下水资源利用实行总量控制和水位控制。取用地下水资源，应当按照国家和自治区有关规定申请取水许可。地下水利用应当以浅层地下水为主。</w:t>
                  </w:r>
                </w:p>
              </w:tc>
              <w:tc>
                <w:tcPr>
                  <w:tcW w:w="2046" w:type="dxa"/>
                  <w:vAlign w:val="center"/>
                </w:tcPr>
                <w:p w14:paraId="488949B5">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本项目由园区供水，不涉及地下取水。</w:t>
                  </w:r>
                </w:p>
              </w:tc>
              <w:tc>
                <w:tcPr>
                  <w:tcW w:w="544" w:type="dxa"/>
                  <w:tcBorders>
                    <w:right w:val="nil"/>
                  </w:tcBorders>
                  <w:vAlign w:val="center"/>
                </w:tcPr>
                <w:p w14:paraId="49EA78C9">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符合</w:t>
                  </w:r>
                </w:p>
              </w:tc>
            </w:tr>
            <w:tr w14:paraId="22B99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continue"/>
                  <w:tcBorders>
                    <w:left w:val="nil"/>
                  </w:tcBorders>
                  <w:vAlign w:val="center"/>
                </w:tcPr>
                <w:p w14:paraId="06C273BE">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p>
              </w:tc>
              <w:tc>
                <w:tcPr>
                  <w:tcW w:w="906" w:type="dxa"/>
                  <w:vAlign w:val="center"/>
                </w:tcPr>
                <w:p w14:paraId="3AAB1914">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A4.2土地资源</w:t>
                  </w:r>
                </w:p>
              </w:tc>
              <w:tc>
                <w:tcPr>
                  <w:tcW w:w="2850" w:type="dxa"/>
                  <w:vAlign w:val="center"/>
                </w:tcPr>
                <w:p w14:paraId="03CBEE84">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土地资源上限指标控制在最终批复的国土空间规划控制指标内。</w:t>
                  </w:r>
                </w:p>
              </w:tc>
              <w:tc>
                <w:tcPr>
                  <w:tcW w:w="2046" w:type="dxa"/>
                  <w:vAlign w:val="center"/>
                </w:tcPr>
                <w:p w14:paraId="3512BB21">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项</w:t>
                  </w:r>
                  <w:r>
                    <w:rPr>
                      <w:rFonts w:hint="eastAsia" w:cs="Times New Roman"/>
                      <w:b w:val="0"/>
                      <w:bCs w:val="0"/>
                      <w:color w:val="auto"/>
                      <w:sz w:val="21"/>
                      <w:szCs w:val="21"/>
                      <w:lang w:val="en-US" w:eastAsia="zh-CN"/>
                    </w:rPr>
                    <w:t>目位于新疆和硕经济开发区清水河综合工业园区。</w:t>
                  </w:r>
                </w:p>
              </w:tc>
              <w:tc>
                <w:tcPr>
                  <w:tcW w:w="544" w:type="dxa"/>
                  <w:tcBorders>
                    <w:right w:val="nil"/>
                  </w:tcBorders>
                  <w:vAlign w:val="center"/>
                </w:tcPr>
                <w:p w14:paraId="6D774BA6">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符合</w:t>
                  </w:r>
                </w:p>
              </w:tc>
            </w:tr>
            <w:tr w14:paraId="30362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continue"/>
                  <w:tcBorders>
                    <w:left w:val="nil"/>
                  </w:tcBorders>
                  <w:vAlign w:val="center"/>
                </w:tcPr>
                <w:p w14:paraId="0505CEE8">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p>
              </w:tc>
              <w:tc>
                <w:tcPr>
                  <w:tcW w:w="906" w:type="dxa"/>
                  <w:vMerge w:val="restart"/>
                  <w:vAlign w:val="center"/>
                </w:tcPr>
                <w:p w14:paraId="1BCC582E">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A4.3能源利用</w:t>
                  </w:r>
                </w:p>
              </w:tc>
              <w:tc>
                <w:tcPr>
                  <w:tcW w:w="2850" w:type="dxa"/>
                  <w:vAlign w:val="center"/>
                </w:tcPr>
                <w:p w14:paraId="3AF3E8BF">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鼓励使用清洁能源或电厂热力、工业余热等替代锅炉、炉窑燃料用煤。</w:t>
                  </w:r>
                </w:p>
              </w:tc>
              <w:tc>
                <w:tcPr>
                  <w:tcW w:w="2046" w:type="dxa"/>
                  <w:vAlign w:val="center"/>
                </w:tcPr>
                <w:p w14:paraId="64F1CEFB">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本项目不涉及锅炉。</w:t>
                  </w:r>
                </w:p>
              </w:tc>
              <w:tc>
                <w:tcPr>
                  <w:tcW w:w="544" w:type="dxa"/>
                  <w:tcBorders>
                    <w:right w:val="nil"/>
                  </w:tcBorders>
                  <w:vAlign w:val="center"/>
                </w:tcPr>
                <w:p w14:paraId="5E6EAC0B">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符合</w:t>
                  </w:r>
                </w:p>
              </w:tc>
            </w:tr>
            <w:tr w14:paraId="2E4FB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continue"/>
                  <w:tcBorders>
                    <w:left w:val="nil"/>
                  </w:tcBorders>
                  <w:vAlign w:val="center"/>
                </w:tcPr>
                <w:p w14:paraId="1583468F">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p>
              </w:tc>
              <w:tc>
                <w:tcPr>
                  <w:tcW w:w="906" w:type="dxa"/>
                  <w:vMerge w:val="continue"/>
                  <w:vAlign w:val="center"/>
                </w:tcPr>
                <w:p w14:paraId="232F86CF">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p>
              </w:tc>
              <w:tc>
                <w:tcPr>
                  <w:tcW w:w="2850" w:type="dxa"/>
                  <w:vAlign w:val="center"/>
                </w:tcPr>
                <w:p w14:paraId="6EC8002D">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以碳达峰碳中和工作为引领，着力提高能源资源利用效率。引导重点行业深入实施清洁生产改造，钢铁、建材、石油化工等重点行业以及其他行业重点用能单位持续开展节能降耗。</w:t>
                  </w:r>
                </w:p>
              </w:tc>
              <w:tc>
                <w:tcPr>
                  <w:tcW w:w="2046" w:type="dxa"/>
                  <w:vAlign w:val="center"/>
                </w:tcPr>
                <w:p w14:paraId="3EFCFF55">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本项目生产过程中消耗一定电量，消耗量较少。</w:t>
                  </w:r>
                </w:p>
              </w:tc>
              <w:tc>
                <w:tcPr>
                  <w:tcW w:w="544" w:type="dxa"/>
                  <w:tcBorders>
                    <w:right w:val="nil"/>
                  </w:tcBorders>
                  <w:vAlign w:val="center"/>
                </w:tcPr>
                <w:p w14:paraId="3F2C9592">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符合</w:t>
                  </w:r>
                </w:p>
              </w:tc>
            </w:tr>
            <w:tr w14:paraId="5877A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continue"/>
                  <w:tcBorders>
                    <w:left w:val="nil"/>
                  </w:tcBorders>
                  <w:vAlign w:val="center"/>
                </w:tcPr>
                <w:p w14:paraId="356017E9">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p>
              </w:tc>
              <w:tc>
                <w:tcPr>
                  <w:tcW w:w="906" w:type="dxa"/>
                  <w:vAlign w:val="center"/>
                </w:tcPr>
                <w:p w14:paraId="3454D590">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A4.4禁燃区要求</w:t>
                  </w:r>
                </w:p>
              </w:tc>
              <w:tc>
                <w:tcPr>
                  <w:tcW w:w="2850" w:type="dxa"/>
                  <w:vAlign w:val="center"/>
                </w:tcPr>
                <w:p w14:paraId="52953E46">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在禁燃区内，禁止销售、燃用高污染燃料；禁止新建、扩建燃用高污染燃料的设施。已建成的，应当在规定期限内改用清洁能源。</w:t>
                  </w:r>
                </w:p>
              </w:tc>
              <w:tc>
                <w:tcPr>
                  <w:tcW w:w="2046" w:type="dxa"/>
                  <w:vAlign w:val="center"/>
                </w:tcPr>
                <w:p w14:paraId="0165F28B">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本项目不涉及</w:t>
                  </w:r>
                </w:p>
              </w:tc>
              <w:tc>
                <w:tcPr>
                  <w:tcW w:w="544" w:type="dxa"/>
                  <w:tcBorders>
                    <w:right w:val="nil"/>
                  </w:tcBorders>
                  <w:vAlign w:val="center"/>
                </w:tcPr>
                <w:p w14:paraId="4B3D19A4">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符合</w:t>
                  </w:r>
                </w:p>
              </w:tc>
            </w:tr>
            <w:tr w14:paraId="311A3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continue"/>
                  <w:tcBorders>
                    <w:left w:val="nil"/>
                  </w:tcBorders>
                  <w:vAlign w:val="center"/>
                </w:tcPr>
                <w:p w14:paraId="76139036">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p>
              </w:tc>
              <w:tc>
                <w:tcPr>
                  <w:tcW w:w="906" w:type="dxa"/>
                  <w:vAlign w:val="center"/>
                </w:tcPr>
                <w:p w14:paraId="34423C7B">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A4.5资源综合利用</w:t>
                  </w:r>
                </w:p>
              </w:tc>
              <w:tc>
                <w:tcPr>
                  <w:tcW w:w="2850" w:type="dxa"/>
                  <w:vAlign w:val="center"/>
                </w:tcPr>
                <w:p w14:paraId="7428F46F">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加强固体废物源头减量、资源化利用和无害化处置，最大限度减少填埋量。推进工业固体废物精细化、名录化环境管理，促进大宗工业固废综合利用、主要农业废弃物全量利用。加快构建废旧物资回收和循环利用体系，健全强制报废制度和废旧家电、消费电子等耐用消费品回收处理体系，推行生产企业“逆向回收”等模式。以尾矿和共伴生矿、煤矸石、炉渣、粉煤灰、脱硫石膏、冶炼渣、建筑垃圾等为重点，持续推进固体废物综合利用和环境整治，不断提高大宗固体废物资源化利用水平。推行生活垃圾分类，加快建设县（市）生活垃圾处理设施，到2025年，全疆城市生活垃圾无害化处理率达到99%以上。</w:t>
                  </w:r>
                </w:p>
              </w:tc>
              <w:tc>
                <w:tcPr>
                  <w:tcW w:w="2046" w:type="dxa"/>
                  <w:vAlign w:val="center"/>
                </w:tcPr>
                <w:p w14:paraId="2597CCDB">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本项目生产过程中无废料产生；生活垃圾统一收集后由环卫部门清运处理；布袋除尘器收集粉尘回用于生产；废机油及废活性炭危险废物贮存点分类暂存后，委托有资质的单位处理。</w:t>
                  </w:r>
                </w:p>
              </w:tc>
              <w:tc>
                <w:tcPr>
                  <w:tcW w:w="544" w:type="dxa"/>
                  <w:tcBorders>
                    <w:right w:val="nil"/>
                  </w:tcBorders>
                  <w:vAlign w:val="center"/>
                </w:tcPr>
                <w:p w14:paraId="53C072C5">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符合</w:t>
                  </w:r>
                </w:p>
              </w:tc>
            </w:tr>
          </w:tbl>
          <w:p w14:paraId="31C339C8">
            <w:pPr>
              <w:rPr>
                <w:rFonts w:hint="default"/>
                <w:color w:val="auto"/>
                <w:lang w:val="en-US" w:eastAsia="zh-CN"/>
              </w:rPr>
            </w:pPr>
          </w:p>
          <w:p w14:paraId="14D99D1E">
            <w:pPr>
              <w:spacing w:line="520" w:lineRule="exact"/>
              <w:ind w:firstLine="480" w:firstLineChars="200"/>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本项目属于《产业结构调整指导目录（</w:t>
            </w:r>
            <w:r>
              <w:rPr>
                <w:rFonts w:hint="eastAsia" w:cs="Times New Roman"/>
                <w:color w:val="auto"/>
                <w:sz w:val="24"/>
                <w:lang w:val="en-US" w:eastAsia="zh-CN"/>
              </w:rPr>
              <w:t>2024</w:t>
            </w:r>
            <w:r>
              <w:rPr>
                <w:rFonts w:hint="default" w:ascii="Times New Roman" w:hAnsi="Times New Roman" w:eastAsia="宋体" w:cs="Times New Roman"/>
                <w:color w:val="auto"/>
                <w:sz w:val="24"/>
              </w:rPr>
              <w:t>年</w:t>
            </w:r>
            <w:r>
              <w:rPr>
                <w:rFonts w:hint="eastAsia" w:cs="Times New Roman"/>
                <w:color w:val="auto"/>
                <w:sz w:val="24"/>
                <w:lang w:val="en-US" w:eastAsia="zh-CN"/>
              </w:rPr>
              <w:t>本</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rPr>
              <w:t>中“</w:t>
            </w:r>
            <w:r>
              <w:rPr>
                <w:rFonts w:hint="eastAsia" w:cs="Times New Roman"/>
                <w:color w:val="auto"/>
                <w:sz w:val="24"/>
                <w:lang w:val="en-US" w:eastAsia="zh-CN"/>
              </w:rPr>
              <w:t>鼓励</w:t>
            </w:r>
            <w:r>
              <w:rPr>
                <w:rFonts w:hint="eastAsia" w:ascii="Times New Roman" w:hAnsi="Times New Roman" w:eastAsia="宋体" w:cs="Times New Roman"/>
                <w:color w:val="auto"/>
                <w:sz w:val="24"/>
              </w:rPr>
              <w:t>类”</w:t>
            </w:r>
            <w:r>
              <w:rPr>
                <w:rFonts w:hint="eastAsia" w:cs="Times New Roman"/>
                <w:color w:val="auto"/>
                <w:sz w:val="24"/>
                <w:lang w:val="en-US" w:eastAsia="zh-CN"/>
              </w:rPr>
              <w:t>项目</w:t>
            </w:r>
            <w:r>
              <w:rPr>
                <w:rFonts w:hint="eastAsia"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根据</w:t>
            </w:r>
            <w:r>
              <w:rPr>
                <w:rFonts w:hint="eastAsia" w:ascii="Times New Roman" w:hAnsi="Times New Roman" w:eastAsia="宋体" w:cs="Times New Roman"/>
                <w:color w:val="auto"/>
                <w:sz w:val="24"/>
                <w:lang w:eastAsia="zh-CN"/>
              </w:rPr>
              <w:t>《巴音郭楞蒙古自治州生态环境准入清单》可知本项目所在区域为重点管控单元</w:t>
            </w:r>
            <w:r>
              <w:rPr>
                <w:rFonts w:hint="eastAsia" w:ascii="Times New Roman" w:hAnsi="Times New Roman" w:eastAsia="宋体" w:cs="Times New Roman"/>
                <w:color w:val="auto"/>
                <w:sz w:val="24"/>
                <w:lang w:val="en-US" w:eastAsia="zh-CN"/>
              </w:rPr>
              <w:t>管控单元编码：ZH65</w:t>
            </w:r>
            <w:r>
              <w:rPr>
                <w:rFonts w:hint="eastAsia" w:cs="Times New Roman"/>
                <w:color w:val="auto"/>
                <w:sz w:val="24"/>
                <w:lang w:val="en-US" w:eastAsia="zh-CN"/>
              </w:rPr>
              <w:t>282820009</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eastAsia="zh-CN"/>
              </w:rPr>
              <w:t>与《巴音郭楞蒙古自治州生态环境准入清单》的符合性见表</w:t>
            </w:r>
            <w:r>
              <w:rPr>
                <w:rFonts w:hint="eastAsia" w:ascii="Times New Roman" w:hAnsi="Times New Roman" w:eastAsia="宋体" w:cs="Times New Roman"/>
                <w:color w:val="auto"/>
                <w:sz w:val="24"/>
                <w:lang w:val="en-US" w:eastAsia="zh-CN"/>
              </w:rPr>
              <w:t>1-</w:t>
            </w:r>
            <w:r>
              <w:rPr>
                <w:rFonts w:hint="eastAsia" w:cs="Times New Roman"/>
                <w:color w:val="auto"/>
                <w:sz w:val="24"/>
                <w:lang w:val="en-US" w:eastAsia="zh-CN"/>
              </w:rPr>
              <w:t>5</w:t>
            </w:r>
            <w:r>
              <w:rPr>
                <w:rFonts w:hint="eastAsia" w:ascii="Times New Roman" w:hAnsi="Times New Roman" w:eastAsia="宋体" w:cs="Times New Roman"/>
                <w:color w:val="auto"/>
                <w:sz w:val="24"/>
                <w:lang w:val="en-US" w:eastAsia="zh-CN"/>
              </w:rPr>
              <w:t>，附图</w:t>
            </w:r>
            <w:r>
              <w:rPr>
                <w:rFonts w:hint="eastAsia" w:cs="Times New Roman"/>
                <w:color w:val="auto"/>
                <w:sz w:val="24"/>
                <w:lang w:val="en-US" w:eastAsia="zh-CN"/>
              </w:rPr>
              <w:t>1-</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eastAsia="zh-CN"/>
              </w:rPr>
              <w:t>巴音郭楞蒙古自治州</w:t>
            </w:r>
            <w:r>
              <w:rPr>
                <w:rFonts w:hint="default" w:ascii="Times New Roman" w:hAnsi="Times New Roman" w:eastAsia="宋体" w:cs="Times New Roman"/>
                <w:color w:val="auto"/>
                <w:sz w:val="24"/>
              </w:rPr>
              <w:t>环境管控单元分类图</w:t>
            </w:r>
            <w:r>
              <w:rPr>
                <w:rFonts w:hint="eastAsia" w:ascii="Times New Roman" w:hAnsi="Times New Roman" w:eastAsia="宋体" w:cs="Times New Roman"/>
                <w:color w:val="auto"/>
                <w:sz w:val="24"/>
                <w:lang w:eastAsia="zh-CN"/>
              </w:rPr>
              <w:t>。</w:t>
            </w:r>
          </w:p>
          <w:p w14:paraId="7832D598">
            <w:pPr>
              <w:pStyle w:val="37"/>
              <w:rPr>
                <w:rFonts w:hint="eastAsia"/>
                <w:color w:val="auto"/>
                <w:lang w:val="en-US" w:eastAsia="zh-CN"/>
              </w:rPr>
            </w:pPr>
            <w:r>
              <w:rPr>
                <w:color w:val="auto"/>
              </w:rPr>
              <w:drawing>
                <wp:inline distT="0" distB="0" distL="114300" distR="114300">
                  <wp:extent cx="4581525" cy="3242310"/>
                  <wp:effectExtent l="0" t="0" r="9525" b="15240"/>
                  <wp:docPr id="28" name="图片 1" descr="C:/Users/Administrator/Desktop/附件1：巴音郭楞蒙古自治州“三线一单”环境管控单元分类图（2023年）_00.png附件1：巴音郭楞蒙古自治州“三线一单”环境管控单元分类图（2023年）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C:/Users/Administrator/Desktop/附件1：巴音郭楞蒙古自治州“三线一单”环境管控单元分类图（2023年）_00.png附件1：巴音郭楞蒙古自治州“三线一单”环境管控单元分类图（2023年）_00"/>
                          <pic:cNvPicPr>
                            <a:picLocks noChangeAspect="1"/>
                          </pic:cNvPicPr>
                        </pic:nvPicPr>
                        <pic:blipFill>
                          <a:blip r:embed="rId21"/>
                          <a:srcRect l="39" r="39"/>
                          <a:stretch>
                            <a:fillRect/>
                          </a:stretch>
                        </pic:blipFill>
                        <pic:spPr>
                          <a:xfrm>
                            <a:off x="0" y="0"/>
                            <a:ext cx="4581525" cy="3242310"/>
                          </a:xfrm>
                          <a:prstGeom prst="rect">
                            <a:avLst/>
                          </a:prstGeom>
                          <a:noFill/>
                          <a:ln>
                            <a:noFill/>
                          </a:ln>
                        </pic:spPr>
                      </pic:pic>
                    </a:graphicData>
                  </a:graphic>
                </wp:inline>
              </w:drawing>
            </w:r>
          </w:p>
          <w:p w14:paraId="40CE4645">
            <w:pPr>
              <w:pStyle w:val="55"/>
              <w:spacing w:line="240" w:lineRule="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1"/>
                <w:szCs w:val="21"/>
                <w:lang w:val="en-US" w:eastAsia="zh-CN"/>
              </w:rPr>
              <w:t>图</w:t>
            </w:r>
            <w:r>
              <w:rPr>
                <w:rFonts w:hint="eastAsia"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eastAsia="zh-CN"/>
              </w:rPr>
              <w:t>巴音郭楞蒙古自治州</w:t>
            </w:r>
            <w:r>
              <w:rPr>
                <w:rFonts w:hint="default" w:ascii="Times New Roman" w:hAnsi="Times New Roman" w:eastAsia="宋体" w:cs="Times New Roman"/>
                <w:color w:val="auto"/>
                <w:sz w:val="21"/>
                <w:szCs w:val="21"/>
              </w:rPr>
              <w:t>环境管控单元分类图</w:t>
            </w:r>
          </w:p>
          <w:p w14:paraId="19C3A917">
            <w:pPr>
              <w:rPr>
                <w:rFonts w:hint="default" w:ascii="Times New Roman" w:hAnsi="Times New Roman" w:eastAsia="宋体" w:cs="Times New Roman"/>
                <w:color w:val="auto"/>
                <w:sz w:val="24"/>
              </w:rPr>
            </w:pPr>
          </w:p>
          <w:p w14:paraId="0236D51E">
            <w:pPr>
              <w:pStyle w:val="6"/>
              <w:rPr>
                <w:rFonts w:hint="default" w:ascii="Times New Roman" w:hAnsi="Times New Roman" w:eastAsia="宋体" w:cs="Times New Roman"/>
                <w:color w:val="auto"/>
                <w:sz w:val="24"/>
              </w:rPr>
            </w:pPr>
          </w:p>
          <w:p w14:paraId="3D219852">
            <w:pPr>
              <w:rPr>
                <w:rFonts w:hint="default" w:ascii="Times New Roman" w:hAnsi="Times New Roman" w:eastAsia="宋体" w:cs="Times New Roman"/>
                <w:color w:val="auto"/>
                <w:sz w:val="24"/>
              </w:rPr>
            </w:pPr>
          </w:p>
          <w:p w14:paraId="6AD13560">
            <w:pPr>
              <w:pStyle w:val="6"/>
              <w:rPr>
                <w:rFonts w:hint="default" w:ascii="Times New Roman" w:hAnsi="Times New Roman" w:eastAsia="宋体" w:cs="Times New Roman"/>
                <w:color w:val="auto"/>
                <w:sz w:val="24"/>
              </w:rPr>
            </w:pPr>
          </w:p>
          <w:p w14:paraId="02FA363A">
            <w:pPr>
              <w:rPr>
                <w:rFonts w:hint="default" w:ascii="Times New Roman" w:hAnsi="Times New Roman" w:eastAsia="宋体" w:cs="Times New Roman"/>
                <w:color w:val="auto"/>
                <w:sz w:val="24"/>
              </w:rPr>
            </w:pPr>
          </w:p>
          <w:p w14:paraId="05BDB961">
            <w:pPr>
              <w:pStyle w:val="6"/>
              <w:rPr>
                <w:rFonts w:hint="default" w:ascii="Times New Roman" w:hAnsi="Times New Roman" w:eastAsia="宋体" w:cs="Times New Roman"/>
                <w:color w:val="auto"/>
                <w:sz w:val="24"/>
              </w:rPr>
            </w:pPr>
          </w:p>
          <w:p w14:paraId="27851D0C">
            <w:pPr>
              <w:rPr>
                <w:rFonts w:hint="default" w:ascii="Times New Roman" w:hAnsi="Times New Roman" w:eastAsia="宋体" w:cs="Times New Roman"/>
                <w:color w:val="auto"/>
                <w:sz w:val="24"/>
              </w:rPr>
            </w:pPr>
          </w:p>
          <w:p w14:paraId="6B76941D">
            <w:pPr>
              <w:pStyle w:val="6"/>
              <w:rPr>
                <w:rFonts w:hint="default" w:ascii="Times New Roman" w:hAnsi="Times New Roman" w:eastAsia="宋体" w:cs="Times New Roman"/>
                <w:color w:val="auto"/>
                <w:sz w:val="24"/>
              </w:rPr>
            </w:pPr>
          </w:p>
          <w:p w14:paraId="7EBC3677">
            <w:pPr>
              <w:rPr>
                <w:rFonts w:hint="default" w:ascii="Times New Roman" w:hAnsi="Times New Roman" w:eastAsia="宋体" w:cs="Times New Roman"/>
                <w:color w:val="auto"/>
                <w:sz w:val="24"/>
              </w:rPr>
            </w:pPr>
          </w:p>
          <w:p w14:paraId="6F6ADD68">
            <w:pPr>
              <w:pStyle w:val="6"/>
              <w:rPr>
                <w:rFonts w:hint="default"/>
              </w:rPr>
            </w:pPr>
          </w:p>
          <w:p w14:paraId="1EED4234">
            <w:pPr>
              <w:rPr>
                <w:rFonts w:hint="default"/>
              </w:rPr>
            </w:pPr>
          </w:p>
          <w:p w14:paraId="5AEB23DA">
            <w:pPr>
              <w:pStyle w:val="6"/>
              <w:rPr>
                <w:rFonts w:hint="default"/>
              </w:rPr>
            </w:pPr>
          </w:p>
          <w:p w14:paraId="5D5EE7D0">
            <w:pPr>
              <w:pStyle w:val="55"/>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表1-</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《巴音郭楞蒙古自治州生态环境准入清单》符合性分析表</w:t>
            </w:r>
          </w:p>
          <w:tbl>
            <w:tblPr>
              <w:tblStyle w:val="24"/>
              <w:tblW w:w="7278"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06"/>
              <w:gridCol w:w="611"/>
              <w:gridCol w:w="456"/>
              <w:gridCol w:w="3321"/>
              <w:gridCol w:w="1695"/>
              <w:gridCol w:w="389"/>
            </w:tblGrid>
            <w:tr w14:paraId="3E0679F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59" w:hRule="atLeast"/>
                <w:tblHeader/>
                <w:jc w:val="center"/>
              </w:trPr>
              <w:tc>
                <w:tcPr>
                  <w:tcW w:w="553" w:type="pct"/>
                  <w:tcBorders>
                    <w:tl2br w:val="nil"/>
                    <w:tr2bl w:val="nil"/>
                  </w:tcBorders>
                  <w:noWrap w:val="0"/>
                  <w:vAlign w:val="center"/>
                </w:tcPr>
                <w:p w14:paraId="4481B98B">
                  <w:pPr>
                    <w:pStyle w:val="5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环境管控单元名称</w:t>
                  </w:r>
                </w:p>
              </w:tc>
              <w:tc>
                <w:tcPr>
                  <w:tcW w:w="419" w:type="pct"/>
                  <w:tcBorders>
                    <w:tl2br w:val="nil"/>
                    <w:tr2bl w:val="nil"/>
                  </w:tcBorders>
                  <w:noWrap w:val="0"/>
                  <w:vAlign w:val="center"/>
                </w:tcPr>
                <w:p w14:paraId="44C309FC">
                  <w:pPr>
                    <w:pStyle w:val="5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环境管控单元类别</w:t>
                  </w:r>
                </w:p>
              </w:tc>
              <w:tc>
                <w:tcPr>
                  <w:tcW w:w="2594" w:type="pct"/>
                  <w:gridSpan w:val="2"/>
                  <w:tcBorders>
                    <w:tl2br w:val="nil"/>
                    <w:tr2bl w:val="nil"/>
                  </w:tcBorders>
                  <w:noWrap w:val="0"/>
                  <w:vAlign w:val="center"/>
                </w:tcPr>
                <w:p w14:paraId="614BE8AC">
                  <w:pPr>
                    <w:pStyle w:val="5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管控要求</w:t>
                  </w:r>
                </w:p>
              </w:tc>
              <w:tc>
                <w:tcPr>
                  <w:tcW w:w="1164" w:type="pct"/>
                  <w:tcBorders>
                    <w:tl2br w:val="nil"/>
                    <w:tr2bl w:val="nil"/>
                  </w:tcBorders>
                  <w:noWrap w:val="0"/>
                  <w:vAlign w:val="center"/>
                </w:tcPr>
                <w:p w14:paraId="7BF717FF">
                  <w:pPr>
                    <w:pStyle w:val="5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本项目情况</w:t>
                  </w:r>
                </w:p>
              </w:tc>
              <w:tc>
                <w:tcPr>
                  <w:tcW w:w="267" w:type="pct"/>
                  <w:tcBorders>
                    <w:tl2br w:val="nil"/>
                    <w:tr2bl w:val="nil"/>
                  </w:tcBorders>
                  <w:noWrap w:val="0"/>
                  <w:vAlign w:val="center"/>
                </w:tcPr>
                <w:p w14:paraId="0BAA948E">
                  <w:pPr>
                    <w:pStyle w:val="5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符合性</w:t>
                  </w:r>
                </w:p>
                <w:p w14:paraId="13E57479">
                  <w:pPr>
                    <w:pStyle w:val="5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分析</w:t>
                  </w:r>
                </w:p>
              </w:tc>
            </w:tr>
            <w:tr w14:paraId="1DBEC93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98" w:hRule="atLeast"/>
                <w:tblHeader/>
                <w:jc w:val="center"/>
              </w:trPr>
              <w:tc>
                <w:tcPr>
                  <w:tcW w:w="553" w:type="pct"/>
                  <w:vMerge w:val="restart"/>
                  <w:tcBorders>
                    <w:tl2br w:val="nil"/>
                    <w:tr2bl w:val="nil"/>
                  </w:tcBorders>
                  <w:noWrap w:val="0"/>
                  <w:vAlign w:val="center"/>
                </w:tcPr>
                <w:p w14:paraId="3DA4DF2B">
                  <w:pPr>
                    <w:pStyle w:val="5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和硕经济开发区</w:t>
                  </w:r>
                  <w:r>
                    <w:rPr>
                      <w:rFonts w:hint="default" w:ascii="Times New Roman" w:hAnsi="Times New Roman" w:eastAsia="宋体" w:cs="Times New Roman"/>
                      <w:color w:val="auto"/>
                      <w:sz w:val="21"/>
                      <w:szCs w:val="21"/>
                    </w:rPr>
                    <w:t>（ZH6528</w:t>
                  </w:r>
                  <w:r>
                    <w:rPr>
                      <w:rFonts w:hint="eastAsia" w:cs="Times New Roman"/>
                      <w:color w:val="auto"/>
                      <w:sz w:val="21"/>
                      <w:szCs w:val="21"/>
                      <w:lang w:val="en-US" w:eastAsia="zh-CN"/>
                    </w:rPr>
                    <w:t>2820009</w:t>
                  </w:r>
                  <w:r>
                    <w:rPr>
                      <w:rFonts w:hint="default" w:ascii="Times New Roman" w:hAnsi="Times New Roman" w:eastAsia="宋体" w:cs="Times New Roman"/>
                      <w:color w:val="auto"/>
                      <w:sz w:val="21"/>
                      <w:szCs w:val="21"/>
                    </w:rPr>
                    <w:t>）</w:t>
                  </w:r>
                </w:p>
              </w:tc>
              <w:tc>
                <w:tcPr>
                  <w:tcW w:w="419" w:type="pct"/>
                  <w:vMerge w:val="restart"/>
                  <w:tcBorders>
                    <w:tl2br w:val="nil"/>
                    <w:tr2bl w:val="nil"/>
                  </w:tcBorders>
                  <w:noWrap w:val="0"/>
                  <w:vAlign w:val="center"/>
                </w:tcPr>
                <w:p w14:paraId="5A20A50D">
                  <w:pPr>
                    <w:pStyle w:val="5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重点</w:t>
                  </w:r>
                </w:p>
                <w:p w14:paraId="758B4910">
                  <w:pPr>
                    <w:pStyle w:val="5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管控单元</w:t>
                  </w:r>
                </w:p>
              </w:tc>
              <w:tc>
                <w:tcPr>
                  <w:tcW w:w="313" w:type="pct"/>
                  <w:tcBorders>
                    <w:tl2br w:val="nil"/>
                    <w:tr2bl w:val="nil"/>
                  </w:tcBorders>
                  <w:noWrap w:val="0"/>
                  <w:vAlign w:val="center"/>
                </w:tcPr>
                <w:p w14:paraId="76BDFD4E">
                  <w:pPr>
                    <w:pStyle w:val="5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w:t>
                  </w:r>
                </w:p>
                <w:p w14:paraId="0DB9F500">
                  <w:pPr>
                    <w:pStyle w:val="5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布局约束</w:t>
                  </w:r>
                </w:p>
              </w:tc>
              <w:tc>
                <w:tcPr>
                  <w:tcW w:w="2281" w:type="pct"/>
                  <w:tcBorders>
                    <w:tl2br w:val="nil"/>
                    <w:tr2bl w:val="nil"/>
                  </w:tcBorders>
                  <w:noWrap w:val="0"/>
                  <w:vAlign w:val="center"/>
                </w:tcPr>
                <w:p w14:paraId="368EB66E">
                  <w:pPr>
                    <w:keepNext w:val="0"/>
                    <w:keepLines w:val="0"/>
                    <w:widowControl/>
                    <w:suppressLineNumbers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1.</w:t>
                  </w:r>
                  <w:r>
                    <w:rPr>
                      <w:rFonts w:hint="eastAsia" w:ascii="Times New Roman" w:hAnsi="Times New Roman" w:eastAsia="宋体" w:cs="Times New Roman"/>
                      <w:color w:val="auto"/>
                      <w:kern w:val="2"/>
                      <w:sz w:val="21"/>
                      <w:szCs w:val="21"/>
                      <w:lang w:val="en-US" w:eastAsia="zh-CN" w:bidi="ar-SA"/>
                    </w:rPr>
                    <w:t>符合国家环保和节能减排要求，排放污染物必须达到国家和自治区污染物排放标准，严禁国家明文规定的限制类、淘汰类项目进入园区；不得采用国家、自治区淘汰或禁止使用的生产工艺、技术和设备；项目中的防治措施必须与主体工程同时设计、同时施工、同时投产使用。</w:t>
                  </w:r>
                </w:p>
              </w:tc>
              <w:tc>
                <w:tcPr>
                  <w:tcW w:w="1164" w:type="pct"/>
                  <w:tcBorders>
                    <w:tl2br w:val="nil"/>
                    <w:tr2bl w:val="nil"/>
                  </w:tcBorders>
                  <w:noWrap w:val="0"/>
                  <w:vAlign w:val="center"/>
                </w:tcPr>
                <w:p w14:paraId="77F8B728">
                  <w:pPr>
                    <w:pStyle w:val="56"/>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w:t>
                  </w:r>
                  <w:r>
                    <w:rPr>
                      <w:rFonts w:hint="eastAsia" w:ascii="Times New Roman" w:hAnsi="Times New Roman" w:eastAsia="宋体" w:cs="Times New Roman"/>
                      <w:color w:val="auto"/>
                      <w:kern w:val="2"/>
                      <w:sz w:val="21"/>
                      <w:szCs w:val="21"/>
                      <w:lang w:val="en-US" w:eastAsia="zh-CN" w:bidi="ar-SA"/>
                    </w:rPr>
                    <w:t>本项目满足</w:t>
                  </w:r>
                  <w:r>
                    <w:rPr>
                      <w:rFonts w:hint="default" w:ascii="Times New Roman" w:hAnsi="Times New Roman" w:eastAsia="宋体" w:cs="Times New Roman"/>
                      <w:color w:val="auto"/>
                      <w:kern w:val="2"/>
                      <w:sz w:val="21"/>
                      <w:szCs w:val="21"/>
                      <w:lang w:val="en-US" w:eastAsia="zh-CN" w:bidi="ar-SA"/>
                    </w:rPr>
                    <w:t>自治区七大片区天山南坡管控要求和巴州总体管控要求中关于水、大气环境重点管控区的污染物排放管控要求。</w:t>
                  </w:r>
                </w:p>
                <w:p w14:paraId="1A27F4D2">
                  <w:pPr>
                    <w:pStyle w:val="56"/>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w:t>
                  </w:r>
                  <w:r>
                    <w:rPr>
                      <w:rFonts w:hint="default" w:ascii="Times New Roman" w:hAnsi="Times New Roman" w:eastAsia="宋体" w:cs="Times New Roman"/>
                      <w:color w:val="auto"/>
                      <w:kern w:val="2"/>
                      <w:sz w:val="21"/>
                      <w:szCs w:val="21"/>
                      <w:lang w:val="en-US" w:eastAsia="zh-CN" w:bidi="ar-SA"/>
                    </w:rPr>
                    <w:t>本项目各污染物达标排放；</w:t>
                  </w:r>
                </w:p>
                <w:p w14:paraId="158408FC">
                  <w:pPr>
                    <w:pStyle w:val="56"/>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w:t>
                  </w:r>
                  <w:r>
                    <w:rPr>
                      <w:rFonts w:hint="default" w:ascii="Times New Roman" w:hAnsi="Times New Roman" w:eastAsia="宋体" w:cs="Times New Roman"/>
                      <w:color w:val="auto"/>
                      <w:kern w:val="2"/>
                      <w:sz w:val="21"/>
                      <w:szCs w:val="21"/>
                      <w:lang w:val="en-US" w:eastAsia="zh-CN" w:bidi="ar-SA"/>
                    </w:rPr>
                    <w:t>无淘汰落后工艺和设备；</w:t>
                  </w:r>
                </w:p>
                <w:p w14:paraId="21D641EA">
                  <w:pPr>
                    <w:pStyle w:val="56"/>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eastAsia" w:cs="Times New Roman"/>
                      <w:color w:val="auto"/>
                      <w:kern w:val="2"/>
                      <w:sz w:val="21"/>
                      <w:szCs w:val="21"/>
                      <w:lang w:val="en-US" w:eastAsia="zh-CN" w:bidi="ar-SA"/>
                    </w:rPr>
                    <w:t>4.</w:t>
                  </w:r>
                  <w:r>
                    <w:rPr>
                      <w:rFonts w:hint="default" w:ascii="Times New Roman" w:hAnsi="Times New Roman" w:eastAsia="宋体" w:cs="Times New Roman"/>
                      <w:color w:val="auto"/>
                      <w:kern w:val="2"/>
                      <w:sz w:val="21"/>
                      <w:szCs w:val="21"/>
                      <w:lang w:val="en-US" w:eastAsia="zh-CN" w:bidi="ar-SA"/>
                    </w:rPr>
                    <w:t>不涉及燃煤锅炉。</w:t>
                  </w:r>
                </w:p>
              </w:tc>
              <w:tc>
                <w:tcPr>
                  <w:tcW w:w="267" w:type="pct"/>
                  <w:tcBorders>
                    <w:tl2br w:val="nil"/>
                    <w:tr2bl w:val="nil"/>
                  </w:tcBorders>
                  <w:noWrap w:val="0"/>
                  <w:vAlign w:val="center"/>
                </w:tcPr>
                <w:p w14:paraId="22E0ABA3">
                  <w:pPr>
                    <w:pStyle w:val="5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08BDF0F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298" w:hRule="atLeast"/>
                <w:tblHeader/>
                <w:jc w:val="center"/>
              </w:trPr>
              <w:tc>
                <w:tcPr>
                  <w:tcW w:w="553" w:type="pct"/>
                  <w:vMerge w:val="continue"/>
                  <w:tcBorders>
                    <w:tl2br w:val="nil"/>
                    <w:tr2bl w:val="nil"/>
                  </w:tcBorders>
                  <w:noWrap w:val="0"/>
                  <w:vAlign w:val="center"/>
                </w:tcPr>
                <w:p w14:paraId="6B84AF5E">
                  <w:pPr>
                    <w:pStyle w:val="5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p>
              </w:tc>
              <w:tc>
                <w:tcPr>
                  <w:tcW w:w="419" w:type="pct"/>
                  <w:vMerge w:val="continue"/>
                  <w:tcBorders>
                    <w:tl2br w:val="nil"/>
                    <w:tr2bl w:val="nil"/>
                  </w:tcBorders>
                  <w:noWrap w:val="0"/>
                  <w:vAlign w:val="center"/>
                </w:tcPr>
                <w:p w14:paraId="29D387F7">
                  <w:pPr>
                    <w:pStyle w:val="5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p>
              </w:tc>
              <w:tc>
                <w:tcPr>
                  <w:tcW w:w="313" w:type="pct"/>
                  <w:tcBorders>
                    <w:tl2br w:val="nil"/>
                    <w:tr2bl w:val="nil"/>
                  </w:tcBorders>
                  <w:noWrap w:val="0"/>
                  <w:vAlign w:val="center"/>
                </w:tcPr>
                <w:p w14:paraId="15A77DD0">
                  <w:pPr>
                    <w:pStyle w:val="5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污染物排</w:t>
                  </w:r>
                </w:p>
                <w:p w14:paraId="4CC590C8">
                  <w:pPr>
                    <w:pStyle w:val="5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放管控</w:t>
                  </w:r>
                </w:p>
              </w:tc>
              <w:tc>
                <w:tcPr>
                  <w:tcW w:w="2281" w:type="pct"/>
                  <w:tcBorders>
                    <w:tl2br w:val="nil"/>
                    <w:tr2bl w:val="nil"/>
                  </w:tcBorders>
                  <w:noWrap w:val="0"/>
                  <w:vAlign w:val="center"/>
                </w:tcPr>
                <w:p w14:paraId="1183D7B4">
                  <w:pPr>
                    <w:keepNext w:val="0"/>
                    <w:keepLines w:val="0"/>
                    <w:widowControl/>
                    <w:suppressLineNumbers w:val="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r>
                    <w:rPr>
                      <w:rFonts w:hint="eastAsia" w:ascii="Times New Roman" w:hAnsi="Times New Roman" w:eastAsia="宋体" w:cs="Times New Roman"/>
                      <w:color w:val="auto"/>
                      <w:kern w:val="2"/>
                      <w:sz w:val="21"/>
                      <w:szCs w:val="21"/>
                      <w:lang w:val="en-US" w:eastAsia="zh-CN" w:bidi="ar-SA"/>
                    </w:rPr>
                    <w:t xml:space="preserve">加快脱硫脱硝除尘改造。县城内禁止新建 </w:t>
                  </w:r>
                  <w:r>
                    <w:rPr>
                      <w:rFonts w:hint="default" w:ascii="Times New Roman" w:hAnsi="Times New Roman" w:eastAsia="宋体" w:cs="Times New Roman"/>
                      <w:color w:val="auto"/>
                      <w:kern w:val="2"/>
                      <w:sz w:val="21"/>
                      <w:szCs w:val="21"/>
                      <w:lang w:val="en-US" w:eastAsia="zh-CN" w:bidi="ar-SA"/>
                    </w:rPr>
                    <w:t>35</w:t>
                  </w:r>
                  <w:r>
                    <w:rPr>
                      <w:rFonts w:hint="eastAsia" w:ascii="Times New Roman" w:hAnsi="Times New Roman" w:eastAsia="宋体" w:cs="Times New Roman"/>
                      <w:color w:val="auto"/>
                      <w:kern w:val="2"/>
                      <w:sz w:val="21"/>
                      <w:szCs w:val="21"/>
                      <w:lang w:val="en-US" w:eastAsia="zh-CN" w:bidi="ar-SA"/>
                    </w:rPr>
                    <w:t>蒸吨以下燃煤锅炉</w:t>
                  </w:r>
                  <w:r>
                    <w:rPr>
                      <w:rFonts w:hint="eastAsia" w:cs="Times New Roman"/>
                      <w:color w:val="auto"/>
                      <w:kern w:val="2"/>
                      <w:sz w:val="21"/>
                      <w:szCs w:val="21"/>
                      <w:lang w:val="en-US" w:eastAsia="zh-CN" w:bidi="ar-SA"/>
                    </w:rPr>
                    <w:t>，对</w:t>
                  </w:r>
                  <w:r>
                    <w:rPr>
                      <w:rFonts w:hint="default" w:ascii="Times New Roman" w:hAnsi="Times New Roman" w:eastAsia="宋体" w:cs="Times New Roman"/>
                      <w:color w:val="auto"/>
                      <w:kern w:val="2"/>
                      <w:sz w:val="21"/>
                      <w:szCs w:val="21"/>
                      <w:lang w:val="en-US" w:eastAsia="zh-CN" w:bidi="ar-SA"/>
                    </w:rPr>
                    <w:t>35</w:t>
                  </w:r>
                  <w:r>
                    <w:rPr>
                      <w:rFonts w:hint="eastAsia" w:ascii="Times New Roman" w:hAnsi="Times New Roman" w:eastAsia="宋体" w:cs="Times New Roman"/>
                      <w:color w:val="auto"/>
                      <w:kern w:val="2"/>
                      <w:sz w:val="21"/>
                      <w:szCs w:val="21"/>
                      <w:lang w:val="en-US" w:eastAsia="zh-CN" w:bidi="ar-SA"/>
                    </w:rPr>
                    <w:t>蒸吨及以上的燃煤锅炉实施可行的脱硫脱硝除尘措施。</w:t>
                  </w:r>
                </w:p>
                <w:p w14:paraId="770C99AC">
                  <w:pPr>
                    <w:keepNext w:val="0"/>
                    <w:keepLines w:val="0"/>
                    <w:widowControl/>
                    <w:suppressLineNumbers w:val="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r>
                    <w:rPr>
                      <w:rFonts w:hint="eastAsia" w:ascii="Times New Roman" w:hAnsi="Times New Roman" w:eastAsia="宋体" w:cs="Times New Roman"/>
                      <w:color w:val="auto"/>
                      <w:kern w:val="2"/>
                      <w:sz w:val="21"/>
                      <w:szCs w:val="21"/>
                      <w:lang w:val="en-US" w:eastAsia="zh-CN" w:bidi="ar-SA"/>
                    </w:rPr>
                    <w:t>推进挥发性有机物污染治理。进一步核实企业实际生产和排污状况，结合实际形成辖区内企业防治计划，建立挥发性有机物排放企业台账，有重点、有计划地开展挥发性有机物</w:t>
                  </w:r>
                  <w:r>
                    <w:rPr>
                      <w:rFonts w:hint="eastAsia"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VOCs</w:t>
                  </w:r>
                  <w:r>
                    <w:rPr>
                      <w:rFonts w:hint="eastAsia"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治理工作。开展</w:t>
                  </w:r>
                  <w:r>
                    <w:rPr>
                      <w:rFonts w:hint="default" w:ascii="Times New Roman" w:hAnsi="Times New Roman" w:eastAsia="宋体" w:cs="Times New Roman"/>
                      <w:color w:val="auto"/>
                      <w:kern w:val="2"/>
                      <w:sz w:val="21"/>
                      <w:szCs w:val="21"/>
                      <w:lang w:val="en-US" w:eastAsia="zh-CN" w:bidi="ar-SA"/>
                    </w:rPr>
                    <w:t xml:space="preserve">VOCs </w:t>
                  </w:r>
                  <w:r>
                    <w:rPr>
                      <w:rFonts w:hint="eastAsia" w:ascii="Times New Roman" w:hAnsi="Times New Roman" w:eastAsia="宋体" w:cs="Times New Roman"/>
                      <w:color w:val="auto"/>
                      <w:kern w:val="2"/>
                      <w:sz w:val="21"/>
                      <w:szCs w:val="21"/>
                      <w:lang w:val="en-US" w:eastAsia="zh-CN" w:bidi="ar-SA"/>
                    </w:rPr>
                    <w:t>整治专项执法行动。</w:t>
                  </w:r>
                </w:p>
                <w:p w14:paraId="504A364E">
                  <w:pPr>
                    <w:keepNext w:val="0"/>
                    <w:keepLines w:val="0"/>
                    <w:widowControl/>
                    <w:suppressLineNumbers w:val="0"/>
                    <w:jc w:val="left"/>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r>
                    <w:rPr>
                      <w:rFonts w:hint="eastAsia" w:ascii="Times New Roman" w:hAnsi="Times New Roman" w:eastAsia="宋体" w:cs="Times New Roman"/>
                      <w:color w:val="auto"/>
                      <w:kern w:val="2"/>
                      <w:sz w:val="21"/>
                      <w:szCs w:val="21"/>
                      <w:lang w:val="en-US" w:eastAsia="zh-CN" w:bidi="ar-SA"/>
                    </w:rPr>
                    <w:t>制定工业炉窑综合整治实施方案。开展拉网式排查，按要求建立管理清单，实施分类治理。完善工业炉窑大气污染综合治理管理体系，推进工业炉窑全面达标排放，工业炉窑装备和污染治理水平明显提高，实现工业企业二氧化硫、氮氧化物、颗粒物等污染物排放进一步下降。</w:t>
                  </w:r>
                </w:p>
                <w:p w14:paraId="4FCF4698">
                  <w:pPr>
                    <w:keepNext w:val="0"/>
                    <w:keepLines w:val="0"/>
                    <w:widowControl/>
                    <w:suppressLineNumbers w:val="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w:t>
                  </w:r>
                  <w:r>
                    <w:rPr>
                      <w:rFonts w:hint="eastAsia" w:ascii="Times New Roman" w:hAnsi="Times New Roman" w:eastAsia="宋体" w:cs="Times New Roman"/>
                      <w:color w:val="auto"/>
                      <w:kern w:val="2"/>
                      <w:sz w:val="21"/>
                      <w:szCs w:val="21"/>
                      <w:lang w:val="en-US" w:eastAsia="zh-CN" w:bidi="ar-SA"/>
                    </w:rPr>
                    <w:t>企业污水自行处理达到行业排放标准或《污水综合排放标准》中的三级标准后方可进入污水处理厂，并在企业排水口安装在线监测设备，以保障污水处理厂进水满足要求。</w:t>
                  </w:r>
                </w:p>
              </w:tc>
              <w:tc>
                <w:tcPr>
                  <w:tcW w:w="1164" w:type="pct"/>
                  <w:tcBorders>
                    <w:tl2br w:val="nil"/>
                    <w:tr2bl w:val="nil"/>
                  </w:tcBorders>
                  <w:noWrap w:val="0"/>
                  <w:vAlign w:val="center"/>
                </w:tcPr>
                <w:p w14:paraId="23EDAAC7">
                  <w:pPr>
                    <w:pStyle w:val="56"/>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val="en-US" w:eastAsia="zh-CN"/>
                    </w:rPr>
                    <w:t>本项目满足</w:t>
                  </w:r>
                  <w:r>
                    <w:rPr>
                      <w:rFonts w:hint="default" w:ascii="Times New Roman" w:hAnsi="Times New Roman" w:cs="Times New Roman"/>
                      <w:color w:val="auto"/>
                      <w:sz w:val="21"/>
                      <w:szCs w:val="21"/>
                      <w:lang w:val="en-US" w:eastAsia="zh-CN"/>
                    </w:rPr>
                    <w:t>自治区七大片区天山南坡管控要求和巴州总体管控要求中关于水、大气环境重点管控区的污染物排放管控要求。</w:t>
                  </w:r>
                </w:p>
                <w:p w14:paraId="63401445">
                  <w:pPr>
                    <w:pStyle w:val="56"/>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2.</w:t>
                  </w:r>
                  <w:r>
                    <w:rPr>
                      <w:rFonts w:hint="eastAsia" w:ascii="Times New Roman" w:hAnsi="Times New Roman" w:cs="Times New Roman"/>
                      <w:color w:val="auto"/>
                      <w:sz w:val="21"/>
                      <w:szCs w:val="21"/>
                      <w:lang w:val="en-US" w:eastAsia="zh-CN"/>
                    </w:rPr>
                    <w:t>本项目不设置锅炉。</w:t>
                  </w:r>
                </w:p>
                <w:p w14:paraId="7EDD90F7">
                  <w:pPr>
                    <w:pStyle w:val="56"/>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w:t>
                  </w:r>
                  <w:r>
                    <w:rPr>
                      <w:rFonts w:hint="eastAsia" w:ascii="Times New Roman" w:hAnsi="Times New Roman" w:cs="Times New Roman"/>
                      <w:color w:val="auto"/>
                      <w:sz w:val="21"/>
                      <w:szCs w:val="21"/>
                      <w:lang w:val="en-US" w:eastAsia="zh-CN"/>
                    </w:rPr>
                    <w:t>挥发性有机物经设备自带除尘器收集，经活性炭吸附装置处理后经15m高排气筒排放。</w:t>
                  </w:r>
                </w:p>
                <w:p w14:paraId="15D65D2F">
                  <w:pPr>
                    <w:pStyle w:val="56"/>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4.本项目不建设工业炉窑。</w:t>
                  </w:r>
                </w:p>
                <w:p w14:paraId="0DD1CE8B">
                  <w:pPr>
                    <w:pStyle w:val="56"/>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5.</w:t>
                  </w:r>
                  <w:r>
                    <w:rPr>
                      <w:rFonts w:hint="default" w:ascii="Times New Roman" w:hAnsi="Times New Roman" w:cs="Times New Roman"/>
                      <w:color w:val="auto"/>
                      <w:sz w:val="21"/>
                      <w:szCs w:val="21"/>
                      <w:lang w:val="en-US" w:eastAsia="zh-CN"/>
                    </w:rPr>
                    <w:t>本项目</w:t>
                  </w:r>
                  <w:r>
                    <w:rPr>
                      <w:rFonts w:hint="eastAsia" w:cs="Times New Roman"/>
                      <w:color w:val="auto"/>
                      <w:sz w:val="21"/>
                      <w:szCs w:val="21"/>
                      <w:lang w:val="en-US" w:eastAsia="zh-CN"/>
                    </w:rPr>
                    <w:t>原料清洗产生的废水经四级沉淀处理后循环使用，不外排；生活污水排入项目区化粪池，定期清运至和硕县污水处理厂处理</w:t>
                  </w:r>
                  <w:r>
                    <w:rPr>
                      <w:rFonts w:hint="eastAsia" w:ascii="Times New Roman" w:hAnsi="Times New Roman" w:cs="Times New Roman"/>
                      <w:color w:val="auto"/>
                      <w:sz w:val="21"/>
                      <w:szCs w:val="21"/>
                      <w:lang w:val="en-US" w:eastAsia="zh-CN"/>
                    </w:rPr>
                    <w:t>。</w:t>
                  </w:r>
                </w:p>
              </w:tc>
              <w:tc>
                <w:tcPr>
                  <w:tcW w:w="267" w:type="pct"/>
                  <w:tcBorders>
                    <w:tl2br w:val="nil"/>
                    <w:tr2bl w:val="nil"/>
                  </w:tcBorders>
                  <w:noWrap w:val="0"/>
                  <w:vAlign w:val="center"/>
                </w:tcPr>
                <w:p w14:paraId="2D1DD980">
                  <w:pPr>
                    <w:pStyle w:val="5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5F154A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218" w:hRule="atLeast"/>
                <w:tblHeader/>
                <w:jc w:val="center"/>
              </w:trPr>
              <w:tc>
                <w:tcPr>
                  <w:tcW w:w="553" w:type="pct"/>
                  <w:vMerge w:val="continue"/>
                  <w:tcBorders>
                    <w:tl2br w:val="nil"/>
                    <w:tr2bl w:val="nil"/>
                  </w:tcBorders>
                  <w:noWrap w:val="0"/>
                  <w:vAlign w:val="center"/>
                </w:tcPr>
                <w:p w14:paraId="4FDE48B5">
                  <w:pPr>
                    <w:pStyle w:val="5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p>
              </w:tc>
              <w:tc>
                <w:tcPr>
                  <w:tcW w:w="419" w:type="pct"/>
                  <w:vMerge w:val="continue"/>
                  <w:tcBorders>
                    <w:tl2br w:val="nil"/>
                    <w:tr2bl w:val="nil"/>
                  </w:tcBorders>
                  <w:noWrap w:val="0"/>
                  <w:vAlign w:val="center"/>
                </w:tcPr>
                <w:p w14:paraId="46BF69C0">
                  <w:pPr>
                    <w:pStyle w:val="5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p>
              </w:tc>
              <w:tc>
                <w:tcPr>
                  <w:tcW w:w="313" w:type="pct"/>
                  <w:tcBorders>
                    <w:tl2br w:val="nil"/>
                    <w:tr2bl w:val="nil"/>
                  </w:tcBorders>
                  <w:noWrap w:val="0"/>
                  <w:vAlign w:val="center"/>
                </w:tcPr>
                <w:p w14:paraId="292D59C7">
                  <w:pPr>
                    <w:pStyle w:val="5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w:t>
                  </w:r>
                </w:p>
                <w:p w14:paraId="6A345754">
                  <w:pPr>
                    <w:pStyle w:val="5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防控</w:t>
                  </w:r>
                </w:p>
              </w:tc>
              <w:tc>
                <w:tcPr>
                  <w:tcW w:w="2281" w:type="pct"/>
                  <w:tcBorders>
                    <w:tl2br w:val="nil"/>
                    <w:tr2bl w:val="nil"/>
                  </w:tcBorders>
                  <w:noWrap w:val="0"/>
                  <w:vAlign w:val="center"/>
                </w:tcPr>
                <w:p w14:paraId="16F7BCC6">
                  <w:pPr>
                    <w:keepNext w:val="0"/>
                    <w:keepLines w:val="0"/>
                    <w:widowControl/>
                    <w:suppressLineNumbers w:val="0"/>
                    <w:jc w:val="left"/>
                    <w:rPr>
                      <w:color w:val="auto"/>
                      <w:sz w:val="21"/>
                      <w:szCs w:val="21"/>
                    </w:rPr>
                  </w:pP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加强铅、铬、镍、铜、锌等重金属的污染防治。以防止重金属污染饮用水源地为重点开展试点示范工程，着力解决对生产生活和人体健康有重大影响的重金属污染问题。</w:t>
                  </w:r>
                </w:p>
                <w:p w14:paraId="68A47025">
                  <w:pPr>
                    <w:keepNext w:val="0"/>
                    <w:keepLines w:val="0"/>
                    <w:widowControl/>
                    <w:suppressLineNumbers w:val="0"/>
                    <w:jc w:val="left"/>
                    <w:rPr>
                      <w:color w:val="auto"/>
                      <w:sz w:val="21"/>
                      <w:szCs w:val="21"/>
                    </w:rPr>
                  </w:pPr>
                  <w:r>
                    <w:rPr>
                      <w:rFonts w:hint="default" w:ascii="Times New Roman" w:hAnsi="Times New Roman" w:eastAsia="宋体" w:cs="Times New Roman"/>
                      <w:color w:val="auto"/>
                      <w:kern w:val="0"/>
                      <w:sz w:val="21"/>
                      <w:szCs w:val="21"/>
                      <w:lang w:val="en-US" w:eastAsia="zh-CN" w:bidi="ar"/>
                    </w:rPr>
                    <w:t>2.</w:t>
                  </w:r>
                  <w:r>
                    <w:rPr>
                      <w:rFonts w:hint="eastAsia" w:ascii="宋体" w:hAnsi="宋体" w:eastAsia="宋体" w:cs="宋体"/>
                      <w:color w:val="auto"/>
                      <w:kern w:val="0"/>
                      <w:sz w:val="21"/>
                      <w:szCs w:val="21"/>
                      <w:lang w:val="en-US" w:eastAsia="zh-CN" w:bidi="ar"/>
                    </w:rPr>
                    <w:t xml:space="preserve">严格环境风险控制。防范环境风险，定期评估工业集聚区环境和健康风险，加强预案管理，落实防控措施，排除水污染隐患。 </w:t>
                  </w:r>
                </w:p>
                <w:p w14:paraId="60FFD79F">
                  <w:pPr>
                    <w:keepNext w:val="0"/>
                    <w:keepLines w:val="0"/>
                    <w:widowControl/>
                    <w:suppressLineNumbers w:val="0"/>
                    <w:jc w:val="left"/>
                    <w:rPr>
                      <w:color w:val="auto"/>
                      <w:sz w:val="21"/>
                      <w:szCs w:val="21"/>
                    </w:rPr>
                  </w:pPr>
                  <w:r>
                    <w:rPr>
                      <w:rFonts w:hint="default" w:ascii="Times New Roman" w:hAnsi="Times New Roman" w:eastAsia="宋体" w:cs="Times New Roman"/>
                      <w:color w:val="auto"/>
                      <w:kern w:val="0"/>
                      <w:sz w:val="21"/>
                      <w:szCs w:val="21"/>
                      <w:lang w:val="en-US" w:eastAsia="zh-CN" w:bidi="ar"/>
                    </w:rPr>
                    <w:t>3.</w:t>
                  </w:r>
                  <w:r>
                    <w:rPr>
                      <w:rFonts w:hint="eastAsia" w:ascii="宋体" w:hAnsi="宋体" w:eastAsia="宋体" w:cs="宋体"/>
                      <w:color w:val="auto"/>
                      <w:kern w:val="0"/>
                      <w:sz w:val="21"/>
                      <w:szCs w:val="21"/>
                      <w:lang w:val="en-US" w:eastAsia="zh-CN" w:bidi="ar"/>
                    </w:rPr>
                    <w:t>加强对地下水、地表水污染的动态监测，禁止利用渗坑、渗井排放工业废水和生活污水，控制或杜绝污染。工业用地固废临时堆放点均按相关要求做好防渗措施，并提高防渗等级，采取二层防渗措施，防止贮存过程发生溢漏，导致地下水污染。</w:t>
                  </w:r>
                </w:p>
                <w:p w14:paraId="1F71E151">
                  <w:pPr>
                    <w:keepNext w:val="0"/>
                    <w:keepLines w:val="0"/>
                    <w:widowControl/>
                    <w:suppressLineNumbers w:val="0"/>
                    <w:jc w:val="left"/>
                    <w:rPr>
                      <w:rFonts w:hint="default" w:ascii="Times New Roman" w:hAnsi="Times New Roman" w:eastAsia="宋体" w:cs="Times New Roman"/>
                      <w:color w:val="auto"/>
                      <w:sz w:val="21"/>
                      <w:szCs w:val="21"/>
                    </w:rPr>
                  </w:pPr>
                </w:p>
              </w:tc>
              <w:tc>
                <w:tcPr>
                  <w:tcW w:w="1164" w:type="pct"/>
                  <w:tcBorders>
                    <w:tl2br w:val="nil"/>
                    <w:tr2bl w:val="nil"/>
                  </w:tcBorders>
                  <w:noWrap w:val="0"/>
                  <w:vAlign w:val="center"/>
                </w:tcPr>
                <w:p w14:paraId="6A9618CD">
                  <w:pPr>
                    <w:pStyle w:val="56"/>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imes New Roman" w:hAnsi="Times New Roman" w:cs="Times New Roman"/>
                      <w:color w:val="auto"/>
                      <w:sz w:val="21"/>
                      <w:szCs w:val="21"/>
                      <w:lang w:val="en-US" w:eastAsia="zh-CN"/>
                    </w:rPr>
                  </w:pPr>
                  <w:r>
                    <w:rPr>
                      <w:rFonts w:hint="eastAsia" w:ascii="宋体" w:hAnsi="宋体" w:cs="宋体"/>
                      <w:color w:val="auto"/>
                      <w:spacing w:val="0"/>
                      <w:kern w:val="0"/>
                      <w:sz w:val="21"/>
                      <w:szCs w:val="21"/>
                      <w:lang w:val="en-US" w:eastAsia="zh-CN" w:bidi="ar-SA"/>
                    </w:rPr>
                    <w:t>1.</w:t>
                  </w:r>
                  <w:r>
                    <w:rPr>
                      <w:rFonts w:hint="eastAsia" w:ascii="Times New Roman" w:hAnsi="Times New Roman" w:cs="Times New Roman"/>
                      <w:color w:val="auto"/>
                      <w:sz w:val="21"/>
                      <w:szCs w:val="21"/>
                      <w:lang w:val="en-US" w:eastAsia="zh-CN"/>
                    </w:rPr>
                    <w:t>本项目满足</w:t>
                  </w:r>
                  <w:r>
                    <w:rPr>
                      <w:rFonts w:hint="default" w:ascii="Times New Roman" w:hAnsi="Times New Roman" w:cs="Times New Roman"/>
                      <w:color w:val="auto"/>
                      <w:sz w:val="21"/>
                      <w:szCs w:val="21"/>
                      <w:lang w:val="en-US" w:eastAsia="zh-CN"/>
                    </w:rPr>
                    <w:t>自治区七大片区天山南坡管控要求和巴州总体管控要求中关于水、大气环境重点管控区的环境风险防控要求</w:t>
                  </w:r>
                  <w:r>
                    <w:rPr>
                      <w:rFonts w:hint="eastAsia" w:ascii="Times New Roman" w:hAnsi="Times New Roman" w:cs="Times New Roman"/>
                      <w:color w:val="auto"/>
                      <w:sz w:val="21"/>
                      <w:szCs w:val="21"/>
                      <w:lang w:val="en-US" w:eastAsia="zh-CN"/>
                    </w:rPr>
                    <w:t>。</w:t>
                  </w:r>
                </w:p>
                <w:p w14:paraId="53E86186">
                  <w:pPr>
                    <w:pStyle w:val="56"/>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2.</w:t>
                  </w:r>
                  <w:r>
                    <w:rPr>
                      <w:rFonts w:hint="eastAsia" w:ascii="Times New Roman" w:hAnsi="Times New Roman" w:cs="Times New Roman"/>
                      <w:color w:val="auto"/>
                      <w:sz w:val="21"/>
                      <w:szCs w:val="21"/>
                      <w:lang w:val="en-US" w:eastAsia="zh-CN"/>
                    </w:rPr>
                    <w:t>本项目原辅材料中均不含重金属。</w:t>
                  </w:r>
                </w:p>
                <w:p w14:paraId="0B8665EB">
                  <w:pPr>
                    <w:pStyle w:val="56"/>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3.</w:t>
                  </w:r>
                  <w:r>
                    <w:rPr>
                      <w:rFonts w:hint="eastAsia" w:ascii="Times New Roman" w:hAnsi="Times New Roman" w:cs="Times New Roman"/>
                      <w:color w:val="auto"/>
                      <w:sz w:val="21"/>
                      <w:szCs w:val="21"/>
                      <w:lang w:val="en-US" w:eastAsia="zh-CN"/>
                    </w:rPr>
                    <w:t>本项目建成后编制突发环境事件应急预案。</w:t>
                  </w:r>
                </w:p>
                <w:p w14:paraId="6FBA7C15">
                  <w:pPr>
                    <w:pStyle w:val="56"/>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4.</w:t>
                  </w:r>
                  <w:r>
                    <w:rPr>
                      <w:rFonts w:hint="default" w:ascii="Times New Roman" w:hAnsi="Times New Roman" w:cs="Times New Roman"/>
                      <w:color w:val="auto"/>
                      <w:sz w:val="21"/>
                      <w:szCs w:val="21"/>
                      <w:lang w:val="en-US" w:eastAsia="zh-CN"/>
                    </w:rPr>
                    <w:t>本项目</w:t>
                  </w:r>
                  <w:r>
                    <w:rPr>
                      <w:rFonts w:hint="eastAsia" w:cs="Times New Roman"/>
                      <w:color w:val="auto"/>
                      <w:sz w:val="21"/>
                      <w:szCs w:val="21"/>
                      <w:lang w:val="en-US" w:eastAsia="zh-CN"/>
                    </w:rPr>
                    <w:t>原料清洗产生的废水经四级沉淀处理后循环使用，不外排；生活污水排入项目区化粪池，定期清运至和硕县污水处理厂处理。</w:t>
                  </w:r>
                </w:p>
              </w:tc>
              <w:tc>
                <w:tcPr>
                  <w:tcW w:w="267" w:type="pct"/>
                  <w:tcBorders>
                    <w:tl2br w:val="nil"/>
                    <w:tr2bl w:val="nil"/>
                  </w:tcBorders>
                  <w:noWrap w:val="0"/>
                  <w:vAlign w:val="center"/>
                </w:tcPr>
                <w:p w14:paraId="52A9DCA1">
                  <w:pPr>
                    <w:pStyle w:val="5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4B651E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98" w:hRule="atLeast"/>
                <w:tblHeader/>
                <w:jc w:val="center"/>
              </w:trPr>
              <w:tc>
                <w:tcPr>
                  <w:tcW w:w="553" w:type="pct"/>
                  <w:vMerge w:val="continue"/>
                  <w:tcBorders>
                    <w:tl2br w:val="nil"/>
                    <w:tr2bl w:val="nil"/>
                  </w:tcBorders>
                  <w:noWrap w:val="0"/>
                  <w:vAlign w:val="center"/>
                </w:tcPr>
                <w:p w14:paraId="6C642F03">
                  <w:pPr>
                    <w:pStyle w:val="5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p>
              </w:tc>
              <w:tc>
                <w:tcPr>
                  <w:tcW w:w="419" w:type="pct"/>
                  <w:vMerge w:val="continue"/>
                  <w:tcBorders>
                    <w:tl2br w:val="nil"/>
                    <w:tr2bl w:val="nil"/>
                  </w:tcBorders>
                  <w:noWrap w:val="0"/>
                  <w:vAlign w:val="center"/>
                </w:tcPr>
                <w:p w14:paraId="4750F704">
                  <w:pPr>
                    <w:pStyle w:val="5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p>
              </w:tc>
              <w:tc>
                <w:tcPr>
                  <w:tcW w:w="313" w:type="pct"/>
                  <w:tcBorders>
                    <w:tl2br w:val="nil"/>
                    <w:tr2bl w:val="nil"/>
                  </w:tcBorders>
                  <w:noWrap w:val="0"/>
                  <w:vAlign w:val="center"/>
                </w:tcPr>
                <w:p w14:paraId="650C3209">
                  <w:pPr>
                    <w:pStyle w:val="5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资源利用</w:t>
                  </w:r>
                </w:p>
                <w:p w14:paraId="2D84807B">
                  <w:pPr>
                    <w:pStyle w:val="5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效率</w:t>
                  </w:r>
                </w:p>
              </w:tc>
              <w:tc>
                <w:tcPr>
                  <w:tcW w:w="2281" w:type="pct"/>
                  <w:tcBorders>
                    <w:tl2br w:val="nil"/>
                    <w:tr2bl w:val="nil"/>
                  </w:tcBorders>
                  <w:noWrap w:val="0"/>
                  <w:vAlign w:val="center"/>
                </w:tcPr>
                <w:p w14:paraId="6D3A0C54">
                  <w:pPr>
                    <w:keepNext w:val="0"/>
                    <w:keepLines w:val="0"/>
                    <w:widowControl/>
                    <w:suppressLineNumbers w:val="0"/>
                    <w:jc w:val="left"/>
                    <w:rPr>
                      <w:color w:val="auto"/>
                      <w:sz w:val="21"/>
                      <w:szCs w:val="21"/>
                    </w:rPr>
                  </w:pP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加快清洁能源替代。推进能源清洁化，优化能源结构，提高全县天然气、太阳能等能源使用率；提高能源使用效率，坚持节能优先，控制能源消费总量过快增长。推进集中供热。</w:t>
                  </w:r>
                </w:p>
                <w:p w14:paraId="5F176D26">
                  <w:pPr>
                    <w:keepNext w:val="0"/>
                    <w:keepLines w:val="0"/>
                    <w:widowControl/>
                    <w:suppressLineNumbers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2.</w:t>
                  </w:r>
                  <w:r>
                    <w:rPr>
                      <w:rFonts w:hint="eastAsia" w:ascii="宋体" w:hAnsi="宋体" w:eastAsia="宋体" w:cs="宋体"/>
                      <w:color w:val="auto"/>
                      <w:kern w:val="0"/>
                      <w:sz w:val="21"/>
                      <w:szCs w:val="21"/>
                      <w:lang w:val="en-US" w:eastAsia="zh-CN" w:bidi="ar"/>
                    </w:rPr>
                    <w:t>促进节约集约利用土地，解决园区用地偏紧问题。完善招、拍、挂供地制度，健全园区项目用地约束机制，实行园区供地、用地全程监管，明确项目用地的投资强度、容积率、建筑系数等指标，并加强跟踪监督。</w:t>
                  </w:r>
                </w:p>
              </w:tc>
              <w:tc>
                <w:tcPr>
                  <w:tcW w:w="1164" w:type="pct"/>
                  <w:tcBorders>
                    <w:tl2br w:val="nil"/>
                    <w:tr2bl w:val="nil"/>
                  </w:tcBorders>
                  <w:noWrap w:val="0"/>
                  <w:vAlign w:val="center"/>
                </w:tcPr>
                <w:p w14:paraId="2CA5A36F">
                  <w:pPr>
                    <w:pStyle w:val="56"/>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rPr>
                    <w:t>本项目执行巴州总体管控要求中关于水、大气环境重点管控区的资源利用效率要求。</w:t>
                  </w:r>
                </w:p>
                <w:p w14:paraId="372008C8">
                  <w:pPr>
                    <w:pStyle w:val="56"/>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2.本项目原料清洗产生的废水经四级沉淀处理后循环使用，不外排；生活污水排入项目区化粪池，定期清运至和硕县污水处理厂处理。</w:t>
                  </w:r>
                </w:p>
              </w:tc>
              <w:tc>
                <w:tcPr>
                  <w:tcW w:w="267" w:type="pct"/>
                  <w:tcBorders>
                    <w:tl2br w:val="nil"/>
                    <w:tr2bl w:val="nil"/>
                  </w:tcBorders>
                  <w:noWrap w:val="0"/>
                  <w:vAlign w:val="center"/>
                </w:tcPr>
                <w:p w14:paraId="1C9742CA">
                  <w:pPr>
                    <w:pStyle w:val="5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297CEC90">
            <w:pPr>
              <w:pStyle w:val="6"/>
              <w:ind w:firstLine="480" w:firstLineChars="200"/>
              <w:rPr>
                <w:rFonts w:hint="default" w:ascii="Times New Roman" w:hAnsi="Times New Roman" w:cs="Times New Roman"/>
                <w:b w:val="0"/>
                <w:bCs w:val="0"/>
                <w:color w:val="auto"/>
                <w:kern w:val="0"/>
                <w:sz w:val="24"/>
                <w:highlight w:val="none"/>
                <w:lang w:bidi="ar"/>
              </w:rPr>
            </w:pPr>
            <w:r>
              <w:rPr>
                <w:rFonts w:hint="default" w:ascii="Times New Roman" w:hAnsi="Times New Roman" w:cs="Times New Roman"/>
                <w:b w:val="0"/>
                <w:bCs w:val="0"/>
                <w:color w:val="auto"/>
                <w:sz w:val="24"/>
              </w:rPr>
              <w:t>本项目</w:t>
            </w:r>
            <w:r>
              <w:rPr>
                <w:rFonts w:hint="default" w:ascii="Times New Roman" w:hAnsi="Times New Roman" w:cs="Times New Roman"/>
                <w:b w:val="0"/>
                <w:bCs w:val="0"/>
                <w:color w:val="auto"/>
                <w:sz w:val="24"/>
                <w:lang w:val="en-US" w:eastAsia="zh-CN"/>
              </w:rPr>
              <w:t>符合</w:t>
            </w:r>
            <w:r>
              <w:rPr>
                <w:rFonts w:hint="default" w:ascii="Times New Roman" w:hAnsi="Times New Roman" w:eastAsia="宋体" w:cs="Times New Roman"/>
                <w:b w:val="0"/>
                <w:bCs w:val="0"/>
                <w:color w:val="auto"/>
                <w:sz w:val="24"/>
              </w:rPr>
              <w:t>《巴音郭楞蒙古自治州生态环境准入清单》</w:t>
            </w:r>
            <w:r>
              <w:rPr>
                <w:rFonts w:hint="default" w:ascii="Times New Roman" w:hAnsi="Times New Roman" w:cs="Times New Roman"/>
                <w:b w:val="0"/>
                <w:bCs w:val="0"/>
                <w:color w:val="auto"/>
                <w:sz w:val="24"/>
                <w:lang w:val="en-US" w:eastAsia="zh-CN"/>
              </w:rPr>
              <w:t>中</w:t>
            </w:r>
            <w:r>
              <w:rPr>
                <w:rFonts w:hint="eastAsia" w:cs="Times New Roman"/>
                <w:b w:val="0"/>
                <w:bCs w:val="0"/>
                <w:color w:val="auto"/>
                <w:sz w:val="24"/>
                <w:lang w:val="en-US" w:eastAsia="zh-CN"/>
              </w:rPr>
              <w:t>和硕经济开发区</w:t>
            </w:r>
            <w:r>
              <w:rPr>
                <w:rFonts w:hint="default" w:ascii="Times New Roman" w:hAnsi="Times New Roman" w:cs="Times New Roman"/>
                <w:b w:val="0"/>
                <w:bCs w:val="0"/>
                <w:color w:val="auto"/>
                <w:sz w:val="24"/>
                <w:lang w:val="en-US" w:eastAsia="zh-CN"/>
              </w:rPr>
              <w:t>管控要求</w:t>
            </w:r>
            <w:r>
              <w:rPr>
                <w:rFonts w:hint="default" w:ascii="Times New Roman" w:hAnsi="Times New Roman" w:cs="Times New Roman"/>
                <w:b w:val="0"/>
                <w:bCs w:val="0"/>
                <w:color w:val="auto"/>
                <w:sz w:val="24"/>
                <w:lang w:eastAsia="zh-CN"/>
              </w:rPr>
              <w:t>。</w:t>
            </w:r>
          </w:p>
          <w:p w14:paraId="0CD8D021">
            <w:pPr>
              <w:rPr>
                <w:rFonts w:hint="default" w:ascii="Times New Roman" w:hAnsi="Times New Roman" w:cs="Times New Roman"/>
                <w:b/>
                <w:color w:val="auto"/>
                <w:kern w:val="0"/>
                <w:sz w:val="24"/>
                <w:highlight w:val="none"/>
                <w:lang w:bidi="ar"/>
              </w:rPr>
            </w:pPr>
          </w:p>
          <w:p w14:paraId="7ACA5AFF">
            <w:pPr>
              <w:pStyle w:val="6"/>
              <w:rPr>
                <w:rFonts w:hint="default" w:ascii="Times New Roman" w:hAnsi="Times New Roman" w:cs="Times New Roman"/>
                <w:b/>
                <w:color w:val="auto"/>
                <w:kern w:val="0"/>
                <w:sz w:val="24"/>
                <w:highlight w:val="none"/>
                <w:lang w:bidi="ar"/>
              </w:rPr>
            </w:pPr>
          </w:p>
          <w:p w14:paraId="5A693D09">
            <w:pPr>
              <w:rPr>
                <w:rFonts w:hint="default" w:ascii="Times New Roman" w:hAnsi="Times New Roman" w:cs="Times New Roman"/>
                <w:b/>
                <w:color w:val="auto"/>
                <w:kern w:val="0"/>
                <w:sz w:val="24"/>
                <w:highlight w:val="none"/>
                <w:lang w:bidi="ar"/>
              </w:rPr>
            </w:pPr>
          </w:p>
          <w:p w14:paraId="59CAAFB5">
            <w:pPr>
              <w:pStyle w:val="6"/>
              <w:rPr>
                <w:rFonts w:hint="default" w:ascii="Times New Roman" w:hAnsi="Times New Roman" w:cs="Times New Roman"/>
                <w:b/>
                <w:color w:val="auto"/>
                <w:kern w:val="0"/>
                <w:sz w:val="24"/>
                <w:highlight w:val="none"/>
                <w:lang w:bidi="ar"/>
              </w:rPr>
            </w:pPr>
          </w:p>
          <w:p w14:paraId="4E46D589">
            <w:pPr>
              <w:rPr>
                <w:rFonts w:hint="default" w:ascii="Times New Roman" w:hAnsi="Times New Roman" w:cs="Times New Roman"/>
                <w:b/>
                <w:color w:val="auto"/>
                <w:kern w:val="0"/>
                <w:sz w:val="24"/>
                <w:highlight w:val="none"/>
                <w:lang w:bidi="ar"/>
              </w:rPr>
            </w:pPr>
          </w:p>
          <w:p w14:paraId="350FB03C">
            <w:pPr>
              <w:pStyle w:val="6"/>
              <w:rPr>
                <w:rFonts w:hint="default"/>
              </w:rPr>
            </w:pPr>
          </w:p>
          <w:p w14:paraId="6A550087">
            <w:pPr>
              <w:pStyle w:val="19"/>
              <w:keepNext w:val="0"/>
              <w:keepLines w:val="0"/>
              <w:pageBreakBefore w:val="0"/>
              <w:widowControl w:val="0"/>
              <w:kinsoku/>
              <w:wordWrap/>
              <w:overflowPunct/>
              <w:topLinePunct w:val="0"/>
              <w:autoSpaceDE/>
              <w:autoSpaceDN/>
              <w:bidi w:val="0"/>
              <w:adjustRightInd/>
              <w:snapToGrid/>
              <w:spacing w:line="520" w:lineRule="exact"/>
              <w:ind w:left="0" w:firstLine="480" w:firstLineChars="200"/>
              <w:jc w:val="left"/>
              <w:textAlignment w:val="auto"/>
              <w:rPr>
                <w:rFonts w:hint="default" w:ascii="Times New Roman" w:hAnsi="Times New Roman" w:eastAsia="宋体" w:cs="Times New Roman"/>
                <w:color w:val="auto"/>
                <w:sz w:val="24"/>
                <w:lang w:eastAsia="zh-CN"/>
              </w:rPr>
            </w:pPr>
          </w:p>
          <w:p w14:paraId="3D8F51AD">
            <w:pPr>
              <w:keepNext w:val="0"/>
              <w:keepLines w:val="0"/>
              <w:suppressLineNumbers w:val="0"/>
              <w:spacing w:before="0" w:beforeAutospacing="0" w:after="0" w:afterAutospacing="0" w:line="500" w:lineRule="exact"/>
              <w:ind w:left="0" w:right="0" w:firstLine="482" w:firstLineChars="200"/>
              <w:rPr>
                <w:rFonts w:hint="default" w:ascii="Times New Roman" w:hAnsi="Times New Roman" w:cs="Times New Roman"/>
                <w:b/>
                <w:color w:val="auto"/>
                <w:kern w:val="0"/>
                <w:sz w:val="24"/>
                <w:highlight w:val="none"/>
                <w:lang w:bidi="ar"/>
              </w:rPr>
            </w:pPr>
            <w:r>
              <w:rPr>
                <w:rFonts w:hint="default" w:ascii="Times New Roman" w:hAnsi="Times New Roman" w:cs="Times New Roman"/>
                <w:b/>
                <w:color w:val="auto"/>
                <w:kern w:val="0"/>
                <w:sz w:val="24"/>
                <w:highlight w:val="none"/>
                <w:lang w:bidi="ar"/>
              </w:rPr>
              <w:t>3</w:t>
            </w:r>
            <w:r>
              <w:rPr>
                <w:rFonts w:hint="default" w:ascii="Times New Roman" w:hAnsi="Times New Roman" w:cs="Times New Roman"/>
                <w:b/>
                <w:color w:val="auto"/>
                <w:kern w:val="0"/>
                <w:sz w:val="24"/>
                <w:highlight w:val="none"/>
                <w:lang w:val="en-US" w:eastAsia="zh-CN" w:bidi="ar"/>
              </w:rPr>
              <w:t>.</w:t>
            </w:r>
            <w:r>
              <w:rPr>
                <w:rFonts w:hint="default" w:ascii="Times New Roman" w:hAnsi="Times New Roman" w:cs="Times New Roman"/>
                <w:b/>
                <w:color w:val="auto"/>
                <w:kern w:val="0"/>
                <w:sz w:val="24"/>
                <w:highlight w:val="none"/>
                <w:lang w:bidi="ar"/>
              </w:rPr>
              <w:t>环境管理政策分析</w:t>
            </w:r>
          </w:p>
          <w:p w14:paraId="09C2EC7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1-</w:t>
            </w:r>
            <w:r>
              <w:rPr>
                <w:rFonts w:hint="eastAsia" w:cs="Times New Roman"/>
                <w:b/>
                <w:bCs/>
                <w:color w:val="auto"/>
                <w:sz w:val="21"/>
                <w:szCs w:val="21"/>
                <w:lang w:val="en-US" w:eastAsia="zh-CN"/>
              </w:rPr>
              <w:t>5</w:t>
            </w:r>
            <w:r>
              <w:rPr>
                <w:rFonts w:hint="default" w:ascii="Times New Roman" w:hAnsi="Times New Roman" w:cs="Times New Roman"/>
                <w:b/>
                <w:bCs/>
                <w:color w:val="auto"/>
                <w:sz w:val="21"/>
                <w:szCs w:val="21"/>
              </w:rPr>
              <w:t>环境管理政策相符性分析</w:t>
            </w:r>
          </w:p>
          <w:tbl>
            <w:tblPr>
              <w:tblStyle w:val="24"/>
              <w:tblW w:w="4997"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3703"/>
              <w:gridCol w:w="1795"/>
              <w:gridCol w:w="480"/>
            </w:tblGrid>
            <w:tr w14:paraId="15AA3E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5" w:type="pct"/>
                  <w:noWrap w:val="0"/>
                  <w:vAlign w:val="center"/>
                </w:tcPr>
                <w:p w14:paraId="422DD625">
                  <w:pPr>
                    <w:pStyle w:val="5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文件名称</w:t>
                  </w:r>
                </w:p>
              </w:tc>
              <w:tc>
                <w:tcPr>
                  <w:tcW w:w="2554" w:type="pct"/>
                  <w:noWrap w:val="0"/>
                  <w:vAlign w:val="center"/>
                </w:tcPr>
                <w:p w14:paraId="432C1C2C">
                  <w:pPr>
                    <w:pStyle w:val="5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相关管理要求</w:t>
                  </w:r>
                </w:p>
              </w:tc>
              <w:tc>
                <w:tcPr>
                  <w:tcW w:w="1238" w:type="pct"/>
                  <w:noWrap w:val="0"/>
                  <w:vAlign w:val="center"/>
                </w:tcPr>
                <w:p w14:paraId="48CB516A">
                  <w:pPr>
                    <w:pStyle w:val="5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本项目情况</w:t>
                  </w:r>
                </w:p>
              </w:tc>
              <w:tc>
                <w:tcPr>
                  <w:tcW w:w="330" w:type="pct"/>
                  <w:noWrap w:val="0"/>
                  <w:vAlign w:val="center"/>
                </w:tcPr>
                <w:p w14:paraId="489B81E0">
                  <w:pPr>
                    <w:pStyle w:val="5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符合性</w:t>
                  </w:r>
                </w:p>
              </w:tc>
            </w:tr>
            <w:tr w14:paraId="659746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5" w:type="pct"/>
                  <w:noWrap w:val="0"/>
                  <w:vAlign w:val="center"/>
                </w:tcPr>
                <w:p w14:paraId="1FD63832">
                  <w:pPr>
                    <w:pStyle w:val="5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《巴音郭楞蒙古自治州国民经济和社会发展第十四个五年规划和二〇三五年远景目标纲要》</w:t>
                  </w:r>
                </w:p>
              </w:tc>
              <w:tc>
                <w:tcPr>
                  <w:tcW w:w="2554" w:type="pct"/>
                  <w:noWrap w:val="0"/>
                  <w:vAlign w:val="center"/>
                </w:tcPr>
                <w:p w14:paraId="268F643C">
                  <w:pPr>
                    <w:pStyle w:val="5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实行最严格的生态保护制度，严禁“三高”项目进巴州，严格执行能源、矿产资源开发自治区政府“一支笔”审批制度，守住生态保护红线、环境质量底线和自然资源利用上线。实行最严格的水资源管理制度，严守水资源开发利用控制、用水效率控制和水功能区限制纳污“三条红线”。</w:t>
                  </w:r>
                </w:p>
              </w:tc>
              <w:tc>
                <w:tcPr>
                  <w:tcW w:w="1238" w:type="pct"/>
                  <w:noWrap w:val="0"/>
                  <w:vAlign w:val="center"/>
                </w:tcPr>
                <w:p w14:paraId="7763126A">
                  <w:pPr>
                    <w:pStyle w:val="5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本项目不属于“高污染、高能耗、安全生产风险高、附加值低、技术水平低”类项目，符合规划</w:t>
                  </w:r>
                  <w:r>
                    <w:rPr>
                      <w:rFonts w:hint="eastAsia" w:ascii="Times New Roman" w:hAnsi="Times New Roman" w:eastAsia="宋体" w:cs="Times New Roman"/>
                      <w:color w:val="auto"/>
                      <w:sz w:val="21"/>
                      <w:szCs w:val="21"/>
                      <w:lang w:val="en-US" w:eastAsia="zh-CN"/>
                    </w:rPr>
                    <w:t>要求</w:t>
                  </w:r>
                  <w:r>
                    <w:rPr>
                      <w:rFonts w:hint="eastAsia" w:ascii="Times New Roman" w:hAnsi="Times New Roman" w:eastAsia="宋体" w:cs="Times New Roman"/>
                      <w:color w:val="auto"/>
                      <w:sz w:val="21"/>
                      <w:szCs w:val="21"/>
                      <w:lang w:eastAsia="zh-CN"/>
                    </w:rPr>
                    <w:t>。</w:t>
                  </w:r>
                </w:p>
              </w:tc>
              <w:tc>
                <w:tcPr>
                  <w:tcW w:w="330" w:type="pct"/>
                  <w:noWrap w:val="0"/>
                  <w:vAlign w:val="center"/>
                </w:tcPr>
                <w:p w14:paraId="1B38FE4F">
                  <w:pPr>
                    <w:pStyle w:val="5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EEA19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5" w:type="pct"/>
                  <w:noWrap w:val="0"/>
                  <w:vAlign w:val="center"/>
                </w:tcPr>
                <w:p w14:paraId="316CECD3">
                  <w:pPr>
                    <w:pStyle w:val="5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《新疆维吾尔自治区大气污染防治行动计划实施方案》</w:t>
                  </w:r>
                </w:p>
              </w:tc>
              <w:tc>
                <w:tcPr>
                  <w:tcW w:w="2554" w:type="pct"/>
                  <w:noWrap w:val="0"/>
                  <w:vAlign w:val="center"/>
                </w:tcPr>
                <w:p w14:paraId="0BC13C29">
                  <w:pPr>
                    <w:pStyle w:val="56"/>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加大城市扬尘综合整治力度。加强施工扬尘监管，积极推进绿色施工。各类建筑施工、道路施工、市政工程等工地和构筑物拆除场地周边应全封闭设置围挡墙、湿法作业，严禁敞开式作业。施工现场道路应进行地面硬化，禁止现场搅拌混凝土、砂浆。渣土运输车辆采取密闭措施，逐步安装卫星定位系统。煤堆、料堆、渣堆实现封闭存储。推行道路机械化清扫等低尘作业方式。</w:t>
                  </w:r>
                </w:p>
              </w:tc>
              <w:tc>
                <w:tcPr>
                  <w:tcW w:w="1238" w:type="pct"/>
                  <w:noWrap w:val="0"/>
                  <w:vAlign w:val="center"/>
                </w:tcPr>
                <w:p w14:paraId="34E91D4E">
                  <w:pPr>
                    <w:pStyle w:val="5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本项目在新疆和硕经济开发区清水河综合工业园区</w:t>
                  </w:r>
                  <w:r>
                    <w:rPr>
                      <w:rFonts w:hint="eastAsia" w:cs="Times New Roman"/>
                      <w:color w:val="auto"/>
                      <w:sz w:val="21"/>
                      <w:szCs w:val="21"/>
                      <w:lang w:val="en-US" w:eastAsia="zh-CN"/>
                    </w:rPr>
                    <w:t>。骨料堆放在新建的荒料堆场，采用防风抑尘网+防尘网苫盖措施，袋装、桶装原料统一堆放在5#厂房内。</w:t>
                  </w:r>
                </w:p>
              </w:tc>
              <w:tc>
                <w:tcPr>
                  <w:tcW w:w="330" w:type="pct"/>
                  <w:noWrap w:val="0"/>
                  <w:vAlign w:val="center"/>
                </w:tcPr>
                <w:p w14:paraId="4BEF3F9C">
                  <w:pPr>
                    <w:pStyle w:val="5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03FE30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5" w:type="pct"/>
                  <w:noWrap w:val="0"/>
                  <w:vAlign w:val="center"/>
                </w:tcPr>
                <w:p w14:paraId="38EF5967">
                  <w:pPr>
                    <w:pStyle w:val="5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w:t>
                  </w:r>
                  <w:r>
                    <w:rPr>
                      <w:rFonts w:hint="eastAsia" w:cs="Times New Roman"/>
                      <w:color w:val="auto"/>
                      <w:sz w:val="21"/>
                      <w:szCs w:val="21"/>
                      <w:lang w:eastAsia="zh-CN"/>
                    </w:rPr>
                    <w:t>巴音郭楞蒙古自治州大气污染防治办法</w:t>
                  </w:r>
                  <w:r>
                    <w:rPr>
                      <w:rFonts w:hint="eastAsia" w:ascii="Times New Roman" w:hAnsi="Times New Roman" w:eastAsia="宋体" w:cs="Times New Roman"/>
                      <w:color w:val="auto"/>
                      <w:sz w:val="21"/>
                      <w:szCs w:val="21"/>
                    </w:rPr>
                    <w:t>》</w:t>
                  </w:r>
                </w:p>
              </w:tc>
              <w:tc>
                <w:tcPr>
                  <w:tcW w:w="2554" w:type="pct"/>
                  <w:noWrap w:val="0"/>
                  <w:vAlign w:val="center"/>
                </w:tcPr>
                <w:p w14:paraId="652E3CD2">
                  <w:pPr>
                    <w:pStyle w:val="56"/>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堆放易产生扬尘污染物料的堆场，以及预拌混凝土和预拌砂浆等生产企业应当符合下列要求：（一）采用围挡或者其他封闭仓储设施，配备喷淋或者其他抑尘设备；（二）生产用原料需要频繁装卸作业的，在密闭车间进行，堆场露天装卸作业的，采取洒水等抑尘措施；（三）采用密闭输送设备作业的，在装料、卸料处配备吸尘、喷淋等防尘设施，并保持防尘设施的正常使用。</w:t>
                  </w:r>
                </w:p>
              </w:tc>
              <w:tc>
                <w:tcPr>
                  <w:tcW w:w="1238" w:type="pct"/>
                  <w:noWrap w:val="0"/>
                  <w:vAlign w:val="center"/>
                </w:tcPr>
                <w:p w14:paraId="5700C1A9">
                  <w:pPr>
                    <w:pStyle w:val="5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本项目</w:t>
                  </w:r>
                  <w:r>
                    <w:rPr>
                      <w:rFonts w:hint="eastAsia" w:ascii="Times New Roman" w:hAnsi="Times New Roman" w:eastAsia="宋体" w:cs="Times New Roman"/>
                      <w:color w:val="auto"/>
                      <w:sz w:val="21"/>
                      <w:szCs w:val="21"/>
                      <w:lang w:val="en-US" w:eastAsia="zh-CN"/>
                    </w:rPr>
                    <w:t>生产用</w:t>
                  </w:r>
                  <w:r>
                    <w:rPr>
                      <w:rFonts w:hint="eastAsia" w:cs="Times New Roman"/>
                      <w:color w:val="auto"/>
                      <w:sz w:val="21"/>
                      <w:szCs w:val="21"/>
                      <w:lang w:val="en-US" w:eastAsia="zh-CN"/>
                    </w:rPr>
                    <w:t>骨料堆放在新建的荒料堆场，采用防风抑尘网+防尘网苫盖措施，袋装及桶装原料统一堆放在5#厂房内；生产工序</w:t>
                  </w:r>
                  <w:r>
                    <w:rPr>
                      <w:rFonts w:hint="eastAsia" w:ascii="Times New Roman" w:hAnsi="Times New Roman" w:eastAsia="宋体" w:cs="Times New Roman"/>
                      <w:color w:val="auto"/>
                      <w:sz w:val="21"/>
                      <w:szCs w:val="21"/>
                      <w:lang w:val="en-US" w:eastAsia="zh-CN"/>
                    </w:rPr>
                    <w:t>采用</w:t>
                  </w:r>
                  <w:r>
                    <w:rPr>
                      <w:rFonts w:hint="eastAsia" w:cs="Times New Roman"/>
                      <w:color w:val="auto"/>
                      <w:sz w:val="21"/>
                      <w:szCs w:val="21"/>
                      <w:lang w:val="en-US" w:eastAsia="zh-CN"/>
                    </w:rPr>
                    <w:t>全封闭</w:t>
                  </w:r>
                  <w:r>
                    <w:rPr>
                      <w:rFonts w:hint="eastAsia" w:ascii="Times New Roman" w:hAnsi="Times New Roman" w:eastAsia="宋体" w:cs="Times New Roman"/>
                      <w:color w:val="auto"/>
                      <w:sz w:val="21"/>
                      <w:szCs w:val="21"/>
                      <w:lang w:val="en-US" w:eastAsia="zh-CN"/>
                    </w:rPr>
                    <w:t>输送设备作业</w:t>
                  </w:r>
                  <w:r>
                    <w:rPr>
                      <w:rFonts w:hint="eastAsia" w:cs="Times New Roman"/>
                      <w:color w:val="auto"/>
                      <w:sz w:val="21"/>
                      <w:szCs w:val="21"/>
                      <w:lang w:val="en-US" w:eastAsia="zh-CN"/>
                    </w:rPr>
                    <w:t>。</w:t>
                  </w:r>
                </w:p>
              </w:tc>
              <w:tc>
                <w:tcPr>
                  <w:tcW w:w="330" w:type="pct"/>
                  <w:noWrap w:val="0"/>
                  <w:vAlign w:val="center"/>
                </w:tcPr>
                <w:p w14:paraId="17B6DC78">
                  <w:pPr>
                    <w:pStyle w:val="56"/>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01E290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5" w:type="pct"/>
                  <w:noWrap w:val="0"/>
                  <w:vAlign w:val="center"/>
                </w:tcPr>
                <w:p w14:paraId="47BFDE38">
                  <w:pPr>
                    <w:pStyle w:val="56"/>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bookmarkStart w:id="1" w:name="_Toc98260933"/>
                  <w:bookmarkStart w:id="2" w:name="_Toc98261009"/>
                  <w:r>
                    <w:rPr>
                      <w:rFonts w:hint="default" w:ascii="Times New Roman" w:hAnsi="Times New Roman" w:eastAsia="宋体" w:cs="Times New Roman"/>
                      <w:color w:val="auto"/>
                      <w:sz w:val="21"/>
                      <w:szCs w:val="21"/>
                      <w:lang w:val="en-US" w:eastAsia="zh-CN"/>
                    </w:rPr>
                    <w:t>新疆生态环境保护“十四五”规划</w:t>
                  </w:r>
                  <w:bookmarkEnd w:id="1"/>
                  <w:bookmarkEnd w:id="2"/>
                  <w:r>
                    <w:rPr>
                      <w:rFonts w:hint="default" w:ascii="Times New Roman" w:hAnsi="Times New Roman" w:eastAsia="宋体" w:cs="Times New Roman"/>
                      <w:color w:val="auto"/>
                      <w:sz w:val="21"/>
                      <w:szCs w:val="21"/>
                      <w:lang w:val="en-US" w:eastAsia="zh-CN"/>
                    </w:rPr>
                    <w:t>》</w:t>
                  </w:r>
                </w:p>
              </w:tc>
              <w:tc>
                <w:tcPr>
                  <w:tcW w:w="2554" w:type="pct"/>
                  <w:noWrap w:val="0"/>
                  <w:vAlign w:val="center"/>
                </w:tcPr>
                <w:p w14:paraId="58C3EB72">
                  <w:pPr>
                    <w:pStyle w:val="56"/>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要求“实施最严格的生态保护制度。坚决遏制“两高”项目盲目发展，严格执行能源、矿产资源开发自治区人民政府“一支笔”审批制度、环境保护“一票否决”制度，落实“三线一单”生态环境分区管控要求；按照宜电则电、宜气则气的原则，继续推进“电</w:t>
                  </w:r>
                </w:p>
                <w:p w14:paraId="5B93E04D">
                  <w:pPr>
                    <w:pStyle w:val="56"/>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气化新疆”建设，实施清洁能源行动计划；加快非化石能源发展，推进风电和太阳能发电基地建设，积极开发分布式太阳能发电和分散式风电”。</w:t>
                  </w:r>
                </w:p>
              </w:tc>
              <w:tc>
                <w:tcPr>
                  <w:tcW w:w="1238" w:type="pct"/>
                  <w:noWrap w:val="0"/>
                  <w:vAlign w:val="center"/>
                </w:tcPr>
                <w:p w14:paraId="2D638CE5">
                  <w:pPr>
                    <w:pStyle w:val="1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本项目不属于“两高”项目，符合“三线一单”生态环境分区管控要求</w:t>
                  </w:r>
                  <w:r>
                    <w:rPr>
                      <w:rFonts w:hint="default" w:ascii="Times New Roman" w:hAnsi="Times New Roman" w:eastAsia="宋体" w:cs="Times New Roman"/>
                      <w:color w:val="auto"/>
                      <w:kern w:val="2"/>
                      <w:sz w:val="21"/>
                      <w:szCs w:val="21"/>
                      <w:lang w:val="en-US" w:eastAsia="zh-CN" w:bidi="ar-SA"/>
                    </w:rPr>
                    <w:t>符合“三线一单”生态</w:t>
                  </w:r>
                  <w:r>
                    <w:rPr>
                      <w:rFonts w:hint="default" w:ascii="Times New Roman" w:hAnsi="Times New Roman" w:eastAsia="宋体" w:cs="Times New Roman"/>
                      <w:color w:val="auto"/>
                      <w:sz w:val="21"/>
                      <w:szCs w:val="21"/>
                    </w:rPr>
                    <w:t>环境分区管控要求，主要采用电等清洁能源</w:t>
                  </w:r>
                  <w:r>
                    <w:rPr>
                      <w:rFonts w:hint="eastAsia" w:cs="Times New Roman"/>
                      <w:color w:val="auto"/>
                      <w:sz w:val="21"/>
                      <w:szCs w:val="21"/>
                      <w:lang w:val="en-US" w:eastAsia="zh-CN"/>
                    </w:rPr>
                    <w:t>。</w:t>
                  </w:r>
                </w:p>
              </w:tc>
              <w:tc>
                <w:tcPr>
                  <w:tcW w:w="330" w:type="pct"/>
                  <w:noWrap w:val="0"/>
                  <w:vAlign w:val="center"/>
                </w:tcPr>
                <w:p w14:paraId="24C494E3">
                  <w:pPr>
                    <w:pStyle w:val="56"/>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1C57A1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5" w:type="pct"/>
                  <w:noWrap w:val="0"/>
                  <w:vAlign w:val="center"/>
                </w:tcPr>
                <w:p w14:paraId="7174BBCB">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《新疆维吾尔自治区大气污染防治条例》</w:t>
                  </w:r>
                </w:p>
              </w:tc>
              <w:tc>
                <w:tcPr>
                  <w:tcW w:w="2554" w:type="pct"/>
                  <w:noWrap w:val="0"/>
                  <w:vAlign w:val="center"/>
                </w:tcPr>
                <w:p w14:paraId="045E36F4">
                  <w:pPr>
                    <w:pStyle w:val="56"/>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第四十三条贮存易产生扬尘的煤炭、煤矸石、煤渣、煤灰、水泥、石灰、石膏、砂土等物料的堆场应当密闭；不能密闭的，贮存单位或者个人应当采取下列防尘措施：</w:t>
                  </w:r>
                </w:p>
                <w:p w14:paraId="2687D360">
                  <w:pPr>
                    <w:pStyle w:val="56"/>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（一）堆场的场坪、路面应当进行硬化处理，并保持路面整洁；</w:t>
                  </w:r>
                </w:p>
                <w:p w14:paraId="74CEBC6E">
                  <w:pPr>
                    <w:pStyle w:val="56"/>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（二）堆场周边应当配备高于堆存物料的围挡、防风抑尘网等设施；</w:t>
                  </w:r>
                </w:p>
                <w:p w14:paraId="30D90EB9">
                  <w:pPr>
                    <w:pStyle w:val="56"/>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（三）按照物料类别采取相应的覆盖、喷淋和围挡等防风抑尘措施。</w:t>
                  </w:r>
                </w:p>
                <w:p w14:paraId="70A1DFED">
                  <w:pPr>
                    <w:pStyle w:val="56"/>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露天装卸物料应当采取密闭或者喷淋等抑尘措施；输送的物料应当在装料、卸料处配备吸尘、喷淋等防尘设施。</w:t>
                  </w:r>
                </w:p>
              </w:tc>
              <w:tc>
                <w:tcPr>
                  <w:tcW w:w="1238" w:type="pct"/>
                  <w:noWrap w:val="0"/>
                  <w:vAlign w:val="center"/>
                </w:tcPr>
                <w:p w14:paraId="22BB409D">
                  <w:pPr>
                    <w:pStyle w:val="10"/>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项目堆场主要堆放原料为骨料，荒料堆场采取防风抑尘网+防尘网苫盖的措施，减少扬尘产生。袋装石英砂、细粉，罐装树脂、助剂等统一堆放在5#厂房内。</w:t>
                  </w:r>
                </w:p>
              </w:tc>
              <w:tc>
                <w:tcPr>
                  <w:tcW w:w="330" w:type="pct"/>
                  <w:noWrap w:val="0"/>
                  <w:vAlign w:val="center"/>
                </w:tcPr>
                <w:p w14:paraId="2B4C7199">
                  <w:pPr>
                    <w:pStyle w:val="56"/>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762CA9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5" w:type="pct"/>
                  <w:noWrap w:val="0"/>
                  <w:vAlign w:val="center"/>
                </w:tcPr>
                <w:p w14:paraId="367A4D56">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《自治州大气污染防治三年攻坚行动方案</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2023</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2025年</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巴政发〔201</w:t>
                  </w:r>
                  <w:r>
                    <w:rPr>
                      <w:rFonts w:hint="eastAsia" w:cs="Times New Roman"/>
                      <w:color w:val="auto"/>
                      <w:sz w:val="21"/>
                      <w:szCs w:val="21"/>
                      <w:lang w:val="en-US" w:eastAsia="zh-CN"/>
                    </w:rPr>
                    <w:t>3</w:t>
                  </w:r>
                  <w:r>
                    <w:rPr>
                      <w:rFonts w:hint="eastAsia" w:ascii="Times New Roman" w:hAnsi="Times New Roman" w:eastAsia="宋体" w:cs="Times New Roman"/>
                      <w:color w:val="auto"/>
                      <w:sz w:val="21"/>
                      <w:szCs w:val="21"/>
                      <w:lang w:val="en-US" w:eastAsia="zh-CN"/>
                    </w:rPr>
                    <w:t>〕27号</w:t>
                  </w:r>
                  <w:r>
                    <w:rPr>
                      <w:rFonts w:hint="eastAsia" w:cs="Times New Roman"/>
                      <w:color w:val="auto"/>
                      <w:sz w:val="21"/>
                      <w:szCs w:val="21"/>
                      <w:lang w:val="en-US" w:eastAsia="zh-CN"/>
                    </w:rPr>
                    <w:t>）</w:t>
                  </w:r>
                </w:p>
              </w:tc>
              <w:tc>
                <w:tcPr>
                  <w:tcW w:w="2554" w:type="pct"/>
                  <w:noWrap w:val="0"/>
                  <w:vAlign w:val="center"/>
                </w:tcPr>
                <w:p w14:paraId="7B8CF65E">
                  <w:pPr>
                    <w:pStyle w:val="56"/>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第21条：</w:t>
                  </w:r>
                  <w:r>
                    <w:rPr>
                      <w:rFonts w:hint="eastAsia" w:ascii="Times New Roman" w:hAnsi="Times New Roman" w:eastAsia="宋体" w:cs="Times New Roman"/>
                      <w:color w:val="auto"/>
                      <w:sz w:val="21"/>
                      <w:szCs w:val="21"/>
                      <w:lang w:val="en-US" w:eastAsia="zh-CN"/>
                    </w:rPr>
                    <w:t>加快堆场扬尘治理。强化企业各类堆场扬尘治理，落实企业运输场区湿法作业、物料仓库密闭。大型煤炭、矿石等物料堆场完成围挡、苫盖、自动喷淋等抑尘设施建设和物料输送系统封闭改造。个体私营经济试验区等区域扬尘污染源。</w:t>
                  </w:r>
                </w:p>
              </w:tc>
              <w:tc>
                <w:tcPr>
                  <w:tcW w:w="1238" w:type="pct"/>
                  <w:noWrap w:val="0"/>
                  <w:vAlign w:val="center"/>
                </w:tcPr>
                <w:p w14:paraId="01189BF5">
                  <w:pPr>
                    <w:pStyle w:val="10"/>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项目原料采用袋装石英砂、细粉，罐装树脂、助剂等，统一堆放在5#厂房内；荒料堆场采取防风抑尘网+防尘网苫盖措施，减少扬尘的产生。</w:t>
                  </w:r>
                </w:p>
              </w:tc>
              <w:tc>
                <w:tcPr>
                  <w:tcW w:w="330" w:type="pct"/>
                  <w:noWrap w:val="0"/>
                  <w:vAlign w:val="center"/>
                </w:tcPr>
                <w:p w14:paraId="3BB121FB">
                  <w:pPr>
                    <w:pStyle w:val="56"/>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103EFC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5" w:type="pct"/>
                  <w:noWrap w:val="0"/>
                  <w:vAlign w:val="center"/>
                </w:tcPr>
                <w:p w14:paraId="3F81CD98">
                  <w:pPr>
                    <w:pStyle w:val="56"/>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《巴州生态环境保护“十四五”规划》</w:t>
                  </w:r>
                </w:p>
              </w:tc>
              <w:tc>
                <w:tcPr>
                  <w:tcW w:w="2554" w:type="pct"/>
                  <w:noWrap w:val="0"/>
                  <w:vAlign w:val="center"/>
                </w:tcPr>
                <w:p w14:paraId="3AE8A874">
                  <w:pPr>
                    <w:pStyle w:val="56"/>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优化调整产业布局。严格落实环境准入要求</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加大落后产能淘汰力度</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持续压减过剩产能</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加快调整优化产业结构。制定</w:t>
                  </w:r>
                  <w:r>
                    <w:rPr>
                      <w:rFonts w:hint="eastAsia" w:ascii="Times New Roman" w:hAnsi="Times New Roman" w:cs="Times New Roman"/>
                      <w:color w:val="auto"/>
                      <w:sz w:val="21"/>
                      <w:szCs w:val="21"/>
                      <w:lang w:val="en-US" w:eastAsia="zh-CN"/>
                    </w:rPr>
                    <w:t>实施</w:t>
                  </w:r>
                  <w:r>
                    <w:rPr>
                      <w:rFonts w:hint="default" w:ascii="Times New Roman" w:hAnsi="Times New Roman" w:cs="Times New Roman"/>
                      <w:color w:val="auto"/>
                      <w:sz w:val="21"/>
                      <w:szCs w:val="21"/>
                      <w:lang w:val="en-US" w:eastAsia="zh-CN"/>
                    </w:rPr>
                    <w:t>年度</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自治州利用综合标准依法依规推动落后产能退出工作方案</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加快重点控制区域重污染企业提标改造，全面落实排污许可制度</w:t>
                  </w:r>
                  <w:r>
                    <w:rPr>
                      <w:rFonts w:hint="eastAsia" w:cs="Times New Roman"/>
                      <w:color w:val="auto"/>
                      <w:sz w:val="21"/>
                      <w:szCs w:val="21"/>
                      <w:lang w:val="en-US" w:eastAsia="zh-CN"/>
                    </w:rPr>
                    <w:t>，对</w:t>
                  </w:r>
                  <w:r>
                    <w:rPr>
                      <w:rFonts w:hint="default" w:ascii="Times New Roman" w:hAnsi="Times New Roman" w:cs="Times New Roman"/>
                      <w:color w:val="auto"/>
                      <w:sz w:val="21"/>
                      <w:szCs w:val="21"/>
                      <w:lang w:val="en-US" w:eastAsia="zh-CN"/>
                    </w:rPr>
                    <w:t>不达标企业要求</w:t>
                  </w:r>
                  <w:r>
                    <w:rPr>
                      <w:rFonts w:hint="default" w:ascii="Times New Roman" w:hAnsi="Times New Roman" w:cs="Times New Roman"/>
                      <w:color w:val="auto"/>
                      <w:sz w:val="21"/>
                      <w:szCs w:val="21"/>
                      <w:lang w:val="zh-CN" w:eastAsia="zh-CN"/>
                    </w:rPr>
                    <w:t>限期整改、</w:t>
                  </w:r>
                  <w:r>
                    <w:rPr>
                      <w:rFonts w:hint="default" w:ascii="Times New Roman" w:hAnsi="Times New Roman" w:cs="Times New Roman"/>
                      <w:color w:val="auto"/>
                      <w:sz w:val="21"/>
                      <w:szCs w:val="21"/>
                      <w:lang w:val="en-US" w:eastAsia="zh-CN"/>
                    </w:rPr>
                    <w:t>搬迁或关闭退出；持续做好以煤电、水泥行业为重点的过剩产能</w:t>
                  </w:r>
                  <w:r>
                    <w:rPr>
                      <w:rFonts w:hint="eastAsia" w:ascii="Times New Roman" w:hAnsi="Times New Roman" w:cs="Times New Roman"/>
                      <w:color w:val="auto"/>
                      <w:sz w:val="21"/>
                      <w:szCs w:val="21"/>
                      <w:lang w:val="en-US" w:eastAsia="zh-CN"/>
                    </w:rPr>
                    <w:t>淘汰</w:t>
                  </w:r>
                  <w:r>
                    <w:rPr>
                      <w:rFonts w:hint="default" w:ascii="Times New Roman" w:hAnsi="Times New Roman" w:cs="Times New Roman"/>
                      <w:color w:val="auto"/>
                      <w:sz w:val="21"/>
                      <w:szCs w:val="21"/>
                      <w:lang w:val="en-US" w:eastAsia="zh-CN"/>
                    </w:rPr>
                    <w:t>工作，落实好自治州利用综合标准促进过剩产能退出工作机制，通过政策扶持等支持产能过剩行业企业退出、转型发展。</w:t>
                  </w:r>
                </w:p>
                <w:p w14:paraId="63C20F2E">
                  <w:pPr>
                    <w:pStyle w:val="56"/>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加快工业结构绿色转型升级。推动重点行业绿色转型，大力推进企业清洁生产技术提标改造，积极引导水泥、</w:t>
                  </w:r>
                  <w:r>
                    <w:rPr>
                      <w:rFonts w:hint="default" w:ascii="Times New Roman" w:hAnsi="Times New Roman" w:cs="Times New Roman"/>
                      <w:color w:val="auto"/>
                      <w:sz w:val="21"/>
                      <w:szCs w:val="21"/>
                      <w:lang w:val="zh-CN" w:eastAsia="zh-CN"/>
                    </w:rPr>
                    <w:t>钢铁、</w:t>
                  </w:r>
                  <w:r>
                    <w:rPr>
                      <w:rFonts w:hint="default" w:ascii="Times New Roman" w:hAnsi="Times New Roman" w:cs="Times New Roman"/>
                      <w:color w:val="auto"/>
                      <w:sz w:val="21"/>
                      <w:szCs w:val="21"/>
                      <w:lang w:val="en-US" w:eastAsia="zh-CN"/>
                    </w:rPr>
                    <w:t>石化等重点行业全面实施能效提升、清洁生产、强化治污、循环利用等专项技术提标改造；</w:t>
                  </w:r>
                  <w:r>
                    <w:rPr>
                      <w:rFonts w:hint="default" w:ascii="Times New Roman" w:hAnsi="Times New Roman" w:cs="Times New Roman"/>
                      <w:color w:val="auto"/>
                      <w:sz w:val="21"/>
                      <w:szCs w:val="21"/>
                      <w:lang w:val="zh-CN" w:eastAsia="zh-CN"/>
                    </w:rPr>
                    <w:t>加快高端装备制造、新能源、新材料等战略性新兴产业发展，</w:t>
                  </w:r>
                  <w:r>
                    <w:rPr>
                      <w:rFonts w:hint="default" w:ascii="Times New Roman" w:hAnsi="Times New Roman" w:cs="Times New Roman"/>
                      <w:color w:val="auto"/>
                      <w:sz w:val="21"/>
                      <w:szCs w:val="21"/>
                      <w:lang w:val="en-US" w:eastAsia="zh-CN"/>
                    </w:rPr>
                    <w:t>推广适用的煤化工节能减排技术，提升行业清洁生产水平，降低对油气资源的依赖，逐步实现循环发展；大力推进园区建设提档升级，推进工业循环经济试点建设引导和规范试点园区。</w:t>
                  </w:r>
                </w:p>
              </w:tc>
              <w:tc>
                <w:tcPr>
                  <w:tcW w:w="1238" w:type="pct"/>
                  <w:noWrap w:val="0"/>
                  <w:vAlign w:val="center"/>
                </w:tcPr>
                <w:p w14:paraId="3E80A30A">
                  <w:pPr>
                    <w:pStyle w:val="1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项目不属于落后产能项目，没有锅炉，从而</w:t>
                  </w:r>
                  <w:r>
                    <w:rPr>
                      <w:rFonts w:hint="default" w:ascii="Times New Roman" w:hAnsi="Times New Roman" w:eastAsia="宋体" w:cs="Times New Roman"/>
                      <w:color w:val="auto"/>
                      <w:kern w:val="2"/>
                      <w:sz w:val="21"/>
                      <w:szCs w:val="21"/>
                      <w:lang w:val="en-US" w:eastAsia="zh-CN" w:bidi="ar-SA"/>
                    </w:rPr>
                    <w:t>降低对油气资源的依赖</w:t>
                  </w:r>
                  <w:r>
                    <w:rPr>
                      <w:rFonts w:hint="eastAsia" w:ascii="Times New Roman" w:hAnsi="Times New Roman" w:eastAsia="宋体" w:cs="Times New Roman"/>
                      <w:color w:val="auto"/>
                      <w:kern w:val="2"/>
                      <w:sz w:val="21"/>
                      <w:szCs w:val="21"/>
                      <w:lang w:val="en-US" w:eastAsia="zh-CN" w:bidi="ar-SA"/>
                    </w:rPr>
                    <w:t>。</w:t>
                  </w:r>
                </w:p>
              </w:tc>
              <w:tc>
                <w:tcPr>
                  <w:tcW w:w="330" w:type="pct"/>
                  <w:noWrap w:val="0"/>
                  <w:vAlign w:val="center"/>
                </w:tcPr>
                <w:p w14:paraId="038AD7DA">
                  <w:pPr>
                    <w:pStyle w:val="5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符合</w:t>
                  </w:r>
                </w:p>
              </w:tc>
            </w:tr>
          </w:tbl>
          <w:p w14:paraId="31FE491A">
            <w:pPr>
              <w:pStyle w:val="19"/>
              <w:keepNext w:val="0"/>
              <w:keepLines w:val="0"/>
              <w:pageBreakBefore w:val="0"/>
              <w:widowControl w:val="0"/>
              <w:kinsoku/>
              <w:wordWrap/>
              <w:overflowPunct/>
              <w:topLinePunct w:val="0"/>
              <w:autoSpaceDE/>
              <w:autoSpaceDN/>
              <w:bidi w:val="0"/>
              <w:adjustRightInd/>
              <w:snapToGrid/>
              <w:spacing w:line="520" w:lineRule="exact"/>
              <w:ind w:left="0" w:firstLine="420" w:firstLineChars="200"/>
              <w:jc w:val="left"/>
              <w:textAlignment w:val="auto"/>
              <w:rPr>
                <w:rFonts w:hint="default" w:ascii="Times New Roman" w:hAnsi="Times New Roman" w:cs="Times New Roman"/>
                <w:color w:val="auto"/>
              </w:rPr>
            </w:pPr>
          </w:p>
        </w:tc>
      </w:tr>
    </w:tbl>
    <w:p w14:paraId="462C12AC">
      <w:pPr>
        <w:spacing w:line="360" w:lineRule="auto"/>
        <w:outlineLvl w:val="0"/>
        <w:rPr>
          <w:rFonts w:eastAsia="黑体"/>
          <w:color w:val="auto"/>
          <w:sz w:val="30"/>
        </w:rPr>
        <w:sectPr>
          <w:footerReference r:id="rId5" w:type="default"/>
          <w:pgSz w:w="11906" w:h="16838"/>
          <w:pgMar w:top="1417" w:right="1531" w:bottom="1417"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2286433F">
      <w:pPr>
        <w:pStyle w:val="20"/>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二、建设项目工程分析</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14:paraId="1A4793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noWrap w:val="0"/>
            <w:vAlign w:val="center"/>
          </w:tcPr>
          <w:p w14:paraId="09C524CA">
            <w:pPr>
              <w:pStyle w:val="20"/>
              <w:adjustRightInd w:val="0"/>
              <w:snapToGrid w:val="0"/>
              <w:spacing w:before="0" w:beforeAutospacing="0" w:after="0" w:afterAutospacing="0"/>
              <w:jc w:val="center"/>
              <w:rPr>
                <w:rFonts w:hint="eastAsia" w:ascii="宋体" w:hAnsi="宋体" w:eastAsia="宋体" w:cs="宋体"/>
                <w:color w:val="auto"/>
                <w:sz w:val="24"/>
                <w:szCs w:val="24"/>
              </w:rPr>
            </w:pPr>
            <w:r>
              <w:rPr>
                <w:rFonts w:hint="eastAsia" w:ascii="宋体" w:hAnsi="宋体" w:eastAsia="宋体" w:cs="宋体"/>
                <w:color w:val="auto"/>
                <w:sz w:val="24"/>
                <w:szCs w:val="24"/>
              </w:rPr>
              <w:t>建设内容</w:t>
            </w:r>
          </w:p>
        </w:tc>
        <w:tc>
          <w:tcPr>
            <w:tcW w:w="8161" w:type="dxa"/>
            <w:noWrap w:val="0"/>
            <w:vAlign w:val="top"/>
          </w:tcPr>
          <w:p w14:paraId="5C90C29D">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2" w:firstLineChars="200"/>
              <w:jc w:val="left"/>
              <w:textAlignment w:val="auto"/>
              <w:rPr>
                <w:rFonts w:hint="eastAsia" w:ascii="宋体" w:hAnsi="宋体" w:cs="宋体"/>
                <w:b/>
                <w:bCs/>
                <w:color w:val="auto"/>
                <w:sz w:val="24"/>
                <w:szCs w:val="24"/>
                <w:lang w:val="en-US" w:eastAsia="zh-CN"/>
              </w:rPr>
            </w:pPr>
            <w:r>
              <w:rPr>
                <w:rFonts w:hint="eastAsia" w:ascii="宋体" w:hAnsi="宋体" w:cs="宋体"/>
                <w:b/>
                <w:bCs/>
                <w:color w:val="auto"/>
                <w:kern w:val="2"/>
                <w:sz w:val="24"/>
                <w:szCs w:val="24"/>
                <w:lang w:val="en-US" w:eastAsia="zh-CN" w:bidi="ar-SA"/>
              </w:rPr>
              <w:t>1.</w:t>
            </w:r>
            <w:r>
              <w:rPr>
                <w:rFonts w:hint="eastAsia" w:ascii="宋体" w:hAnsi="宋体" w:cs="宋体"/>
                <w:b/>
                <w:bCs/>
                <w:color w:val="auto"/>
                <w:sz w:val="24"/>
                <w:szCs w:val="24"/>
                <w:lang w:val="en-US" w:eastAsia="zh-CN"/>
              </w:rPr>
              <w:t>项目由来</w:t>
            </w:r>
          </w:p>
          <w:p w14:paraId="0C99CFA0">
            <w:pPr>
              <w:spacing w:line="520" w:lineRule="exact"/>
              <w:ind w:firstLine="480" w:firstLineChars="200"/>
              <w:jc w:val="left"/>
              <w:rPr>
                <w:rFonts w:hint="eastAsia"/>
                <w:b w:val="0"/>
                <w:bCs w:val="0"/>
                <w:color w:val="auto"/>
                <w:sz w:val="24"/>
                <w:lang w:val="en-US" w:eastAsia="zh-CN"/>
              </w:rPr>
            </w:pPr>
            <w:r>
              <w:rPr>
                <w:rFonts w:hint="eastAsia"/>
                <w:b w:val="0"/>
                <w:bCs w:val="0"/>
                <w:color w:val="auto"/>
                <w:sz w:val="24"/>
                <w:lang w:val="en-US" w:eastAsia="zh-CN"/>
              </w:rPr>
              <w:t>新疆富邦国源矿业有限公司成立于2011年，位于新疆维吾尔自治区巴音郭楞蒙古自治州和硕县经济技术开发区清水河综合园区，是一家以从事专业技术服务业为主的企业。经营范围包括许可项目：矿业技术的开发、咨询；矿产品的销售；矿业权咨询、代理服务；房屋租赁。矿产资源（非煤矿山）开采；建筑用石加工；机械设备租赁（除许可业务外，可自主依法经营法律法规非禁止或限制的项目）。</w:t>
            </w:r>
          </w:p>
          <w:p w14:paraId="2E0B28FF">
            <w:pPr>
              <w:spacing w:line="520" w:lineRule="exact"/>
              <w:ind w:firstLine="480" w:firstLineChars="200"/>
              <w:jc w:val="left"/>
              <w:rPr>
                <w:rFonts w:hint="eastAsia"/>
                <w:color w:val="auto"/>
                <w:sz w:val="24"/>
                <w:lang w:val="en-US" w:eastAsia="zh-CN"/>
              </w:rPr>
            </w:pPr>
            <w:r>
              <w:rPr>
                <w:rFonts w:hint="eastAsia"/>
                <w:color w:val="auto"/>
                <w:sz w:val="24"/>
                <w:lang w:val="en-US" w:eastAsia="zh-CN"/>
              </w:rPr>
              <w:t>企业于2012年7月16日取得巴州生态环境局（原巴州环境保护局）“关于对新疆富邦国源矿业有限公司年生产160万平方米石板材、8万件异型石材和40万平方米花岗岩板材加工项目环境影响报告表”的批复《巴环控函〔2012〕508号》，项目规划用地200000m</w:t>
            </w:r>
            <w:r>
              <w:rPr>
                <w:rFonts w:hint="eastAsia"/>
                <w:color w:val="auto"/>
                <w:sz w:val="24"/>
                <w:vertAlign w:val="superscript"/>
                <w:lang w:val="en-US" w:eastAsia="zh-CN"/>
              </w:rPr>
              <w:t>2</w:t>
            </w:r>
            <w:r>
              <w:rPr>
                <w:rFonts w:hint="eastAsia"/>
                <w:color w:val="auto"/>
                <w:sz w:val="24"/>
                <w:lang w:val="en-US" w:eastAsia="zh-CN"/>
              </w:rPr>
              <w:t>，建设内容为生产车间、荒料堆放区、仓储区、装卸区、水处理区、办公室、职工宿舍、食堂及文化活动区，年产160万平方米石板材、8万件异型石材和40万平方米花岗岩板材。</w:t>
            </w:r>
          </w:p>
          <w:p w14:paraId="44E3C138">
            <w:pPr>
              <w:spacing w:line="520" w:lineRule="exact"/>
              <w:ind w:firstLine="480" w:firstLineChars="200"/>
              <w:jc w:val="left"/>
              <w:rPr>
                <w:rFonts w:hint="eastAsia"/>
                <w:color w:val="auto"/>
                <w:sz w:val="24"/>
                <w:lang w:val="en-US" w:eastAsia="zh-CN"/>
              </w:rPr>
            </w:pPr>
            <w:r>
              <w:rPr>
                <w:rFonts w:hint="eastAsia"/>
                <w:color w:val="auto"/>
                <w:sz w:val="24"/>
                <w:lang w:val="en-US" w:eastAsia="zh-CN"/>
              </w:rPr>
              <w:t>2015年6月21日取得巴州生态环境局（原巴州环境保护局）出具的“关于新疆富邦国源矿业有限公司《新疆富邦国源矿业有限公司年生产160万平方米石板材、8万件异型石材和40万平方米花岗岩板材加工项目变更环境影响报告表的批复》”（巴环评价函〔2015〕267号）。</w:t>
            </w:r>
          </w:p>
          <w:p w14:paraId="5EFC5376">
            <w:pPr>
              <w:spacing w:line="520" w:lineRule="exact"/>
              <w:ind w:firstLine="480" w:firstLineChars="200"/>
              <w:jc w:val="left"/>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企业于2016年1月8日取得巴州环境保护局“关于《新疆富邦国源矿业有限公司年生产160万平方米石板材、8万件异型石材和40万平方米花岗岩板材加工项目》的</w:t>
            </w:r>
            <w:r>
              <w:rPr>
                <w:rFonts w:hint="eastAsia" w:cs="Times New Roman"/>
                <w:color w:val="auto"/>
                <w:sz w:val="24"/>
                <w:lang w:val="en-US" w:eastAsia="zh-CN"/>
              </w:rPr>
              <w:t>验收</w:t>
            </w:r>
            <w:r>
              <w:rPr>
                <w:rFonts w:hint="eastAsia" w:ascii="Times New Roman" w:hAnsi="Times New Roman" w:cs="Times New Roman"/>
                <w:color w:val="auto"/>
                <w:sz w:val="24"/>
                <w:lang w:val="en-US" w:eastAsia="zh-CN"/>
              </w:rPr>
              <w:t>批复”（巴环评价函〔20</w:t>
            </w:r>
            <w:r>
              <w:rPr>
                <w:rFonts w:hint="eastAsia" w:cs="Times New Roman"/>
                <w:color w:val="auto"/>
                <w:sz w:val="24"/>
                <w:lang w:val="en-US" w:eastAsia="zh-CN"/>
              </w:rPr>
              <w:t>16</w:t>
            </w:r>
            <w:r>
              <w:rPr>
                <w:rFonts w:hint="eastAsia" w:ascii="Times New Roman" w:hAnsi="Times New Roman" w:cs="Times New Roman"/>
                <w:color w:val="auto"/>
                <w:sz w:val="24"/>
                <w:lang w:val="en-US" w:eastAsia="zh-CN"/>
              </w:rPr>
              <w:t>〕</w:t>
            </w:r>
            <w:r>
              <w:rPr>
                <w:rFonts w:hint="eastAsia" w:cs="Times New Roman"/>
                <w:color w:val="auto"/>
                <w:sz w:val="24"/>
                <w:lang w:val="en-US" w:eastAsia="zh-CN"/>
              </w:rPr>
              <w:t>6</w:t>
            </w:r>
            <w:r>
              <w:rPr>
                <w:rFonts w:hint="eastAsia" w:ascii="Times New Roman" w:hAnsi="Times New Roman" w:cs="Times New Roman"/>
                <w:color w:val="auto"/>
                <w:sz w:val="24"/>
                <w:lang w:val="en-US" w:eastAsia="zh-CN"/>
              </w:rPr>
              <w:t>号）。</w:t>
            </w:r>
          </w:p>
          <w:p w14:paraId="590B0D09">
            <w:pPr>
              <w:spacing w:line="520" w:lineRule="exact"/>
              <w:ind w:firstLine="480" w:firstLineChars="200"/>
              <w:jc w:val="left"/>
              <w:rPr>
                <w:rFonts w:hint="eastAsia"/>
                <w:color w:val="auto"/>
                <w:sz w:val="24"/>
                <w:lang w:val="en-US" w:eastAsia="zh-CN"/>
              </w:rPr>
            </w:pPr>
            <w:r>
              <w:rPr>
                <w:rFonts w:hint="eastAsia" w:cs="Times New Roman"/>
                <w:color w:val="auto"/>
                <w:sz w:val="24"/>
                <w:lang w:val="en-US" w:eastAsia="zh-CN"/>
              </w:rPr>
              <w:t>企业</w:t>
            </w:r>
            <w:r>
              <w:rPr>
                <w:rFonts w:hint="eastAsia"/>
                <w:b w:val="0"/>
                <w:bCs w:val="0"/>
                <w:color w:val="auto"/>
                <w:sz w:val="24"/>
                <w:lang w:val="en-US" w:eastAsia="zh-CN"/>
              </w:rPr>
              <w:t>于2025年3月6日取得新疆巴音郭楞蒙古自治州生态环境局“关于《新疆富邦国源矿业有限公司和硕石材加工厂扩建项目</w:t>
            </w:r>
            <w:r>
              <w:rPr>
                <w:rFonts w:hint="eastAsia"/>
                <w:color w:val="auto"/>
                <w:sz w:val="24"/>
                <w:lang w:val="en-US" w:eastAsia="zh-CN"/>
              </w:rPr>
              <w:t>环境影响报告表</w:t>
            </w:r>
            <w:r>
              <w:rPr>
                <w:rFonts w:hint="eastAsia"/>
                <w:b w:val="0"/>
                <w:bCs w:val="0"/>
                <w:color w:val="auto"/>
                <w:sz w:val="24"/>
                <w:lang w:val="en-US" w:eastAsia="zh-CN"/>
              </w:rPr>
              <w:t>的批复》”</w:t>
            </w:r>
            <w:r>
              <w:rPr>
                <w:rFonts w:hint="eastAsia" w:cs="Times New Roman"/>
                <w:b w:val="0"/>
                <w:bCs w:val="0"/>
                <w:color w:val="auto"/>
                <w:sz w:val="24"/>
                <w:lang w:val="en-US" w:eastAsia="zh-CN"/>
              </w:rPr>
              <w:t>（</w:t>
            </w:r>
            <w:r>
              <w:rPr>
                <w:rFonts w:hint="eastAsia"/>
                <w:b w:val="0"/>
                <w:bCs w:val="0"/>
                <w:color w:val="auto"/>
                <w:sz w:val="24"/>
                <w:lang w:val="en-US" w:eastAsia="zh-CN"/>
              </w:rPr>
              <w:t>巴环评价函</w:t>
            </w:r>
            <w:r>
              <w:rPr>
                <w:rFonts w:hint="eastAsia" w:ascii="宋体" w:hAnsi="宋体" w:eastAsia="宋体" w:cs="宋体"/>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2025〕28号</w:t>
            </w:r>
            <w:r>
              <w:rPr>
                <w:rFonts w:hint="eastAsia" w:cs="Times New Roman"/>
                <w:b w:val="0"/>
                <w:bCs w:val="0"/>
                <w:color w:val="auto"/>
                <w:sz w:val="24"/>
                <w:lang w:val="en-US" w:eastAsia="zh-CN"/>
              </w:rPr>
              <w:t>）</w:t>
            </w:r>
            <w:r>
              <w:rPr>
                <w:rFonts w:hint="eastAsia"/>
                <w:b w:val="0"/>
                <w:bCs w:val="0"/>
                <w:color w:val="auto"/>
                <w:sz w:val="24"/>
                <w:lang w:val="en-US" w:eastAsia="zh-CN"/>
              </w:rPr>
              <w:t>，</w:t>
            </w:r>
            <w:r>
              <w:rPr>
                <w:rFonts w:hint="eastAsia"/>
                <w:color w:val="auto"/>
                <w:sz w:val="24"/>
                <w:lang w:val="en-US" w:eastAsia="zh-CN"/>
              </w:rPr>
              <w:t>在实际过程中项目破碎工序由原环评中新建破碎厂房300平方米增加到新建破碎厂房2600平方米，与环评报告和批复不一致，对照《关于印发污染影响类建设项目重大变动清单（试行）的通知》（环办环评函</w:t>
            </w:r>
            <w:r>
              <w:rPr>
                <w:rFonts w:hint="eastAsia" w:ascii="Times New Roman" w:hAnsi="Times New Roman" w:cs="Times New Roman"/>
                <w:color w:val="auto"/>
                <w:sz w:val="24"/>
                <w:lang w:val="en-US" w:eastAsia="zh-CN"/>
              </w:rPr>
              <w:t>〔20</w:t>
            </w:r>
            <w:r>
              <w:rPr>
                <w:rFonts w:hint="eastAsia" w:cs="Times New Roman"/>
                <w:color w:val="auto"/>
                <w:sz w:val="24"/>
                <w:lang w:val="en-US" w:eastAsia="zh-CN"/>
              </w:rPr>
              <w:t>20</w:t>
            </w:r>
            <w:r>
              <w:rPr>
                <w:rFonts w:hint="eastAsia" w:ascii="Times New Roman" w:hAnsi="Times New Roman" w:cs="Times New Roman"/>
                <w:color w:val="auto"/>
                <w:sz w:val="24"/>
                <w:lang w:val="en-US" w:eastAsia="zh-CN"/>
              </w:rPr>
              <w:t>〕</w:t>
            </w:r>
            <w:r>
              <w:rPr>
                <w:rFonts w:hint="eastAsia"/>
                <w:color w:val="auto"/>
                <w:sz w:val="24"/>
                <w:lang w:val="en-US" w:eastAsia="zh-CN"/>
              </w:rPr>
              <w:t>688号），该变动属于重大变动，公司拟对该项目重新报批，对全厂产物情况重新核算。</w:t>
            </w:r>
          </w:p>
          <w:p w14:paraId="634DEC75">
            <w:pPr>
              <w:spacing w:line="240" w:lineRule="auto"/>
              <w:jc w:val="center"/>
              <w:rPr>
                <w:rFonts w:hint="eastAsia" w:eastAsia="宋体"/>
                <w:b/>
                <w:bCs/>
                <w:color w:val="auto"/>
                <w:sz w:val="21"/>
                <w:szCs w:val="21"/>
                <w:lang w:eastAsia="zh-CN"/>
              </w:rPr>
            </w:pPr>
            <w:r>
              <w:rPr>
                <w:rFonts w:hint="eastAsia"/>
                <w:b/>
                <w:bCs/>
                <w:color w:val="auto"/>
                <w:sz w:val="21"/>
                <w:szCs w:val="21"/>
              </w:rPr>
              <w:t>表</w:t>
            </w:r>
            <w:r>
              <w:rPr>
                <w:rFonts w:hint="eastAsia"/>
                <w:b/>
                <w:bCs/>
                <w:color w:val="auto"/>
                <w:sz w:val="21"/>
                <w:szCs w:val="21"/>
                <w:lang w:val="en-US" w:eastAsia="zh-CN"/>
              </w:rPr>
              <w:t>2-</w:t>
            </w:r>
            <w:r>
              <w:rPr>
                <w:rFonts w:hint="eastAsia"/>
                <w:b/>
                <w:bCs/>
                <w:color w:val="auto"/>
                <w:sz w:val="21"/>
                <w:szCs w:val="21"/>
              </w:rPr>
              <w:t>1</w:t>
            </w:r>
            <w:r>
              <w:rPr>
                <w:rFonts w:hint="eastAsia"/>
                <w:b/>
                <w:bCs/>
                <w:color w:val="auto"/>
                <w:sz w:val="21"/>
                <w:szCs w:val="21"/>
                <w:lang w:eastAsia="zh-CN"/>
              </w:rPr>
              <w:t>重大变化判定一览表</w:t>
            </w:r>
          </w:p>
          <w:tbl>
            <w:tblPr>
              <w:tblStyle w:val="25"/>
              <w:tblW w:w="7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350"/>
              <w:gridCol w:w="1923"/>
              <w:gridCol w:w="2052"/>
              <w:gridCol w:w="1771"/>
              <w:gridCol w:w="675"/>
              <w:gridCol w:w="694"/>
            </w:tblGrid>
            <w:tr w14:paraId="7931D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dxa"/>
                  <w:vAlign w:val="center"/>
                </w:tcPr>
                <w:p w14:paraId="4DC92E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lang w:val="en-US" w:eastAsia="zh-CN"/>
                    </w:rPr>
                  </w:pPr>
                  <w:r>
                    <w:rPr>
                      <w:rFonts w:hint="eastAsia" w:cs="Times New Roman"/>
                      <w:b w:val="0"/>
                      <w:bCs w:val="0"/>
                      <w:vertAlign w:val="baseline"/>
                      <w:lang w:val="en-US" w:eastAsia="zh-CN"/>
                    </w:rPr>
                    <w:t>序号</w:t>
                  </w:r>
                </w:p>
              </w:tc>
              <w:tc>
                <w:tcPr>
                  <w:tcW w:w="350" w:type="dxa"/>
                  <w:vAlign w:val="center"/>
                </w:tcPr>
                <w:p w14:paraId="7FE2E0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vertAlign w:val="baseline"/>
                      <w:lang w:val="en-US" w:eastAsia="zh-CN"/>
                    </w:rPr>
                  </w:pPr>
                  <w:r>
                    <w:rPr>
                      <w:rFonts w:hint="eastAsia" w:cs="Times New Roman"/>
                      <w:b w:val="0"/>
                      <w:bCs w:val="0"/>
                      <w:vertAlign w:val="baseline"/>
                      <w:lang w:val="en-US" w:eastAsia="zh-CN"/>
                    </w:rPr>
                    <w:t>类别</w:t>
                  </w:r>
                </w:p>
              </w:tc>
              <w:tc>
                <w:tcPr>
                  <w:tcW w:w="1923" w:type="dxa"/>
                  <w:vAlign w:val="center"/>
                </w:tcPr>
                <w:p w14:paraId="5072BD20">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其他工业类建设项目重大变动清单</w:t>
                  </w:r>
                </w:p>
              </w:tc>
              <w:tc>
                <w:tcPr>
                  <w:tcW w:w="2052" w:type="dxa"/>
                  <w:vAlign w:val="center"/>
                </w:tcPr>
                <w:p w14:paraId="28372E15">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原环评申报情况</w:t>
                  </w:r>
                </w:p>
              </w:tc>
              <w:tc>
                <w:tcPr>
                  <w:tcW w:w="1771" w:type="dxa"/>
                  <w:vAlign w:val="center"/>
                </w:tcPr>
                <w:p w14:paraId="775D727F">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预计建设内容</w:t>
                  </w:r>
                </w:p>
              </w:tc>
              <w:tc>
                <w:tcPr>
                  <w:tcW w:w="675" w:type="dxa"/>
                  <w:vAlign w:val="center"/>
                </w:tcPr>
                <w:p w14:paraId="608A3411">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是否属于重大变动</w:t>
                  </w:r>
                </w:p>
              </w:tc>
              <w:tc>
                <w:tcPr>
                  <w:tcW w:w="694" w:type="dxa"/>
                  <w:vAlign w:val="center"/>
                </w:tcPr>
                <w:p w14:paraId="450920C7">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是否属于</w:t>
                  </w:r>
                  <w:r>
                    <w:rPr>
                      <w:rFonts w:hint="eastAsia" w:cs="Times New Roman"/>
                      <w:b w:val="0"/>
                      <w:bCs w:val="0"/>
                      <w:vertAlign w:val="baseline"/>
                      <w:lang w:val="en-US" w:eastAsia="zh-CN"/>
                    </w:rPr>
                    <w:t>一般</w:t>
                  </w:r>
                  <w:r>
                    <w:rPr>
                      <w:rFonts w:hint="default" w:ascii="Times New Roman" w:hAnsi="Times New Roman" w:cs="Times New Roman"/>
                      <w:b w:val="0"/>
                      <w:bCs w:val="0"/>
                      <w:vertAlign w:val="baseline"/>
                      <w:lang w:val="en-US" w:eastAsia="zh-CN"/>
                    </w:rPr>
                    <w:t>变动</w:t>
                  </w:r>
                </w:p>
              </w:tc>
            </w:tr>
            <w:tr w14:paraId="55A72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dxa"/>
                  <w:vAlign w:val="center"/>
                </w:tcPr>
                <w:p w14:paraId="5848C679">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vertAlign w:val="baseline"/>
                      <w:lang w:val="en-US" w:eastAsia="zh-CN"/>
                    </w:rPr>
                  </w:pPr>
                  <w:r>
                    <w:rPr>
                      <w:rFonts w:hint="eastAsia" w:cs="Times New Roman"/>
                      <w:b w:val="0"/>
                      <w:bCs w:val="0"/>
                      <w:vertAlign w:val="baseline"/>
                      <w:lang w:val="en-US" w:eastAsia="zh-CN"/>
                    </w:rPr>
                    <w:t>1</w:t>
                  </w:r>
                </w:p>
              </w:tc>
              <w:tc>
                <w:tcPr>
                  <w:tcW w:w="350" w:type="dxa"/>
                  <w:vAlign w:val="center"/>
                </w:tcPr>
                <w:p w14:paraId="6186A010">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vertAlign w:val="baseline"/>
                      <w:lang w:val="en-US" w:eastAsia="zh-CN"/>
                    </w:rPr>
                  </w:pPr>
                  <w:r>
                    <w:rPr>
                      <w:rFonts w:hint="eastAsia" w:cs="Times New Roman"/>
                      <w:b w:val="0"/>
                      <w:bCs w:val="0"/>
                      <w:vertAlign w:val="baseline"/>
                      <w:lang w:val="en-US" w:eastAsia="zh-CN"/>
                    </w:rPr>
                    <w:t>性质</w:t>
                  </w:r>
                </w:p>
              </w:tc>
              <w:tc>
                <w:tcPr>
                  <w:tcW w:w="1923" w:type="dxa"/>
                  <w:vAlign w:val="center"/>
                </w:tcPr>
                <w:p w14:paraId="19DD62F1">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建设项目开发、使用功能发生变化的</w:t>
                  </w:r>
                </w:p>
              </w:tc>
              <w:tc>
                <w:tcPr>
                  <w:tcW w:w="2052" w:type="dxa"/>
                  <w:vAlign w:val="center"/>
                </w:tcPr>
                <w:p w14:paraId="18F3C37C">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本项目不涉及</w:t>
                  </w:r>
                </w:p>
              </w:tc>
              <w:tc>
                <w:tcPr>
                  <w:tcW w:w="1771" w:type="dxa"/>
                  <w:vAlign w:val="center"/>
                </w:tcPr>
                <w:p w14:paraId="4E26C098">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本项目不涉及</w:t>
                  </w:r>
                </w:p>
              </w:tc>
              <w:tc>
                <w:tcPr>
                  <w:tcW w:w="675" w:type="dxa"/>
                  <w:vAlign w:val="center"/>
                </w:tcPr>
                <w:p w14:paraId="5BFBEBAC">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eastAsia" w:cs="Times New Roman"/>
                      <w:b w:val="0"/>
                      <w:bCs w:val="0"/>
                      <w:vertAlign w:val="baseline"/>
                      <w:lang w:val="en-US" w:eastAsia="zh-CN"/>
                    </w:rPr>
                    <w:t>不属于</w:t>
                  </w:r>
                </w:p>
              </w:tc>
              <w:tc>
                <w:tcPr>
                  <w:tcW w:w="694" w:type="dxa"/>
                  <w:vAlign w:val="center"/>
                </w:tcPr>
                <w:p w14:paraId="53E69C2F">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vertAlign w:val="baseline"/>
                      <w:lang w:val="en-US" w:eastAsia="zh-CN"/>
                    </w:rPr>
                  </w:pPr>
                  <w:r>
                    <w:rPr>
                      <w:rFonts w:hint="eastAsia" w:cs="Times New Roman"/>
                      <w:b w:val="0"/>
                      <w:bCs w:val="0"/>
                      <w:vertAlign w:val="baseline"/>
                      <w:lang w:val="en-US" w:eastAsia="zh-CN"/>
                    </w:rPr>
                    <w:t>不属于</w:t>
                  </w:r>
                </w:p>
              </w:tc>
            </w:tr>
            <w:tr w14:paraId="4D17A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dxa"/>
                  <w:vAlign w:val="center"/>
                </w:tcPr>
                <w:p w14:paraId="25EFB64F">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vertAlign w:val="baseline"/>
                      <w:lang w:val="en-US" w:eastAsia="zh-CN"/>
                    </w:rPr>
                  </w:pPr>
                  <w:r>
                    <w:rPr>
                      <w:rFonts w:hint="eastAsia" w:cs="Times New Roman"/>
                      <w:b w:val="0"/>
                      <w:bCs w:val="0"/>
                      <w:vertAlign w:val="baseline"/>
                      <w:lang w:val="en-US" w:eastAsia="zh-CN"/>
                    </w:rPr>
                    <w:t>2</w:t>
                  </w:r>
                </w:p>
              </w:tc>
              <w:tc>
                <w:tcPr>
                  <w:tcW w:w="350" w:type="dxa"/>
                  <w:vMerge w:val="restart"/>
                  <w:vAlign w:val="center"/>
                </w:tcPr>
                <w:p w14:paraId="3022A6B3">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vertAlign w:val="baseline"/>
                      <w:lang w:val="en-US" w:eastAsia="zh-CN"/>
                    </w:rPr>
                  </w:pPr>
                  <w:r>
                    <w:rPr>
                      <w:rFonts w:hint="eastAsia" w:cs="Times New Roman"/>
                      <w:b w:val="0"/>
                      <w:bCs w:val="0"/>
                      <w:vertAlign w:val="baseline"/>
                      <w:lang w:val="en-US" w:eastAsia="zh-CN"/>
                    </w:rPr>
                    <w:t>规模</w:t>
                  </w:r>
                </w:p>
              </w:tc>
              <w:tc>
                <w:tcPr>
                  <w:tcW w:w="1923" w:type="dxa"/>
                  <w:vAlign w:val="center"/>
                </w:tcPr>
                <w:p w14:paraId="0CB218C0">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eastAsia" w:ascii="Times New Roman" w:hAnsi="Times New Roman" w:cs="Times New Roman"/>
                      <w:b w:val="0"/>
                      <w:bCs w:val="0"/>
                      <w:vertAlign w:val="baseline"/>
                      <w:lang w:val="en-US" w:eastAsia="zh-CN"/>
                    </w:rPr>
                    <w:t>生产、处置或储存能力增加30%及以上</w:t>
                  </w:r>
                </w:p>
              </w:tc>
              <w:tc>
                <w:tcPr>
                  <w:tcW w:w="2052" w:type="dxa"/>
                  <w:vAlign w:val="center"/>
                </w:tcPr>
                <w:p w14:paraId="72EC2B94">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年生产160万平方米石板材、8万件异型石材、40万平方米花岗岩板材和3.2万吨人造岗石</w:t>
                  </w:r>
                </w:p>
              </w:tc>
              <w:tc>
                <w:tcPr>
                  <w:tcW w:w="1771" w:type="dxa"/>
                  <w:vAlign w:val="center"/>
                </w:tcPr>
                <w:p w14:paraId="77E4A1D4">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eastAsia" w:ascii="Times New Roman" w:hAnsi="Times New Roman" w:cs="Times New Roman"/>
                      <w:b w:val="0"/>
                      <w:bCs w:val="0"/>
                      <w:vertAlign w:val="baseline"/>
                      <w:lang w:val="en-US" w:eastAsia="zh-CN"/>
                    </w:rPr>
                    <w:t>年生产160万平方米石板材、8万件异型石材、40万平方米花岗岩板材和3.2万吨人造岗石</w:t>
                  </w:r>
                </w:p>
              </w:tc>
              <w:tc>
                <w:tcPr>
                  <w:tcW w:w="675" w:type="dxa"/>
                  <w:vAlign w:val="center"/>
                </w:tcPr>
                <w:p w14:paraId="1D05F757">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eastAsia" w:cs="Times New Roman"/>
                      <w:b w:val="0"/>
                      <w:bCs w:val="0"/>
                      <w:vertAlign w:val="baseline"/>
                      <w:lang w:val="en-US" w:eastAsia="zh-CN"/>
                    </w:rPr>
                    <w:t>不属于</w:t>
                  </w:r>
                </w:p>
              </w:tc>
              <w:tc>
                <w:tcPr>
                  <w:tcW w:w="694" w:type="dxa"/>
                  <w:vAlign w:val="center"/>
                </w:tcPr>
                <w:p w14:paraId="1168BD99">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eastAsia" w:cs="Times New Roman"/>
                      <w:b w:val="0"/>
                      <w:bCs w:val="0"/>
                      <w:vertAlign w:val="baseline"/>
                      <w:lang w:val="en-US" w:eastAsia="zh-CN"/>
                    </w:rPr>
                    <w:t>不属于</w:t>
                  </w:r>
                </w:p>
              </w:tc>
            </w:tr>
            <w:tr w14:paraId="26AFB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dxa"/>
                  <w:vAlign w:val="center"/>
                </w:tcPr>
                <w:p w14:paraId="18CCC01F">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vertAlign w:val="baseline"/>
                      <w:lang w:val="en-US" w:eastAsia="zh-CN"/>
                    </w:rPr>
                  </w:pPr>
                  <w:r>
                    <w:rPr>
                      <w:rFonts w:hint="eastAsia" w:cs="Times New Roman"/>
                      <w:b w:val="0"/>
                      <w:bCs w:val="0"/>
                      <w:vertAlign w:val="baseline"/>
                      <w:lang w:val="en-US" w:eastAsia="zh-CN"/>
                    </w:rPr>
                    <w:t>3</w:t>
                  </w:r>
                </w:p>
              </w:tc>
              <w:tc>
                <w:tcPr>
                  <w:tcW w:w="350" w:type="dxa"/>
                  <w:vMerge w:val="continue"/>
                  <w:vAlign w:val="center"/>
                </w:tcPr>
                <w:p w14:paraId="3AF7C263">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vertAlign w:val="baseline"/>
                      <w:lang w:val="en-US" w:eastAsia="zh-CN"/>
                    </w:rPr>
                  </w:pPr>
                </w:p>
              </w:tc>
              <w:tc>
                <w:tcPr>
                  <w:tcW w:w="1923" w:type="dxa"/>
                  <w:vAlign w:val="center"/>
                </w:tcPr>
                <w:p w14:paraId="6FEEA54E">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eastAsia" w:ascii="Times New Roman" w:hAnsi="Times New Roman" w:cs="Times New Roman"/>
                      <w:b w:val="0"/>
                      <w:bCs w:val="0"/>
                      <w:vertAlign w:val="baseline"/>
                      <w:lang w:val="en-US" w:eastAsia="zh-CN"/>
                    </w:rPr>
                    <w:t>生产、处置或储存能力增大，导致废水第一类污染物排放量增加的</w:t>
                  </w:r>
                </w:p>
              </w:tc>
              <w:tc>
                <w:tcPr>
                  <w:tcW w:w="2052" w:type="dxa"/>
                  <w:vAlign w:val="center"/>
                </w:tcPr>
                <w:p w14:paraId="0E980FAC">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不涉及废水第一类污染物排放</w:t>
                  </w:r>
                </w:p>
              </w:tc>
              <w:tc>
                <w:tcPr>
                  <w:tcW w:w="1771" w:type="dxa"/>
                  <w:vAlign w:val="center"/>
                </w:tcPr>
                <w:p w14:paraId="1D87989E">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不涉及废水第一类污染物排放</w:t>
                  </w:r>
                </w:p>
              </w:tc>
              <w:tc>
                <w:tcPr>
                  <w:tcW w:w="675" w:type="dxa"/>
                  <w:vAlign w:val="center"/>
                </w:tcPr>
                <w:p w14:paraId="0A6B185E">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eastAsia" w:cs="Times New Roman"/>
                      <w:b w:val="0"/>
                      <w:bCs w:val="0"/>
                      <w:vertAlign w:val="baseline"/>
                      <w:lang w:val="en-US" w:eastAsia="zh-CN"/>
                    </w:rPr>
                    <w:t>不属于</w:t>
                  </w:r>
                </w:p>
              </w:tc>
              <w:tc>
                <w:tcPr>
                  <w:tcW w:w="694" w:type="dxa"/>
                  <w:vAlign w:val="center"/>
                </w:tcPr>
                <w:p w14:paraId="25C75D69">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eastAsia" w:cs="Times New Roman"/>
                      <w:b w:val="0"/>
                      <w:bCs w:val="0"/>
                      <w:vertAlign w:val="baseline"/>
                      <w:lang w:val="en-US" w:eastAsia="zh-CN"/>
                    </w:rPr>
                    <w:t>不属于</w:t>
                  </w:r>
                </w:p>
              </w:tc>
            </w:tr>
            <w:tr w14:paraId="4CB78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dxa"/>
                  <w:vAlign w:val="center"/>
                </w:tcPr>
                <w:p w14:paraId="3915345F">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vertAlign w:val="baseline"/>
                      <w:lang w:val="en-US" w:eastAsia="zh-CN"/>
                    </w:rPr>
                  </w:pPr>
                  <w:r>
                    <w:rPr>
                      <w:rFonts w:hint="eastAsia" w:cs="Times New Roman"/>
                      <w:b w:val="0"/>
                      <w:bCs w:val="0"/>
                      <w:vertAlign w:val="baseline"/>
                      <w:lang w:val="en-US" w:eastAsia="zh-CN"/>
                    </w:rPr>
                    <w:t>4</w:t>
                  </w:r>
                </w:p>
              </w:tc>
              <w:tc>
                <w:tcPr>
                  <w:tcW w:w="350" w:type="dxa"/>
                  <w:vMerge w:val="continue"/>
                  <w:vAlign w:val="center"/>
                </w:tcPr>
                <w:p w14:paraId="6B9F7298">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vertAlign w:val="baseline"/>
                      <w:lang w:val="en-US" w:eastAsia="zh-CN"/>
                    </w:rPr>
                  </w:pPr>
                </w:p>
              </w:tc>
              <w:tc>
                <w:tcPr>
                  <w:tcW w:w="1923" w:type="dxa"/>
                  <w:vAlign w:val="center"/>
                </w:tcPr>
                <w:p w14:paraId="6C56076F">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eastAsia" w:ascii="Times New Roman" w:hAnsi="Times New Roman" w:cs="Times New Roman"/>
                      <w:b w:val="0"/>
                      <w:bCs w:val="0"/>
                      <w:vertAlign w:val="baseline"/>
                      <w:lang w:val="en-US" w:eastAsia="zh-CN"/>
                    </w:rPr>
                    <w:t>位于环境质量不达标区的建设项目生产、处置或储存能力增大，导致相应污染物排放量增加的</w:t>
                  </w:r>
                  <w:r>
                    <w:rPr>
                      <w:rFonts w:hint="eastAsia" w:cs="Times New Roman"/>
                      <w:b w:val="0"/>
                      <w:bCs w:val="0"/>
                      <w:vertAlign w:val="baseline"/>
                      <w:lang w:val="en-US" w:eastAsia="zh-CN"/>
                    </w:rPr>
                    <w:t>（</w:t>
                  </w:r>
                  <w:r>
                    <w:rPr>
                      <w:rFonts w:hint="eastAsia" w:ascii="Times New Roman" w:hAnsi="Times New Roman" w:cs="Times New Roman"/>
                      <w:b w:val="0"/>
                      <w:bCs w:val="0"/>
                      <w:vertAlign w:val="baseline"/>
                      <w:lang w:val="en-US" w:eastAsia="zh-CN"/>
                    </w:rPr>
                    <w:t>细颗粒物不达标区</w:t>
                  </w:r>
                  <w:r>
                    <w:rPr>
                      <w:rFonts w:hint="eastAsia" w:cs="Times New Roman"/>
                      <w:b w:val="0"/>
                      <w:bCs w:val="0"/>
                      <w:vertAlign w:val="baseline"/>
                      <w:lang w:val="en-US" w:eastAsia="zh-CN"/>
                    </w:rPr>
                    <w:t>，</w:t>
                  </w:r>
                  <w:r>
                    <w:rPr>
                      <w:rFonts w:hint="eastAsia" w:ascii="Times New Roman" w:hAnsi="Times New Roman" w:cs="Times New Roman"/>
                      <w:b w:val="0"/>
                      <w:bCs w:val="0"/>
                      <w:vertAlign w:val="baseline"/>
                      <w:lang w:val="en-US" w:eastAsia="zh-CN"/>
                    </w:rPr>
                    <w:t>相应污染物为二氧化硫、氮氧化物、可吸入颗粒物、挥发性有机物：臭氧不达标区，相应污染物为氮氧化物、挥发性有机物：其他大气、水污染物因子不达标区，相应污染物为超标污染因子</w:t>
                  </w:r>
                  <w:r>
                    <w:rPr>
                      <w:rFonts w:hint="eastAsia" w:cs="Times New Roman"/>
                      <w:b w:val="0"/>
                      <w:bCs w:val="0"/>
                      <w:vertAlign w:val="baseline"/>
                      <w:lang w:val="en-US" w:eastAsia="zh-CN"/>
                    </w:rPr>
                    <w:t>）</w:t>
                  </w:r>
                  <w:r>
                    <w:rPr>
                      <w:rFonts w:hint="eastAsia" w:ascii="Times New Roman" w:hAnsi="Times New Roman" w:cs="Times New Roman"/>
                      <w:b w:val="0"/>
                      <w:bCs w:val="0"/>
                      <w:vertAlign w:val="baseline"/>
                      <w:lang w:val="en-US" w:eastAsia="zh-CN"/>
                    </w:rPr>
                    <w:t>；位于达标区的建设项目生产、处置或储存能力增大，导致污染物排放量增加10%及以上的</w:t>
                  </w:r>
                </w:p>
              </w:tc>
              <w:tc>
                <w:tcPr>
                  <w:tcW w:w="2052" w:type="dxa"/>
                  <w:vAlign w:val="center"/>
                </w:tcPr>
                <w:p w14:paraId="2621C5D8">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生产、处置或储存能力未增大</w:t>
                  </w:r>
                </w:p>
              </w:tc>
              <w:tc>
                <w:tcPr>
                  <w:tcW w:w="1771" w:type="dxa"/>
                  <w:vAlign w:val="center"/>
                </w:tcPr>
                <w:p w14:paraId="3AA1D8C2">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生产、处置或储存能力未增大</w:t>
                  </w:r>
                </w:p>
              </w:tc>
              <w:tc>
                <w:tcPr>
                  <w:tcW w:w="675" w:type="dxa"/>
                  <w:vAlign w:val="center"/>
                </w:tcPr>
                <w:p w14:paraId="47232B91">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eastAsia" w:cs="Times New Roman"/>
                      <w:b w:val="0"/>
                      <w:bCs w:val="0"/>
                      <w:vertAlign w:val="baseline"/>
                      <w:lang w:val="en-US" w:eastAsia="zh-CN"/>
                    </w:rPr>
                    <w:t>不属于</w:t>
                  </w:r>
                </w:p>
              </w:tc>
              <w:tc>
                <w:tcPr>
                  <w:tcW w:w="694" w:type="dxa"/>
                  <w:vAlign w:val="center"/>
                </w:tcPr>
                <w:p w14:paraId="10DEDC61">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eastAsia" w:cs="Times New Roman"/>
                      <w:b w:val="0"/>
                      <w:bCs w:val="0"/>
                      <w:vertAlign w:val="baseline"/>
                      <w:lang w:val="en-US" w:eastAsia="zh-CN"/>
                    </w:rPr>
                    <w:t>不属于</w:t>
                  </w:r>
                </w:p>
              </w:tc>
            </w:tr>
            <w:tr w14:paraId="1D865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dxa"/>
                  <w:vAlign w:val="center"/>
                </w:tcPr>
                <w:p w14:paraId="57FA0CD1">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vertAlign w:val="baseline"/>
                      <w:lang w:val="en-US" w:eastAsia="zh-CN"/>
                    </w:rPr>
                  </w:pPr>
                  <w:r>
                    <w:rPr>
                      <w:rFonts w:hint="eastAsia" w:cs="Times New Roman"/>
                      <w:b w:val="0"/>
                      <w:bCs w:val="0"/>
                      <w:vertAlign w:val="baseline"/>
                      <w:lang w:val="en-US" w:eastAsia="zh-CN"/>
                    </w:rPr>
                    <w:t>5</w:t>
                  </w:r>
                </w:p>
              </w:tc>
              <w:tc>
                <w:tcPr>
                  <w:tcW w:w="350" w:type="dxa"/>
                  <w:vAlign w:val="center"/>
                </w:tcPr>
                <w:p w14:paraId="57D0DAA9">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vertAlign w:val="baseline"/>
                      <w:lang w:val="en-US" w:eastAsia="zh-CN"/>
                    </w:rPr>
                  </w:pPr>
                  <w:r>
                    <w:rPr>
                      <w:rFonts w:hint="eastAsia" w:cs="Times New Roman"/>
                      <w:b w:val="0"/>
                      <w:bCs w:val="0"/>
                      <w:vertAlign w:val="baseline"/>
                      <w:lang w:val="en-US" w:eastAsia="zh-CN"/>
                    </w:rPr>
                    <w:t>地点</w:t>
                  </w:r>
                </w:p>
              </w:tc>
              <w:tc>
                <w:tcPr>
                  <w:tcW w:w="1923" w:type="dxa"/>
                  <w:vAlign w:val="center"/>
                </w:tcPr>
                <w:p w14:paraId="22AC0D30">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eastAsia" w:ascii="Times New Roman" w:hAnsi="Times New Roman" w:cs="Times New Roman"/>
                      <w:b w:val="0"/>
                      <w:bCs w:val="0"/>
                      <w:vertAlign w:val="baseline"/>
                      <w:lang w:val="en-US" w:eastAsia="zh-CN"/>
                    </w:rPr>
                    <w:t>重新选址</w:t>
                  </w:r>
                  <w:r>
                    <w:rPr>
                      <w:rFonts w:hint="eastAsia" w:cs="Times New Roman"/>
                      <w:b w:val="0"/>
                      <w:bCs w:val="0"/>
                      <w:vertAlign w:val="baseline"/>
                      <w:lang w:val="en-US" w:eastAsia="zh-CN"/>
                    </w:rPr>
                    <w:t>：</w:t>
                  </w:r>
                  <w:r>
                    <w:rPr>
                      <w:rFonts w:hint="eastAsia" w:ascii="Times New Roman" w:hAnsi="Times New Roman" w:cs="Times New Roman"/>
                      <w:b w:val="0"/>
                      <w:bCs w:val="0"/>
                      <w:vertAlign w:val="baseline"/>
                      <w:lang w:val="en-US" w:eastAsia="zh-CN"/>
                    </w:rPr>
                    <w:t>在原厂址附近调整（包括总平面布置变化）导致环境防护距离范围变化且新增敏感点的</w:t>
                  </w:r>
                </w:p>
              </w:tc>
              <w:tc>
                <w:tcPr>
                  <w:tcW w:w="2052" w:type="dxa"/>
                  <w:vAlign w:val="center"/>
                </w:tcPr>
                <w:p w14:paraId="225AAFC9">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破碎工序新建破碎厂房300平方米</w:t>
                  </w:r>
                </w:p>
              </w:tc>
              <w:tc>
                <w:tcPr>
                  <w:tcW w:w="1771" w:type="dxa"/>
                  <w:vAlign w:val="center"/>
                </w:tcPr>
                <w:p w14:paraId="24B81234">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破碎工序新建破碎厂房</w:t>
                  </w:r>
                  <w:r>
                    <w:rPr>
                      <w:rFonts w:hint="eastAsia" w:ascii="Times New Roman" w:hAnsi="Times New Roman" w:cs="Times New Roman"/>
                      <w:b w:val="0"/>
                      <w:bCs w:val="0"/>
                      <w:vertAlign w:val="baseline"/>
                      <w:lang w:val="en-US" w:eastAsia="zh-CN"/>
                    </w:rPr>
                    <w:t>260</w:t>
                  </w:r>
                  <w:r>
                    <w:rPr>
                      <w:rFonts w:hint="default" w:ascii="Times New Roman" w:hAnsi="Times New Roman" w:cs="Times New Roman"/>
                      <w:b w:val="0"/>
                      <w:bCs w:val="0"/>
                      <w:vertAlign w:val="baseline"/>
                      <w:lang w:val="en-US" w:eastAsia="zh-CN"/>
                    </w:rPr>
                    <w:t>0平方米</w:t>
                  </w:r>
                </w:p>
              </w:tc>
              <w:tc>
                <w:tcPr>
                  <w:tcW w:w="675" w:type="dxa"/>
                  <w:vAlign w:val="center"/>
                </w:tcPr>
                <w:p w14:paraId="43FD9F56">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eastAsia" w:cs="Times New Roman"/>
                      <w:b w:val="0"/>
                      <w:bCs w:val="0"/>
                      <w:vertAlign w:val="baseline"/>
                      <w:lang w:val="en-US" w:eastAsia="zh-CN"/>
                    </w:rPr>
                    <w:t>属于</w:t>
                  </w:r>
                </w:p>
              </w:tc>
              <w:tc>
                <w:tcPr>
                  <w:tcW w:w="694" w:type="dxa"/>
                  <w:vAlign w:val="center"/>
                </w:tcPr>
                <w:p w14:paraId="0B444EA0">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eastAsia" w:cs="Times New Roman"/>
                      <w:b w:val="0"/>
                      <w:bCs w:val="0"/>
                      <w:vertAlign w:val="baseline"/>
                      <w:lang w:val="en-US" w:eastAsia="zh-CN"/>
                    </w:rPr>
                    <w:t>不属于</w:t>
                  </w:r>
                </w:p>
              </w:tc>
            </w:tr>
            <w:tr w14:paraId="5FA37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dxa"/>
                  <w:vAlign w:val="center"/>
                </w:tcPr>
                <w:p w14:paraId="411DC8B4">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vertAlign w:val="baseline"/>
                      <w:lang w:val="en-US" w:eastAsia="zh-CN"/>
                    </w:rPr>
                  </w:pPr>
                  <w:r>
                    <w:rPr>
                      <w:rFonts w:hint="eastAsia" w:cs="Times New Roman"/>
                      <w:b w:val="0"/>
                      <w:bCs w:val="0"/>
                      <w:vertAlign w:val="baseline"/>
                      <w:lang w:val="en-US" w:eastAsia="zh-CN"/>
                    </w:rPr>
                    <w:t>6</w:t>
                  </w:r>
                </w:p>
              </w:tc>
              <w:tc>
                <w:tcPr>
                  <w:tcW w:w="350" w:type="dxa"/>
                  <w:vMerge w:val="restart"/>
                  <w:vAlign w:val="center"/>
                </w:tcPr>
                <w:p w14:paraId="675A74F2">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vertAlign w:val="baseline"/>
                      <w:lang w:val="en-US" w:eastAsia="zh-CN"/>
                    </w:rPr>
                  </w:pPr>
                  <w:r>
                    <w:rPr>
                      <w:rFonts w:hint="eastAsia" w:cs="Times New Roman"/>
                      <w:b w:val="0"/>
                      <w:bCs w:val="0"/>
                      <w:vertAlign w:val="baseline"/>
                      <w:lang w:val="en-US" w:eastAsia="zh-CN"/>
                    </w:rPr>
                    <w:t>生产工艺</w:t>
                  </w:r>
                </w:p>
              </w:tc>
              <w:tc>
                <w:tcPr>
                  <w:tcW w:w="1923" w:type="dxa"/>
                  <w:vAlign w:val="center"/>
                </w:tcPr>
                <w:p w14:paraId="180EEE9B">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eastAsia" w:ascii="Times New Roman" w:hAnsi="Times New Roman" w:cs="Times New Roman"/>
                      <w:b w:val="0"/>
                      <w:bCs w:val="0"/>
                      <w:vertAlign w:val="baseline"/>
                      <w:lang w:val="en-US" w:eastAsia="zh-CN"/>
                    </w:rPr>
                    <w:t>新增产品品种或生产工艺（含主要生产装置、设备及配套设施）、主要原辅材料、燃料变化，导致以下情形之一：</w:t>
                  </w:r>
                </w:p>
                <w:p w14:paraId="157170B2">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eastAsia" w:ascii="Times New Roman" w:hAnsi="Times New Roman" w:cs="Times New Roman"/>
                      <w:b w:val="0"/>
                      <w:bCs w:val="0"/>
                      <w:vertAlign w:val="baseline"/>
                      <w:lang w:val="en-US" w:eastAsia="zh-CN"/>
                    </w:rPr>
                    <w:t>（1）新增排放污染物种类的（毒性、挥发性降低的除外）；</w:t>
                  </w:r>
                </w:p>
                <w:p w14:paraId="67C813E6">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eastAsia" w:ascii="Times New Roman" w:hAnsi="Times New Roman" w:cs="Times New Roman"/>
                      <w:b w:val="0"/>
                      <w:bCs w:val="0"/>
                      <w:vertAlign w:val="baseline"/>
                      <w:lang w:val="en-US" w:eastAsia="zh-CN"/>
                    </w:rPr>
                    <w:t>（2）位于环境质量不达标区的建设项目相应污染物排放量增加的；</w:t>
                  </w:r>
                </w:p>
                <w:p w14:paraId="3FFB4F05">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eastAsia" w:ascii="Times New Roman" w:hAnsi="Times New Roman" w:cs="Times New Roman"/>
                      <w:b w:val="0"/>
                      <w:bCs w:val="0"/>
                      <w:vertAlign w:val="baseline"/>
                      <w:lang w:val="en-US" w:eastAsia="zh-CN"/>
                    </w:rPr>
                    <w:t>（3）废水第一类污染物排放量增加的；</w:t>
                  </w:r>
                </w:p>
                <w:p w14:paraId="5CCD7DCA">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eastAsia" w:ascii="Times New Roman" w:hAnsi="Times New Roman" w:cs="Times New Roman"/>
                      <w:b w:val="0"/>
                      <w:bCs w:val="0"/>
                      <w:vertAlign w:val="baseline"/>
                      <w:lang w:val="en-US" w:eastAsia="zh-CN"/>
                    </w:rPr>
                    <w:t>（4）其他污染物排放量增加10%及以上的。</w:t>
                  </w:r>
                </w:p>
              </w:tc>
              <w:tc>
                <w:tcPr>
                  <w:tcW w:w="2052" w:type="dxa"/>
                  <w:vAlign w:val="center"/>
                </w:tcPr>
                <w:p w14:paraId="6D33E912">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破碎工序</w:t>
                  </w:r>
                  <w:r>
                    <w:rPr>
                      <w:rFonts w:hint="eastAsia" w:ascii="Times New Roman" w:hAnsi="Times New Roman" w:cs="Times New Roman"/>
                      <w:b w:val="0"/>
                      <w:bCs w:val="0"/>
                      <w:vertAlign w:val="baseline"/>
                      <w:lang w:val="en-US" w:eastAsia="zh-CN"/>
                    </w:rPr>
                    <w:t>：</w:t>
                  </w:r>
                  <w:r>
                    <w:rPr>
                      <w:rFonts w:hint="default" w:ascii="Times New Roman" w:hAnsi="Times New Roman" w:cs="Times New Roman"/>
                      <w:b w:val="0"/>
                      <w:bCs w:val="0"/>
                      <w:vertAlign w:val="baseline"/>
                      <w:lang w:val="en-US" w:eastAsia="zh-CN"/>
                    </w:rPr>
                    <w:t>骨料需要经过破碎达到相应的粒径后，经全密闭式输送带输送至粉磨机中，此过程无需筛分，破碎过程在密闭厂房进行，在破碎的过程中会少量散逸粉尘</w:t>
                  </w:r>
                </w:p>
              </w:tc>
              <w:tc>
                <w:tcPr>
                  <w:tcW w:w="1771" w:type="dxa"/>
                  <w:vAlign w:val="center"/>
                </w:tcPr>
                <w:p w14:paraId="01B88576">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破碎工序</w:t>
                  </w:r>
                  <w:r>
                    <w:rPr>
                      <w:rFonts w:hint="eastAsia" w:ascii="Times New Roman" w:hAnsi="Times New Roman" w:cs="Times New Roman"/>
                      <w:b w:val="0"/>
                      <w:bCs w:val="0"/>
                      <w:vertAlign w:val="baseline"/>
                      <w:lang w:val="en-US" w:eastAsia="zh-CN"/>
                    </w:rPr>
                    <w:t>：骨料</w:t>
                  </w:r>
                  <w:r>
                    <w:rPr>
                      <w:rFonts w:hint="eastAsia" w:cs="Times New Roman"/>
                      <w:b w:val="0"/>
                      <w:bCs w:val="0"/>
                      <w:vertAlign w:val="baseline"/>
                      <w:lang w:val="en-US" w:eastAsia="zh-CN"/>
                    </w:rPr>
                    <w:t>－</w:t>
                  </w:r>
                  <w:r>
                    <w:rPr>
                      <w:rFonts w:hint="eastAsia" w:ascii="Times New Roman" w:hAnsi="Times New Roman" w:cs="Times New Roman"/>
                      <w:b w:val="0"/>
                      <w:bCs w:val="0"/>
                      <w:vertAlign w:val="baseline"/>
                      <w:lang w:val="en-US" w:eastAsia="zh-CN"/>
                    </w:rPr>
                    <w:t>水洗仓清洗</w:t>
                  </w:r>
                  <w:r>
                    <w:rPr>
                      <w:rFonts w:hint="eastAsia" w:cs="Times New Roman"/>
                      <w:b w:val="0"/>
                      <w:bCs w:val="0"/>
                      <w:vertAlign w:val="baseline"/>
                      <w:lang w:val="en-US" w:eastAsia="zh-CN"/>
                    </w:rPr>
                    <w:t>－</w:t>
                  </w:r>
                  <w:r>
                    <w:rPr>
                      <w:rFonts w:hint="eastAsia" w:ascii="Times New Roman" w:hAnsi="Times New Roman" w:cs="Times New Roman"/>
                      <w:b w:val="0"/>
                      <w:bCs w:val="0"/>
                      <w:vertAlign w:val="baseline"/>
                      <w:lang w:val="en-US" w:eastAsia="zh-CN"/>
                    </w:rPr>
                    <w:t>大破</w:t>
                  </w:r>
                  <w:r>
                    <w:rPr>
                      <w:rFonts w:hint="eastAsia" w:cs="Times New Roman"/>
                      <w:b w:val="0"/>
                      <w:bCs w:val="0"/>
                      <w:vertAlign w:val="baseline"/>
                      <w:lang w:val="en-US" w:eastAsia="zh-CN"/>
                    </w:rPr>
                    <w:t>－</w:t>
                  </w:r>
                  <w:r>
                    <w:rPr>
                      <w:rFonts w:hint="eastAsia" w:ascii="Times New Roman" w:hAnsi="Times New Roman" w:cs="Times New Roman"/>
                      <w:b w:val="0"/>
                      <w:bCs w:val="0"/>
                      <w:vertAlign w:val="baseline"/>
                      <w:lang w:val="en-US" w:eastAsia="zh-CN"/>
                    </w:rPr>
                    <w:t>选石平台</w:t>
                  </w:r>
                  <w:r>
                    <w:rPr>
                      <w:rFonts w:hint="eastAsia" w:cs="Times New Roman"/>
                      <w:b w:val="0"/>
                      <w:bCs w:val="0"/>
                      <w:vertAlign w:val="baseline"/>
                      <w:lang w:val="en-US" w:eastAsia="zh-CN"/>
                    </w:rPr>
                    <w:t>－</w:t>
                  </w:r>
                  <w:r>
                    <w:rPr>
                      <w:rFonts w:hint="eastAsia" w:ascii="Times New Roman" w:hAnsi="Times New Roman" w:cs="Times New Roman"/>
                      <w:b w:val="0"/>
                      <w:bCs w:val="0"/>
                      <w:vertAlign w:val="baseline"/>
                      <w:lang w:val="en-US" w:eastAsia="zh-CN"/>
                    </w:rPr>
                    <w:t>二破</w:t>
                  </w:r>
                  <w:r>
                    <w:rPr>
                      <w:rFonts w:hint="eastAsia" w:cs="Times New Roman"/>
                      <w:b w:val="0"/>
                      <w:bCs w:val="0"/>
                      <w:vertAlign w:val="baseline"/>
                      <w:lang w:val="en-US" w:eastAsia="zh-CN"/>
                    </w:rPr>
                    <w:t>－</w:t>
                  </w:r>
                  <w:r>
                    <w:rPr>
                      <w:rFonts w:hint="eastAsia" w:ascii="Times New Roman" w:hAnsi="Times New Roman" w:cs="Times New Roman"/>
                      <w:b w:val="0"/>
                      <w:bCs w:val="0"/>
                      <w:vertAlign w:val="baseline"/>
                      <w:lang w:val="en-US" w:eastAsia="zh-CN"/>
                    </w:rPr>
                    <w:t>提升进入储存罐</w:t>
                  </w:r>
                  <w:r>
                    <w:rPr>
                      <w:rFonts w:hint="default" w:ascii="Times New Roman" w:hAnsi="Times New Roman" w:cs="Times New Roman"/>
                      <w:b w:val="0"/>
                      <w:bCs w:val="0"/>
                      <w:vertAlign w:val="baseline"/>
                      <w:lang w:val="en-US" w:eastAsia="zh-CN"/>
                    </w:rPr>
                    <w:t>，破碎过程在</w:t>
                  </w:r>
                  <w:r>
                    <w:rPr>
                      <w:rFonts w:hint="eastAsia" w:ascii="Times New Roman" w:hAnsi="Times New Roman" w:cs="Times New Roman"/>
                      <w:b w:val="0"/>
                      <w:bCs w:val="0"/>
                      <w:vertAlign w:val="baseline"/>
                      <w:lang w:val="en-US" w:eastAsia="zh-CN"/>
                    </w:rPr>
                    <w:t>破碎</w:t>
                  </w:r>
                  <w:r>
                    <w:rPr>
                      <w:rFonts w:hint="default" w:ascii="Times New Roman" w:hAnsi="Times New Roman" w:cs="Times New Roman"/>
                      <w:b w:val="0"/>
                      <w:bCs w:val="0"/>
                      <w:vertAlign w:val="baseline"/>
                      <w:lang w:val="en-US" w:eastAsia="zh-CN"/>
                    </w:rPr>
                    <w:t>厂房进行</w:t>
                  </w:r>
                  <w:r>
                    <w:rPr>
                      <w:rFonts w:hint="eastAsia" w:ascii="Times New Roman" w:hAnsi="Times New Roman" w:cs="Times New Roman"/>
                      <w:b w:val="0"/>
                      <w:bCs w:val="0"/>
                      <w:vertAlign w:val="baseline"/>
                      <w:lang w:val="en-US" w:eastAsia="zh-CN"/>
                    </w:rPr>
                    <w:t>；</w:t>
                  </w:r>
                  <w:r>
                    <w:rPr>
                      <w:rFonts w:hint="default" w:ascii="Times New Roman" w:hAnsi="Times New Roman" w:cs="Times New Roman"/>
                      <w:b w:val="0"/>
                      <w:bCs w:val="0"/>
                      <w:vertAlign w:val="baseline"/>
                      <w:lang w:val="en-US" w:eastAsia="zh-CN"/>
                    </w:rPr>
                    <w:t>在破碎的过程中会少量散逸粉尘</w:t>
                  </w:r>
                </w:p>
              </w:tc>
              <w:tc>
                <w:tcPr>
                  <w:tcW w:w="675" w:type="dxa"/>
                  <w:vAlign w:val="center"/>
                </w:tcPr>
                <w:p w14:paraId="117B7C20">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eastAsia" w:cs="Times New Roman"/>
                      <w:b w:val="0"/>
                      <w:bCs w:val="0"/>
                      <w:vertAlign w:val="baseline"/>
                      <w:lang w:val="en-US" w:eastAsia="zh-CN"/>
                    </w:rPr>
                    <w:t>不属于</w:t>
                  </w:r>
                </w:p>
              </w:tc>
              <w:tc>
                <w:tcPr>
                  <w:tcW w:w="694" w:type="dxa"/>
                  <w:vAlign w:val="center"/>
                </w:tcPr>
                <w:p w14:paraId="14076808">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eastAsia" w:cs="Times New Roman"/>
                      <w:b w:val="0"/>
                      <w:bCs w:val="0"/>
                      <w:vertAlign w:val="baseline"/>
                      <w:lang w:val="en-US" w:eastAsia="zh-CN"/>
                    </w:rPr>
                    <w:t>属于</w:t>
                  </w:r>
                </w:p>
              </w:tc>
            </w:tr>
            <w:tr w14:paraId="20D3E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dxa"/>
                  <w:vAlign w:val="center"/>
                </w:tcPr>
                <w:p w14:paraId="168370D7">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vertAlign w:val="baseline"/>
                      <w:lang w:val="en-US" w:eastAsia="zh-CN"/>
                    </w:rPr>
                  </w:pPr>
                  <w:r>
                    <w:rPr>
                      <w:rFonts w:hint="eastAsia" w:cs="Times New Roman"/>
                      <w:b w:val="0"/>
                      <w:bCs w:val="0"/>
                      <w:vertAlign w:val="baseline"/>
                      <w:lang w:val="en-US" w:eastAsia="zh-CN"/>
                    </w:rPr>
                    <w:t>7</w:t>
                  </w:r>
                </w:p>
              </w:tc>
              <w:tc>
                <w:tcPr>
                  <w:tcW w:w="350" w:type="dxa"/>
                  <w:vMerge w:val="continue"/>
                  <w:vAlign w:val="center"/>
                </w:tcPr>
                <w:p w14:paraId="4BA9074B">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vertAlign w:val="baseline"/>
                      <w:lang w:val="en-US" w:eastAsia="zh-CN"/>
                    </w:rPr>
                  </w:pPr>
                </w:p>
              </w:tc>
              <w:tc>
                <w:tcPr>
                  <w:tcW w:w="1923" w:type="dxa"/>
                  <w:vAlign w:val="center"/>
                </w:tcPr>
                <w:p w14:paraId="469CC6CD">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eastAsia" w:ascii="Times New Roman" w:hAnsi="Times New Roman" w:cs="Times New Roman"/>
                      <w:b w:val="0"/>
                      <w:bCs w:val="0"/>
                      <w:vertAlign w:val="baseline"/>
                      <w:lang w:val="en-US" w:eastAsia="zh-CN"/>
                    </w:rPr>
                    <w:t>物料运输、装卸、贮存方式变化，导致大气污染物无组织排放量增加10%及以上的</w:t>
                  </w:r>
                </w:p>
              </w:tc>
              <w:tc>
                <w:tcPr>
                  <w:tcW w:w="2052" w:type="dxa"/>
                  <w:vAlign w:val="center"/>
                </w:tcPr>
                <w:p w14:paraId="05EADBBB">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vertAlign w:val="baseline"/>
                      <w:lang w:val="en-US" w:eastAsia="zh-CN"/>
                    </w:rPr>
                  </w:pPr>
                  <w:r>
                    <w:rPr>
                      <w:rFonts w:hint="eastAsia" w:cs="Times New Roman"/>
                      <w:b w:val="0"/>
                      <w:bCs w:val="0"/>
                      <w:vertAlign w:val="baseline"/>
                      <w:lang w:val="en-US" w:eastAsia="zh-CN"/>
                    </w:rPr>
                    <w:t>车辆运输</w:t>
                  </w:r>
                </w:p>
              </w:tc>
              <w:tc>
                <w:tcPr>
                  <w:tcW w:w="1771" w:type="dxa"/>
                  <w:vAlign w:val="center"/>
                </w:tcPr>
                <w:p w14:paraId="40FD2864">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eastAsia" w:cs="Times New Roman"/>
                      <w:b w:val="0"/>
                      <w:bCs w:val="0"/>
                      <w:vertAlign w:val="baseline"/>
                      <w:lang w:val="en-US" w:eastAsia="zh-CN"/>
                    </w:rPr>
                    <w:t>车辆运输</w:t>
                  </w:r>
                </w:p>
              </w:tc>
              <w:tc>
                <w:tcPr>
                  <w:tcW w:w="675" w:type="dxa"/>
                  <w:vAlign w:val="center"/>
                </w:tcPr>
                <w:p w14:paraId="20E409F0">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eastAsia" w:cs="Times New Roman"/>
                      <w:b w:val="0"/>
                      <w:bCs w:val="0"/>
                      <w:vertAlign w:val="baseline"/>
                      <w:lang w:val="en-US" w:eastAsia="zh-CN"/>
                    </w:rPr>
                    <w:t>不属于</w:t>
                  </w:r>
                </w:p>
              </w:tc>
              <w:tc>
                <w:tcPr>
                  <w:tcW w:w="694" w:type="dxa"/>
                  <w:vAlign w:val="center"/>
                </w:tcPr>
                <w:p w14:paraId="71D74AEA">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eastAsia" w:cs="Times New Roman"/>
                      <w:b w:val="0"/>
                      <w:bCs w:val="0"/>
                      <w:vertAlign w:val="baseline"/>
                      <w:lang w:val="en-US" w:eastAsia="zh-CN"/>
                    </w:rPr>
                    <w:t>不属于</w:t>
                  </w:r>
                </w:p>
              </w:tc>
            </w:tr>
            <w:tr w14:paraId="2C227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dxa"/>
                  <w:vAlign w:val="center"/>
                </w:tcPr>
                <w:p w14:paraId="67CAD3CE">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vertAlign w:val="baseline"/>
                      <w:lang w:val="en-US" w:eastAsia="zh-CN"/>
                    </w:rPr>
                  </w:pPr>
                  <w:r>
                    <w:rPr>
                      <w:rFonts w:hint="eastAsia" w:cs="Times New Roman"/>
                      <w:b w:val="0"/>
                      <w:bCs w:val="0"/>
                      <w:vertAlign w:val="baseline"/>
                      <w:lang w:val="en-US" w:eastAsia="zh-CN"/>
                    </w:rPr>
                    <w:t>8</w:t>
                  </w:r>
                </w:p>
              </w:tc>
              <w:tc>
                <w:tcPr>
                  <w:tcW w:w="350" w:type="dxa"/>
                  <w:vMerge w:val="restart"/>
                  <w:vAlign w:val="center"/>
                </w:tcPr>
                <w:p w14:paraId="0AEB5ABA">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vertAlign w:val="baseline"/>
                      <w:lang w:val="en-US" w:eastAsia="zh-CN"/>
                    </w:rPr>
                  </w:pPr>
                  <w:r>
                    <w:rPr>
                      <w:rFonts w:hint="eastAsia" w:cs="Times New Roman"/>
                      <w:b w:val="0"/>
                      <w:bCs w:val="0"/>
                      <w:vertAlign w:val="baseline"/>
                      <w:lang w:val="en-US" w:eastAsia="zh-CN"/>
                    </w:rPr>
                    <w:t>环境保护措施</w:t>
                  </w:r>
                </w:p>
              </w:tc>
              <w:tc>
                <w:tcPr>
                  <w:tcW w:w="1923" w:type="dxa"/>
                  <w:vAlign w:val="center"/>
                </w:tcPr>
                <w:p w14:paraId="0DC41190">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eastAsia" w:ascii="Times New Roman" w:hAnsi="Times New Roman" w:cs="Times New Roman"/>
                      <w:b w:val="0"/>
                      <w:bCs w:val="0"/>
                      <w:vertAlign w:val="baseline"/>
                      <w:lang w:val="en-US" w:eastAsia="zh-CN"/>
                    </w:rPr>
                    <w:t>废气、废水污染防治措施变化，导致第6条中所列情形之一（废气无组织排放改为有组织排放、污染防治措施强化或改进的除外）或大气污染物无组织排放量增加10%及以上的</w:t>
                  </w:r>
                </w:p>
              </w:tc>
              <w:tc>
                <w:tcPr>
                  <w:tcW w:w="2052" w:type="dxa"/>
                  <w:vAlign w:val="center"/>
                </w:tcPr>
                <w:p w14:paraId="729843A3">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破碎工序</w:t>
                  </w:r>
                  <w:r>
                    <w:rPr>
                      <w:rFonts w:hint="eastAsia" w:ascii="Times New Roman" w:hAnsi="Times New Roman" w:cs="Times New Roman"/>
                      <w:b w:val="0"/>
                      <w:bCs w:val="0"/>
                      <w:vertAlign w:val="baseline"/>
                      <w:lang w:val="en-US" w:eastAsia="zh-CN"/>
                    </w:rPr>
                    <w:t>：</w:t>
                  </w:r>
                  <w:r>
                    <w:rPr>
                      <w:rFonts w:hint="default" w:ascii="Times New Roman" w:hAnsi="Times New Roman" w:cs="Times New Roman"/>
                      <w:b w:val="0"/>
                      <w:bCs w:val="0"/>
                      <w:vertAlign w:val="baseline"/>
                      <w:lang w:val="en-US" w:eastAsia="zh-CN"/>
                    </w:rPr>
                    <w:t>破碎机上方设置集气罩，收集破碎粉尘</w:t>
                  </w:r>
                  <w:r>
                    <w:rPr>
                      <w:rFonts w:hint="eastAsia" w:ascii="宋体" w:hAnsi="宋体" w:eastAsia="宋体" w:cs="宋体"/>
                      <w:b w:val="0"/>
                      <w:bCs w:val="0"/>
                      <w:vertAlign w:val="baseline"/>
                      <w:lang w:val="en-US" w:eastAsia="zh-CN"/>
                    </w:rPr>
                    <w:t>至“布袋除尘器”处</w:t>
                  </w:r>
                  <w:r>
                    <w:rPr>
                      <w:rFonts w:hint="default" w:ascii="Times New Roman" w:hAnsi="Times New Roman" w:cs="Times New Roman"/>
                      <w:b w:val="0"/>
                      <w:bCs w:val="0"/>
                      <w:vertAlign w:val="baseline"/>
                      <w:lang w:val="en-US" w:eastAsia="zh-CN"/>
                    </w:rPr>
                    <w:t>理后经15m排气筒排放</w:t>
                  </w:r>
                  <w:r>
                    <w:rPr>
                      <w:rFonts w:hint="eastAsia" w:ascii="Times New Roman" w:hAnsi="Times New Roman" w:cs="Times New Roman"/>
                      <w:b w:val="0"/>
                      <w:bCs w:val="0"/>
                      <w:vertAlign w:val="baseline"/>
                      <w:lang w:val="en-US" w:eastAsia="zh-CN"/>
                    </w:rPr>
                    <w:t>，</w:t>
                  </w:r>
                  <w:r>
                    <w:rPr>
                      <w:rFonts w:hint="default" w:ascii="Times New Roman" w:hAnsi="Times New Roman" w:cs="Times New Roman"/>
                      <w:b w:val="0"/>
                      <w:bCs w:val="0"/>
                      <w:vertAlign w:val="baseline"/>
                      <w:lang w:val="en-US" w:eastAsia="zh-CN"/>
                    </w:rPr>
                    <w:t>在破碎的过程中会少量散逸粉尘</w:t>
                  </w:r>
                </w:p>
              </w:tc>
              <w:tc>
                <w:tcPr>
                  <w:tcW w:w="1771" w:type="dxa"/>
                  <w:vAlign w:val="center"/>
                </w:tcPr>
                <w:p w14:paraId="193BFC1C">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破碎工序</w:t>
                  </w:r>
                  <w:r>
                    <w:rPr>
                      <w:rFonts w:hint="eastAsia" w:ascii="Times New Roman" w:hAnsi="Times New Roman" w:cs="Times New Roman"/>
                      <w:b w:val="0"/>
                      <w:bCs w:val="0"/>
                      <w:vertAlign w:val="baseline"/>
                      <w:lang w:val="en-US" w:eastAsia="zh-CN"/>
                    </w:rPr>
                    <w:t>：骨料</w:t>
                  </w:r>
                  <w:r>
                    <w:rPr>
                      <w:rFonts w:hint="eastAsia" w:cs="Times New Roman"/>
                      <w:b w:val="0"/>
                      <w:bCs w:val="0"/>
                      <w:vertAlign w:val="baseline"/>
                      <w:lang w:val="en-US" w:eastAsia="zh-CN"/>
                    </w:rPr>
                    <w:t>－</w:t>
                  </w:r>
                  <w:r>
                    <w:rPr>
                      <w:rFonts w:hint="eastAsia" w:ascii="Times New Roman" w:hAnsi="Times New Roman" w:cs="Times New Roman"/>
                      <w:b w:val="0"/>
                      <w:bCs w:val="0"/>
                      <w:vertAlign w:val="baseline"/>
                      <w:lang w:val="en-US" w:eastAsia="zh-CN"/>
                    </w:rPr>
                    <w:t>水洗仓清洗</w:t>
                  </w:r>
                  <w:r>
                    <w:rPr>
                      <w:rFonts w:hint="eastAsia" w:cs="Times New Roman"/>
                      <w:b w:val="0"/>
                      <w:bCs w:val="0"/>
                      <w:vertAlign w:val="baseline"/>
                      <w:lang w:val="en-US" w:eastAsia="zh-CN"/>
                    </w:rPr>
                    <w:t>－</w:t>
                  </w:r>
                  <w:r>
                    <w:rPr>
                      <w:rFonts w:hint="eastAsia" w:ascii="Times New Roman" w:hAnsi="Times New Roman" w:cs="Times New Roman"/>
                      <w:b w:val="0"/>
                      <w:bCs w:val="0"/>
                      <w:vertAlign w:val="baseline"/>
                      <w:lang w:val="en-US" w:eastAsia="zh-CN"/>
                    </w:rPr>
                    <w:t>大破</w:t>
                  </w:r>
                  <w:r>
                    <w:rPr>
                      <w:rFonts w:hint="eastAsia" w:cs="Times New Roman"/>
                      <w:b w:val="0"/>
                      <w:bCs w:val="0"/>
                      <w:vertAlign w:val="baseline"/>
                      <w:lang w:val="en-US" w:eastAsia="zh-CN"/>
                    </w:rPr>
                    <w:t>－</w:t>
                  </w:r>
                  <w:r>
                    <w:rPr>
                      <w:rFonts w:hint="eastAsia" w:ascii="Times New Roman" w:hAnsi="Times New Roman" w:cs="Times New Roman"/>
                      <w:b w:val="0"/>
                      <w:bCs w:val="0"/>
                      <w:vertAlign w:val="baseline"/>
                      <w:lang w:val="en-US" w:eastAsia="zh-CN"/>
                    </w:rPr>
                    <w:t>选石平台</w:t>
                  </w:r>
                  <w:r>
                    <w:rPr>
                      <w:rFonts w:hint="eastAsia" w:cs="Times New Roman"/>
                      <w:b w:val="0"/>
                      <w:bCs w:val="0"/>
                      <w:vertAlign w:val="baseline"/>
                      <w:lang w:val="en-US" w:eastAsia="zh-CN"/>
                    </w:rPr>
                    <w:t>－</w:t>
                  </w:r>
                  <w:r>
                    <w:rPr>
                      <w:rFonts w:hint="eastAsia" w:ascii="Times New Roman" w:hAnsi="Times New Roman" w:cs="Times New Roman"/>
                      <w:b w:val="0"/>
                      <w:bCs w:val="0"/>
                      <w:vertAlign w:val="baseline"/>
                      <w:lang w:val="en-US" w:eastAsia="zh-CN"/>
                    </w:rPr>
                    <w:t>二破</w:t>
                  </w:r>
                  <w:r>
                    <w:rPr>
                      <w:rFonts w:hint="eastAsia" w:cs="Times New Roman"/>
                      <w:b w:val="0"/>
                      <w:bCs w:val="0"/>
                      <w:vertAlign w:val="baseline"/>
                      <w:lang w:val="en-US" w:eastAsia="zh-CN"/>
                    </w:rPr>
                    <w:t>－</w:t>
                  </w:r>
                  <w:r>
                    <w:rPr>
                      <w:rFonts w:hint="eastAsia" w:ascii="Times New Roman" w:hAnsi="Times New Roman" w:cs="Times New Roman"/>
                      <w:b w:val="0"/>
                      <w:bCs w:val="0"/>
                      <w:vertAlign w:val="baseline"/>
                      <w:lang w:val="en-US" w:eastAsia="zh-CN"/>
                    </w:rPr>
                    <w:t>提升进入储存罐</w:t>
                  </w:r>
                  <w:r>
                    <w:rPr>
                      <w:rFonts w:hint="default" w:ascii="Times New Roman" w:hAnsi="Times New Roman" w:cs="Times New Roman"/>
                      <w:b w:val="0"/>
                      <w:bCs w:val="0"/>
                      <w:vertAlign w:val="baseline"/>
                      <w:lang w:val="en-US" w:eastAsia="zh-CN"/>
                    </w:rPr>
                    <w:t>，破碎过程在</w:t>
                  </w:r>
                  <w:r>
                    <w:rPr>
                      <w:rFonts w:hint="eastAsia" w:ascii="Times New Roman" w:hAnsi="Times New Roman" w:cs="Times New Roman"/>
                      <w:b w:val="0"/>
                      <w:bCs w:val="0"/>
                      <w:vertAlign w:val="baseline"/>
                      <w:lang w:val="en-US" w:eastAsia="zh-CN"/>
                    </w:rPr>
                    <w:t>破碎</w:t>
                  </w:r>
                  <w:r>
                    <w:rPr>
                      <w:rFonts w:hint="default" w:ascii="Times New Roman" w:hAnsi="Times New Roman" w:cs="Times New Roman"/>
                      <w:b w:val="0"/>
                      <w:bCs w:val="0"/>
                      <w:vertAlign w:val="baseline"/>
                      <w:lang w:val="en-US" w:eastAsia="zh-CN"/>
                    </w:rPr>
                    <w:t>厂房进行</w:t>
                  </w:r>
                  <w:r>
                    <w:rPr>
                      <w:rFonts w:hint="eastAsia" w:ascii="Times New Roman" w:hAnsi="Times New Roman" w:cs="Times New Roman"/>
                      <w:b w:val="0"/>
                      <w:bCs w:val="0"/>
                      <w:vertAlign w:val="baseline"/>
                      <w:lang w:val="en-US" w:eastAsia="zh-CN"/>
                    </w:rPr>
                    <w:t>；各</w:t>
                  </w:r>
                  <w:r>
                    <w:rPr>
                      <w:rFonts w:hint="default" w:ascii="Times New Roman" w:hAnsi="Times New Roman" w:cs="Times New Roman"/>
                      <w:b w:val="0"/>
                      <w:bCs w:val="0"/>
                      <w:vertAlign w:val="baseline"/>
                      <w:lang w:val="en-US" w:eastAsia="zh-CN"/>
                    </w:rPr>
                    <w:t>破碎机上方</w:t>
                  </w:r>
                  <w:r>
                    <w:rPr>
                      <w:rFonts w:hint="eastAsia" w:ascii="Times New Roman" w:hAnsi="Times New Roman" w:cs="Times New Roman"/>
                      <w:b w:val="0"/>
                      <w:bCs w:val="0"/>
                      <w:vertAlign w:val="baseline"/>
                      <w:lang w:val="en-US" w:eastAsia="zh-CN"/>
                    </w:rPr>
                    <w:t>分别</w:t>
                  </w:r>
                  <w:r>
                    <w:rPr>
                      <w:rFonts w:hint="default" w:ascii="Times New Roman" w:hAnsi="Times New Roman" w:cs="Times New Roman"/>
                      <w:b w:val="0"/>
                      <w:bCs w:val="0"/>
                      <w:vertAlign w:val="baseline"/>
                      <w:lang w:val="en-US" w:eastAsia="zh-CN"/>
                    </w:rPr>
                    <w:t>设置</w:t>
                  </w:r>
                  <w:r>
                    <w:rPr>
                      <w:rFonts w:hint="eastAsia" w:cs="Times New Roman"/>
                      <w:b w:val="0"/>
                      <w:bCs w:val="0"/>
                      <w:vertAlign w:val="baseline"/>
                      <w:lang w:val="en-US" w:eastAsia="zh-CN"/>
                    </w:rPr>
                    <w:t>2</w:t>
                  </w:r>
                  <w:r>
                    <w:rPr>
                      <w:rFonts w:hint="eastAsia" w:ascii="Times New Roman" w:hAnsi="Times New Roman" w:cs="Times New Roman"/>
                      <w:b w:val="0"/>
                      <w:bCs w:val="0"/>
                      <w:vertAlign w:val="baseline"/>
                      <w:lang w:val="en-US" w:eastAsia="zh-CN"/>
                    </w:rPr>
                    <w:t>套</w:t>
                  </w:r>
                  <w:r>
                    <w:rPr>
                      <w:rFonts w:hint="eastAsia" w:ascii="宋体" w:hAnsi="宋体" w:eastAsia="宋体" w:cs="宋体"/>
                      <w:b w:val="0"/>
                      <w:bCs w:val="0"/>
                      <w:vertAlign w:val="baseline"/>
                      <w:lang w:val="en-US" w:eastAsia="zh-CN"/>
                    </w:rPr>
                    <w:t>“</w:t>
                  </w:r>
                  <w:r>
                    <w:rPr>
                      <w:rFonts w:hint="default" w:ascii="Times New Roman" w:hAnsi="Times New Roman" w:cs="Times New Roman"/>
                      <w:b w:val="0"/>
                      <w:bCs w:val="0"/>
                      <w:vertAlign w:val="baseline"/>
                      <w:lang w:val="en-US" w:eastAsia="zh-CN"/>
                    </w:rPr>
                    <w:t>集气罩</w:t>
                  </w:r>
                  <w:r>
                    <w:rPr>
                      <w:rFonts w:hint="eastAsia" w:ascii="Times New Roman" w:hAnsi="Times New Roman" w:cs="Times New Roman"/>
                      <w:b w:val="0"/>
                      <w:bCs w:val="0"/>
                      <w:vertAlign w:val="baseline"/>
                      <w:lang w:val="en-US" w:eastAsia="zh-CN"/>
                    </w:rPr>
                    <w:t>+</w:t>
                  </w:r>
                  <w:r>
                    <w:rPr>
                      <w:rFonts w:hint="eastAsia" w:ascii="宋体" w:hAnsi="宋体" w:eastAsia="宋体" w:cs="宋体"/>
                      <w:b w:val="0"/>
                      <w:bCs w:val="0"/>
                      <w:vertAlign w:val="baseline"/>
                      <w:lang w:val="en-US" w:eastAsia="zh-CN"/>
                    </w:rPr>
                    <w:t>布袋除尘器”处</w:t>
                  </w:r>
                  <w:r>
                    <w:rPr>
                      <w:rFonts w:hint="default" w:ascii="Times New Roman" w:hAnsi="Times New Roman" w:cs="Times New Roman"/>
                      <w:b w:val="0"/>
                      <w:bCs w:val="0"/>
                      <w:vertAlign w:val="baseline"/>
                      <w:lang w:val="en-US" w:eastAsia="zh-CN"/>
                    </w:rPr>
                    <w:t>理后</w:t>
                  </w:r>
                  <w:r>
                    <w:rPr>
                      <w:rFonts w:hint="eastAsia" w:ascii="Times New Roman" w:hAnsi="Times New Roman" w:cs="Times New Roman"/>
                      <w:b w:val="0"/>
                      <w:bCs w:val="0"/>
                      <w:vertAlign w:val="baseline"/>
                      <w:lang w:val="en-US" w:eastAsia="zh-CN"/>
                    </w:rPr>
                    <w:t>分别</w:t>
                  </w:r>
                  <w:r>
                    <w:rPr>
                      <w:rFonts w:hint="default" w:ascii="Times New Roman" w:hAnsi="Times New Roman" w:cs="Times New Roman"/>
                      <w:b w:val="0"/>
                      <w:bCs w:val="0"/>
                      <w:vertAlign w:val="baseline"/>
                      <w:lang w:val="en-US" w:eastAsia="zh-CN"/>
                    </w:rPr>
                    <w:t>经15m排气筒排放</w:t>
                  </w:r>
                  <w:r>
                    <w:rPr>
                      <w:rFonts w:hint="eastAsia" w:ascii="Times New Roman" w:hAnsi="Times New Roman" w:cs="Times New Roman"/>
                      <w:b w:val="0"/>
                      <w:bCs w:val="0"/>
                      <w:vertAlign w:val="baseline"/>
                      <w:lang w:val="en-US" w:eastAsia="zh-CN"/>
                    </w:rPr>
                    <w:t>；</w:t>
                  </w:r>
                  <w:r>
                    <w:rPr>
                      <w:rFonts w:hint="eastAsia" w:cs="Times New Roman"/>
                      <w:b w:val="0"/>
                      <w:bCs w:val="0"/>
                      <w:vertAlign w:val="baseline"/>
                      <w:lang w:val="en-US" w:eastAsia="zh-CN"/>
                    </w:rPr>
                    <w:t>皮带输送转接过程</w:t>
                  </w:r>
                  <w:r>
                    <w:rPr>
                      <w:rFonts w:hint="default" w:ascii="Times New Roman" w:hAnsi="Times New Roman" w:cs="Times New Roman"/>
                      <w:b w:val="0"/>
                      <w:bCs w:val="0"/>
                      <w:vertAlign w:val="baseline"/>
                      <w:lang w:val="en-US" w:eastAsia="zh-CN"/>
                    </w:rPr>
                    <w:t>散逸粉尘</w:t>
                  </w:r>
                  <w:r>
                    <w:rPr>
                      <w:rFonts w:hint="eastAsia" w:cs="Times New Roman"/>
                      <w:b w:val="0"/>
                      <w:bCs w:val="0"/>
                      <w:vertAlign w:val="baseline"/>
                      <w:lang w:val="en-US" w:eastAsia="zh-CN"/>
                    </w:rPr>
                    <w:t>收集后</w:t>
                  </w:r>
                  <w:r>
                    <w:rPr>
                      <w:rFonts w:hint="default" w:ascii="Times New Roman" w:hAnsi="Times New Roman" w:cs="Times New Roman"/>
                      <w:b w:val="0"/>
                      <w:bCs w:val="0"/>
                      <w:vertAlign w:val="baseline"/>
                      <w:lang w:val="en-US" w:eastAsia="zh-CN"/>
                    </w:rPr>
                    <w:t>设置</w:t>
                  </w:r>
                  <w:r>
                    <w:rPr>
                      <w:rFonts w:hint="eastAsia" w:cs="Times New Roman"/>
                      <w:b w:val="0"/>
                      <w:bCs w:val="0"/>
                      <w:vertAlign w:val="baseline"/>
                      <w:lang w:val="en-US" w:eastAsia="zh-CN"/>
                    </w:rPr>
                    <w:t>1</w:t>
                  </w:r>
                  <w:r>
                    <w:rPr>
                      <w:rFonts w:hint="eastAsia" w:ascii="Times New Roman" w:hAnsi="Times New Roman" w:cs="Times New Roman"/>
                      <w:b w:val="0"/>
                      <w:bCs w:val="0"/>
                      <w:vertAlign w:val="baseline"/>
                      <w:lang w:val="en-US" w:eastAsia="zh-CN"/>
                    </w:rPr>
                    <w:t>套</w:t>
                  </w:r>
                  <w:r>
                    <w:rPr>
                      <w:rFonts w:hint="eastAsia" w:ascii="宋体" w:hAnsi="宋体" w:eastAsia="宋体" w:cs="宋体"/>
                      <w:b w:val="0"/>
                      <w:bCs w:val="0"/>
                      <w:vertAlign w:val="baseline"/>
                      <w:lang w:val="en-US" w:eastAsia="zh-CN"/>
                    </w:rPr>
                    <w:t>“</w:t>
                  </w:r>
                  <w:r>
                    <w:rPr>
                      <w:rFonts w:hint="default" w:ascii="Times New Roman" w:hAnsi="Times New Roman" w:cs="Times New Roman"/>
                      <w:b w:val="0"/>
                      <w:bCs w:val="0"/>
                      <w:vertAlign w:val="baseline"/>
                      <w:lang w:val="en-US" w:eastAsia="zh-CN"/>
                    </w:rPr>
                    <w:t>集气罩</w:t>
                  </w:r>
                  <w:r>
                    <w:rPr>
                      <w:rFonts w:hint="eastAsia" w:ascii="Times New Roman" w:hAnsi="Times New Roman" w:cs="Times New Roman"/>
                      <w:b w:val="0"/>
                      <w:bCs w:val="0"/>
                      <w:vertAlign w:val="baseline"/>
                      <w:lang w:val="en-US" w:eastAsia="zh-CN"/>
                    </w:rPr>
                    <w:t>+</w:t>
                  </w:r>
                  <w:r>
                    <w:rPr>
                      <w:rFonts w:hint="eastAsia" w:ascii="宋体" w:hAnsi="宋体" w:eastAsia="宋体" w:cs="宋体"/>
                      <w:b w:val="0"/>
                      <w:bCs w:val="0"/>
                      <w:vertAlign w:val="baseline"/>
                      <w:lang w:val="en-US" w:eastAsia="zh-CN"/>
                    </w:rPr>
                    <w:t>布袋除尘器”处</w:t>
                  </w:r>
                  <w:r>
                    <w:rPr>
                      <w:rFonts w:hint="default" w:ascii="Times New Roman" w:hAnsi="Times New Roman" w:cs="Times New Roman"/>
                      <w:b w:val="0"/>
                      <w:bCs w:val="0"/>
                      <w:vertAlign w:val="baseline"/>
                      <w:lang w:val="en-US" w:eastAsia="zh-CN"/>
                    </w:rPr>
                    <w:t>理后经1</w:t>
                  </w:r>
                  <w:r>
                    <w:rPr>
                      <w:rFonts w:hint="eastAsia" w:cs="Times New Roman"/>
                      <w:b w:val="0"/>
                      <w:bCs w:val="0"/>
                      <w:vertAlign w:val="baseline"/>
                      <w:lang w:val="en-US" w:eastAsia="zh-CN"/>
                    </w:rPr>
                    <w:t>7</w:t>
                  </w:r>
                  <w:r>
                    <w:rPr>
                      <w:rFonts w:hint="default" w:ascii="Times New Roman" w:hAnsi="Times New Roman" w:cs="Times New Roman"/>
                      <w:b w:val="0"/>
                      <w:bCs w:val="0"/>
                      <w:vertAlign w:val="baseline"/>
                      <w:lang w:val="en-US" w:eastAsia="zh-CN"/>
                    </w:rPr>
                    <w:t>m排气筒排放</w:t>
                  </w:r>
                  <w:r>
                    <w:rPr>
                      <w:rFonts w:hint="eastAsia" w:ascii="Times New Roman" w:hAnsi="Times New Roman" w:cs="Times New Roman"/>
                      <w:b w:val="0"/>
                      <w:bCs w:val="0"/>
                      <w:vertAlign w:val="baseline"/>
                      <w:lang w:val="en-US" w:eastAsia="zh-CN"/>
                    </w:rPr>
                    <w:t>；破碎后分别收集至各储存罐，设置有</w:t>
                  </w:r>
                  <w:r>
                    <w:rPr>
                      <w:rFonts w:hint="eastAsia" w:ascii="宋体" w:hAnsi="宋体" w:eastAsia="宋体" w:cs="宋体"/>
                      <w:b w:val="0"/>
                      <w:bCs w:val="0"/>
                      <w:vertAlign w:val="baseline"/>
                      <w:lang w:val="en-US" w:eastAsia="zh-CN"/>
                    </w:rPr>
                    <w:t>“布袋除尘器”处</w:t>
                  </w:r>
                  <w:r>
                    <w:rPr>
                      <w:rFonts w:hint="default" w:ascii="Times New Roman" w:hAnsi="Times New Roman" w:cs="Times New Roman"/>
                      <w:b w:val="0"/>
                      <w:bCs w:val="0"/>
                      <w:vertAlign w:val="baseline"/>
                      <w:lang w:val="en-US" w:eastAsia="zh-CN"/>
                    </w:rPr>
                    <w:t>理后</w:t>
                  </w:r>
                  <w:r>
                    <w:rPr>
                      <w:rFonts w:hint="eastAsia" w:ascii="Times New Roman" w:hAnsi="Times New Roman" w:cs="Times New Roman"/>
                      <w:b w:val="0"/>
                      <w:bCs w:val="0"/>
                      <w:vertAlign w:val="baseline"/>
                      <w:lang w:val="en-US" w:eastAsia="zh-CN"/>
                    </w:rPr>
                    <w:t>无组织排放</w:t>
                  </w:r>
                  <w:r>
                    <w:rPr>
                      <w:rFonts w:hint="eastAsia" w:cs="Times New Roman"/>
                      <w:b w:val="0"/>
                      <w:bCs w:val="0"/>
                      <w:vertAlign w:val="baseline"/>
                      <w:lang w:val="en-US" w:eastAsia="zh-CN"/>
                    </w:rPr>
                    <w:t>；</w:t>
                  </w:r>
                  <w:r>
                    <w:rPr>
                      <w:rFonts w:hint="default" w:ascii="Times New Roman" w:hAnsi="Times New Roman" w:cs="Times New Roman"/>
                      <w:b w:val="0"/>
                      <w:bCs w:val="0"/>
                      <w:vertAlign w:val="baseline"/>
                      <w:lang w:val="en-US" w:eastAsia="zh-CN"/>
                    </w:rPr>
                    <w:t>破碎的过程中会少量散逸粉尘</w:t>
                  </w:r>
                  <w:r>
                    <w:rPr>
                      <w:rFonts w:hint="eastAsia" w:ascii="Times New Roman" w:hAnsi="Times New Roman" w:cs="Times New Roman"/>
                      <w:b w:val="0"/>
                      <w:bCs w:val="0"/>
                      <w:vertAlign w:val="baseline"/>
                      <w:lang w:val="en-US" w:eastAsia="zh-CN"/>
                    </w:rPr>
                    <w:t>；</w:t>
                  </w:r>
                </w:p>
              </w:tc>
              <w:tc>
                <w:tcPr>
                  <w:tcW w:w="675" w:type="dxa"/>
                  <w:vAlign w:val="center"/>
                </w:tcPr>
                <w:p w14:paraId="504DDF3F">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eastAsia" w:cs="Times New Roman"/>
                      <w:b w:val="0"/>
                      <w:bCs w:val="0"/>
                      <w:vertAlign w:val="baseline"/>
                      <w:lang w:val="en-US" w:eastAsia="zh-CN"/>
                    </w:rPr>
                    <w:t>不属于</w:t>
                  </w:r>
                </w:p>
              </w:tc>
              <w:tc>
                <w:tcPr>
                  <w:tcW w:w="694" w:type="dxa"/>
                  <w:vAlign w:val="center"/>
                </w:tcPr>
                <w:p w14:paraId="38D4EE47">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eastAsia" w:cs="Times New Roman"/>
                      <w:b w:val="0"/>
                      <w:bCs w:val="0"/>
                      <w:vertAlign w:val="baseline"/>
                      <w:lang w:val="en-US" w:eastAsia="zh-CN"/>
                    </w:rPr>
                    <w:t>不属于</w:t>
                  </w:r>
                </w:p>
              </w:tc>
            </w:tr>
            <w:tr w14:paraId="210BC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dxa"/>
                  <w:vAlign w:val="center"/>
                </w:tcPr>
                <w:p w14:paraId="64551C06">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vertAlign w:val="baseline"/>
                      <w:lang w:val="en-US" w:eastAsia="zh-CN"/>
                    </w:rPr>
                  </w:pPr>
                  <w:r>
                    <w:rPr>
                      <w:rFonts w:hint="eastAsia" w:cs="Times New Roman"/>
                      <w:b w:val="0"/>
                      <w:bCs w:val="0"/>
                      <w:vertAlign w:val="baseline"/>
                      <w:lang w:val="en-US" w:eastAsia="zh-CN"/>
                    </w:rPr>
                    <w:t>9</w:t>
                  </w:r>
                </w:p>
              </w:tc>
              <w:tc>
                <w:tcPr>
                  <w:tcW w:w="350" w:type="dxa"/>
                  <w:vMerge w:val="continue"/>
                  <w:vAlign w:val="center"/>
                </w:tcPr>
                <w:p w14:paraId="6A98881C">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vertAlign w:val="baseline"/>
                      <w:lang w:val="en-US" w:eastAsia="zh-CN"/>
                    </w:rPr>
                  </w:pPr>
                </w:p>
              </w:tc>
              <w:tc>
                <w:tcPr>
                  <w:tcW w:w="1923" w:type="dxa"/>
                  <w:vAlign w:val="center"/>
                </w:tcPr>
                <w:p w14:paraId="3FD463F1">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eastAsia" w:ascii="Times New Roman" w:hAnsi="Times New Roman" w:cs="Times New Roman"/>
                      <w:b w:val="0"/>
                      <w:bCs w:val="0"/>
                      <w:vertAlign w:val="baseline"/>
                      <w:lang w:val="en-US" w:eastAsia="zh-CN"/>
                    </w:rPr>
                    <w:t>新增废水直接排放口；废水由间接排放改为直接排放；废水直接排放口位置变化，导致不利环境影响加重的</w:t>
                  </w:r>
                </w:p>
              </w:tc>
              <w:tc>
                <w:tcPr>
                  <w:tcW w:w="2052" w:type="dxa"/>
                  <w:vAlign w:val="center"/>
                </w:tcPr>
                <w:p w14:paraId="64843CB2">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无生产</w:t>
                  </w:r>
                  <w:r>
                    <w:rPr>
                      <w:rFonts w:hint="eastAsia" w:cs="Times New Roman"/>
                      <w:b w:val="0"/>
                      <w:bCs w:val="0"/>
                      <w:vertAlign w:val="baseline"/>
                      <w:lang w:val="en-US" w:eastAsia="zh-CN"/>
                    </w:rPr>
                    <w:t>废水</w:t>
                  </w:r>
                  <w:r>
                    <w:rPr>
                      <w:rFonts w:hint="default" w:ascii="Times New Roman" w:hAnsi="Times New Roman" w:cs="Times New Roman"/>
                      <w:b w:val="0"/>
                      <w:bCs w:val="0"/>
                      <w:vertAlign w:val="baseline"/>
                      <w:lang w:val="en-US" w:eastAsia="zh-CN"/>
                    </w:rPr>
                    <w:t>；生活污水排入</w:t>
                  </w:r>
                  <w:r>
                    <w:rPr>
                      <w:rFonts w:hint="eastAsia" w:cs="Times New Roman"/>
                      <w:b w:val="0"/>
                      <w:bCs w:val="0"/>
                      <w:vertAlign w:val="baseline"/>
                      <w:lang w:val="en-US" w:eastAsia="zh-CN"/>
                    </w:rPr>
                    <w:t>防渗</w:t>
                  </w:r>
                  <w:r>
                    <w:rPr>
                      <w:rFonts w:hint="default" w:ascii="Times New Roman" w:hAnsi="Times New Roman" w:cs="Times New Roman"/>
                      <w:b w:val="0"/>
                      <w:bCs w:val="0"/>
                      <w:vertAlign w:val="baseline"/>
                      <w:lang w:val="en-US" w:eastAsia="zh-CN"/>
                    </w:rPr>
                    <w:t>化粪池，定期清运至和硕县污水处理厂处理</w:t>
                  </w:r>
                </w:p>
              </w:tc>
              <w:tc>
                <w:tcPr>
                  <w:tcW w:w="1771" w:type="dxa"/>
                  <w:vAlign w:val="center"/>
                </w:tcPr>
                <w:p w14:paraId="3474A1C9">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eastAsia" w:ascii="Times New Roman" w:hAnsi="Times New Roman" w:cs="Times New Roman"/>
                      <w:b w:val="0"/>
                      <w:bCs w:val="0"/>
                      <w:vertAlign w:val="baseline"/>
                      <w:lang w:val="en-US" w:eastAsia="zh-CN"/>
                    </w:rPr>
                    <w:t>在破碎前端安装的喷淋装置洗掉矿石表面泥土，产生的废水经四级沉淀处理后回用于</w:t>
                  </w:r>
                  <w:r>
                    <w:rPr>
                      <w:rFonts w:hint="eastAsia" w:cs="Times New Roman"/>
                      <w:b w:val="0"/>
                      <w:bCs w:val="0"/>
                      <w:vertAlign w:val="baseline"/>
                      <w:lang w:val="en-US" w:eastAsia="zh-CN"/>
                    </w:rPr>
                    <w:t>骨料</w:t>
                  </w:r>
                  <w:r>
                    <w:rPr>
                      <w:rFonts w:hint="eastAsia" w:ascii="Times New Roman" w:hAnsi="Times New Roman" w:cs="Times New Roman"/>
                      <w:b w:val="0"/>
                      <w:bCs w:val="0"/>
                      <w:vertAlign w:val="baseline"/>
                      <w:lang w:val="en-US" w:eastAsia="zh-CN"/>
                    </w:rPr>
                    <w:t>清洗工序，不外排</w:t>
                  </w:r>
                  <w:r>
                    <w:rPr>
                      <w:rFonts w:hint="eastAsia" w:cs="Times New Roman"/>
                      <w:b w:val="0"/>
                      <w:bCs w:val="0"/>
                      <w:vertAlign w:val="baseline"/>
                      <w:lang w:val="en-US" w:eastAsia="zh-CN"/>
                    </w:rPr>
                    <w:t>；</w:t>
                  </w:r>
                  <w:r>
                    <w:rPr>
                      <w:rFonts w:hint="eastAsia" w:ascii="Times New Roman" w:hAnsi="Times New Roman" w:cs="Times New Roman"/>
                      <w:b w:val="0"/>
                      <w:bCs w:val="0"/>
                      <w:vertAlign w:val="baseline"/>
                      <w:lang w:val="en-US" w:eastAsia="zh-CN"/>
                    </w:rPr>
                    <w:t>定期清理产生的底泥</w:t>
                  </w:r>
                </w:p>
              </w:tc>
              <w:tc>
                <w:tcPr>
                  <w:tcW w:w="675" w:type="dxa"/>
                  <w:vAlign w:val="center"/>
                </w:tcPr>
                <w:p w14:paraId="0695DC77">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eastAsia" w:cs="Times New Roman"/>
                      <w:b w:val="0"/>
                      <w:bCs w:val="0"/>
                      <w:vertAlign w:val="baseline"/>
                      <w:lang w:val="en-US" w:eastAsia="zh-CN"/>
                    </w:rPr>
                    <w:t>不属于</w:t>
                  </w:r>
                </w:p>
              </w:tc>
              <w:tc>
                <w:tcPr>
                  <w:tcW w:w="694" w:type="dxa"/>
                  <w:vAlign w:val="center"/>
                </w:tcPr>
                <w:p w14:paraId="6858AFFD">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eastAsia" w:cs="Times New Roman"/>
                      <w:b w:val="0"/>
                      <w:bCs w:val="0"/>
                      <w:vertAlign w:val="baseline"/>
                      <w:lang w:val="en-US" w:eastAsia="zh-CN"/>
                    </w:rPr>
                    <w:t>不属于</w:t>
                  </w:r>
                </w:p>
              </w:tc>
            </w:tr>
            <w:tr w14:paraId="70133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dxa"/>
                  <w:vAlign w:val="center"/>
                </w:tcPr>
                <w:p w14:paraId="74B4F9EC">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vertAlign w:val="baseline"/>
                      <w:lang w:val="en-US" w:eastAsia="zh-CN"/>
                    </w:rPr>
                  </w:pPr>
                  <w:r>
                    <w:rPr>
                      <w:rFonts w:hint="eastAsia" w:cs="Times New Roman"/>
                      <w:b w:val="0"/>
                      <w:bCs w:val="0"/>
                      <w:vertAlign w:val="baseline"/>
                      <w:lang w:val="en-US" w:eastAsia="zh-CN"/>
                    </w:rPr>
                    <w:t>10</w:t>
                  </w:r>
                </w:p>
              </w:tc>
              <w:tc>
                <w:tcPr>
                  <w:tcW w:w="350" w:type="dxa"/>
                  <w:vMerge w:val="continue"/>
                  <w:vAlign w:val="center"/>
                </w:tcPr>
                <w:p w14:paraId="5F9C920A">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vertAlign w:val="baseline"/>
                      <w:lang w:val="en-US" w:eastAsia="zh-CN"/>
                    </w:rPr>
                  </w:pPr>
                </w:p>
              </w:tc>
              <w:tc>
                <w:tcPr>
                  <w:tcW w:w="1923" w:type="dxa"/>
                  <w:vAlign w:val="center"/>
                </w:tcPr>
                <w:p w14:paraId="58CCDF0D">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eastAsia" w:ascii="Times New Roman" w:hAnsi="Times New Roman" w:cs="Times New Roman"/>
                      <w:b w:val="0"/>
                      <w:bCs w:val="0"/>
                      <w:vertAlign w:val="baseline"/>
                      <w:lang w:val="en-US" w:eastAsia="zh-CN"/>
                    </w:rPr>
                    <w:t>新增废气主要排放口（废气无组织排放改为有组织排放的除外）；主要排放口排气筒高度降低10%及以上的</w:t>
                  </w:r>
                </w:p>
              </w:tc>
              <w:tc>
                <w:tcPr>
                  <w:tcW w:w="2052" w:type="dxa"/>
                  <w:vAlign w:val="center"/>
                </w:tcPr>
                <w:p w14:paraId="3BFCAD95">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破碎</w:t>
                  </w:r>
                  <w:r>
                    <w:rPr>
                      <w:rFonts w:hint="eastAsia" w:ascii="Times New Roman" w:hAnsi="Times New Roman" w:cs="Times New Roman"/>
                      <w:b w:val="0"/>
                      <w:bCs w:val="0"/>
                      <w:vertAlign w:val="baseline"/>
                      <w:lang w:val="en-US" w:eastAsia="zh-CN"/>
                    </w:rPr>
                    <w:t>工序</w:t>
                  </w:r>
                  <w:r>
                    <w:rPr>
                      <w:rFonts w:hint="default" w:ascii="Times New Roman" w:hAnsi="Times New Roman" w:cs="Times New Roman"/>
                      <w:b w:val="0"/>
                      <w:bCs w:val="0"/>
                      <w:vertAlign w:val="baseline"/>
                      <w:lang w:val="en-US" w:eastAsia="zh-CN"/>
                    </w:rPr>
                    <w:t>收集</w:t>
                  </w:r>
                  <w:r>
                    <w:rPr>
                      <w:rFonts w:hint="eastAsia" w:ascii="Times New Roman" w:hAnsi="Times New Roman" w:cs="Times New Roman"/>
                      <w:b w:val="0"/>
                      <w:bCs w:val="0"/>
                      <w:vertAlign w:val="baseline"/>
                      <w:lang w:val="en-US" w:eastAsia="zh-CN"/>
                    </w:rPr>
                    <w:t>的</w:t>
                  </w:r>
                  <w:r>
                    <w:rPr>
                      <w:rFonts w:hint="default" w:ascii="Times New Roman" w:hAnsi="Times New Roman" w:cs="Times New Roman"/>
                      <w:b w:val="0"/>
                      <w:bCs w:val="0"/>
                      <w:vertAlign w:val="baseline"/>
                      <w:lang w:val="en-US" w:eastAsia="zh-CN"/>
                    </w:rPr>
                    <w:t>破碎粉尘</w:t>
                  </w:r>
                  <w:r>
                    <w:rPr>
                      <w:rFonts w:hint="eastAsia" w:ascii="宋体" w:hAnsi="宋体" w:eastAsia="宋体" w:cs="宋体"/>
                      <w:b w:val="0"/>
                      <w:bCs w:val="0"/>
                      <w:vertAlign w:val="baseline"/>
                      <w:lang w:val="en-US" w:eastAsia="zh-CN"/>
                    </w:rPr>
                    <w:t>至“布袋除尘器”处</w:t>
                  </w:r>
                  <w:r>
                    <w:rPr>
                      <w:rFonts w:hint="default" w:ascii="Times New Roman" w:hAnsi="Times New Roman" w:cs="Times New Roman"/>
                      <w:b w:val="0"/>
                      <w:bCs w:val="0"/>
                      <w:vertAlign w:val="baseline"/>
                      <w:lang w:val="en-US" w:eastAsia="zh-CN"/>
                    </w:rPr>
                    <w:t>理后经15m排气筒</w:t>
                  </w:r>
                  <w:r>
                    <w:rPr>
                      <w:rFonts w:hint="eastAsia" w:ascii="Times New Roman" w:hAnsi="Times New Roman" w:cs="Times New Roman"/>
                      <w:b w:val="0"/>
                      <w:bCs w:val="0"/>
                      <w:vertAlign w:val="baseline"/>
                      <w:lang w:val="en-US" w:eastAsia="zh-CN"/>
                    </w:rPr>
                    <w:t>（DA001）</w:t>
                  </w:r>
                  <w:r>
                    <w:rPr>
                      <w:rFonts w:hint="default" w:ascii="Times New Roman" w:hAnsi="Times New Roman" w:cs="Times New Roman"/>
                      <w:b w:val="0"/>
                      <w:bCs w:val="0"/>
                      <w:vertAlign w:val="baseline"/>
                      <w:lang w:val="en-US" w:eastAsia="zh-CN"/>
                    </w:rPr>
                    <w:t>排放</w:t>
                  </w:r>
                  <w:r>
                    <w:rPr>
                      <w:rFonts w:hint="eastAsia" w:ascii="Times New Roman" w:hAnsi="Times New Roman" w:cs="Times New Roman"/>
                      <w:b w:val="0"/>
                      <w:bCs w:val="0"/>
                      <w:vertAlign w:val="baseline"/>
                      <w:lang w:val="en-US" w:eastAsia="zh-CN"/>
                    </w:rPr>
                    <w:t>；混合搅拌、压制固化过程中产生一定的粉尘和有机废气通过“布袋除尘+活性炭吸附装置”</w:t>
                  </w:r>
                  <w:r>
                    <w:rPr>
                      <w:rFonts w:hint="eastAsia" w:ascii="宋体" w:hAnsi="宋体" w:eastAsia="宋体" w:cs="宋体"/>
                      <w:b w:val="0"/>
                      <w:bCs w:val="0"/>
                      <w:vertAlign w:val="baseline"/>
                      <w:lang w:val="en-US" w:eastAsia="zh-CN"/>
                    </w:rPr>
                    <w:t>处</w:t>
                  </w:r>
                  <w:r>
                    <w:rPr>
                      <w:rFonts w:hint="default" w:ascii="Times New Roman" w:hAnsi="Times New Roman" w:cs="Times New Roman"/>
                      <w:b w:val="0"/>
                      <w:bCs w:val="0"/>
                      <w:vertAlign w:val="baseline"/>
                      <w:lang w:val="en-US" w:eastAsia="zh-CN"/>
                    </w:rPr>
                    <w:t>理后经15m排气筒</w:t>
                  </w:r>
                  <w:r>
                    <w:rPr>
                      <w:rFonts w:hint="eastAsia" w:ascii="Times New Roman" w:hAnsi="Times New Roman" w:cs="Times New Roman"/>
                      <w:b w:val="0"/>
                      <w:bCs w:val="0"/>
                      <w:vertAlign w:val="baseline"/>
                      <w:lang w:val="en-US" w:eastAsia="zh-CN"/>
                    </w:rPr>
                    <w:t>（DA002）</w:t>
                  </w:r>
                  <w:r>
                    <w:rPr>
                      <w:rFonts w:hint="default" w:ascii="Times New Roman" w:hAnsi="Times New Roman" w:cs="Times New Roman"/>
                      <w:b w:val="0"/>
                      <w:bCs w:val="0"/>
                      <w:vertAlign w:val="baseline"/>
                      <w:lang w:val="en-US" w:eastAsia="zh-CN"/>
                    </w:rPr>
                    <w:t>排放</w:t>
                  </w:r>
                </w:p>
              </w:tc>
              <w:tc>
                <w:tcPr>
                  <w:tcW w:w="1771" w:type="dxa"/>
                  <w:vAlign w:val="center"/>
                </w:tcPr>
                <w:p w14:paraId="62AF460C">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破碎</w:t>
                  </w:r>
                  <w:r>
                    <w:rPr>
                      <w:rFonts w:hint="eastAsia" w:ascii="Times New Roman" w:hAnsi="Times New Roman" w:cs="Times New Roman"/>
                      <w:b w:val="0"/>
                      <w:bCs w:val="0"/>
                      <w:vertAlign w:val="baseline"/>
                      <w:lang w:val="en-US" w:eastAsia="zh-CN"/>
                    </w:rPr>
                    <w:t>工序各阶段</w:t>
                  </w:r>
                  <w:r>
                    <w:rPr>
                      <w:rFonts w:hint="default" w:ascii="Times New Roman" w:hAnsi="Times New Roman" w:cs="Times New Roman"/>
                      <w:b w:val="0"/>
                      <w:bCs w:val="0"/>
                      <w:vertAlign w:val="baseline"/>
                      <w:lang w:val="en-US" w:eastAsia="zh-CN"/>
                    </w:rPr>
                    <w:t>收集</w:t>
                  </w:r>
                  <w:r>
                    <w:rPr>
                      <w:rFonts w:hint="eastAsia" w:ascii="Times New Roman" w:hAnsi="Times New Roman" w:cs="Times New Roman"/>
                      <w:b w:val="0"/>
                      <w:bCs w:val="0"/>
                      <w:vertAlign w:val="baseline"/>
                      <w:lang w:val="en-US" w:eastAsia="zh-CN"/>
                    </w:rPr>
                    <w:t>的</w:t>
                  </w:r>
                  <w:r>
                    <w:rPr>
                      <w:rFonts w:hint="default" w:ascii="Times New Roman" w:hAnsi="Times New Roman" w:cs="Times New Roman"/>
                      <w:b w:val="0"/>
                      <w:bCs w:val="0"/>
                      <w:vertAlign w:val="baseline"/>
                      <w:lang w:val="en-US" w:eastAsia="zh-CN"/>
                    </w:rPr>
                    <w:t>破碎粉尘</w:t>
                  </w:r>
                  <w:r>
                    <w:rPr>
                      <w:rFonts w:hint="eastAsia" w:ascii="Times New Roman" w:hAnsi="Times New Roman" w:cs="Times New Roman"/>
                      <w:b w:val="0"/>
                      <w:bCs w:val="0"/>
                      <w:vertAlign w:val="baseline"/>
                      <w:lang w:val="en-US" w:eastAsia="zh-CN"/>
                    </w:rPr>
                    <w:t>分别</w:t>
                  </w:r>
                  <w:r>
                    <w:rPr>
                      <w:rFonts w:hint="eastAsia" w:ascii="宋体" w:hAnsi="宋体" w:eastAsia="宋体" w:cs="宋体"/>
                      <w:b w:val="0"/>
                      <w:bCs w:val="0"/>
                      <w:vertAlign w:val="baseline"/>
                      <w:lang w:val="en-US" w:eastAsia="zh-CN"/>
                    </w:rPr>
                    <w:t>至</w:t>
                  </w:r>
                  <w:r>
                    <w:rPr>
                      <w:rFonts w:hint="eastAsia" w:ascii="宋体" w:hAnsi="宋体" w:cs="宋体"/>
                      <w:b w:val="0"/>
                      <w:bCs w:val="0"/>
                      <w:vertAlign w:val="baseline"/>
                      <w:lang w:val="en-US" w:eastAsia="zh-CN"/>
                    </w:rPr>
                    <w:t>2</w:t>
                  </w:r>
                  <w:r>
                    <w:rPr>
                      <w:rFonts w:hint="eastAsia" w:ascii="宋体" w:hAnsi="宋体" w:eastAsia="宋体" w:cs="宋体"/>
                      <w:b w:val="0"/>
                      <w:bCs w:val="0"/>
                      <w:vertAlign w:val="baseline"/>
                      <w:lang w:val="en-US" w:eastAsia="zh-CN"/>
                    </w:rPr>
                    <w:t>套“布袋除尘器”处</w:t>
                  </w:r>
                  <w:r>
                    <w:rPr>
                      <w:rFonts w:hint="default" w:ascii="Times New Roman" w:hAnsi="Times New Roman" w:cs="Times New Roman"/>
                      <w:b w:val="0"/>
                      <w:bCs w:val="0"/>
                      <w:vertAlign w:val="baseline"/>
                      <w:lang w:val="en-US" w:eastAsia="zh-CN"/>
                    </w:rPr>
                    <w:t>理后</w:t>
                  </w:r>
                  <w:r>
                    <w:rPr>
                      <w:rFonts w:hint="eastAsia" w:ascii="Times New Roman" w:hAnsi="Times New Roman" w:cs="Times New Roman"/>
                      <w:b w:val="0"/>
                      <w:bCs w:val="0"/>
                      <w:vertAlign w:val="baseline"/>
                      <w:lang w:val="en-US" w:eastAsia="zh-CN"/>
                    </w:rPr>
                    <w:t>分别</w:t>
                  </w:r>
                  <w:r>
                    <w:rPr>
                      <w:rFonts w:hint="default" w:ascii="Times New Roman" w:hAnsi="Times New Roman" w:cs="Times New Roman"/>
                      <w:b w:val="0"/>
                      <w:bCs w:val="0"/>
                      <w:vertAlign w:val="baseline"/>
                      <w:lang w:val="en-US" w:eastAsia="zh-CN"/>
                    </w:rPr>
                    <w:t>经15m排气筒</w:t>
                  </w:r>
                  <w:r>
                    <w:rPr>
                      <w:rFonts w:hint="eastAsia" w:ascii="Times New Roman" w:hAnsi="Times New Roman" w:cs="Times New Roman"/>
                      <w:b w:val="0"/>
                      <w:bCs w:val="0"/>
                      <w:vertAlign w:val="baseline"/>
                      <w:lang w:val="en-US" w:eastAsia="zh-CN"/>
                    </w:rPr>
                    <w:t>（DA00</w:t>
                  </w:r>
                  <w:r>
                    <w:rPr>
                      <w:rFonts w:hint="eastAsia" w:cs="Times New Roman"/>
                      <w:b w:val="0"/>
                      <w:bCs w:val="0"/>
                      <w:vertAlign w:val="baseline"/>
                      <w:lang w:val="en-US" w:eastAsia="zh-CN"/>
                    </w:rPr>
                    <w:t>1、</w:t>
                  </w:r>
                  <w:r>
                    <w:rPr>
                      <w:rFonts w:hint="eastAsia" w:ascii="Times New Roman" w:hAnsi="Times New Roman" w:cs="Times New Roman"/>
                      <w:b w:val="0"/>
                      <w:bCs w:val="0"/>
                      <w:vertAlign w:val="baseline"/>
                      <w:lang w:val="en-US" w:eastAsia="zh-CN"/>
                    </w:rPr>
                    <w:t>DA00</w:t>
                  </w:r>
                  <w:r>
                    <w:rPr>
                      <w:rFonts w:hint="eastAsia" w:cs="Times New Roman"/>
                      <w:b w:val="0"/>
                      <w:bCs w:val="0"/>
                      <w:vertAlign w:val="baseline"/>
                      <w:lang w:val="en-US" w:eastAsia="zh-CN"/>
                    </w:rPr>
                    <w:t>2</w:t>
                  </w:r>
                  <w:r>
                    <w:rPr>
                      <w:rFonts w:hint="eastAsia" w:ascii="Times New Roman" w:hAnsi="Times New Roman" w:cs="Times New Roman"/>
                      <w:b w:val="0"/>
                      <w:bCs w:val="0"/>
                      <w:vertAlign w:val="baseline"/>
                      <w:lang w:val="en-US" w:eastAsia="zh-CN"/>
                    </w:rPr>
                    <w:t>）</w:t>
                  </w:r>
                  <w:r>
                    <w:rPr>
                      <w:rFonts w:hint="default" w:ascii="Times New Roman" w:hAnsi="Times New Roman" w:cs="Times New Roman"/>
                      <w:b w:val="0"/>
                      <w:bCs w:val="0"/>
                      <w:vertAlign w:val="baseline"/>
                      <w:lang w:val="en-US" w:eastAsia="zh-CN"/>
                    </w:rPr>
                    <w:t>排放</w:t>
                  </w:r>
                  <w:r>
                    <w:rPr>
                      <w:rFonts w:hint="eastAsia" w:ascii="Times New Roman" w:hAnsi="Times New Roman" w:cs="Times New Roman"/>
                      <w:b w:val="0"/>
                      <w:bCs w:val="0"/>
                      <w:vertAlign w:val="baseline"/>
                      <w:lang w:val="en-US" w:eastAsia="zh-CN"/>
                    </w:rPr>
                    <w:t>；</w:t>
                  </w:r>
                  <w:r>
                    <w:rPr>
                      <w:rFonts w:hint="eastAsia" w:cs="Times New Roman"/>
                      <w:b w:val="0"/>
                      <w:bCs w:val="0"/>
                      <w:vertAlign w:val="baseline"/>
                      <w:lang w:val="en-US" w:eastAsia="zh-CN"/>
                    </w:rPr>
                    <w:t>皮带输送转接过程</w:t>
                  </w:r>
                  <w:r>
                    <w:rPr>
                      <w:rFonts w:hint="default" w:ascii="Times New Roman" w:hAnsi="Times New Roman" w:cs="Times New Roman"/>
                      <w:b w:val="0"/>
                      <w:bCs w:val="0"/>
                      <w:vertAlign w:val="baseline"/>
                      <w:lang w:val="en-US" w:eastAsia="zh-CN"/>
                    </w:rPr>
                    <w:t>散逸粉尘</w:t>
                  </w:r>
                  <w:r>
                    <w:rPr>
                      <w:rFonts w:hint="eastAsia" w:cs="Times New Roman"/>
                      <w:b w:val="0"/>
                      <w:bCs w:val="0"/>
                      <w:vertAlign w:val="baseline"/>
                      <w:lang w:val="en-US" w:eastAsia="zh-CN"/>
                    </w:rPr>
                    <w:t>收集后</w:t>
                  </w:r>
                  <w:r>
                    <w:rPr>
                      <w:rFonts w:hint="default" w:ascii="Times New Roman" w:hAnsi="Times New Roman" w:cs="Times New Roman"/>
                      <w:b w:val="0"/>
                      <w:bCs w:val="0"/>
                      <w:vertAlign w:val="baseline"/>
                      <w:lang w:val="en-US" w:eastAsia="zh-CN"/>
                    </w:rPr>
                    <w:t>设置</w:t>
                  </w:r>
                  <w:r>
                    <w:rPr>
                      <w:rFonts w:hint="eastAsia" w:cs="Times New Roman"/>
                      <w:b w:val="0"/>
                      <w:bCs w:val="0"/>
                      <w:vertAlign w:val="baseline"/>
                      <w:lang w:val="en-US" w:eastAsia="zh-CN"/>
                    </w:rPr>
                    <w:t>1</w:t>
                  </w:r>
                  <w:r>
                    <w:rPr>
                      <w:rFonts w:hint="eastAsia" w:ascii="Times New Roman" w:hAnsi="Times New Roman" w:cs="Times New Roman"/>
                      <w:b w:val="0"/>
                      <w:bCs w:val="0"/>
                      <w:vertAlign w:val="baseline"/>
                      <w:lang w:val="en-US" w:eastAsia="zh-CN"/>
                    </w:rPr>
                    <w:t>套</w:t>
                  </w:r>
                  <w:r>
                    <w:rPr>
                      <w:rFonts w:hint="eastAsia" w:ascii="宋体" w:hAnsi="宋体" w:eastAsia="宋体" w:cs="宋体"/>
                      <w:b w:val="0"/>
                      <w:bCs w:val="0"/>
                      <w:vertAlign w:val="baseline"/>
                      <w:lang w:val="en-US" w:eastAsia="zh-CN"/>
                    </w:rPr>
                    <w:t>“</w:t>
                  </w:r>
                  <w:r>
                    <w:rPr>
                      <w:rFonts w:hint="default" w:ascii="Times New Roman" w:hAnsi="Times New Roman" w:cs="Times New Roman"/>
                      <w:b w:val="0"/>
                      <w:bCs w:val="0"/>
                      <w:vertAlign w:val="baseline"/>
                      <w:lang w:val="en-US" w:eastAsia="zh-CN"/>
                    </w:rPr>
                    <w:t>集气罩</w:t>
                  </w:r>
                  <w:r>
                    <w:rPr>
                      <w:rFonts w:hint="eastAsia" w:ascii="Times New Roman" w:hAnsi="Times New Roman" w:cs="Times New Roman"/>
                      <w:b w:val="0"/>
                      <w:bCs w:val="0"/>
                      <w:vertAlign w:val="baseline"/>
                      <w:lang w:val="en-US" w:eastAsia="zh-CN"/>
                    </w:rPr>
                    <w:t>+</w:t>
                  </w:r>
                  <w:r>
                    <w:rPr>
                      <w:rFonts w:hint="eastAsia" w:ascii="宋体" w:hAnsi="宋体" w:eastAsia="宋体" w:cs="宋体"/>
                      <w:b w:val="0"/>
                      <w:bCs w:val="0"/>
                      <w:vertAlign w:val="baseline"/>
                      <w:lang w:val="en-US" w:eastAsia="zh-CN"/>
                    </w:rPr>
                    <w:t>布袋除尘器”处</w:t>
                  </w:r>
                  <w:r>
                    <w:rPr>
                      <w:rFonts w:hint="default" w:ascii="Times New Roman" w:hAnsi="Times New Roman" w:cs="Times New Roman"/>
                      <w:b w:val="0"/>
                      <w:bCs w:val="0"/>
                      <w:vertAlign w:val="baseline"/>
                      <w:lang w:val="en-US" w:eastAsia="zh-CN"/>
                    </w:rPr>
                    <w:t>理后经1</w:t>
                  </w:r>
                  <w:r>
                    <w:rPr>
                      <w:rFonts w:hint="eastAsia" w:cs="Times New Roman"/>
                      <w:b w:val="0"/>
                      <w:bCs w:val="0"/>
                      <w:vertAlign w:val="baseline"/>
                      <w:lang w:val="en-US" w:eastAsia="zh-CN"/>
                    </w:rPr>
                    <w:t>7</w:t>
                  </w:r>
                  <w:r>
                    <w:rPr>
                      <w:rFonts w:hint="default" w:ascii="Times New Roman" w:hAnsi="Times New Roman" w:cs="Times New Roman"/>
                      <w:b w:val="0"/>
                      <w:bCs w:val="0"/>
                      <w:vertAlign w:val="baseline"/>
                      <w:lang w:val="en-US" w:eastAsia="zh-CN"/>
                    </w:rPr>
                    <w:t>m排气筒</w:t>
                  </w:r>
                  <w:r>
                    <w:rPr>
                      <w:rFonts w:hint="eastAsia" w:cs="Times New Roman"/>
                      <w:b w:val="0"/>
                      <w:bCs w:val="0"/>
                      <w:vertAlign w:val="baseline"/>
                      <w:lang w:val="en-US" w:eastAsia="zh-CN"/>
                    </w:rPr>
                    <w:t>（</w:t>
                  </w:r>
                  <w:r>
                    <w:rPr>
                      <w:rFonts w:hint="eastAsia" w:ascii="Times New Roman" w:hAnsi="Times New Roman" w:cs="Times New Roman"/>
                      <w:b w:val="0"/>
                      <w:bCs w:val="0"/>
                      <w:vertAlign w:val="baseline"/>
                      <w:lang w:val="en-US" w:eastAsia="zh-CN"/>
                    </w:rPr>
                    <w:t>DA00</w:t>
                  </w:r>
                  <w:r>
                    <w:rPr>
                      <w:rFonts w:hint="eastAsia" w:cs="Times New Roman"/>
                      <w:b w:val="0"/>
                      <w:bCs w:val="0"/>
                      <w:vertAlign w:val="baseline"/>
                      <w:lang w:val="en-US" w:eastAsia="zh-CN"/>
                    </w:rPr>
                    <w:t>3）</w:t>
                  </w:r>
                  <w:r>
                    <w:rPr>
                      <w:rFonts w:hint="default" w:ascii="Times New Roman" w:hAnsi="Times New Roman" w:cs="Times New Roman"/>
                      <w:b w:val="0"/>
                      <w:bCs w:val="0"/>
                      <w:vertAlign w:val="baseline"/>
                      <w:lang w:val="en-US" w:eastAsia="zh-CN"/>
                    </w:rPr>
                    <w:t>排放</w:t>
                  </w:r>
                  <w:r>
                    <w:rPr>
                      <w:rFonts w:hint="eastAsia" w:ascii="Times New Roman" w:hAnsi="Times New Roman" w:cs="Times New Roman"/>
                      <w:b w:val="0"/>
                      <w:bCs w:val="0"/>
                      <w:vertAlign w:val="baseline"/>
                      <w:lang w:val="en-US" w:eastAsia="zh-CN"/>
                    </w:rPr>
                    <w:t>；破碎后分别收集至各储存罐，各储存罐设置有</w:t>
                  </w:r>
                  <w:r>
                    <w:rPr>
                      <w:rFonts w:hint="eastAsia" w:cs="Times New Roman"/>
                      <w:b w:val="0"/>
                      <w:bCs w:val="0"/>
                      <w:vertAlign w:val="baseline"/>
                      <w:lang w:val="en-US" w:eastAsia="zh-CN"/>
                    </w:rPr>
                    <w:t>一套</w:t>
                  </w:r>
                  <w:r>
                    <w:rPr>
                      <w:rFonts w:hint="eastAsia" w:ascii="宋体" w:hAnsi="宋体" w:eastAsia="宋体" w:cs="宋体"/>
                      <w:b w:val="0"/>
                      <w:bCs w:val="0"/>
                      <w:vertAlign w:val="baseline"/>
                      <w:lang w:val="en-US" w:eastAsia="zh-CN"/>
                    </w:rPr>
                    <w:t>“布袋除尘器”</w:t>
                  </w:r>
                  <w:r>
                    <w:rPr>
                      <w:rFonts w:hint="eastAsia" w:ascii="宋体" w:hAnsi="宋体" w:cs="宋体"/>
                      <w:b w:val="0"/>
                      <w:bCs w:val="0"/>
                      <w:vertAlign w:val="baseline"/>
                      <w:lang w:val="en-US" w:eastAsia="zh-CN"/>
                    </w:rPr>
                    <w:t>，</w:t>
                  </w:r>
                  <w:r>
                    <w:rPr>
                      <w:rFonts w:hint="eastAsia" w:ascii="宋体" w:hAnsi="宋体" w:eastAsia="宋体" w:cs="宋体"/>
                      <w:b w:val="0"/>
                      <w:bCs w:val="0"/>
                      <w:vertAlign w:val="baseline"/>
                      <w:lang w:val="en-US" w:eastAsia="zh-CN"/>
                    </w:rPr>
                    <w:t>处</w:t>
                  </w:r>
                  <w:r>
                    <w:rPr>
                      <w:rFonts w:hint="default" w:ascii="Times New Roman" w:hAnsi="Times New Roman" w:cs="Times New Roman"/>
                      <w:b w:val="0"/>
                      <w:bCs w:val="0"/>
                      <w:vertAlign w:val="baseline"/>
                      <w:lang w:val="en-US" w:eastAsia="zh-CN"/>
                    </w:rPr>
                    <w:t>理后</w:t>
                  </w:r>
                  <w:r>
                    <w:rPr>
                      <w:rFonts w:hint="eastAsia" w:ascii="Times New Roman" w:hAnsi="Times New Roman" w:cs="Times New Roman"/>
                      <w:b w:val="0"/>
                      <w:bCs w:val="0"/>
                      <w:vertAlign w:val="baseline"/>
                      <w:lang w:val="en-US" w:eastAsia="zh-CN"/>
                    </w:rPr>
                    <w:t>无组织排放</w:t>
                  </w:r>
                  <w:r>
                    <w:rPr>
                      <w:rFonts w:hint="eastAsia" w:cs="Times New Roman"/>
                      <w:b w:val="0"/>
                      <w:bCs w:val="0"/>
                      <w:vertAlign w:val="baseline"/>
                      <w:lang w:val="en-US" w:eastAsia="zh-CN"/>
                    </w:rPr>
                    <w:t>；</w:t>
                  </w:r>
                  <w:r>
                    <w:rPr>
                      <w:rFonts w:hint="eastAsia" w:ascii="Times New Roman" w:hAnsi="Times New Roman" w:cs="Times New Roman"/>
                      <w:b w:val="0"/>
                      <w:bCs w:val="0"/>
                      <w:vertAlign w:val="baseline"/>
                      <w:lang w:val="en-US" w:eastAsia="zh-CN"/>
                    </w:rPr>
                    <w:t>混合搅拌、压制固化过程中产生一定的粉尘和有机废气通过“布袋除尘+活性炭吸附装置”</w:t>
                  </w:r>
                  <w:r>
                    <w:rPr>
                      <w:rFonts w:hint="eastAsia" w:ascii="宋体" w:hAnsi="宋体" w:eastAsia="宋体" w:cs="宋体"/>
                      <w:b w:val="0"/>
                      <w:bCs w:val="0"/>
                      <w:vertAlign w:val="baseline"/>
                      <w:lang w:val="en-US" w:eastAsia="zh-CN"/>
                    </w:rPr>
                    <w:t>处</w:t>
                  </w:r>
                  <w:r>
                    <w:rPr>
                      <w:rFonts w:hint="default" w:ascii="Times New Roman" w:hAnsi="Times New Roman" w:cs="Times New Roman"/>
                      <w:b w:val="0"/>
                      <w:bCs w:val="0"/>
                      <w:vertAlign w:val="baseline"/>
                      <w:lang w:val="en-US" w:eastAsia="zh-CN"/>
                    </w:rPr>
                    <w:t>理后经15m排气筒</w:t>
                  </w:r>
                  <w:r>
                    <w:rPr>
                      <w:rFonts w:hint="eastAsia" w:ascii="Times New Roman" w:hAnsi="Times New Roman" w:cs="Times New Roman"/>
                      <w:b w:val="0"/>
                      <w:bCs w:val="0"/>
                      <w:vertAlign w:val="baseline"/>
                      <w:lang w:val="en-US" w:eastAsia="zh-CN"/>
                    </w:rPr>
                    <w:t>（DA00</w:t>
                  </w:r>
                  <w:r>
                    <w:rPr>
                      <w:rFonts w:hint="eastAsia" w:cs="Times New Roman"/>
                      <w:b w:val="0"/>
                      <w:bCs w:val="0"/>
                      <w:vertAlign w:val="baseline"/>
                      <w:lang w:val="en-US" w:eastAsia="zh-CN"/>
                    </w:rPr>
                    <w:t>4</w:t>
                  </w:r>
                  <w:r>
                    <w:rPr>
                      <w:rFonts w:hint="eastAsia" w:ascii="Times New Roman" w:hAnsi="Times New Roman" w:cs="Times New Roman"/>
                      <w:b w:val="0"/>
                      <w:bCs w:val="0"/>
                      <w:vertAlign w:val="baseline"/>
                      <w:lang w:val="en-US" w:eastAsia="zh-CN"/>
                    </w:rPr>
                    <w:t>）</w:t>
                  </w:r>
                  <w:r>
                    <w:rPr>
                      <w:rFonts w:hint="default" w:ascii="Times New Roman" w:hAnsi="Times New Roman" w:cs="Times New Roman"/>
                      <w:b w:val="0"/>
                      <w:bCs w:val="0"/>
                      <w:vertAlign w:val="baseline"/>
                      <w:lang w:val="en-US" w:eastAsia="zh-CN"/>
                    </w:rPr>
                    <w:t>排放</w:t>
                  </w:r>
                  <w:r>
                    <w:rPr>
                      <w:rFonts w:hint="eastAsia" w:ascii="Times New Roman" w:hAnsi="Times New Roman" w:cs="Times New Roman"/>
                      <w:b w:val="0"/>
                      <w:bCs w:val="0"/>
                      <w:vertAlign w:val="baseline"/>
                      <w:lang w:val="en-US" w:eastAsia="zh-CN"/>
                    </w:rPr>
                    <w:t>；</w:t>
                  </w:r>
                </w:p>
              </w:tc>
              <w:tc>
                <w:tcPr>
                  <w:tcW w:w="675" w:type="dxa"/>
                  <w:vAlign w:val="center"/>
                </w:tcPr>
                <w:p w14:paraId="054556B3">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eastAsia" w:cs="Times New Roman"/>
                      <w:b w:val="0"/>
                      <w:bCs w:val="0"/>
                      <w:vertAlign w:val="baseline"/>
                      <w:lang w:val="en-US" w:eastAsia="zh-CN"/>
                    </w:rPr>
                    <w:t>属于</w:t>
                  </w:r>
                </w:p>
              </w:tc>
              <w:tc>
                <w:tcPr>
                  <w:tcW w:w="694" w:type="dxa"/>
                  <w:vAlign w:val="center"/>
                </w:tcPr>
                <w:p w14:paraId="3A97272E">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eastAsia" w:cs="Times New Roman"/>
                      <w:b w:val="0"/>
                      <w:bCs w:val="0"/>
                      <w:vertAlign w:val="baseline"/>
                      <w:lang w:val="en-US" w:eastAsia="zh-CN"/>
                    </w:rPr>
                    <w:t>不属于</w:t>
                  </w:r>
                </w:p>
              </w:tc>
            </w:tr>
            <w:tr w14:paraId="3D2A7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dxa"/>
                  <w:vAlign w:val="center"/>
                </w:tcPr>
                <w:p w14:paraId="104FB6C5">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vertAlign w:val="baseline"/>
                      <w:lang w:val="en-US" w:eastAsia="zh-CN"/>
                    </w:rPr>
                  </w:pPr>
                  <w:r>
                    <w:rPr>
                      <w:rFonts w:hint="eastAsia" w:cs="Times New Roman"/>
                      <w:b w:val="0"/>
                      <w:bCs w:val="0"/>
                      <w:vertAlign w:val="baseline"/>
                      <w:lang w:val="en-US" w:eastAsia="zh-CN"/>
                    </w:rPr>
                    <w:t>11</w:t>
                  </w:r>
                </w:p>
              </w:tc>
              <w:tc>
                <w:tcPr>
                  <w:tcW w:w="350" w:type="dxa"/>
                  <w:vMerge w:val="continue"/>
                  <w:vAlign w:val="center"/>
                </w:tcPr>
                <w:p w14:paraId="1CB84E6F">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vertAlign w:val="baseline"/>
                      <w:lang w:val="en-US" w:eastAsia="zh-CN"/>
                    </w:rPr>
                  </w:pPr>
                </w:p>
              </w:tc>
              <w:tc>
                <w:tcPr>
                  <w:tcW w:w="1923" w:type="dxa"/>
                  <w:vAlign w:val="center"/>
                </w:tcPr>
                <w:p w14:paraId="73AF1A84">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eastAsia" w:ascii="Times New Roman" w:hAnsi="Times New Roman" w:cs="Times New Roman"/>
                      <w:b w:val="0"/>
                      <w:bCs w:val="0"/>
                      <w:vertAlign w:val="baseline"/>
                      <w:lang w:val="en-US" w:eastAsia="zh-CN"/>
                    </w:rPr>
                    <w:t>噪声、土壤或地下水污染防治措施变化，导致不利环境影响加重的</w:t>
                  </w:r>
                </w:p>
              </w:tc>
              <w:tc>
                <w:tcPr>
                  <w:tcW w:w="2052" w:type="dxa"/>
                  <w:vAlign w:val="center"/>
                </w:tcPr>
                <w:p w14:paraId="2D064442">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本项目不涉及</w:t>
                  </w:r>
                </w:p>
              </w:tc>
              <w:tc>
                <w:tcPr>
                  <w:tcW w:w="1771" w:type="dxa"/>
                  <w:vAlign w:val="center"/>
                </w:tcPr>
                <w:p w14:paraId="689D391C">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本项目不涉及</w:t>
                  </w:r>
                </w:p>
              </w:tc>
              <w:tc>
                <w:tcPr>
                  <w:tcW w:w="675" w:type="dxa"/>
                  <w:vAlign w:val="center"/>
                </w:tcPr>
                <w:p w14:paraId="54052A07">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eastAsia" w:cs="Times New Roman"/>
                      <w:b w:val="0"/>
                      <w:bCs w:val="0"/>
                      <w:vertAlign w:val="baseline"/>
                      <w:lang w:val="en-US" w:eastAsia="zh-CN"/>
                    </w:rPr>
                    <w:t>不属于</w:t>
                  </w:r>
                </w:p>
              </w:tc>
              <w:tc>
                <w:tcPr>
                  <w:tcW w:w="694" w:type="dxa"/>
                  <w:vAlign w:val="center"/>
                </w:tcPr>
                <w:p w14:paraId="45C89882">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eastAsia" w:cs="Times New Roman"/>
                      <w:b w:val="0"/>
                      <w:bCs w:val="0"/>
                      <w:vertAlign w:val="baseline"/>
                      <w:lang w:val="en-US" w:eastAsia="zh-CN"/>
                    </w:rPr>
                    <w:t>不属于</w:t>
                  </w:r>
                </w:p>
              </w:tc>
            </w:tr>
            <w:tr w14:paraId="545C1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dxa"/>
                  <w:vAlign w:val="center"/>
                </w:tcPr>
                <w:p w14:paraId="571CE768">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vertAlign w:val="baseline"/>
                      <w:lang w:val="en-US" w:eastAsia="zh-CN"/>
                    </w:rPr>
                  </w:pPr>
                  <w:r>
                    <w:rPr>
                      <w:rFonts w:hint="eastAsia" w:cs="Times New Roman"/>
                      <w:b w:val="0"/>
                      <w:bCs w:val="0"/>
                      <w:vertAlign w:val="baseline"/>
                      <w:lang w:val="en-US" w:eastAsia="zh-CN"/>
                    </w:rPr>
                    <w:t>12</w:t>
                  </w:r>
                </w:p>
              </w:tc>
              <w:tc>
                <w:tcPr>
                  <w:tcW w:w="350" w:type="dxa"/>
                  <w:vMerge w:val="continue"/>
                  <w:vAlign w:val="center"/>
                </w:tcPr>
                <w:p w14:paraId="07531D96">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vertAlign w:val="baseline"/>
                      <w:lang w:val="en-US" w:eastAsia="zh-CN"/>
                    </w:rPr>
                  </w:pPr>
                </w:p>
              </w:tc>
              <w:tc>
                <w:tcPr>
                  <w:tcW w:w="1923" w:type="dxa"/>
                  <w:vAlign w:val="center"/>
                </w:tcPr>
                <w:p w14:paraId="57C241C7">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eastAsia" w:ascii="Times New Roman" w:hAnsi="Times New Roman" w:cs="Times New Roman"/>
                      <w:b w:val="0"/>
                      <w:bCs w:val="0"/>
                      <w:vertAlign w:val="baseline"/>
                      <w:lang w:val="en-US" w:eastAsia="zh-CN"/>
                    </w:rPr>
                    <w:t>固体废物利用处置方式由委托外单位利用处置改为自行利用处置的（自行利用处置设施单独开展环境影响评价的除外）；固体废物自行处置方式变化，导致不利环境影响加重的</w:t>
                  </w:r>
                </w:p>
              </w:tc>
              <w:tc>
                <w:tcPr>
                  <w:tcW w:w="2052" w:type="dxa"/>
                  <w:vAlign w:val="center"/>
                </w:tcPr>
                <w:p w14:paraId="1978E2C2">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本项目不涉及</w:t>
                  </w:r>
                </w:p>
              </w:tc>
              <w:tc>
                <w:tcPr>
                  <w:tcW w:w="1771" w:type="dxa"/>
                  <w:vAlign w:val="center"/>
                </w:tcPr>
                <w:p w14:paraId="771E3488">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本项目不涉及</w:t>
                  </w:r>
                </w:p>
              </w:tc>
              <w:tc>
                <w:tcPr>
                  <w:tcW w:w="675" w:type="dxa"/>
                  <w:vAlign w:val="center"/>
                </w:tcPr>
                <w:p w14:paraId="12A0853A">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eastAsia" w:cs="Times New Roman"/>
                      <w:b w:val="0"/>
                      <w:bCs w:val="0"/>
                      <w:vertAlign w:val="baseline"/>
                      <w:lang w:val="en-US" w:eastAsia="zh-CN"/>
                    </w:rPr>
                    <w:t>不属于</w:t>
                  </w:r>
                </w:p>
              </w:tc>
              <w:tc>
                <w:tcPr>
                  <w:tcW w:w="694" w:type="dxa"/>
                  <w:vAlign w:val="center"/>
                </w:tcPr>
                <w:p w14:paraId="0B83B793">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eastAsia" w:cs="Times New Roman"/>
                      <w:b w:val="0"/>
                      <w:bCs w:val="0"/>
                      <w:vertAlign w:val="baseline"/>
                      <w:lang w:val="en-US" w:eastAsia="zh-CN"/>
                    </w:rPr>
                    <w:t>不属于</w:t>
                  </w:r>
                </w:p>
              </w:tc>
            </w:tr>
            <w:tr w14:paraId="28B22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dxa"/>
                  <w:vAlign w:val="center"/>
                </w:tcPr>
                <w:p w14:paraId="6103463E">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vertAlign w:val="baseline"/>
                      <w:lang w:val="en-US" w:eastAsia="zh-CN"/>
                    </w:rPr>
                  </w:pPr>
                  <w:r>
                    <w:rPr>
                      <w:rFonts w:hint="eastAsia" w:cs="Times New Roman"/>
                      <w:b w:val="0"/>
                      <w:bCs w:val="0"/>
                      <w:vertAlign w:val="baseline"/>
                      <w:lang w:val="en-US" w:eastAsia="zh-CN"/>
                    </w:rPr>
                    <w:t>13</w:t>
                  </w:r>
                </w:p>
              </w:tc>
              <w:tc>
                <w:tcPr>
                  <w:tcW w:w="350" w:type="dxa"/>
                  <w:vMerge w:val="continue"/>
                  <w:vAlign w:val="center"/>
                </w:tcPr>
                <w:p w14:paraId="7494B624">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vertAlign w:val="baseline"/>
                      <w:lang w:val="en-US" w:eastAsia="zh-CN"/>
                    </w:rPr>
                  </w:pPr>
                </w:p>
              </w:tc>
              <w:tc>
                <w:tcPr>
                  <w:tcW w:w="1923" w:type="dxa"/>
                  <w:vAlign w:val="center"/>
                </w:tcPr>
                <w:p w14:paraId="41A5BE4A">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eastAsia" w:ascii="Times New Roman" w:hAnsi="Times New Roman" w:cs="Times New Roman"/>
                      <w:b w:val="0"/>
                      <w:bCs w:val="0"/>
                      <w:vertAlign w:val="baseline"/>
                      <w:lang w:val="en-US" w:eastAsia="zh-CN"/>
                    </w:rPr>
                    <w:t>事故废水暂存能力或拦截设施变化，导致环境风险防范能力弱化或降低的</w:t>
                  </w:r>
                </w:p>
              </w:tc>
              <w:tc>
                <w:tcPr>
                  <w:tcW w:w="2052" w:type="dxa"/>
                  <w:vAlign w:val="center"/>
                </w:tcPr>
                <w:p w14:paraId="2C302972">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本项目不涉及</w:t>
                  </w:r>
                </w:p>
              </w:tc>
              <w:tc>
                <w:tcPr>
                  <w:tcW w:w="1771" w:type="dxa"/>
                  <w:vAlign w:val="center"/>
                </w:tcPr>
                <w:p w14:paraId="4017A20B">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本项目不涉及</w:t>
                  </w:r>
                </w:p>
              </w:tc>
              <w:tc>
                <w:tcPr>
                  <w:tcW w:w="675" w:type="dxa"/>
                  <w:vAlign w:val="center"/>
                </w:tcPr>
                <w:p w14:paraId="352F2CFF">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eastAsia" w:cs="Times New Roman"/>
                      <w:b w:val="0"/>
                      <w:bCs w:val="0"/>
                      <w:vertAlign w:val="baseline"/>
                      <w:lang w:val="en-US" w:eastAsia="zh-CN"/>
                    </w:rPr>
                    <w:t>不属于</w:t>
                  </w:r>
                </w:p>
              </w:tc>
              <w:tc>
                <w:tcPr>
                  <w:tcW w:w="694" w:type="dxa"/>
                  <w:vAlign w:val="center"/>
                </w:tcPr>
                <w:p w14:paraId="2D490F45">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vertAlign w:val="baseline"/>
                      <w:lang w:val="en-US" w:eastAsia="zh-CN"/>
                    </w:rPr>
                  </w:pPr>
                  <w:r>
                    <w:rPr>
                      <w:rFonts w:hint="eastAsia" w:cs="Times New Roman"/>
                      <w:b w:val="0"/>
                      <w:bCs w:val="0"/>
                      <w:vertAlign w:val="baseline"/>
                      <w:lang w:val="en-US" w:eastAsia="zh-CN"/>
                    </w:rPr>
                    <w:t>不属于</w:t>
                  </w:r>
                </w:p>
              </w:tc>
            </w:tr>
          </w:tbl>
          <w:p w14:paraId="38E99782">
            <w:pPr>
              <w:pStyle w:val="6"/>
              <w:ind w:firstLine="480" w:firstLineChars="200"/>
              <w:rPr>
                <w:rFonts w:hint="eastAsia" w:ascii="Times New Roman" w:hAnsi="Times New Roman" w:eastAsia="宋体" w:cs="Times New Roman"/>
                <w:b w:val="0"/>
                <w:bCs w:val="0"/>
                <w:color w:val="auto"/>
                <w:kern w:val="2"/>
                <w:sz w:val="24"/>
                <w:szCs w:val="24"/>
                <w:lang w:val="en-US" w:eastAsia="zh-CN" w:bidi="ar-SA"/>
              </w:rPr>
            </w:pPr>
            <w:r>
              <w:rPr>
                <w:rFonts w:hint="eastAsia"/>
                <w:b w:val="0"/>
                <w:bCs w:val="0"/>
                <w:color w:val="auto"/>
                <w:sz w:val="24"/>
                <w:lang w:val="en-US" w:eastAsia="zh-CN"/>
              </w:rPr>
              <w:t>根据《中华人民共和国环境保护法》（中华人民共和国主席令第九号）和《中华人民共和国环境影响评价法》（2018年12月29日修订）以及《建设项目环境影响评价分类管理名录》（2021年版）的有关规定，新疆富邦国源矿业有限公司委托本公司，受委托后我公司工作人员经过现场勘察及工程分析。本项目年生产160万平方米石板材、8万件异型石材、40万平方米花岗岩板材和3.2万吨人造岗石，根据《国民经济行业分类（GB/T4754-2019）》，国民经济行业类别为C3032建筑用石加工。</w:t>
            </w:r>
            <w:r>
              <w:rPr>
                <w:rFonts w:hint="eastAsia" w:ascii="Times New Roman" w:hAnsi="Times New Roman" w:eastAsia="宋体" w:cs="Times New Roman"/>
                <w:b w:val="0"/>
                <w:bCs w:val="0"/>
                <w:color w:val="auto"/>
                <w:kern w:val="2"/>
                <w:sz w:val="24"/>
                <w:szCs w:val="24"/>
                <w:lang w:val="en-US" w:eastAsia="zh-CN" w:bidi="ar-SA"/>
              </w:rPr>
              <w:t>依据</w:t>
            </w:r>
            <w:r>
              <w:rPr>
                <w:rFonts w:hint="eastAsia"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建设项目环境影响评价分类管理名录</w:t>
            </w:r>
            <w:r>
              <w:rPr>
                <w:rFonts w:hint="eastAsia"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2021年版</w:t>
            </w:r>
            <w:r>
              <w:rPr>
                <w:rFonts w:hint="eastAsia"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的要求，属于</w:t>
            </w:r>
            <w:r>
              <w:rPr>
                <w:rFonts w:hint="eastAsia" w:cs="Times New Roman"/>
                <w:b w:val="0"/>
                <w:bCs w:val="0"/>
                <w:color w:val="auto"/>
                <w:kern w:val="2"/>
                <w:sz w:val="24"/>
                <w:szCs w:val="24"/>
                <w:lang w:val="en-US" w:eastAsia="zh-CN" w:bidi="ar-SA"/>
              </w:rPr>
              <w:t>“非金属矿物制品业”</w:t>
            </w:r>
            <w:r>
              <w:rPr>
                <w:rFonts w:hint="eastAsia" w:ascii="Times New Roman" w:hAnsi="Times New Roman" w:eastAsia="宋体" w:cs="Times New Roman"/>
                <w:b w:val="0"/>
                <w:bCs w:val="0"/>
                <w:color w:val="auto"/>
                <w:kern w:val="2"/>
                <w:sz w:val="24"/>
                <w:szCs w:val="24"/>
                <w:lang w:val="en-US" w:eastAsia="zh-CN" w:bidi="ar-SA"/>
              </w:rPr>
              <w:t>中</w:t>
            </w:r>
            <w:r>
              <w:rPr>
                <w:rFonts w:hint="eastAsia" w:cs="Times New Roman"/>
                <w:b w:val="0"/>
                <w:bCs w:val="0"/>
                <w:color w:val="auto"/>
                <w:kern w:val="2"/>
                <w:sz w:val="24"/>
                <w:szCs w:val="24"/>
                <w:lang w:val="en-US" w:eastAsia="zh-CN" w:bidi="ar-SA"/>
              </w:rPr>
              <w:t>“建筑用石加工”</w:t>
            </w:r>
            <w:r>
              <w:rPr>
                <w:rFonts w:hint="eastAsia" w:ascii="Times New Roman" w:hAnsi="Times New Roman" w:eastAsia="宋体" w:cs="Times New Roman"/>
                <w:b w:val="0"/>
                <w:bCs w:val="0"/>
                <w:color w:val="auto"/>
                <w:kern w:val="2"/>
                <w:sz w:val="24"/>
                <w:szCs w:val="24"/>
                <w:lang w:val="en-US" w:eastAsia="zh-CN" w:bidi="ar-SA"/>
              </w:rPr>
              <w:t>，因此应编制该项目的环境影响评价报告表。</w:t>
            </w:r>
          </w:p>
          <w:p w14:paraId="1435A6A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2" w:firstLineChars="200"/>
              <w:jc w:val="left"/>
              <w:textAlignment w:val="auto"/>
              <w:rPr>
                <w:rFonts w:hint="eastAsia"/>
                <w:b/>
                <w:bCs/>
                <w:color w:val="auto"/>
                <w:sz w:val="24"/>
                <w:lang w:val="en-US" w:eastAsia="zh-CN"/>
              </w:rPr>
            </w:pPr>
            <w:r>
              <w:rPr>
                <w:rFonts w:hint="eastAsia" w:ascii="宋体" w:hAnsi="宋体" w:cs="宋体"/>
                <w:b/>
                <w:bCs/>
                <w:color w:val="auto"/>
                <w:sz w:val="24"/>
                <w:szCs w:val="24"/>
                <w:lang w:val="en-US" w:eastAsia="zh-CN"/>
              </w:rPr>
              <w:t>2.</w:t>
            </w:r>
            <w:r>
              <w:rPr>
                <w:rFonts w:hint="eastAsia"/>
                <w:b/>
                <w:bCs/>
                <w:color w:val="auto"/>
                <w:sz w:val="24"/>
                <w:lang w:val="en-US" w:eastAsia="zh-CN"/>
              </w:rPr>
              <w:t>项目概况</w:t>
            </w:r>
          </w:p>
          <w:p w14:paraId="6A7A0606">
            <w:pPr>
              <w:spacing w:line="520" w:lineRule="exact"/>
              <w:ind w:firstLine="480" w:firstLineChars="200"/>
              <w:jc w:val="left"/>
              <w:rPr>
                <w:rFonts w:hint="default"/>
                <w:b w:val="0"/>
                <w:bCs w:val="0"/>
                <w:color w:val="auto"/>
                <w:sz w:val="24"/>
                <w:lang w:val="en-US" w:eastAsia="zh-CN"/>
              </w:rPr>
            </w:pPr>
            <w:r>
              <w:rPr>
                <w:rFonts w:hint="eastAsia"/>
                <w:color w:val="auto"/>
                <w:sz w:val="24"/>
                <w:lang w:val="en-US" w:eastAsia="zh-CN"/>
              </w:rPr>
              <w:t>项目名称</w:t>
            </w:r>
            <w:r>
              <w:rPr>
                <w:rFonts w:hint="eastAsia"/>
                <w:b w:val="0"/>
                <w:bCs w:val="0"/>
                <w:color w:val="auto"/>
                <w:sz w:val="24"/>
                <w:lang w:val="en-US" w:eastAsia="zh-CN"/>
              </w:rPr>
              <w:t>：新疆富邦国源矿业有限公司和硕石材加工厂改扩建项目（重新报批）</w:t>
            </w:r>
          </w:p>
          <w:p w14:paraId="10F209BB">
            <w:pPr>
              <w:spacing w:line="520" w:lineRule="exact"/>
              <w:ind w:firstLine="480" w:firstLineChars="200"/>
              <w:jc w:val="left"/>
              <w:rPr>
                <w:rFonts w:hint="eastAsia"/>
                <w:b w:val="0"/>
                <w:bCs w:val="0"/>
                <w:color w:val="auto"/>
                <w:sz w:val="24"/>
                <w:lang w:val="en-US" w:eastAsia="zh-CN"/>
              </w:rPr>
            </w:pPr>
            <w:r>
              <w:rPr>
                <w:rFonts w:hint="eastAsia"/>
                <w:b w:val="0"/>
                <w:bCs w:val="0"/>
                <w:color w:val="auto"/>
                <w:sz w:val="24"/>
                <w:lang w:val="en-US" w:eastAsia="zh-CN"/>
              </w:rPr>
              <w:t>建设单位：新疆富邦国源矿业有限公司</w:t>
            </w:r>
          </w:p>
          <w:p w14:paraId="0F105F6D">
            <w:pPr>
              <w:spacing w:line="520" w:lineRule="exact"/>
              <w:ind w:firstLine="480" w:firstLineChars="200"/>
              <w:jc w:val="left"/>
              <w:rPr>
                <w:rFonts w:hint="default"/>
                <w:b w:val="0"/>
                <w:bCs w:val="0"/>
                <w:color w:val="auto"/>
                <w:sz w:val="24"/>
                <w:lang w:val="en-US" w:eastAsia="zh-CN"/>
              </w:rPr>
            </w:pPr>
            <w:r>
              <w:rPr>
                <w:rFonts w:hint="eastAsia"/>
                <w:b w:val="0"/>
                <w:bCs w:val="0"/>
                <w:color w:val="auto"/>
                <w:sz w:val="24"/>
                <w:lang w:val="en-US" w:eastAsia="zh-CN"/>
              </w:rPr>
              <w:t>建设性质：扩建</w:t>
            </w:r>
          </w:p>
          <w:p w14:paraId="7BC33B48">
            <w:pPr>
              <w:spacing w:line="520" w:lineRule="exact"/>
              <w:ind w:firstLine="480" w:firstLineChars="200"/>
              <w:jc w:val="left"/>
              <w:rPr>
                <w:rFonts w:hint="default"/>
                <w:color w:val="auto"/>
                <w:sz w:val="24"/>
                <w:lang w:val="en-US" w:eastAsia="zh-CN"/>
              </w:rPr>
            </w:pPr>
            <w:r>
              <w:rPr>
                <w:rFonts w:hint="eastAsia"/>
                <w:color w:val="auto"/>
                <w:sz w:val="24"/>
                <w:lang w:val="en-US" w:eastAsia="zh-CN"/>
              </w:rPr>
              <w:t>建设地点：新疆和硕经济开发区清水河综合工业园区</w:t>
            </w:r>
          </w:p>
          <w:p w14:paraId="57B07E6D">
            <w:pPr>
              <w:spacing w:line="520" w:lineRule="exact"/>
              <w:ind w:firstLine="480" w:firstLineChars="200"/>
              <w:jc w:val="left"/>
              <w:rPr>
                <w:rFonts w:hint="default"/>
                <w:color w:val="auto"/>
                <w:sz w:val="24"/>
                <w:lang w:val="en-US" w:eastAsia="zh-CN"/>
              </w:rPr>
            </w:pPr>
            <w:r>
              <w:rPr>
                <w:rFonts w:hint="eastAsia"/>
                <w:color w:val="auto"/>
                <w:sz w:val="24"/>
                <w:lang w:val="en-US" w:eastAsia="zh-CN"/>
              </w:rPr>
              <w:t>投资总额：2600万元</w:t>
            </w:r>
          </w:p>
          <w:p w14:paraId="0AECDC12">
            <w:pPr>
              <w:spacing w:line="520" w:lineRule="exact"/>
              <w:ind w:firstLine="480" w:firstLineChars="200"/>
              <w:jc w:val="left"/>
              <w:rPr>
                <w:rFonts w:hint="default"/>
                <w:color w:val="auto"/>
                <w:sz w:val="24"/>
                <w:lang w:val="en-US" w:eastAsia="zh-CN"/>
              </w:rPr>
            </w:pPr>
            <w:r>
              <w:rPr>
                <w:rFonts w:hint="eastAsia"/>
                <w:color w:val="auto"/>
                <w:sz w:val="24"/>
                <w:lang w:val="en-US" w:eastAsia="zh-CN"/>
              </w:rPr>
              <w:t>环保投资：81万元</w:t>
            </w:r>
          </w:p>
          <w:p w14:paraId="4B004C0C">
            <w:pPr>
              <w:spacing w:line="520" w:lineRule="exact"/>
              <w:ind w:firstLine="480" w:firstLineChars="200"/>
              <w:jc w:val="left"/>
              <w:rPr>
                <w:rFonts w:hint="default" w:eastAsia="宋体"/>
                <w:color w:val="auto"/>
                <w:sz w:val="24"/>
                <w:lang w:val="en-US" w:eastAsia="zh-CN"/>
              </w:rPr>
            </w:pPr>
            <w:r>
              <w:rPr>
                <w:rFonts w:hint="eastAsia"/>
                <w:color w:val="auto"/>
                <w:sz w:val="24"/>
                <w:lang w:val="en-US" w:eastAsia="zh-CN"/>
              </w:rPr>
              <w:t>主要建设内容：本项目拟利用厂区已有的车间（5#车间），新建1条年产3.2万吨人造岗石生产线1条，5#厂房外南侧与5#厂房</w:t>
            </w:r>
            <w:r>
              <w:rPr>
                <w:rFonts w:hint="eastAsia"/>
                <w:color w:val="FF0000"/>
                <w:sz w:val="24"/>
                <w:lang w:val="en-US" w:eastAsia="zh-CN"/>
              </w:rPr>
              <w:t>相接新建破碎厂房2600平方米（新增骨料破碎生产线1条）</w:t>
            </w:r>
            <w:r>
              <w:rPr>
                <w:rFonts w:hint="eastAsia"/>
                <w:color w:val="auto"/>
                <w:sz w:val="24"/>
                <w:lang w:val="en-US" w:eastAsia="zh-CN"/>
              </w:rPr>
              <w:t>，项目区南侧新建荒料堆场1个，占地1000m</w:t>
            </w:r>
            <w:r>
              <w:rPr>
                <w:rFonts w:hint="eastAsia"/>
                <w:color w:val="auto"/>
                <w:sz w:val="24"/>
                <w:vertAlign w:val="superscript"/>
                <w:lang w:val="en-US" w:eastAsia="zh-CN"/>
              </w:rPr>
              <w:t>2</w:t>
            </w:r>
            <w:r>
              <w:rPr>
                <w:rFonts w:hint="eastAsia"/>
                <w:color w:val="auto"/>
                <w:sz w:val="24"/>
                <w:lang w:val="en-US" w:eastAsia="zh-CN"/>
              </w:rPr>
              <w:t>。</w:t>
            </w:r>
          </w:p>
          <w:p w14:paraId="7A892228">
            <w:pPr>
              <w:spacing w:line="520" w:lineRule="exact"/>
              <w:ind w:firstLine="480" w:firstLineChars="200"/>
              <w:jc w:val="left"/>
              <w:rPr>
                <w:color w:val="auto"/>
                <w:sz w:val="24"/>
              </w:rPr>
            </w:pPr>
            <w:r>
              <w:rPr>
                <w:rFonts w:hint="eastAsia"/>
                <w:color w:val="auto"/>
                <w:sz w:val="24"/>
              </w:rPr>
              <w:t>项目位于</w:t>
            </w:r>
            <w:r>
              <w:rPr>
                <w:rFonts w:hint="eastAsia"/>
                <w:color w:val="auto"/>
                <w:sz w:val="24"/>
                <w:lang w:val="en-US" w:eastAsia="zh-CN"/>
              </w:rPr>
              <w:t>新疆和硕经济开发区清水河综合工业园区内</w:t>
            </w:r>
            <w:r>
              <w:rPr>
                <w:rFonts w:hint="eastAsia"/>
                <w:color w:val="auto"/>
                <w:sz w:val="24"/>
              </w:rPr>
              <w:t>，中心地理坐标为：东经</w:t>
            </w:r>
            <w:r>
              <w:rPr>
                <w:rFonts w:hint="eastAsia"/>
                <w:color w:val="auto"/>
                <w:sz w:val="24"/>
                <w:lang w:val="en-US" w:eastAsia="zh-CN"/>
              </w:rPr>
              <w:t>86°55′18.811″</w:t>
            </w:r>
            <w:r>
              <w:rPr>
                <w:rFonts w:hint="eastAsia"/>
                <w:color w:val="auto"/>
                <w:sz w:val="24"/>
              </w:rPr>
              <w:t>，北纬</w:t>
            </w:r>
            <w:r>
              <w:rPr>
                <w:rFonts w:hint="eastAsia"/>
                <w:color w:val="auto"/>
                <w:sz w:val="24"/>
                <w:lang w:val="en-US" w:eastAsia="zh-CN"/>
              </w:rPr>
              <w:t>42°17′0.489″</w:t>
            </w:r>
            <w:r>
              <w:rPr>
                <w:rFonts w:hint="eastAsia"/>
                <w:color w:val="auto"/>
                <w:sz w:val="24"/>
              </w:rPr>
              <w:t>。项目所在地理位置详见附图1。</w:t>
            </w:r>
          </w:p>
          <w:p w14:paraId="3ABCF391">
            <w:pPr>
              <w:spacing w:line="520" w:lineRule="exact"/>
              <w:ind w:firstLine="480" w:firstLineChars="200"/>
              <w:jc w:val="left"/>
              <w:rPr>
                <w:rFonts w:hint="default"/>
                <w:color w:val="auto"/>
                <w:lang w:val="en-US" w:eastAsia="zh-CN"/>
              </w:rPr>
            </w:pPr>
            <w:r>
              <w:rPr>
                <w:rFonts w:hint="eastAsia"/>
                <w:color w:val="auto"/>
                <w:sz w:val="24"/>
                <w:lang w:val="en-US" w:eastAsia="zh-CN"/>
              </w:rPr>
              <w:t>厂区北侧为314国道，南侧为和硕县三安石材有限公司、未来万家矿业开发有限责任公司，西侧为和硕恒达石业有限公司，东侧为空地。项目周边环境关系图见附图2。项目现阶段已建成1#车间（用作成品库房）、3#车间（板材加工车间）、5#车间（空置厂房）、荒料堆放区、循环水池、泥浆池、办公楼、食宿楼、机修处、卫生间、锅炉房（现已停用）。</w:t>
            </w:r>
          </w:p>
          <w:p w14:paraId="3DB29ADE">
            <w:pPr>
              <w:pStyle w:val="19"/>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482" w:firstLineChars="200"/>
              <w:jc w:val="left"/>
              <w:textAlignment w:val="auto"/>
              <w:rPr>
                <w:rFonts w:hint="eastAsia"/>
                <w:b/>
                <w:bCs/>
                <w:color w:val="auto"/>
                <w:sz w:val="24"/>
              </w:rPr>
            </w:pPr>
            <w:r>
              <w:rPr>
                <w:rFonts w:hint="eastAsia" w:cs="Times New Roman"/>
                <w:b/>
                <w:bCs/>
                <w:color w:val="auto"/>
                <w:kern w:val="2"/>
                <w:sz w:val="24"/>
                <w:szCs w:val="24"/>
                <w:lang w:val="en-US" w:eastAsia="zh-CN" w:bidi="ar-SA"/>
              </w:rPr>
              <w:t>3.</w:t>
            </w:r>
            <w:r>
              <w:rPr>
                <w:rFonts w:hint="eastAsia"/>
                <w:b/>
                <w:bCs/>
                <w:color w:val="auto"/>
                <w:sz w:val="24"/>
                <w:lang w:val="en-US" w:eastAsia="zh-CN"/>
              </w:rPr>
              <w:t>主要建设内容</w:t>
            </w:r>
          </w:p>
          <w:p w14:paraId="51F88243">
            <w:pPr>
              <w:spacing w:line="520" w:lineRule="exact"/>
              <w:ind w:firstLine="480" w:firstLineChars="200"/>
              <w:jc w:val="left"/>
              <w:rPr>
                <w:rFonts w:hint="default"/>
                <w:color w:val="auto"/>
                <w:sz w:val="24"/>
                <w:lang w:val="en-US" w:eastAsia="zh-CN"/>
              </w:rPr>
            </w:pPr>
            <w:r>
              <w:rPr>
                <w:rFonts w:hint="eastAsia"/>
                <w:color w:val="auto"/>
                <w:sz w:val="24"/>
                <w:lang w:val="en-US" w:eastAsia="zh-CN"/>
              </w:rPr>
              <w:t>本项目位于新疆和硕县经济开发区清水河综合园区</w:t>
            </w:r>
            <w:r>
              <w:rPr>
                <w:rFonts w:hint="eastAsia"/>
                <w:b w:val="0"/>
                <w:bCs w:val="0"/>
                <w:color w:val="auto"/>
                <w:sz w:val="24"/>
                <w:lang w:val="en-US" w:eastAsia="zh-CN"/>
              </w:rPr>
              <w:t>新疆富邦国源矿业有限公司现有厂房内，厂区占地200000m</w:t>
            </w:r>
            <w:r>
              <w:rPr>
                <w:rFonts w:hint="eastAsia"/>
                <w:b w:val="0"/>
                <w:bCs w:val="0"/>
                <w:color w:val="auto"/>
                <w:sz w:val="24"/>
                <w:vertAlign w:val="superscript"/>
                <w:lang w:val="en-US" w:eastAsia="zh-CN"/>
              </w:rPr>
              <w:t>2</w:t>
            </w:r>
            <w:r>
              <w:rPr>
                <w:rFonts w:hint="eastAsia"/>
                <w:b w:val="0"/>
                <w:bCs w:val="0"/>
                <w:color w:val="auto"/>
                <w:sz w:val="24"/>
                <w:lang w:val="en-US" w:eastAsia="zh-CN"/>
              </w:rPr>
              <w:t>。</w:t>
            </w:r>
          </w:p>
          <w:p w14:paraId="59DA517F">
            <w:pPr>
              <w:spacing w:line="520" w:lineRule="exact"/>
              <w:ind w:firstLine="480" w:firstLineChars="200"/>
              <w:jc w:val="left"/>
              <w:rPr>
                <w:rFonts w:hint="default"/>
                <w:color w:val="auto"/>
                <w:lang w:val="en-US" w:eastAsia="zh-CN"/>
              </w:rPr>
            </w:pPr>
            <w:r>
              <w:rPr>
                <w:rFonts w:hint="eastAsia"/>
                <w:color w:val="auto"/>
                <w:sz w:val="24"/>
                <w:lang w:val="en-US" w:eastAsia="zh-CN"/>
              </w:rPr>
              <w:t>本项目拟利用厂区已有的车间（5#车间），新建1条年产3.2万吨人造岗石生产线，5#厂房外南侧与5#厂房</w:t>
            </w:r>
            <w:r>
              <w:rPr>
                <w:rFonts w:hint="eastAsia"/>
                <w:color w:val="FF0000"/>
                <w:sz w:val="24"/>
                <w:lang w:val="en-US" w:eastAsia="zh-CN"/>
              </w:rPr>
              <w:t>相接新建破碎厂房2600平方米</w:t>
            </w:r>
            <w:r>
              <w:rPr>
                <w:rFonts w:hint="eastAsia"/>
                <w:color w:val="auto"/>
                <w:sz w:val="24"/>
                <w:lang w:val="en-US" w:eastAsia="zh-CN"/>
              </w:rPr>
              <w:t>（新增骨料破碎生产线1条），项目区南侧新建荒料堆场1个，占地1000m</w:t>
            </w:r>
            <w:r>
              <w:rPr>
                <w:rFonts w:hint="eastAsia"/>
                <w:color w:val="auto"/>
                <w:sz w:val="24"/>
                <w:vertAlign w:val="superscript"/>
                <w:lang w:val="en-US" w:eastAsia="zh-CN"/>
              </w:rPr>
              <w:t>2</w:t>
            </w:r>
            <w:r>
              <w:rPr>
                <w:rFonts w:hint="eastAsia"/>
                <w:color w:val="0000FF"/>
                <w:sz w:val="24"/>
                <w:vertAlign w:val="baseline"/>
                <w:lang w:val="en-US" w:eastAsia="zh-CN"/>
              </w:rPr>
              <w:t>。</w:t>
            </w:r>
            <w:r>
              <w:rPr>
                <w:rFonts w:hint="eastAsia"/>
                <w:color w:val="auto"/>
                <w:sz w:val="24"/>
                <w:lang w:val="en-US" w:eastAsia="zh-CN"/>
              </w:rPr>
              <w:t>项目建设后厂区总占地面积不变（200000m</w:t>
            </w:r>
            <w:r>
              <w:rPr>
                <w:rFonts w:hint="eastAsia"/>
                <w:color w:val="auto"/>
                <w:sz w:val="24"/>
                <w:vertAlign w:val="superscript"/>
                <w:lang w:val="en-US" w:eastAsia="zh-CN"/>
              </w:rPr>
              <w:t>2</w:t>
            </w:r>
            <w:r>
              <w:rPr>
                <w:rFonts w:hint="eastAsia"/>
                <w:color w:val="auto"/>
                <w:sz w:val="24"/>
                <w:lang w:val="en-US" w:eastAsia="zh-CN"/>
              </w:rPr>
              <w:t>）</w:t>
            </w:r>
            <w:r>
              <w:rPr>
                <w:rFonts w:hint="eastAsia"/>
                <w:color w:val="auto"/>
                <w:sz w:val="24"/>
                <w:vertAlign w:val="baseline"/>
                <w:lang w:val="en-US" w:eastAsia="zh-CN"/>
              </w:rPr>
              <w:t>。建设内容包括：主体工程、辅助工程、储运工程、公共工程、环保工程和依托工程。</w:t>
            </w:r>
          </w:p>
          <w:p w14:paraId="07349A3C">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left"/>
              <w:textAlignment w:val="auto"/>
              <w:rPr>
                <w:b/>
                <w:bCs/>
                <w:color w:val="auto"/>
                <w:sz w:val="24"/>
              </w:rPr>
            </w:pPr>
            <w:r>
              <w:rPr>
                <w:rFonts w:hint="eastAsia"/>
                <w:b/>
                <w:bCs/>
                <w:color w:val="auto"/>
                <w:sz w:val="24"/>
                <w:lang w:val="en-US" w:eastAsia="zh-CN"/>
              </w:rPr>
              <w:t>4.</w:t>
            </w:r>
            <w:r>
              <w:rPr>
                <w:rFonts w:hint="eastAsia"/>
                <w:b/>
                <w:bCs/>
                <w:color w:val="auto"/>
                <w:sz w:val="24"/>
              </w:rPr>
              <w:t>建设内容与规模</w:t>
            </w:r>
          </w:p>
          <w:p w14:paraId="6F68F666">
            <w:pPr>
              <w:spacing w:line="360" w:lineRule="auto"/>
              <w:ind w:firstLine="480" w:firstLineChars="200"/>
              <w:jc w:val="left"/>
              <w:rPr>
                <w:rFonts w:hint="eastAsia"/>
                <w:color w:val="auto"/>
                <w:sz w:val="24"/>
              </w:rPr>
            </w:pPr>
            <w:r>
              <w:rPr>
                <w:rFonts w:hint="eastAsia"/>
                <w:color w:val="auto"/>
                <w:sz w:val="24"/>
                <w:lang w:val="zh-CN"/>
              </w:rPr>
              <w:t>主要</w:t>
            </w:r>
            <w:r>
              <w:rPr>
                <w:rFonts w:hint="eastAsia"/>
                <w:color w:val="auto"/>
                <w:sz w:val="24"/>
              </w:rPr>
              <w:t>工程内容见表</w:t>
            </w:r>
            <w:r>
              <w:rPr>
                <w:rFonts w:hint="eastAsia"/>
                <w:color w:val="auto"/>
                <w:sz w:val="24"/>
                <w:lang w:val="en-US" w:eastAsia="zh-CN"/>
              </w:rPr>
              <w:t>2</w:t>
            </w:r>
            <w:r>
              <w:rPr>
                <w:rFonts w:hint="eastAsia"/>
                <w:color w:val="auto"/>
                <w:sz w:val="24"/>
              </w:rPr>
              <w:t>-</w:t>
            </w:r>
            <w:r>
              <w:rPr>
                <w:rFonts w:hint="eastAsia"/>
                <w:color w:val="auto"/>
                <w:sz w:val="24"/>
                <w:lang w:val="en-US" w:eastAsia="zh-CN"/>
              </w:rPr>
              <w:t>2</w:t>
            </w:r>
            <w:r>
              <w:rPr>
                <w:rFonts w:hint="eastAsia"/>
                <w:color w:val="auto"/>
                <w:sz w:val="24"/>
              </w:rPr>
              <w:t>。</w:t>
            </w:r>
          </w:p>
          <w:p w14:paraId="3F3C09AD">
            <w:pPr>
              <w:spacing w:line="520" w:lineRule="exact"/>
              <w:ind w:firstLine="480" w:firstLineChars="200"/>
              <w:jc w:val="left"/>
              <w:rPr>
                <w:rFonts w:hint="eastAsia"/>
                <w:color w:val="auto"/>
                <w:sz w:val="24"/>
              </w:rPr>
            </w:pPr>
          </w:p>
          <w:p w14:paraId="774E1620">
            <w:pPr>
              <w:pStyle w:val="37"/>
              <w:rPr>
                <w:rFonts w:hint="eastAsia"/>
                <w:color w:val="auto"/>
                <w:sz w:val="24"/>
              </w:rPr>
            </w:pPr>
          </w:p>
          <w:p w14:paraId="43710A27">
            <w:pPr>
              <w:rPr>
                <w:rFonts w:hint="eastAsia"/>
                <w:color w:val="auto"/>
                <w:sz w:val="24"/>
              </w:rPr>
            </w:pPr>
          </w:p>
          <w:p w14:paraId="66A588D6">
            <w:pPr>
              <w:pStyle w:val="37"/>
              <w:rPr>
                <w:rFonts w:hint="eastAsia"/>
              </w:rPr>
            </w:pPr>
          </w:p>
          <w:p w14:paraId="5F79BF0D">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2" w:firstLineChars="200"/>
              <w:jc w:val="center"/>
              <w:textAlignment w:val="auto"/>
              <w:rPr>
                <w:rFonts w:hint="eastAsia"/>
                <w:color w:val="auto"/>
                <w:sz w:val="24"/>
              </w:rPr>
            </w:pPr>
            <w:r>
              <w:rPr>
                <w:rFonts w:hint="eastAsia"/>
                <w:b/>
                <w:bCs/>
                <w:color w:val="auto"/>
                <w:sz w:val="21"/>
                <w:szCs w:val="21"/>
              </w:rPr>
              <w:t>表</w:t>
            </w:r>
            <w:r>
              <w:rPr>
                <w:rFonts w:hint="eastAsia"/>
                <w:b/>
                <w:bCs/>
                <w:color w:val="auto"/>
                <w:sz w:val="21"/>
                <w:szCs w:val="21"/>
                <w:lang w:val="en-US" w:eastAsia="zh-CN"/>
              </w:rPr>
              <w:t>2-2</w:t>
            </w:r>
            <w:r>
              <w:rPr>
                <w:rFonts w:hint="eastAsia"/>
                <w:b/>
                <w:bCs/>
                <w:color w:val="auto"/>
                <w:sz w:val="21"/>
                <w:szCs w:val="21"/>
              </w:rPr>
              <w:t>项目主要工程内容</w:t>
            </w:r>
          </w:p>
          <w:tbl>
            <w:tblPr>
              <w:tblStyle w:val="24"/>
              <w:tblW w:w="4993"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0"/>
              <w:gridCol w:w="645"/>
              <w:gridCol w:w="1056"/>
              <w:gridCol w:w="1926"/>
              <w:gridCol w:w="1838"/>
              <w:gridCol w:w="1031"/>
              <w:gridCol w:w="768"/>
            </w:tblGrid>
            <w:tr w14:paraId="45327B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blHeader/>
                <w:jc w:val="center"/>
              </w:trPr>
              <w:tc>
                <w:tcPr>
                  <w:tcW w:w="422" w:type="pct"/>
                  <w:vMerge w:val="restart"/>
                  <w:noWrap w:val="0"/>
                  <w:vAlign w:val="center"/>
                </w:tcPr>
                <w:p w14:paraId="68EBC7D5">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color w:val="auto"/>
                    </w:rPr>
                    <w:t>类别</w:t>
                  </w:r>
                </w:p>
              </w:tc>
              <w:tc>
                <w:tcPr>
                  <w:tcW w:w="1071" w:type="pct"/>
                  <w:gridSpan w:val="2"/>
                  <w:vMerge w:val="restart"/>
                  <w:noWrap w:val="0"/>
                  <w:vAlign w:val="center"/>
                </w:tcPr>
                <w:p w14:paraId="6FB28EF5">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color w:val="auto"/>
                    </w:rPr>
                    <w:t>名称</w:t>
                  </w:r>
                </w:p>
              </w:tc>
              <w:tc>
                <w:tcPr>
                  <w:tcW w:w="3021" w:type="pct"/>
                  <w:gridSpan w:val="3"/>
                  <w:noWrap w:val="0"/>
                  <w:vAlign w:val="center"/>
                </w:tcPr>
                <w:p w14:paraId="6A641151">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color w:val="auto"/>
                    </w:rPr>
                    <w:t>建设内容</w:t>
                  </w:r>
                </w:p>
              </w:tc>
              <w:tc>
                <w:tcPr>
                  <w:tcW w:w="483" w:type="pct"/>
                  <w:vMerge w:val="restart"/>
                  <w:noWrap w:val="0"/>
                  <w:vAlign w:val="center"/>
                </w:tcPr>
                <w:p w14:paraId="0EEEC343">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color w:val="auto"/>
                    </w:rPr>
                    <w:t>备注</w:t>
                  </w:r>
                </w:p>
              </w:tc>
            </w:tr>
            <w:tr w14:paraId="1ABEBD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blHeader/>
                <w:jc w:val="center"/>
              </w:trPr>
              <w:tc>
                <w:tcPr>
                  <w:tcW w:w="422" w:type="pct"/>
                  <w:vMerge w:val="continue"/>
                  <w:noWrap w:val="0"/>
                  <w:vAlign w:val="center"/>
                </w:tcPr>
                <w:p w14:paraId="673B2517">
                  <w:pPr>
                    <w:keepNext w:val="0"/>
                    <w:keepLines w:val="0"/>
                    <w:suppressLineNumbers w:val="0"/>
                    <w:spacing w:before="0" w:beforeAutospacing="0" w:after="0" w:afterAutospacing="0"/>
                    <w:ind w:left="0" w:right="0"/>
                    <w:jc w:val="center"/>
                  </w:pPr>
                </w:p>
              </w:tc>
              <w:tc>
                <w:tcPr>
                  <w:tcW w:w="1071" w:type="pct"/>
                  <w:gridSpan w:val="2"/>
                  <w:vMerge w:val="continue"/>
                  <w:noWrap w:val="0"/>
                  <w:vAlign w:val="center"/>
                </w:tcPr>
                <w:p w14:paraId="49E48020">
                  <w:pPr>
                    <w:keepNext w:val="0"/>
                    <w:keepLines w:val="0"/>
                    <w:suppressLineNumbers w:val="0"/>
                    <w:spacing w:before="0" w:beforeAutospacing="0" w:after="0" w:afterAutospacing="0"/>
                    <w:ind w:left="0" w:right="0"/>
                    <w:jc w:val="center"/>
                  </w:pPr>
                </w:p>
              </w:tc>
              <w:tc>
                <w:tcPr>
                  <w:tcW w:w="1213" w:type="pct"/>
                  <w:noWrap w:val="0"/>
                  <w:vAlign w:val="center"/>
                </w:tcPr>
                <w:p w14:paraId="4A9E7FF9">
                  <w:pPr>
                    <w:keepNext w:val="0"/>
                    <w:keepLines w:val="0"/>
                    <w:suppressLineNumbers w:val="0"/>
                    <w:spacing w:before="0" w:beforeAutospacing="0" w:after="0" w:afterAutospacing="0"/>
                    <w:ind w:left="0" w:leftChars="0" w:right="0" w:rightChars="0"/>
                    <w:jc w:val="center"/>
                  </w:pPr>
                  <w:r>
                    <w:rPr>
                      <w:rFonts w:hint="eastAsia" w:ascii="Times New Roman" w:hAnsi="Times New Roman" w:cs="Times New Roman"/>
                      <w:color w:val="auto"/>
                      <w:lang w:val="en-US" w:eastAsia="zh-CN"/>
                    </w:rPr>
                    <w:t>重新报批前</w:t>
                  </w:r>
                </w:p>
              </w:tc>
              <w:tc>
                <w:tcPr>
                  <w:tcW w:w="1158" w:type="pct"/>
                  <w:noWrap w:val="0"/>
                  <w:vAlign w:val="center"/>
                </w:tcPr>
                <w:p w14:paraId="73662574">
                  <w:pPr>
                    <w:keepNext w:val="0"/>
                    <w:keepLines w:val="0"/>
                    <w:suppressLineNumbers w:val="0"/>
                    <w:spacing w:before="0" w:beforeAutospacing="0" w:after="0" w:afterAutospacing="0"/>
                    <w:ind w:left="0" w:leftChars="0" w:right="0" w:rightChars="0"/>
                    <w:jc w:val="center"/>
                  </w:pPr>
                  <w:r>
                    <w:rPr>
                      <w:rFonts w:hint="eastAsia" w:ascii="Times New Roman" w:hAnsi="Times New Roman" w:cs="Times New Roman"/>
                      <w:color w:val="auto"/>
                      <w:lang w:val="en-US" w:eastAsia="zh-CN"/>
                    </w:rPr>
                    <w:t>重新报批</w:t>
                  </w:r>
                  <w:r>
                    <w:rPr>
                      <w:rFonts w:hint="eastAsia" w:cs="Times New Roman"/>
                      <w:color w:val="auto"/>
                      <w:lang w:val="en-US" w:eastAsia="zh-CN"/>
                    </w:rPr>
                    <w:t>后</w:t>
                  </w:r>
                </w:p>
              </w:tc>
              <w:tc>
                <w:tcPr>
                  <w:tcW w:w="649" w:type="pct"/>
                  <w:noWrap w:val="0"/>
                  <w:vAlign w:val="center"/>
                </w:tcPr>
                <w:p w14:paraId="7DD7C8F5">
                  <w:pPr>
                    <w:keepNext w:val="0"/>
                    <w:keepLines w:val="0"/>
                    <w:suppressLineNumbers w:val="0"/>
                    <w:spacing w:before="0" w:beforeAutospacing="0" w:after="0" w:afterAutospacing="0"/>
                    <w:ind w:left="0" w:leftChars="0" w:right="0" w:rightChars="0"/>
                    <w:jc w:val="center"/>
                  </w:pPr>
                  <w:r>
                    <w:rPr>
                      <w:rFonts w:hint="eastAsia" w:ascii="Times New Roman" w:hAnsi="Times New Roman" w:cs="Times New Roman"/>
                      <w:color w:val="auto"/>
                      <w:lang w:val="en-US" w:eastAsia="zh-CN"/>
                    </w:rPr>
                    <w:t>变化量</w:t>
                  </w:r>
                </w:p>
              </w:tc>
              <w:tc>
                <w:tcPr>
                  <w:tcW w:w="483" w:type="pct"/>
                  <w:vMerge w:val="continue"/>
                  <w:noWrap w:val="0"/>
                  <w:vAlign w:val="center"/>
                </w:tcPr>
                <w:p w14:paraId="4123B248">
                  <w:pPr>
                    <w:keepNext w:val="0"/>
                    <w:keepLines w:val="0"/>
                    <w:suppressLineNumbers w:val="0"/>
                    <w:spacing w:before="0" w:beforeAutospacing="0" w:after="0" w:afterAutospacing="0"/>
                    <w:ind w:left="0" w:right="0"/>
                    <w:jc w:val="center"/>
                  </w:pPr>
                </w:p>
              </w:tc>
            </w:tr>
            <w:tr w14:paraId="3B740C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422" w:type="pct"/>
                  <w:vMerge w:val="restart"/>
                  <w:noWrap w:val="0"/>
                  <w:vAlign w:val="center"/>
                </w:tcPr>
                <w:p w14:paraId="3E55EBAE">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color w:val="auto"/>
                    </w:rPr>
                    <w:t>主体工程</w:t>
                  </w:r>
                </w:p>
              </w:tc>
              <w:tc>
                <w:tcPr>
                  <w:tcW w:w="1071" w:type="pct"/>
                  <w:gridSpan w:val="2"/>
                  <w:noWrap w:val="0"/>
                  <w:vAlign w:val="center"/>
                </w:tcPr>
                <w:p w14:paraId="1FA7353A">
                  <w:pPr>
                    <w:keepNext w:val="0"/>
                    <w:keepLines w:val="0"/>
                    <w:suppressLineNumbers w:val="0"/>
                    <w:spacing w:before="0" w:beforeAutospacing="0" w:after="0" w:afterAutospacing="0"/>
                    <w:ind w:left="0" w:right="0"/>
                    <w:jc w:val="center"/>
                    <w:rPr>
                      <w:rFonts w:hint="eastAsia" w:cs="Times New Roman"/>
                      <w:color w:val="auto"/>
                      <w:lang w:val="en-US" w:eastAsia="zh-CN"/>
                    </w:rPr>
                  </w:pPr>
                  <w:r>
                    <w:rPr>
                      <w:rFonts w:hint="eastAsia" w:cs="Times New Roman"/>
                      <w:color w:val="auto"/>
                      <w:lang w:val="en-US" w:eastAsia="zh-CN"/>
                    </w:rPr>
                    <w:t>生产厂房</w:t>
                  </w:r>
                </w:p>
                <w:p w14:paraId="6A887D4F">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rPr>
                  </w:pPr>
                  <w:r>
                    <w:rPr>
                      <w:rFonts w:hint="eastAsia" w:cs="Times New Roman"/>
                      <w:color w:val="auto"/>
                      <w:lang w:val="en-US" w:eastAsia="zh-CN"/>
                    </w:rPr>
                    <w:t>（5#车间）</w:t>
                  </w:r>
                </w:p>
              </w:tc>
              <w:tc>
                <w:tcPr>
                  <w:tcW w:w="1213" w:type="pct"/>
                  <w:noWrap w:val="0"/>
                  <w:vAlign w:val="center"/>
                </w:tcPr>
                <w:p w14:paraId="12EFB1D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vertAlign w:val="baseline"/>
                      <w:lang w:val="en-US" w:eastAsia="zh-CN"/>
                    </w:rPr>
                  </w:pPr>
                  <w:r>
                    <w:rPr>
                      <w:rFonts w:hint="eastAsia" w:cs="Times New Roman"/>
                      <w:color w:val="auto"/>
                      <w:lang w:val="en-US" w:eastAsia="zh-CN"/>
                    </w:rPr>
                    <w:t>本项目生产车间（5#车间）：占地9667.09m</w:t>
                  </w:r>
                  <w:r>
                    <w:rPr>
                      <w:rFonts w:hint="eastAsia" w:cs="Times New Roman"/>
                      <w:color w:val="auto"/>
                      <w:vertAlign w:val="superscript"/>
                      <w:lang w:val="en-US" w:eastAsia="zh-CN"/>
                    </w:rPr>
                    <w:t>2</w:t>
                  </w:r>
                  <w:r>
                    <w:rPr>
                      <w:rFonts w:hint="eastAsia" w:cs="Times New Roman"/>
                      <w:color w:val="auto"/>
                      <w:lang w:val="en-US" w:eastAsia="zh-CN"/>
                    </w:rPr>
                    <w:t>，1F，框架结构，拟建设年产3.2万吨人造岗石生产线</w:t>
                  </w:r>
                </w:p>
              </w:tc>
              <w:tc>
                <w:tcPr>
                  <w:tcW w:w="1158" w:type="pct"/>
                  <w:shd w:val="clear" w:color="auto" w:fill="auto"/>
                  <w:noWrap w:val="0"/>
                  <w:vAlign w:val="center"/>
                </w:tcPr>
                <w:p w14:paraId="00B0150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vertAlign w:val="baseline"/>
                      <w:lang w:val="en-US" w:eastAsia="zh-CN" w:bidi="ar-SA"/>
                    </w:rPr>
                  </w:pPr>
                  <w:r>
                    <w:rPr>
                      <w:rFonts w:hint="eastAsia" w:cs="Times New Roman"/>
                      <w:color w:val="auto"/>
                      <w:lang w:val="en-US" w:eastAsia="zh-CN"/>
                    </w:rPr>
                    <w:t>本项目生产车间（5#车间）：占地9667.09m</w:t>
                  </w:r>
                  <w:r>
                    <w:rPr>
                      <w:rFonts w:hint="eastAsia" w:cs="Times New Roman"/>
                      <w:color w:val="auto"/>
                      <w:vertAlign w:val="superscript"/>
                      <w:lang w:val="en-US" w:eastAsia="zh-CN"/>
                    </w:rPr>
                    <w:t>2</w:t>
                  </w:r>
                  <w:r>
                    <w:rPr>
                      <w:rFonts w:hint="eastAsia" w:cs="Times New Roman"/>
                      <w:color w:val="auto"/>
                      <w:lang w:val="en-US" w:eastAsia="zh-CN"/>
                    </w:rPr>
                    <w:t>，1F，框架结构，拟建设年产3.2万吨人造岗石生产线</w:t>
                  </w:r>
                  <w:r>
                    <w:rPr>
                      <w:rFonts w:hint="eastAsia" w:cs="Times New Roman"/>
                      <w:color w:val="FF0000"/>
                      <w:lang w:val="en-US" w:eastAsia="zh-CN"/>
                    </w:rPr>
                    <w:t>，采用密闭空间</w:t>
                  </w:r>
                </w:p>
              </w:tc>
              <w:tc>
                <w:tcPr>
                  <w:tcW w:w="649" w:type="pct"/>
                  <w:noWrap w:val="0"/>
                  <w:vAlign w:val="center"/>
                </w:tcPr>
                <w:p w14:paraId="117CE325">
                  <w:pPr>
                    <w:keepNext w:val="0"/>
                    <w:keepLines w:val="0"/>
                    <w:suppressLineNumbers w:val="0"/>
                    <w:spacing w:before="0" w:beforeAutospacing="0" w:after="0" w:afterAutospacing="0"/>
                    <w:ind w:left="0" w:right="0"/>
                    <w:jc w:val="center"/>
                    <w:rPr>
                      <w:rFonts w:hint="eastAsia" w:cs="Times New Roman"/>
                      <w:color w:val="auto"/>
                      <w:lang w:val="en-US" w:eastAsia="zh-CN"/>
                    </w:rPr>
                  </w:pPr>
                  <w:r>
                    <w:rPr>
                      <w:rFonts w:hint="eastAsia" w:cs="Times New Roman"/>
                      <w:color w:val="auto"/>
                      <w:lang w:val="en-US" w:eastAsia="zh-CN"/>
                    </w:rPr>
                    <w:t>无变化</w:t>
                  </w:r>
                </w:p>
              </w:tc>
              <w:tc>
                <w:tcPr>
                  <w:tcW w:w="483" w:type="pct"/>
                  <w:noWrap w:val="0"/>
                  <w:vAlign w:val="center"/>
                </w:tcPr>
                <w:p w14:paraId="0B2FB1B3">
                  <w:pPr>
                    <w:keepNext w:val="0"/>
                    <w:keepLines w:val="0"/>
                    <w:suppressLineNumbers w:val="0"/>
                    <w:spacing w:before="0" w:beforeAutospacing="0" w:after="0" w:afterAutospacing="0"/>
                    <w:ind w:left="0" w:right="0"/>
                    <w:jc w:val="center"/>
                    <w:rPr>
                      <w:rFonts w:hint="default" w:ascii="Times New Roman" w:hAnsi="Times New Roman" w:cs="Times New Roman"/>
                      <w:color w:val="FF0000"/>
                      <w:lang w:val="en-US" w:eastAsia="zh-CN"/>
                    </w:rPr>
                  </w:pPr>
                  <w:r>
                    <w:rPr>
                      <w:rFonts w:hint="eastAsia" w:cs="Times New Roman"/>
                      <w:color w:val="FF0000"/>
                      <w:lang w:val="en-US" w:eastAsia="zh-CN"/>
                    </w:rPr>
                    <w:t>新建</w:t>
                  </w:r>
                </w:p>
              </w:tc>
            </w:tr>
            <w:tr w14:paraId="07BF3B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22" w:type="pct"/>
                  <w:vMerge w:val="continue"/>
                  <w:noWrap w:val="0"/>
                  <w:vAlign w:val="center"/>
                </w:tcPr>
                <w:p w14:paraId="3415D2D0">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c>
                <w:tcPr>
                  <w:tcW w:w="1071" w:type="pct"/>
                  <w:gridSpan w:val="2"/>
                  <w:noWrap w:val="0"/>
                  <w:vAlign w:val="center"/>
                </w:tcPr>
                <w:p w14:paraId="3BC4438D">
                  <w:pPr>
                    <w:keepNext w:val="0"/>
                    <w:keepLines w:val="0"/>
                    <w:suppressLineNumbers w:val="0"/>
                    <w:spacing w:before="0" w:beforeAutospacing="0" w:after="0" w:afterAutospacing="0"/>
                    <w:ind w:left="0" w:right="0"/>
                    <w:jc w:val="center"/>
                    <w:rPr>
                      <w:rFonts w:hint="default" w:cs="Times New Roman"/>
                      <w:color w:val="auto"/>
                      <w:lang w:val="en-US" w:eastAsia="zh-CN"/>
                    </w:rPr>
                  </w:pPr>
                  <w:r>
                    <w:rPr>
                      <w:rFonts w:hint="eastAsia" w:cs="Times New Roman"/>
                      <w:color w:val="auto"/>
                      <w:lang w:val="en-US" w:eastAsia="zh-CN"/>
                    </w:rPr>
                    <w:t>破碎厂房</w:t>
                  </w:r>
                </w:p>
              </w:tc>
              <w:tc>
                <w:tcPr>
                  <w:tcW w:w="1213" w:type="pct"/>
                  <w:noWrap w:val="0"/>
                  <w:vAlign w:val="center"/>
                </w:tcPr>
                <w:p w14:paraId="6233D6FE">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1F</w:t>
                  </w:r>
                  <w:r>
                    <w:rPr>
                      <w:rFonts w:hint="eastAsia" w:cs="Times New Roman"/>
                      <w:color w:val="auto"/>
                      <w:lang w:val="en-US" w:eastAsia="zh-CN"/>
                    </w:rPr>
                    <w:t>，300</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eastAsia" w:cs="Times New Roman"/>
                      <w:color w:val="auto"/>
                      <w:lang w:val="en-US" w:eastAsia="zh-CN"/>
                    </w:rPr>
                    <w:t>；</w:t>
                  </w:r>
                  <w:r>
                    <w:rPr>
                      <w:rFonts w:hint="eastAsia" w:cs="Times New Roman"/>
                      <w:color w:val="FF0000"/>
                      <w:lang w:val="en-US" w:eastAsia="zh-CN"/>
                    </w:rPr>
                    <w:t>新建一条破碎生产线</w:t>
                  </w:r>
                </w:p>
              </w:tc>
              <w:tc>
                <w:tcPr>
                  <w:tcW w:w="1158" w:type="pct"/>
                  <w:shd w:val="clear" w:color="auto" w:fill="auto"/>
                  <w:noWrap w:val="0"/>
                  <w:vAlign w:val="center"/>
                </w:tcPr>
                <w:p w14:paraId="165E019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1F</w:t>
                  </w:r>
                  <w:r>
                    <w:rPr>
                      <w:rFonts w:hint="eastAsia" w:cs="Times New Roman"/>
                      <w:color w:val="auto"/>
                      <w:lang w:val="en-US" w:eastAsia="zh-CN"/>
                    </w:rPr>
                    <w:t>，2600</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eastAsia" w:cs="Times New Roman"/>
                      <w:color w:val="auto"/>
                      <w:lang w:val="en-US" w:eastAsia="zh-CN"/>
                    </w:rPr>
                    <w:t>；</w:t>
                  </w:r>
                  <w:r>
                    <w:rPr>
                      <w:rFonts w:hint="eastAsia" w:cs="Times New Roman"/>
                      <w:color w:val="FF0000"/>
                      <w:lang w:val="en-US" w:eastAsia="zh-CN"/>
                    </w:rPr>
                    <w:t>新建一条破碎生产线，采用密闭空间</w:t>
                  </w:r>
                </w:p>
              </w:tc>
              <w:tc>
                <w:tcPr>
                  <w:tcW w:w="649" w:type="pct"/>
                  <w:noWrap w:val="0"/>
                  <w:vAlign w:val="center"/>
                </w:tcPr>
                <w:p w14:paraId="427703F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lang w:val="en-US" w:eastAsia="zh-CN"/>
                    </w:rPr>
                  </w:pPr>
                  <w:r>
                    <w:rPr>
                      <w:rFonts w:hint="eastAsia" w:cs="Times New Roman"/>
                      <w:color w:val="FF0000"/>
                      <w:lang w:val="en-US" w:eastAsia="zh-CN"/>
                    </w:rPr>
                    <w:t>破碎生产工艺改变，面积增大</w:t>
                  </w:r>
                </w:p>
              </w:tc>
              <w:tc>
                <w:tcPr>
                  <w:tcW w:w="483" w:type="pct"/>
                  <w:noWrap w:val="0"/>
                  <w:vAlign w:val="center"/>
                </w:tcPr>
                <w:p w14:paraId="04FC84B0">
                  <w:pPr>
                    <w:keepNext w:val="0"/>
                    <w:keepLines w:val="0"/>
                    <w:suppressLineNumbers w:val="0"/>
                    <w:spacing w:before="0" w:beforeAutospacing="0" w:after="0" w:afterAutospacing="0"/>
                    <w:ind w:left="0" w:right="0"/>
                    <w:jc w:val="center"/>
                    <w:rPr>
                      <w:rFonts w:hint="default" w:cs="Times New Roman"/>
                      <w:color w:val="FF0000"/>
                      <w:lang w:val="en-US" w:eastAsia="zh-CN"/>
                    </w:rPr>
                  </w:pPr>
                  <w:r>
                    <w:rPr>
                      <w:rFonts w:hint="eastAsia" w:cs="Times New Roman"/>
                      <w:color w:val="FF0000"/>
                      <w:lang w:val="en-US" w:eastAsia="zh-CN"/>
                    </w:rPr>
                    <w:t>新建</w:t>
                  </w:r>
                </w:p>
              </w:tc>
            </w:tr>
            <w:tr w14:paraId="4B5FCE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22" w:type="pct"/>
                  <w:vMerge w:val="continue"/>
                  <w:noWrap w:val="0"/>
                  <w:vAlign w:val="center"/>
                </w:tcPr>
                <w:p w14:paraId="1DB49347">
                  <w:pPr>
                    <w:keepNext w:val="0"/>
                    <w:keepLines w:val="0"/>
                    <w:suppressLineNumbers w:val="0"/>
                    <w:spacing w:before="0" w:beforeAutospacing="0" w:after="0" w:afterAutospacing="0"/>
                    <w:ind w:left="0" w:right="0"/>
                    <w:jc w:val="center"/>
                  </w:pPr>
                </w:p>
              </w:tc>
              <w:tc>
                <w:tcPr>
                  <w:tcW w:w="1071" w:type="pct"/>
                  <w:gridSpan w:val="2"/>
                  <w:noWrap w:val="0"/>
                  <w:vAlign w:val="center"/>
                </w:tcPr>
                <w:p w14:paraId="2D938EE9">
                  <w:pPr>
                    <w:keepNext w:val="0"/>
                    <w:keepLines w:val="0"/>
                    <w:suppressLineNumbers w:val="0"/>
                    <w:spacing w:before="0" w:beforeAutospacing="0" w:after="0" w:afterAutospacing="0"/>
                    <w:ind w:left="0" w:right="0"/>
                    <w:jc w:val="center"/>
                    <w:rPr>
                      <w:rFonts w:hint="eastAsia" w:cs="Times New Roman"/>
                      <w:color w:val="FF0000"/>
                      <w:lang w:val="en-US" w:eastAsia="zh-CN"/>
                    </w:rPr>
                  </w:pPr>
                  <w:r>
                    <w:rPr>
                      <w:rFonts w:hint="eastAsia" w:cs="Times New Roman"/>
                      <w:color w:val="FF0000"/>
                      <w:lang w:val="en-US" w:eastAsia="zh-CN"/>
                    </w:rPr>
                    <w:t>生产厂房（5#车间）原料堆放区</w:t>
                  </w:r>
                </w:p>
              </w:tc>
              <w:tc>
                <w:tcPr>
                  <w:tcW w:w="1213" w:type="pct"/>
                  <w:noWrap w:val="0"/>
                  <w:vAlign w:val="center"/>
                </w:tcPr>
                <w:p w14:paraId="70FDA7E0">
                  <w:pPr>
                    <w:keepNext w:val="0"/>
                    <w:keepLines w:val="0"/>
                    <w:suppressLineNumbers w:val="0"/>
                    <w:spacing w:before="0" w:beforeAutospacing="0" w:after="0" w:afterAutospacing="0"/>
                    <w:ind w:left="0" w:leftChars="0" w:right="0" w:rightChars="0"/>
                    <w:jc w:val="center"/>
                    <w:rPr>
                      <w:rFonts w:hint="eastAsia" w:cs="Times New Roman"/>
                      <w:color w:val="FF0000"/>
                      <w:lang w:val="en-US" w:eastAsia="zh-CN"/>
                    </w:rPr>
                  </w:pPr>
                  <w:r>
                    <w:rPr>
                      <w:rFonts w:hint="eastAsia" w:cs="Times New Roman"/>
                      <w:color w:val="FF0000"/>
                      <w:lang w:val="en-US" w:eastAsia="zh-CN"/>
                    </w:rPr>
                    <w:t>袋装石英砂、细粉，桶装树脂、助剂堆放在5#厂房内</w:t>
                  </w:r>
                </w:p>
              </w:tc>
              <w:tc>
                <w:tcPr>
                  <w:tcW w:w="1158" w:type="pct"/>
                  <w:shd w:val="clear" w:color="auto" w:fill="auto"/>
                  <w:noWrap w:val="0"/>
                  <w:vAlign w:val="center"/>
                </w:tcPr>
                <w:p w14:paraId="46A8D9B9">
                  <w:pPr>
                    <w:keepNext w:val="0"/>
                    <w:keepLines w:val="0"/>
                    <w:suppressLineNumbers w:val="0"/>
                    <w:spacing w:before="0" w:beforeAutospacing="0" w:after="0" w:afterAutospacing="0"/>
                    <w:ind w:left="0" w:leftChars="0" w:right="0" w:rightChars="0"/>
                    <w:jc w:val="center"/>
                    <w:rPr>
                      <w:rFonts w:hint="eastAsia" w:cs="Times New Roman"/>
                      <w:color w:val="FF0000"/>
                      <w:lang w:val="en-US" w:eastAsia="zh-CN"/>
                    </w:rPr>
                  </w:pPr>
                  <w:r>
                    <w:rPr>
                      <w:rFonts w:hint="eastAsia" w:cs="Times New Roman"/>
                      <w:color w:val="FF0000"/>
                      <w:lang w:val="en-US" w:eastAsia="zh-CN"/>
                    </w:rPr>
                    <w:t>袋装石英砂、细粉，桶装树脂、助剂堆放在5#厂房内</w:t>
                  </w:r>
                </w:p>
              </w:tc>
              <w:tc>
                <w:tcPr>
                  <w:tcW w:w="649" w:type="pct"/>
                  <w:noWrap w:val="0"/>
                  <w:vAlign w:val="center"/>
                </w:tcPr>
                <w:p w14:paraId="78A0ACC8">
                  <w:pPr>
                    <w:keepNext w:val="0"/>
                    <w:keepLines w:val="0"/>
                    <w:suppressLineNumbers w:val="0"/>
                    <w:spacing w:before="0" w:beforeAutospacing="0" w:after="0" w:afterAutospacing="0"/>
                    <w:ind w:left="0" w:leftChars="0" w:right="0" w:rightChars="0"/>
                    <w:jc w:val="center"/>
                    <w:rPr>
                      <w:rFonts w:hint="eastAsia" w:cs="Times New Roman"/>
                      <w:color w:val="FF0000"/>
                      <w:lang w:val="en-US" w:eastAsia="zh-CN"/>
                    </w:rPr>
                  </w:pPr>
                  <w:r>
                    <w:rPr>
                      <w:rFonts w:hint="eastAsia" w:cs="Times New Roman"/>
                      <w:color w:val="FF0000"/>
                      <w:lang w:val="en-US" w:eastAsia="zh-CN"/>
                    </w:rPr>
                    <w:t>无变化</w:t>
                  </w:r>
                </w:p>
              </w:tc>
              <w:tc>
                <w:tcPr>
                  <w:tcW w:w="483" w:type="pct"/>
                  <w:noWrap w:val="0"/>
                  <w:vAlign w:val="center"/>
                </w:tcPr>
                <w:p w14:paraId="20A95DE1">
                  <w:pPr>
                    <w:keepNext w:val="0"/>
                    <w:keepLines w:val="0"/>
                    <w:suppressLineNumbers w:val="0"/>
                    <w:spacing w:before="0" w:beforeAutospacing="0" w:after="0" w:afterAutospacing="0"/>
                    <w:ind w:left="0" w:leftChars="0" w:right="0" w:rightChars="0"/>
                    <w:jc w:val="center"/>
                    <w:rPr>
                      <w:rFonts w:hint="eastAsia" w:cs="Times New Roman"/>
                      <w:color w:val="FF0000"/>
                      <w:lang w:val="en-US" w:eastAsia="zh-CN"/>
                    </w:rPr>
                  </w:pPr>
                  <w:r>
                    <w:rPr>
                      <w:rFonts w:hint="eastAsia" w:cs="Times New Roman"/>
                      <w:color w:val="FF0000"/>
                      <w:lang w:val="en-US" w:eastAsia="zh-CN"/>
                    </w:rPr>
                    <w:t>一致</w:t>
                  </w:r>
                </w:p>
              </w:tc>
            </w:tr>
            <w:tr w14:paraId="5EEE81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22" w:type="pct"/>
                  <w:vMerge w:val="restart"/>
                  <w:noWrap w:val="0"/>
                  <w:vAlign w:val="center"/>
                </w:tcPr>
                <w:p w14:paraId="770431CA">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color w:val="auto"/>
                    </w:rPr>
                    <w:t>辅助</w:t>
                  </w:r>
                </w:p>
                <w:p w14:paraId="16C3CF31">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color w:val="auto"/>
                    </w:rPr>
                    <w:t>工程</w:t>
                  </w:r>
                </w:p>
              </w:tc>
              <w:tc>
                <w:tcPr>
                  <w:tcW w:w="1071" w:type="pct"/>
                  <w:gridSpan w:val="2"/>
                  <w:noWrap w:val="0"/>
                  <w:vAlign w:val="center"/>
                </w:tcPr>
                <w:p w14:paraId="16169C81">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color w:val="auto"/>
                    </w:rPr>
                    <w:t>办公楼</w:t>
                  </w:r>
                </w:p>
              </w:tc>
              <w:tc>
                <w:tcPr>
                  <w:tcW w:w="1213" w:type="pct"/>
                  <w:noWrap w:val="0"/>
                  <w:vAlign w:val="center"/>
                </w:tcPr>
                <w:p w14:paraId="7DDEFDA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rPr>
                    <w:t>3F</w:t>
                  </w:r>
                  <w:r>
                    <w:rPr>
                      <w:rFonts w:hint="eastAsia" w:cs="Times New Roman"/>
                      <w:color w:val="auto"/>
                      <w:lang w:eastAsia="zh-CN"/>
                    </w:rPr>
                    <w:t>，</w:t>
                  </w:r>
                  <w:r>
                    <w:rPr>
                      <w:rFonts w:hint="eastAsia" w:cs="Times New Roman"/>
                      <w:color w:val="auto"/>
                      <w:lang w:val="en-US" w:eastAsia="zh-CN"/>
                    </w:rPr>
                    <w:t>砖混结构，3035.51</w:t>
                  </w:r>
                  <w:r>
                    <w:rPr>
                      <w:rFonts w:hint="default" w:ascii="Times New Roman" w:hAnsi="Times New Roman" w:cs="Times New Roman"/>
                      <w:color w:val="auto"/>
                    </w:rPr>
                    <w:t>m</w:t>
                  </w:r>
                  <w:r>
                    <w:rPr>
                      <w:rFonts w:hint="default" w:ascii="Times New Roman" w:hAnsi="Times New Roman" w:cs="Times New Roman"/>
                      <w:color w:val="auto"/>
                      <w:vertAlign w:val="superscript"/>
                      <w:lang w:val="en-US" w:eastAsia="zh-CN"/>
                    </w:rPr>
                    <w:t>2</w:t>
                  </w:r>
                </w:p>
              </w:tc>
              <w:tc>
                <w:tcPr>
                  <w:tcW w:w="1158" w:type="pct"/>
                  <w:shd w:val="clear" w:color="auto" w:fill="auto"/>
                  <w:noWrap w:val="0"/>
                  <w:vAlign w:val="center"/>
                </w:tcPr>
                <w:p w14:paraId="73D916A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rPr>
                    <w:t>3F</w:t>
                  </w:r>
                  <w:r>
                    <w:rPr>
                      <w:rFonts w:hint="eastAsia" w:cs="Times New Roman"/>
                      <w:color w:val="auto"/>
                      <w:lang w:eastAsia="zh-CN"/>
                    </w:rPr>
                    <w:t>，</w:t>
                  </w:r>
                  <w:r>
                    <w:rPr>
                      <w:rFonts w:hint="eastAsia" w:cs="Times New Roman"/>
                      <w:color w:val="auto"/>
                      <w:lang w:val="en-US" w:eastAsia="zh-CN"/>
                    </w:rPr>
                    <w:t>砖混结构，3035.51</w:t>
                  </w:r>
                  <w:r>
                    <w:rPr>
                      <w:rFonts w:hint="default" w:ascii="Times New Roman" w:hAnsi="Times New Roman" w:cs="Times New Roman"/>
                      <w:color w:val="auto"/>
                    </w:rPr>
                    <w:t>m</w:t>
                  </w:r>
                  <w:r>
                    <w:rPr>
                      <w:rFonts w:hint="default" w:ascii="Times New Roman" w:hAnsi="Times New Roman" w:cs="Times New Roman"/>
                      <w:color w:val="auto"/>
                      <w:vertAlign w:val="superscript"/>
                      <w:lang w:val="en-US" w:eastAsia="zh-CN"/>
                    </w:rPr>
                    <w:t>2</w:t>
                  </w:r>
                </w:p>
              </w:tc>
              <w:tc>
                <w:tcPr>
                  <w:tcW w:w="649" w:type="pct"/>
                  <w:noWrap w:val="0"/>
                  <w:vAlign w:val="center"/>
                </w:tcPr>
                <w:p w14:paraId="7DB5380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rPr>
                  </w:pPr>
                  <w:r>
                    <w:rPr>
                      <w:rFonts w:hint="eastAsia" w:cs="Times New Roman"/>
                      <w:color w:val="auto"/>
                      <w:lang w:val="en-US" w:eastAsia="zh-CN"/>
                    </w:rPr>
                    <w:t>无变化</w:t>
                  </w:r>
                </w:p>
              </w:tc>
              <w:tc>
                <w:tcPr>
                  <w:tcW w:w="483" w:type="pct"/>
                  <w:vMerge w:val="restart"/>
                  <w:noWrap w:val="0"/>
                  <w:vAlign w:val="center"/>
                </w:tcPr>
                <w:p w14:paraId="5379F574">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cs="Times New Roman"/>
                      <w:color w:val="auto"/>
                      <w:lang w:val="en-US" w:eastAsia="zh-CN"/>
                    </w:rPr>
                    <w:t>依托现有</w:t>
                  </w:r>
                </w:p>
              </w:tc>
            </w:tr>
            <w:tr w14:paraId="4F7DF7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422" w:type="pct"/>
                  <w:vMerge w:val="continue"/>
                  <w:noWrap w:val="0"/>
                  <w:vAlign w:val="center"/>
                </w:tcPr>
                <w:p w14:paraId="298FEADA">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c>
                <w:tcPr>
                  <w:tcW w:w="1071" w:type="pct"/>
                  <w:gridSpan w:val="2"/>
                  <w:noWrap w:val="0"/>
                  <w:vAlign w:val="center"/>
                </w:tcPr>
                <w:p w14:paraId="43BEC0D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eastAsia" w:cs="Times New Roman"/>
                      <w:color w:val="auto"/>
                      <w:lang w:val="en-US" w:eastAsia="zh-CN"/>
                    </w:rPr>
                    <w:t>食宿楼</w:t>
                  </w:r>
                </w:p>
              </w:tc>
              <w:tc>
                <w:tcPr>
                  <w:tcW w:w="1213" w:type="pct"/>
                  <w:noWrap w:val="0"/>
                  <w:vAlign w:val="center"/>
                </w:tcPr>
                <w:p w14:paraId="15AE4D77">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3F</w:t>
                  </w:r>
                  <w:r>
                    <w:rPr>
                      <w:rFonts w:hint="eastAsia" w:cs="Times New Roman"/>
                      <w:color w:val="auto"/>
                      <w:lang w:eastAsia="zh-CN"/>
                    </w:rPr>
                    <w:t>，</w:t>
                  </w:r>
                  <w:r>
                    <w:rPr>
                      <w:rFonts w:hint="eastAsia" w:cs="Times New Roman"/>
                      <w:color w:val="auto"/>
                      <w:lang w:val="en-US" w:eastAsia="zh-CN"/>
                    </w:rPr>
                    <w:t>砖混结构，545.58</w:t>
                  </w:r>
                  <w:r>
                    <w:rPr>
                      <w:rFonts w:hint="default" w:ascii="Times New Roman" w:hAnsi="Times New Roman" w:cs="Times New Roman"/>
                      <w:color w:val="auto"/>
                    </w:rPr>
                    <w:t>m</w:t>
                  </w:r>
                  <w:r>
                    <w:rPr>
                      <w:rFonts w:hint="default" w:ascii="Times New Roman" w:hAnsi="Times New Roman" w:cs="Times New Roman"/>
                      <w:color w:val="auto"/>
                      <w:vertAlign w:val="superscript"/>
                      <w:lang w:val="en-US" w:eastAsia="zh-CN"/>
                    </w:rPr>
                    <w:t>2</w:t>
                  </w:r>
                </w:p>
              </w:tc>
              <w:tc>
                <w:tcPr>
                  <w:tcW w:w="1158" w:type="pct"/>
                  <w:shd w:val="clear" w:color="auto" w:fill="auto"/>
                  <w:noWrap w:val="0"/>
                  <w:vAlign w:val="center"/>
                </w:tcPr>
                <w:p w14:paraId="50B9DD9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rPr>
                    <w:t>3F</w:t>
                  </w:r>
                  <w:r>
                    <w:rPr>
                      <w:rFonts w:hint="eastAsia" w:cs="Times New Roman"/>
                      <w:color w:val="auto"/>
                      <w:lang w:eastAsia="zh-CN"/>
                    </w:rPr>
                    <w:t>，</w:t>
                  </w:r>
                  <w:r>
                    <w:rPr>
                      <w:rFonts w:hint="eastAsia" w:cs="Times New Roman"/>
                      <w:color w:val="auto"/>
                      <w:lang w:val="en-US" w:eastAsia="zh-CN"/>
                    </w:rPr>
                    <w:t>砖混结构，545.58</w:t>
                  </w:r>
                  <w:r>
                    <w:rPr>
                      <w:rFonts w:hint="default" w:ascii="Times New Roman" w:hAnsi="Times New Roman" w:cs="Times New Roman"/>
                      <w:color w:val="auto"/>
                    </w:rPr>
                    <w:t>m</w:t>
                  </w:r>
                  <w:r>
                    <w:rPr>
                      <w:rFonts w:hint="default" w:ascii="Times New Roman" w:hAnsi="Times New Roman" w:cs="Times New Roman"/>
                      <w:color w:val="auto"/>
                      <w:vertAlign w:val="superscript"/>
                      <w:lang w:val="en-US" w:eastAsia="zh-CN"/>
                    </w:rPr>
                    <w:t>2</w:t>
                  </w:r>
                </w:p>
              </w:tc>
              <w:tc>
                <w:tcPr>
                  <w:tcW w:w="649" w:type="pct"/>
                  <w:noWrap w:val="0"/>
                  <w:vAlign w:val="center"/>
                </w:tcPr>
                <w:p w14:paraId="56668B1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rPr>
                  </w:pPr>
                  <w:r>
                    <w:rPr>
                      <w:rFonts w:hint="eastAsia" w:cs="Times New Roman"/>
                      <w:color w:val="auto"/>
                      <w:lang w:val="en-US" w:eastAsia="zh-CN"/>
                    </w:rPr>
                    <w:t>无变化</w:t>
                  </w:r>
                </w:p>
              </w:tc>
              <w:tc>
                <w:tcPr>
                  <w:tcW w:w="483" w:type="pct"/>
                  <w:vMerge w:val="continue"/>
                  <w:noWrap w:val="0"/>
                  <w:vAlign w:val="center"/>
                </w:tcPr>
                <w:p w14:paraId="03BD0F71">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r>
            <w:tr w14:paraId="48B723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422" w:type="pct"/>
                  <w:vMerge w:val="continue"/>
                  <w:noWrap w:val="0"/>
                  <w:vAlign w:val="center"/>
                </w:tcPr>
                <w:p w14:paraId="4A525259">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c>
                <w:tcPr>
                  <w:tcW w:w="1071" w:type="pct"/>
                  <w:gridSpan w:val="2"/>
                  <w:noWrap w:val="0"/>
                  <w:vAlign w:val="center"/>
                </w:tcPr>
                <w:p w14:paraId="6FB6BB7D">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color w:val="auto"/>
                    </w:rPr>
                    <w:t>警卫室</w:t>
                  </w:r>
                </w:p>
              </w:tc>
              <w:tc>
                <w:tcPr>
                  <w:tcW w:w="1213" w:type="pct"/>
                  <w:noWrap w:val="0"/>
                  <w:vAlign w:val="center"/>
                </w:tcPr>
                <w:p w14:paraId="3FCDBB46">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eastAsia" w:cs="Times New Roman"/>
                      <w:color w:val="auto"/>
                      <w:lang w:val="en-US" w:eastAsia="zh-CN"/>
                    </w:rPr>
                    <w:t>1</w:t>
                  </w:r>
                  <w:r>
                    <w:rPr>
                      <w:rFonts w:hint="default" w:ascii="Times New Roman" w:hAnsi="Times New Roman" w:cs="Times New Roman"/>
                      <w:color w:val="auto"/>
                    </w:rPr>
                    <w:t>F</w:t>
                  </w:r>
                  <w:r>
                    <w:rPr>
                      <w:rFonts w:hint="eastAsia" w:cs="Times New Roman"/>
                      <w:color w:val="auto"/>
                      <w:lang w:eastAsia="zh-CN"/>
                    </w:rPr>
                    <w:t>，</w:t>
                  </w:r>
                  <w:r>
                    <w:rPr>
                      <w:rFonts w:hint="eastAsia" w:cs="Times New Roman"/>
                      <w:color w:val="auto"/>
                      <w:lang w:val="en-US" w:eastAsia="zh-CN"/>
                    </w:rPr>
                    <w:t>砖混结构，80</w:t>
                  </w:r>
                  <w:r>
                    <w:rPr>
                      <w:rFonts w:hint="default" w:ascii="Times New Roman" w:hAnsi="Times New Roman" w:cs="Times New Roman"/>
                      <w:color w:val="auto"/>
                    </w:rPr>
                    <w:t>m</w:t>
                  </w:r>
                  <w:r>
                    <w:rPr>
                      <w:rFonts w:hint="default" w:ascii="Times New Roman" w:hAnsi="Times New Roman" w:cs="Times New Roman"/>
                      <w:color w:val="auto"/>
                      <w:vertAlign w:val="superscript"/>
                    </w:rPr>
                    <w:t>2</w:t>
                  </w:r>
                </w:p>
              </w:tc>
              <w:tc>
                <w:tcPr>
                  <w:tcW w:w="1158" w:type="pct"/>
                  <w:shd w:val="clear" w:color="auto" w:fill="auto"/>
                  <w:noWrap w:val="0"/>
                  <w:vAlign w:val="center"/>
                </w:tcPr>
                <w:p w14:paraId="2062B1A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1</w:t>
                  </w:r>
                  <w:r>
                    <w:rPr>
                      <w:rFonts w:hint="default" w:ascii="Times New Roman" w:hAnsi="Times New Roman" w:cs="Times New Roman"/>
                      <w:color w:val="auto"/>
                    </w:rPr>
                    <w:t>F</w:t>
                  </w:r>
                  <w:r>
                    <w:rPr>
                      <w:rFonts w:hint="eastAsia" w:cs="Times New Roman"/>
                      <w:color w:val="auto"/>
                      <w:lang w:eastAsia="zh-CN"/>
                    </w:rPr>
                    <w:t>，</w:t>
                  </w:r>
                  <w:r>
                    <w:rPr>
                      <w:rFonts w:hint="eastAsia" w:cs="Times New Roman"/>
                      <w:color w:val="auto"/>
                      <w:lang w:val="en-US" w:eastAsia="zh-CN"/>
                    </w:rPr>
                    <w:t>砖混结构，80</w:t>
                  </w:r>
                  <w:r>
                    <w:rPr>
                      <w:rFonts w:hint="default" w:ascii="Times New Roman" w:hAnsi="Times New Roman" w:cs="Times New Roman"/>
                      <w:color w:val="auto"/>
                    </w:rPr>
                    <w:t>m</w:t>
                  </w:r>
                  <w:r>
                    <w:rPr>
                      <w:rFonts w:hint="default" w:ascii="Times New Roman" w:hAnsi="Times New Roman" w:cs="Times New Roman"/>
                      <w:color w:val="auto"/>
                      <w:vertAlign w:val="superscript"/>
                    </w:rPr>
                    <w:t>2</w:t>
                  </w:r>
                </w:p>
              </w:tc>
              <w:tc>
                <w:tcPr>
                  <w:tcW w:w="649" w:type="pct"/>
                  <w:noWrap w:val="0"/>
                  <w:vAlign w:val="center"/>
                </w:tcPr>
                <w:p w14:paraId="3C536E21">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无变化</w:t>
                  </w:r>
                </w:p>
              </w:tc>
              <w:tc>
                <w:tcPr>
                  <w:tcW w:w="483" w:type="pct"/>
                  <w:vMerge w:val="continue"/>
                  <w:noWrap w:val="0"/>
                  <w:vAlign w:val="center"/>
                </w:tcPr>
                <w:p w14:paraId="7624337B">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r>
            <w:tr w14:paraId="661872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422" w:type="pct"/>
                  <w:vMerge w:val="continue"/>
                  <w:noWrap w:val="0"/>
                  <w:vAlign w:val="center"/>
                </w:tcPr>
                <w:p w14:paraId="10F9E262">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c>
                <w:tcPr>
                  <w:tcW w:w="1071" w:type="pct"/>
                  <w:gridSpan w:val="2"/>
                  <w:noWrap w:val="0"/>
                  <w:vAlign w:val="center"/>
                </w:tcPr>
                <w:p w14:paraId="43F3212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eastAsia" w:cs="Times New Roman"/>
                      <w:color w:val="auto"/>
                      <w:lang w:val="en-US" w:eastAsia="zh-CN"/>
                    </w:rPr>
                    <w:t>循环水池</w:t>
                  </w:r>
                </w:p>
              </w:tc>
              <w:tc>
                <w:tcPr>
                  <w:tcW w:w="1213" w:type="pct"/>
                  <w:noWrap w:val="0"/>
                  <w:vAlign w:val="center"/>
                </w:tcPr>
                <w:p w14:paraId="48821924">
                  <w:pPr>
                    <w:keepNext w:val="0"/>
                    <w:keepLines w:val="0"/>
                    <w:suppressLineNumbers w:val="0"/>
                    <w:spacing w:before="0" w:beforeAutospacing="0" w:after="0" w:afterAutospacing="0"/>
                    <w:ind w:left="0" w:right="0"/>
                    <w:jc w:val="center"/>
                    <w:rPr>
                      <w:rFonts w:hint="default" w:cs="Times New Roman"/>
                      <w:color w:val="auto"/>
                      <w:lang w:val="en-US" w:eastAsia="zh-CN"/>
                    </w:rPr>
                  </w:pPr>
                  <w:r>
                    <w:rPr>
                      <w:rFonts w:hint="eastAsia" w:cs="Times New Roman"/>
                      <w:color w:val="auto"/>
                      <w:lang w:val="en-US" w:eastAsia="zh-CN"/>
                    </w:rPr>
                    <w:t>20m</w:t>
                  </w:r>
                  <w:r>
                    <w:rPr>
                      <w:rFonts w:hint="eastAsia" w:cs="Times New Roman"/>
                      <w:color w:val="auto"/>
                      <w:vertAlign w:val="superscript"/>
                      <w:lang w:val="en-US" w:eastAsia="zh-CN"/>
                    </w:rPr>
                    <w:t>3</w:t>
                  </w:r>
                </w:p>
              </w:tc>
              <w:tc>
                <w:tcPr>
                  <w:tcW w:w="1158" w:type="pct"/>
                  <w:shd w:val="clear" w:color="auto" w:fill="auto"/>
                  <w:noWrap w:val="0"/>
                  <w:vAlign w:val="center"/>
                </w:tcPr>
                <w:p w14:paraId="33CF805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20m</w:t>
                  </w:r>
                  <w:r>
                    <w:rPr>
                      <w:rFonts w:hint="eastAsia" w:cs="Times New Roman"/>
                      <w:color w:val="auto"/>
                      <w:vertAlign w:val="superscript"/>
                      <w:lang w:val="en-US" w:eastAsia="zh-CN"/>
                    </w:rPr>
                    <w:t>3</w:t>
                  </w:r>
                </w:p>
              </w:tc>
              <w:tc>
                <w:tcPr>
                  <w:tcW w:w="649" w:type="pct"/>
                  <w:noWrap w:val="0"/>
                  <w:vAlign w:val="center"/>
                </w:tcPr>
                <w:p w14:paraId="2545BED1">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无变化</w:t>
                  </w:r>
                </w:p>
              </w:tc>
              <w:tc>
                <w:tcPr>
                  <w:tcW w:w="483" w:type="pct"/>
                  <w:vMerge w:val="continue"/>
                  <w:noWrap w:val="0"/>
                  <w:vAlign w:val="center"/>
                </w:tcPr>
                <w:p w14:paraId="06F0FECA">
                  <w:pPr>
                    <w:keepNext w:val="0"/>
                    <w:keepLines w:val="0"/>
                    <w:suppressLineNumbers w:val="0"/>
                    <w:spacing w:before="0" w:beforeAutospacing="0" w:after="0" w:afterAutospacing="0"/>
                    <w:ind w:left="0" w:right="0"/>
                    <w:jc w:val="center"/>
                    <w:rPr>
                      <w:rFonts w:hint="eastAsia" w:cs="Times New Roman"/>
                      <w:color w:val="auto"/>
                      <w:lang w:val="en-US" w:eastAsia="zh-CN"/>
                    </w:rPr>
                  </w:pPr>
                </w:p>
              </w:tc>
            </w:tr>
            <w:tr w14:paraId="457573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422" w:type="pct"/>
                  <w:vMerge w:val="continue"/>
                  <w:noWrap w:val="0"/>
                  <w:vAlign w:val="center"/>
                </w:tcPr>
                <w:p w14:paraId="4D623B93">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c>
                <w:tcPr>
                  <w:tcW w:w="1071" w:type="pct"/>
                  <w:gridSpan w:val="2"/>
                  <w:noWrap w:val="0"/>
                  <w:vAlign w:val="center"/>
                </w:tcPr>
                <w:p w14:paraId="521F77EA">
                  <w:pPr>
                    <w:keepNext w:val="0"/>
                    <w:keepLines w:val="0"/>
                    <w:suppressLineNumbers w:val="0"/>
                    <w:spacing w:before="0" w:beforeAutospacing="0" w:after="0" w:afterAutospacing="0"/>
                    <w:ind w:left="0" w:right="0"/>
                    <w:jc w:val="center"/>
                    <w:rPr>
                      <w:rFonts w:hint="default" w:cs="Times New Roman"/>
                      <w:color w:val="auto"/>
                      <w:lang w:val="en-US" w:eastAsia="zh-CN"/>
                    </w:rPr>
                  </w:pPr>
                  <w:r>
                    <w:rPr>
                      <w:rFonts w:hint="eastAsia" w:cs="Times New Roman"/>
                      <w:color w:val="auto"/>
                      <w:lang w:val="en-US" w:eastAsia="zh-CN"/>
                    </w:rPr>
                    <w:t>沉淀池</w:t>
                  </w:r>
                </w:p>
              </w:tc>
              <w:tc>
                <w:tcPr>
                  <w:tcW w:w="1213" w:type="pct"/>
                  <w:noWrap w:val="0"/>
                  <w:vAlign w:val="center"/>
                </w:tcPr>
                <w:p w14:paraId="684E2BD7">
                  <w:pPr>
                    <w:keepNext w:val="0"/>
                    <w:keepLines w:val="0"/>
                    <w:suppressLineNumbers w:val="0"/>
                    <w:spacing w:before="0" w:beforeAutospacing="0" w:after="0" w:afterAutospacing="0"/>
                    <w:ind w:left="0" w:right="0"/>
                    <w:jc w:val="center"/>
                    <w:rPr>
                      <w:rFonts w:hint="eastAsia" w:cs="Times New Roman"/>
                      <w:color w:val="auto"/>
                      <w:lang w:val="en-US" w:eastAsia="zh-CN"/>
                    </w:rPr>
                  </w:pPr>
                  <w:r>
                    <w:rPr>
                      <w:rFonts w:hint="eastAsia" w:cs="Times New Roman"/>
                      <w:color w:val="auto"/>
                      <w:lang w:val="en-US" w:eastAsia="zh-CN"/>
                    </w:rPr>
                    <w:t>13m</w:t>
                  </w:r>
                  <w:r>
                    <w:rPr>
                      <w:rFonts w:hint="eastAsia" w:cs="Times New Roman"/>
                      <w:color w:val="auto"/>
                      <w:vertAlign w:val="superscript"/>
                      <w:lang w:val="en-US" w:eastAsia="zh-CN"/>
                    </w:rPr>
                    <w:t>3</w:t>
                  </w:r>
                </w:p>
              </w:tc>
              <w:tc>
                <w:tcPr>
                  <w:tcW w:w="1158" w:type="pct"/>
                  <w:shd w:val="clear" w:color="auto" w:fill="auto"/>
                  <w:noWrap w:val="0"/>
                  <w:vAlign w:val="center"/>
                </w:tcPr>
                <w:p w14:paraId="610375F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13m</w:t>
                  </w:r>
                  <w:r>
                    <w:rPr>
                      <w:rFonts w:hint="eastAsia" w:cs="Times New Roman"/>
                      <w:color w:val="auto"/>
                      <w:vertAlign w:val="superscript"/>
                      <w:lang w:val="en-US" w:eastAsia="zh-CN"/>
                    </w:rPr>
                    <w:t>3</w:t>
                  </w:r>
                </w:p>
              </w:tc>
              <w:tc>
                <w:tcPr>
                  <w:tcW w:w="649" w:type="pct"/>
                  <w:noWrap w:val="0"/>
                  <w:vAlign w:val="center"/>
                </w:tcPr>
                <w:p w14:paraId="6F22C795">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无变化</w:t>
                  </w:r>
                </w:p>
              </w:tc>
              <w:tc>
                <w:tcPr>
                  <w:tcW w:w="483" w:type="pct"/>
                  <w:vMerge w:val="continue"/>
                  <w:noWrap w:val="0"/>
                  <w:vAlign w:val="center"/>
                </w:tcPr>
                <w:p w14:paraId="4E3AC0C2">
                  <w:pPr>
                    <w:keepNext w:val="0"/>
                    <w:keepLines w:val="0"/>
                    <w:suppressLineNumbers w:val="0"/>
                    <w:spacing w:before="0" w:beforeAutospacing="0" w:after="0" w:afterAutospacing="0"/>
                    <w:ind w:left="0" w:right="0"/>
                    <w:jc w:val="center"/>
                    <w:rPr>
                      <w:rFonts w:hint="eastAsia" w:cs="Times New Roman"/>
                      <w:color w:val="auto"/>
                      <w:lang w:val="en-US" w:eastAsia="zh-CN"/>
                    </w:rPr>
                  </w:pPr>
                </w:p>
              </w:tc>
            </w:tr>
            <w:tr w14:paraId="0F29EF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422" w:type="pct"/>
                  <w:vMerge w:val="continue"/>
                  <w:noWrap w:val="0"/>
                  <w:vAlign w:val="center"/>
                </w:tcPr>
                <w:p w14:paraId="5677F42B">
                  <w:pPr>
                    <w:keepNext w:val="0"/>
                    <w:keepLines w:val="0"/>
                    <w:suppressLineNumbers w:val="0"/>
                    <w:spacing w:before="0" w:beforeAutospacing="0" w:after="0" w:afterAutospacing="0"/>
                    <w:ind w:left="0" w:right="0"/>
                    <w:jc w:val="center"/>
                  </w:pPr>
                </w:p>
              </w:tc>
              <w:tc>
                <w:tcPr>
                  <w:tcW w:w="1071" w:type="pct"/>
                  <w:gridSpan w:val="2"/>
                  <w:noWrap w:val="0"/>
                  <w:vAlign w:val="center"/>
                </w:tcPr>
                <w:p w14:paraId="5008865E">
                  <w:pPr>
                    <w:keepNext w:val="0"/>
                    <w:keepLines w:val="0"/>
                    <w:suppressLineNumbers w:val="0"/>
                    <w:spacing w:before="0" w:beforeAutospacing="0" w:after="0" w:afterAutospacing="0"/>
                    <w:ind w:left="0" w:right="0"/>
                    <w:jc w:val="center"/>
                    <w:rPr>
                      <w:rFonts w:hint="default" w:cs="Times New Roman"/>
                      <w:color w:val="auto"/>
                      <w:lang w:val="en-US" w:eastAsia="zh-CN"/>
                    </w:rPr>
                  </w:pPr>
                  <w:r>
                    <w:rPr>
                      <w:rFonts w:hint="eastAsia" w:cs="Times New Roman"/>
                      <w:color w:val="auto"/>
                      <w:lang w:val="en-US" w:eastAsia="zh-CN"/>
                    </w:rPr>
                    <w:t>清水池</w:t>
                  </w:r>
                </w:p>
              </w:tc>
              <w:tc>
                <w:tcPr>
                  <w:tcW w:w="1213" w:type="pct"/>
                  <w:noWrap w:val="0"/>
                  <w:vAlign w:val="center"/>
                </w:tcPr>
                <w:p w14:paraId="7593D2F8">
                  <w:pPr>
                    <w:keepNext w:val="0"/>
                    <w:keepLines w:val="0"/>
                    <w:suppressLineNumbers w:val="0"/>
                    <w:spacing w:before="0" w:beforeAutospacing="0" w:after="0" w:afterAutospacing="0"/>
                    <w:ind w:left="0" w:right="0"/>
                    <w:jc w:val="center"/>
                    <w:rPr>
                      <w:rFonts w:hint="default" w:cs="Times New Roman"/>
                      <w:color w:val="auto"/>
                      <w:lang w:val="en-US" w:eastAsia="zh-CN"/>
                    </w:rPr>
                  </w:pPr>
                  <w:r>
                    <w:rPr>
                      <w:rFonts w:hint="eastAsia" w:cs="Times New Roman"/>
                      <w:color w:val="auto"/>
                      <w:lang w:val="en-US" w:eastAsia="zh-CN"/>
                    </w:rPr>
                    <w:t>无</w:t>
                  </w:r>
                </w:p>
              </w:tc>
              <w:tc>
                <w:tcPr>
                  <w:tcW w:w="1158" w:type="pct"/>
                  <w:shd w:val="clear" w:color="auto" w:fill="auto"/>
                  <w:noWrap w:val="0"/>
                  <w:vAlign w:val="center"/>
                </w:tcPr>
                <w:p w14:paraId="2405EB3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-4.5m，3座，各72m</w:t>
                  </w:r>
                  <w:r>
                    <w:rPr>
                      <w:rFonts w:hint="eastAsia" w:cs="Times New Roman"/>
                      <w:color w:val="auto"/>
                      <w:vertAlign w:val="superscript"/>
                      <w:lang w:val="en-US" w:eastAsia="zh-CN"/>
                    </w:rPr>
                    <w:t>3</w:t>
                  </w:r>
                </w:p>
              </w:tc>
              <w:tc>
                <w:tcPr>
                  <w:tcW w:w="649" w:type="pct"/>
                  <w:noWrap w:val="0"/>
                  <w:vAlign w:val="center"/>
                </w:tcPr>
                <w:p w14:paraId="65B52D90">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新增</w:t>
                  </w:r>
                </w:p>
              </w:tc>
              <w:tc>
                <w:tcPr>
                  <w:tcW w:w="483" w:type="pct"/>
                  <w:vMerge w:val="restart"/>
                  <w:noWrap w:val="0"/>
                  <w:vAlign w:val="center"/>
                </w:tcPr>
                <w:p w14:paraId="1A033DD2">
                  <w:pPr>
                    <w:keepNext w:val="0"/>
                    <w:keepLines w:val="0"/>
                    <w:suppressLineNumbers w:val="0"/>
                    <w:spacing w:before="0" w:beforeAutospacing="0" w:after="0" w:afterAutospacing="0"/>
                    <w:ind w:left="0" w:right="0"/>
                    <w:jc w:val="center"/>
                    <w:rPr>
                      <w:rFonts w:hint="eastAsia" w:cs="Times New Roman"/>
                      <w:color w:val="auto"/>
                      <w:lang w:val="en-US" w:eastAsia="zh-CN"/>
                    </w:rPr>
                  </w:pPr>
                  <w:r>
                    <w:rPr>
                      <w:rFonts w:hint="eastAsia" w:cs="Times New Roman"/>
                      <w:color w:val="auto"/>
                      <w:lang w:val="en-US" w:eastAsia="zh-CN"/>
                    </w:rPr>
                    <w:t>新建</w:t>
                  </w:r>
                </w:p>
              </w:tc>
            </w:tr>
            <w:tr w14:paraId="56EC61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pct"/>
                  <w:vMerge w:val="continue"/>
                  <w:noWrap w:val="0"/>
                  <w:vAlign w:val="center"/>
                </w:tcPr>
                <w:p w14:paraId="6D1FD226">
                  <w:pPr>
                    <w:keepNext w:val="0"/>
                    <w:keepLines w:val="0"/>
                    <w:suppressLineNumbers w:val="0"/>
                    <w:spacing w:before="0" w:beforeAutospacing="0" w:after="0" w:afterAutospacing="0"/>
                    <w:ind w:left="0" w:right="0"/>
                    <w:jc w:val="center"/>
                    <w:rPr>
                      <w:rFonts w:hint="eastAsia" w:cs="Times New Roman"/>
                      <w:color w:val="auto"/>
                      <w:lang w:val="en-US" w:eastAsia="zh-CN"/>
                    </w:rPr>
                  </w:pPr>
                </w:p>
              </w:tc>
              <w:tc>
                <w:tcPr>
                  <w:tcW w:w="1071" w:type="pct"/>
                  <w:gridSpan w:val="2"/>
                  <w:noWrap w:val="0"/>
                  <w:vAlign w:val="center"/>
                </w:tcPr>
                <w:p w14:paraId="00E30CE9">
                  <w:pPr>
                    <w:keepNext w:val="0"/>
                    <w:keepLines w:val="0"/>
                    <w:suppressLineNumbers w:val="0"/>
                    <w:spacing w:before="0" w:beforeAutospacing="0" w:after="0" w:afterAutospacing="0"/>
                    <w:ind w:left="0" w:right="0"/>
                    <w:jc w:val="center"/>
                    <w:rPr>
                      <w:rFonts w:hint="eastAsia" w:cs="Times New Roman"/>
                      <w:color w:val="auto"/>
                      <w:lang w:val="en-US" w:eastAsia="zh-CN"/>
                    </w:rPr>
                  </w:pPr>
                  <w:r>
                    <w:rPr>
                      <w:rFonts w:hint="eastAsia" w:cs="Times New Roman"/>
                      <w:color w:val="auto"/>
                      <w:lang w:val="en-US" w:eastAsia="zh-CN"/>
                    </w:rPr>
                    <w:t>四级沉淀池</w:t>
                  </w:r>
                </w:p>
              </w:tc>
              <w:tc>
                <w:tcPr>
                  <w:tcW w:w="1213" w:type="pct"/>
                  <w:noWrap w:val="0"/>
                  <w:vAlign w:val="center"/>
                </w:tcPr>
                <w:p w14:paraId="75A74CA5">
                  <w:pPr>
                    <w:keepNext w:val="0"/>
                    <w:keepLines w:val="0"/>
                    <w:suppressLineNumbers w:val="0"/>
                    <w:spacing w:before="0" w:beforeAutospacing="0" w:after="0" w:afterAutospacing="0"/>
                    <w:ind w:left="0" w:right="0"/>
                    <w:jc w:val="center"/>
                    <w:rPr>
                      <w:rFonts w:hint="eastAsia" w:cs="Times New Roman"/>
                      <w:color w:val="auto"/>
                      <w:lang w:val="en-US" w:eastAsia="zh-CN"/>
                    </w:rPr>
                  </w:pPr>
                  <w:r>
                    <w:rPr>
                      <w:rFonts w:hint="eastAsia" w:cs="Times New Roman"/>
                      <w:color w:val="auto"/>
                      <w:lang w:val="en-US" w:eastAsia="zh-CN"/>
                    </w:rPr>
                    <w:t>无</w:t>
                  </w:r>
                </w:p>
              </w:tc>
              <w:tc>
                <w:tcPr>
                  <w:tcW w:w="1158" w:type="pct"/>
                  <w:shd w:val="clear" w:color="auto" w:fill="auto"/>
                  <w:noWrap w:val="0"/>
                  <w:vAlign w:val="center"/>
                </w:tcPr>
                <w:p w14:paraId="17127B1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-2m，1座，55m</w:t>
                  </w:r>
                  <w:r>
                    <w:rPr>
                      <w:rFonts w:hint="eastAsia" w:cs="Times New Roman"/>
                      <w:color w:val="auto"/>
                      <w:vertAlign w:val="superscript"/>
                      <w:lang w:val="en-US" w:eastAsia="zh-CN"/>
                    </w:rPr>
                    <w:t>3</w:t>
                  </w:r>
                </w:p>
              </w:tc>
              <w:tc>
                <w:tcPr>
                  <w:tcW w:w="649" w:type="pct"/>
                  <w:noWrap w:val="0"/>
                  <w:vAlign w:val="center"/>
                </w:tcPr>
                <w:p w14:paraId="044E0CAD">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新增</w:t>
                  </w:r>
                </w:p>
              </w:tc>
              <w:tc>
                <w:tcPr>
                  <w:tcW w:w="483" w:type="pct"/>
                  <w:vMerge w:val="continue"/>
                  <w:noWrap w:val="0"/>
                  <w:vAlign w:val="center"/>
                </w:tcPr>
                <w:p w14:paraId="17413C20">
                  <w:pPr>
                    <w:keepNext w:val="0"/>
                    <w:keepLines w:val="0"/>
                    <w:suppressLineNumbers w:val="0"/>
                    <w:spacing w:before="0" w:beforeAutospacing="0" w:after="0" w:afterAutospacing="0"/>
                    <w:ind w:left="0" w:right="0"/>
                    <w:jc w:val="center"/>
                    <w:rPr>
                      <w:rFonts w:hint="eastAsia" w:cs="Times New Roman"/>
                      <w:color w:val="auto"/>
                      <w:lang w:val="en-US" w:eastAsia="zh-CN"/>
                    </w:rPr>
                  </w:pPr>
                </w:p>
              </w:tc>
            </w:tr>
            <w:tr w14:paraId="6A0375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422" w:type="pct"/>
                  <w:vMerge w:val="restart"/>
                  <w:noWrap w:val="0"/>
                  <w:vAlign w:val="center"/>
                </w:tcPr>
                <w:p w14:paraId="7C2004F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储运工程</w:t>
                  </w:r>
                </w:p>
              </w:tc>
              <w:tc>
                <w:tcPr>
                  <w:tcW w:w="1071" w:type="pct"/>
                  <w:gridSpan w:val="2"/>
                  <w:noWrap w:val="0"/>
                  <w:vAlign w:val="center"/>
                </w:tcPr>
                <w:p w14:paraId="3124760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成品库房</w:t>
                  </w:r>
                </w:p>
              </w:tc>
              <w:tc>
                <w:tcPr>
                  <w:tcW w:w="1213" w:type="pct"/>
                  <w:noWrap w:val="0"/>
                  <w:vAlign w:val="center"/>
                </w:tcPr>
                <w:p w14:paraId="57E0AF5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vertAlign w:val="baseline"/>
                      <w:lang w:val="en-US" w:eastAsia="zh-CN"/>
                    </w:rPr>
                  </w:pPr>
                  <w:r>
                    <w:rPr>
                      <w:rFonts w:hint="default" w:ascii="Times New Roman" w:hAnsi="Times New Roman" w:cs="Times New Roman"/>
                      <w:color w:val="auto"/>
                      <w:lang w:val="en-US" w:eastAsia="zh-CN"/>
                    </w:rPr>
                    <w:t>1F,</w:t>
                  </w:r>
                  <w:r>
                    <w:rPr>
                      <w:rFonts w:hint="eastAsia" w:cs="Times New Roman"/>
                      <w:color w:val="auto"/>
                      <w:lang w:val="en-US" w:eastAsia="zh-CN"/>
                    </w:rPr>
                    <w:t>19032.63</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eastAsia" w:cs="Times New Roman"/>
                      <w:color w:val="auto"/>
                      <w:vertAlign w:val="baseline"/>
                      <w:lang w:eastAsia="zh-CN"/>
                    </w:rPr>
                    <w:t>（</w:t>
                  </w:r>
                  <w:r>
                    <w:rPr>
                      <w:rFonts w:hint="eastAsia" w:cs="Times New Roman"/>
                      <w:color w:val="auto"/>
                      <w:vertAlign w:val="baseline"/>
                      <w:lang w:val="en-US" w:eastAsia="zh-CN"/>
                    </w:rPr>
                    <w:t>1#车间</w:t>
                  </w:r>
                  <w:r>
                    <w:rPr>
                      <w:rFonts w:hint="eastAsia" w:cs="Times New Roman"/>
                      <w:color w:val="auto"/>
                      <w:vertAlign w:val="baseline"/>
                      <w:lang w:eastAsia="zh-CN"/>
                    </w:rPr>
                    <w:t>）</w:t>
                  </w:r>
                </w:p>
              </w:tc>
              <w:tc>
                <w:tcPr>
                  <w:tcW w:w="1158" w:type="pct"/>
                  <w:shd w:val="clear" w:color="auto" w:fill="auto"/>
                  <w:noWrap w:val="0"/>
                  <w:vAlign w:val="center"/>
                </w:tcPr>
                <w:p w14:paraId="6A4DD49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vertAlign w:val="baseline"/>
                      <w:lang w:val="en-US" w:eastAsia="zh-CN" w:bidi="ar-SA"/>
                    </w:rPr>
                  </w:pPr>
                  <w:r>
                    <w:rPr>
                      <w:rFonts w:hint="default" w:ascii="Times New Roman" w:hAnsi="Times New Roman" w:cs="Times New Roman"/>
                      <w:color w:val="auto"/>
                      <w:lang w:val="en-US" w:eastAsia="zh-CN"/>
                    </w:rPr>
                    <w:t>1F,</w:t>
                  </w:r>
                  <w:r>
                    <w:rPr>
                      <w:rFonts w:hint="eastAsia" w:cs="Times New Roman"/>
                      <w:color w:val="auto"/>
                      <w:lang w:val="en-US" w:eastAsia="zh-CN"/>
                    </w:rPr>
                    <w:t>19032.63</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eastAsia" w:cs="Times New Roman"/>
                      <w:color w:val="auto"/>
                      <w:vertAlign w:val="baseline"/>
                      <w:lang w:eastAsia="zh-CN"/>
                    </w:rPr>
                    <w:t>（</w:t>
                  </w:r>
                  <w:r>
                    <w:rPr>
                      <w:rFonts w:hint="eastAsia" w:cs="Times New Roman"/>
                      <w:color w:val="auto"/>
                      <w:vertAlign w:val="baseline"/>
                      <w:lang w:val="en-US" w:eastAsia="zh-CN"/>
                    </w:rPr>
                    <w:t>1#车间</w:t>
                  </w:r>
                  <w:r>
                    <w:rPr>
                      <w:rFonts w:hint="eastAsia" w:cs="Times New Roman"/>
                      <w:color w:val="auto"/>
                      <w:vertAlign w:val="baseline"/>
                      <w:lang w:eastAsia="zh-CN"/>
                    </w:rPr>
                    <w:t>）</w:t>
                  </w:r>
                </w:p>
              </w:tc>
              <w:tc>
                <w:tcPr>
                  <w:tcW w:w="649" w:type="pct"/>
                  <w:noWrap w:val="0"/>
                  <w:vAlign w:val="center"/>
                </w:tcPr>
                <w:p w14:paraId="6B3247C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lang w:val="en-US" w:eastAsia="zh-CN"/>
                    </w:rPr>
                  </w:pPr>
                  <w:r>
                    <w:rPr>
                      <w:rFonts w:hint="eastAsia" w:cs="Times New Roman"/>
                      <w:color w:val="auto"/>
                      <w:lang w:val="en-US" w:eastAsia="zh-CN"/>
                    </w:rPr>
                    <w:t>无变化</w:t>
                  </w:r>
                </w:p>
              </w:tc>
              <w:tc>
                <w:tcPr>
                  <w:tcW w:w="483" w:type="pct"/>
                  <w:noWrap w:val="0"/>
                  <w:vAlign w:val="center"/>
                </w:tcPr>
                <w:p w14:paraId="4627F923">
                  <w:pPr>
                    <w:keepNext w:val="0"/>
                    <w:keepLines w:val="0"/>
                    <w:suppressLineNumbers w:val="0"/>
                    <w:spacing w:before="0" w:beforeAutospacing="0" w:after="0" w:afterAutospacing="0"/>
                    <w:ind w:left="0" w:right="0"/>
                    <w:jc w:val="center"/>
                    <w:rPr>
                      <w:rFonts w:hint="default" w:cs="Times New Roman"/>
                      <w:color w:val="auto"/>
                      <w:lang w:val="en-US" w:eastAsia="zh-CN"/>
                    </w:rPr>
                  </w:pPr>
                  <w:r>
                    <w:rPr>
                      <w:rFonts w:hint="eastAsia" w:cs="Times New Roman"/>
                      <w:color w:val="auto"/>
                      <w:lang w:val="en-US" w:eastAsia="zh-CN"/>
                    </w:rPr>
                    <w:t>依托现有</w:t>
                  </w:r>
                </w:p>
              </w:tc>
            </w:tr>
            <w:tr w14:paraId="325B36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422" w:type="pct"/>
                  <w:vMerge w:val="continue"/>
                  <w:noWrap w:val="0"/>
                  <w:vAlign w:val="center"/>
                </w:tcPr>
                <w:p w14:paraId="664D3FF4">
                  <w:pPr>
                    <w:keepNext w:val="0"/>
                    <w:keepLines w:val="0"/>
                    <w:suppressLineNumbers w:val="0"/>
                    <w:spacing w:before="0" w:beforeAutospacing="0" w:after="0" w:afterAutospacing="0"/>
                    <w:ind w:left="0" w:right="0"/>
                    <w:jc w:val="center"/>
                    <w:rPr>
                      <w:rFonts w:hint="eastAsia" w:cs="Times New Roman"/>
                      <w:color w:val="auto"/>
                      <w:lang w:val="en-US" w:eastAsia="zh-CN"/>
                    </w:rPr>
                  </w:pPr>
                </w:p>
              </w:tc>
              <w:tc>
                <w:tcPr>
                  <w:tcW w:w="1071" w:type="pct"/>
                  <w:gridSpan w:val="2"/>
                  <w:noWrap w:val="0"/>
                  <w:vAlign w:val="center"/>
                </w:tcPr>
                <w:p w14:paraId="1DB6A6FF">
                  <w:pPr>
                    <w:keepNext w:val="0"/>
                    <w:keepLines w:val="0"/>
                    <w:suppressLineNumbers w:val="0"/>
                    <w:spacing w:before="0" w:beforeAutospacing="0" w:after="0" w:afterAutospacing="0"/>
                    <w:ind w:left="0" w:right="0"/>
                    <w:jc w:val="center"/>
                    <w:rPr>
                      <w:rFonts w:hint="default" w:cs="Times New Roman"/>
                      <w:color w:val="auto"/>
                      <w:lang w:val="en-US" w:eastAsia="zh-CN"/>
                    </w:rPr>
                  </w:pPr>
                  <w:r>
                    <w:rPr>
                      <w:rFonts w:hint="eastAsia" w:cs="Times New Roman"/>
                      <w:color w:val="auto"/>
                      <w:lang w:val="en-US" w:eastAsia="zh-CN"/>
                    </w:rPr>
                    <w:t>原料储存</w:t>
                  </w:r>
                </w:p>
              </w:tc>
              <w:tc>
                <w:tcPr>
                  <w:tcW w:w="1213" w:type="pct"/>
                  <w:noWrap w:val="0"/>
                  <w:vAlign w:val="center"/>
                </w:tcPr>
                <w:p w14:paraId="77FB3970">
                  <w:pPr>
                    <w:keepNext w:val="0"/>
                    <w:keepLines w:val="0"/>
                    <w:suppressLineNumbers w:val="0"/>
                    <w:spacing w:before="0" w:beforeAutospacing="0" w:after="0" w:afterAutospacing="0"/>
                    <w:ind w:left="0" w:right="0"/>
                    <w:jc w:val="center"/>
                    <w:rPr>
                      <w:rFonts w:hint="default" w:cs="Times New Roman"/>
                      <w:color w:val="auto"/>
                      <w:lang w:val="en-US" w:eastAsia="zh-CN"/>
                    </w:rPr>
                  </w:pPr>
                  <w:r>
                    <w:rPr>
                      <w:rFonts w:hint="eastAsia" w:cs="Times New Roman"/>
                      <w:color w:val="auto"/>
                      <w:lang w:val="en-US" w:eastAsia="zh-CN"/>
                    </w:rPr>
                    <w:t>新建荒料堆场（1000m</w:t>
                  </w:r>
                  <w:r>
                    <w:rPr>
                      <w:rFonts w:hint="eastAsia" w:cs="Times New Roman"/>
                      <w:color w:val="auto"/>
                      <w:vertAlign w:val="superscript"/>
                      <w:lang w:val="en-US" w:eastAsia="zh-CN"/>
                    </w:rPr>
                    <w:t>2</w:t>
                  </w:r>
                  <w:r>
                    <w:rPr>
                      <w:rFonts w:hint="eastAsia" w:cs="Times New Roman"/>
                      <w:color w:val="auto"/>
                      <w:lang w:val="en-US" w:eastAsia="zh-CN"/>
                    </w:rPr>
                    <w:t>）；</w:t>
                  </w:r>
                </w:p>
              </w:tc>
              <w:tc>
                <w:tcPr>
                  <w:tcW w:w="1158" w:type="pct"/>
                  <w:shd w:val="clear" w:color="auto" w:fill="auto"/>
                  <w:noWrap w:val="0"/>
                  <w:vAlign w:val="center"/>
                </w:tcPr>
                <w:p w14:paraId="4DC204B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新建荒料堆场（1000m</w:t>
                  </w:r>
                  <w:r>
                    <w:rPr>
                      <w:rFonts w:hint="eastAsia" w:cs="Times New Roman"/>
                      <w:color w:val="auto"/>
                      <w:vertAlign w:val="superscript"/>
                      <w:lang w:val="en-US" w:eastAsia="zh-CN"/>
                    </w:rPr>
                    <w:t>2</w:t>
                  </w:r>
                  <w:r>
                    <w:rPr>
                      <w:rFonts w:hint="eastAsia" w:cs="Times New Roman"/>
                      <w:color w:val="auto"/>
                      <w:lang w:val="en-US" w:eastAsia="zh-CN"/>
                    </w:rPr>
                    <w:t>）；</w:t>
                  </w:r>
                </w:p>
              </w:tc>
              <w:tc>
                <w:tcPr>
                  <w:tcW w:w="649" w:type="pct"/>
                  <w:noWrap w:val="0"/>
                  <w:vAlign w:val="center"/>
                </w:tcPr>
                <w:p w14:paraId="52BF6E4C">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无变化</w:t>
                  </w:r>
                </w:p>
              </w:tc>
              <w:tc>
                <w:tcPr>
                  <w:tcW w:w="483" w:type="pct"/>
                  <w:noWrap w:val="0"/>
                  <w:vAlign w:val="center"/>
                </w:tcPr>
                <w:p w14:paraId="31308B1C">
                  <w:pPr>
                    <w:keepNext w:val="0"/>
                    <w:keepLines w:val="0"/>
                    <w:suppressLineNumbers w:val="0"/>
                    <w:spacing w:before="0" w:beforeAutospacing="0" w:after="0" w:afterAutospacing="0"/>
                    <w:ind w:left="0" w:right="0"/>
                    <w:jc w:val="center"/>
                    <w:rPr>
                      <w:rFonts w:hint="default" w:cs="Times New Roman"/>
                      <w:color w:val="auto"/>
                      <w:lang w:val="en-US" w:eastAsia="zh-CN"/>
                    </w:rPr>
                  </w:pPr>
                  <w:r>
                    <w:rPr>
                      <w:rFonts w:hint="eastAsia" w:cs="Times New Roman"/>
                      <w:color w:val="auto"/>
                      <w:lang w:val="en-US" w:eastAsia="zh-CN"/>
                    </w:rPr>
                    <w:t>一致</w:t>
                  </w:r>
                </w:p>
              </w:tc>
            </w:tr>
            <w:tr w14:paraId="38BBFE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22" w:type="pct"/>
                  <w:vMerge w:val="restart"/>
                  <w:noWrap w:val="0"/>
                  <w:vAlign w:val="center"/>
                </w:tcPr>
                <w:p w14:paraId="7A9FAAF4">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color w:val="auto"/>
                    </w:rPr>
                    <w:t>公用</w:t>
                  </w:r>
                </w:p>
                <w:p w14:paraId="4DDE6BF7">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color w:val="auto"/>
                    </w:rPr>
                    <w:t>工程</w:t>
                  </w:r>
                </w:p>
              </w:tc>
              <w:tc>
                <w:tcPr>
                  <w:tcW w:w="1071" w:type="pct"/>
                  <w:gridSpan w:val="2"/>
                  <w:noWrap w:val="0"/>
                  <w:vAlign w:val="center"/>
                </w:tcPr>
                <w:p w14:paraId="29D14676">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color w:val="auto"/>
                    </w:rPr>
                    <w:t>供配电设施</w:t>
                  </w:r>
                </w:p>
              </w:tc>
              <w:tc>
                <w:tcPr>
                  <w:tcW w:w="1213" w:type="pct"/>
                  <w:noWrap w:val="0"/>
                  <w:vAlign w:val="center"/>
                </w:tcPr>
                <w:p w14:paraId="7BCDFC91">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color w:val="auto"/>
                    </w:rPr>
                    <w:t>园区供电电网</w:t>
                  </w:r>
                </w:p>
              </w:tc>
              <w:tc>
                <w:tcPr>
                  <w:tcW w:w="1158" w:type="pct"/>
                  <w:shd w:val="clear" w:color="auto" w:fill="auto"/>
                  <w:noWrap w:val="0"/>
                  <w:vAlign w:val="center"/>
                </w:tcPr>
                <w:p w14:paraId="6C2FA00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rPr>
                    <w:t>园区供电电网</w:t>
                  </w:r>
                </w:p>
              </w:tc>
              <w:tc>
                <w:tcPr>
                  <w:tcW w:w="649" w:type="pct"/>
                  <w:noWrap w:val="0"/>
                  <w:vAlign w:val="center"/>
                </w:tcPr>
                <w:p w14:paraId="1436D1A7">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rPr>
                  </w:pPr>
                  <w:r>
                    <w:rPr>
                      <w:rFonts w:hint="eastAsia" w:cs="Times New Roman"/>
                      <w:color w:val="auto"/>
                      <w:lang w:val="en-US" w:eastAsia="zh-CN"/>
                    </w:rPr>
                    <w:t>无变化</w:t>
                  </w:r>
                </w:p>
              </w:tc>
              <w:tc>
                <w:tcPr>
                  <w:tcW w:w="483" w:type="pct"/>
                  <w:vMerge w:val="restart"/>
                  <w:noWrap w:val="0"/>
                  <w:vAlign w:val="center"/>
                </w:tcPr>
                <w:p w14:paraId="125B881C">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cs="Times New Roman"/>
                      <w:color w:val="auto"/>
                      <w:lang w:val="en-US" w:eastAsia="zh-CN"/>
                    </w:rPr>
                    <w:t>依托现有</w:t>
                  </w:r>
                </w:p>
              </w:tc>
            </w:tr>
            <w:tr w14:paraId="772029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22" w:type="pct"/>
                  <w:vMerge w:val="continue"/>
                  <w:noWrap w:val="0"/>
                  <w:vAlign w:val="center"/>
                </w:tcPr>
                <w:p w14:paraId="78F89430">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c>
                <w:tcPr>
                  <w:tcW w:w="1071" w:type="pct"/>
                  <w:gridSpan w:val="2"/>
                  <w:noWrap w:val="0"/>
                  <w:vAlign w:val="center"/>
                </w:tcPr>
                <w:p w14:paraId="4F1934B4">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color w:val="auto"/>
                    </w:rPr>
                    <w:t>供水设施</w:t>
                  </w:r>
                </w:p>
              </w:tc>
              <w:tc>
                <w:tcPr>
                  <w:tcW w:w="1213" w:type="pct"/>
                  <w:noWrap w:val="0"/>
                  <w:vAlign w:val="center"/>
                </w:tcPr>
                <w:p w14:paraId="3CA674D7">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color w:val="auto"/>
                    </w:rPr>
                    <w:t>园区给水管网供给</w:t>
                  </w:r>
                </w:p>
              </w:tc>
              <w:tc>
                <w:tcPr>
                  <w:tcW w:w="1158" w:type="pct"/>
                  <w:shd w:val="clear" w:color="auto" w:fill="auto"/>
                  <w:noWrap w:val="0"/>
                  <w:vAlign w:val="center"/>
                </w:tcPr>
                <w:p w14:paraId="77F2D7A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rPr>
                    <w:t>园区给水管网供给</w:t>
                  </w:r>
                </w:p>
              </w:tc>
              <w:tc>
                <w:tcPr>
                  <w:tcW w:w="649" w:type="pct"/>
                  <w:noWrap w:val="0"/>
                  <w:vAlign w:val="center"/>
                </w:tcPr>
                <w:p w14:paraId="07C0C7AE">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rPr>
                  </w:pPr>
                  <w:r>
                    <w:rPr>
                      <w:rFonts w:hint="eastAsia" w:cs="Times New Roman"/>
                      <w:color w:val="auto"/>
                      <w:lang w:val="en-US" w:eastAsia="zh-CN"/>
                    </w:rPr>
                    <w:t>无变化</w:t>
                  </w:r>
                </w:p>
              </w:tc>
              <w:tc>
                <w:tcPr>
                  <w:tcW w:w="483" w:type="pct"/>
                  <w:vMerge w:val="continue"/>
                  <w:noWrap w:val="0"/>
                  <w:vAlign w:val="center"/>
                </w:tcPr>
                <w:p w14:paraId="04DA1135">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r>
            <w:tr w14:paraId="3EB3AE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6" w:hRule="atLeast"/>
                <w:jc w:val="center"/>
              </w:trPr>
              <w:tc>
                <w:tcPr>
                  <w:tcW w:w="422" w:type="pct"/>
                  <w:vMerge w:val="continue"/>
                  <w:noWrap w:val="0"/>
                  <w:vAlign w:val="center"/>
                </w:tcPr>
                <w:p w14:paraId="138B3872">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c>
                <w:tcPr>
                  <w:tcW w:w="1071" w:type="pct"/>
                  <w:gridSpan w:val="2"/>
                  <w:vMerge w:val="restart"/>
                  <w:noWrap w:val="0"/>
                  <w:vAlign w:val="center"/>
                </w:tcPr>
                <w:p w14:paraId="1FBD7FB3">
                  <w:pPr>
                    <w:keepNext w:val="0"/>
                    <w:keepLines w:val="0"/>
                    <w:suppressLineNumbers w:val="0"/>
                    <w:spacing w:before="0" w:beforeAutospacing="0" w:after="0" w:afterAutospacing="0"/>
                    <w:ind w:left="0" w:right="0"/>
                    <w:jc w:val="center"/>
                    <w:rPr>
                      <w:rFonts w:hint="eastAsia" w:ascii="Times New Roman" w:hAnsi="Times New Roman" w:cs="Times New Roman"/>
                      <w:color w:val="FF0000"/>
                    </w:rPr>
                  </w:pPr>
                  <w:r>
                    <w:rPr>
                      <w:rFonts w:hint="eastAsia" w:ascii="Times New Roman" w:hAnsi="Times New Roman" w:cs="Times New Roman"/>
                      <w:color w:val="FF0000"/>
                    </w:rPr>
                    <w:t>排水设施</w:t>
                  </w:r>
                </w:p>
              </w:tc>
              <w:tc>
                <w:tcPr>
                  <w:tcW w:w="1213" w:type="pct"/>
                  <w:noWrap w:val="0"/>
                  <w:vAlign w:val="center"/>
                </w:tcPr>
                <w:p w14:paraId="2D8CE0A6">
                  <w:pPr>
                    <w:pStyle w:val="68"/>
                    <w:spacing w:before="105" w:line="227" w:lineRule="auto"/>
                    <w:ind w:left="126"/>
                    <w:jc w:val="center"/>
                    <w:rPr>
                      <w:rFonts w:hint="eastAsia" w:ascii="Times New Roman" w:hAnsi="Times New Roman" w:cs="Times New Roman"/>
                      <w:color w:val="FF0000"/>
                    </w:rPr>
                  </w:pPr>
                  <w:r>
                    <w:rPr>
                      <w:rFonts w:hint="eastAsia" w:ascii="Times New Roman" w:hAnsi="Times New Roman" w:eastAsia="宋体" w:cs="Times New Roman"/>
                      <w:color w:val="FF0000"/>
                      <w:spacing w:val="4"/>
                      <w:lang w:eastAsia="zh-CN"/>
                    </w:rPr>
                    <w:t>1.</w:t>
                  </w:r>
                  <w:r>
                    <w:rPr>
                      <w:color w:val="FF0000"/>
                      <w:spacing w:val="4"/>
                    </w:rPr>
                    <w:t>本项目</w:t>
                  </w:r>
                  <w:r>
                    <w:rPr>
                      <w:color w:val="FF0000"/>
                      <w:spacing w:val="4"/>
                      <w:sz w:val="18"/>
                      <w:szCs w:val="18"/>
                    </w:rPr>
                    <w:t>无生产用水</w:t>
                  </w:r>
                </w:p>
              </w:tc>
              <w:tc>
                <w:tcPr>
                  <w:tcW w:w="1158" w:type="pct"/>
                  <w:shd w:val="clear" w:color="auto" w:fill="auto"/>
                  <w:noWrap w:val="0"/>
                  <w:vAlign w:val="center"/>
                </w:tcPr>
                <w:p w14:paraId="18120821">
                  <w:pPr>
                    <w:keepNext w:val="0"/>
                    <w:keepLines w:val="0"/>
                    <w:widowControl/>
                    <w:suppressLineNumbers w:val="0"/>
                    <w:jc w:val="center"/>
                    <w:rPr>
                      <w:rFonts w:hint="eastAsia" w:ascii="Times New Roman" w:hAnsi="Times New Roman" w:eastAsia="宋体" w:cs="Times New Roman"/>
                      <w:color w:val="FF0000"/>
                      <w:kern w:val="2"/>
                      <w:sz w:val="21"/>
                      <w:szCs w:val="24"/>
                      <w:lang w:val="en-US" w:eastAsia="zh-CN" w:bidi="ar-SA"/>
                    </w:rPr>
                  </w:pPr>
                  <w:r>
                    <w:rPr>
                      <w:rFonts w:hint="eastAsia" w:cs="Times New Roman"/>
                      <w:color w:val="FF0000"/>
                      <w:sz w:val="21"/>
                      <w:szCs w:val="21"/>
                      <w:lang w:val="en-US" w:eastAsia="zh-CN"/>
                    </w:rPr>
                    <w:t>1.</w:t>
                  </w:r>
                  <w:r>
                    <w:rPr>
                      <w:rFonts w:hint="eastAsia" w:ascii="Times New Roman" w:hAnsi="Times New Roman" w:cs="Times New Roman"/>
                      <w:b w:val="0"/>
                      <w:bCs w:val="0"/>
                      <w:color w:val="FF0000"/>
                      <w:vertAlign w:val="baseline"/>
                      <w:lang w:val="en-US" w:eastAsia="zh-CN"/>
                    </w:rPr>
                    <w:t>喷淋装置洗掉矿石表面泥土，产生的废水经四级沉淀处理后回用于骨料清洗工序，不外排</w:t>
                  </w:r>
                </w:p>
              </w:tc>
              <w:tc>
                <w:tcPr>
                  <w:tcW w:w="649" w:type="pct"/>
                  <w:noWrap w:val="0"/>
                  <w:vAlign w:val="center"/>
                </w:tcPr>
                <w:p w14:paraId="79D4226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FF0000"/>
                      <w:sz w:val="21"/>
                      <w:szCs w:val="21"/>
                      <w:lang w:val="en-US" w:eastAsia="zh-CN"/>
                    </w:rPr>
                  </w:pPr>
                  <w:r>
                    <w:rPr>
                      <w:rFonts w:hint="eastAsia" w:cs="Times New Roman"/>
                      <w:color w:val="FF0000"/>
                      <w:lang w:val="en-US" w:eastAsia="zh-CN"/>
                    </w:rPr>
                    <w:t>新增</w:t>
                  </w:r>
                  <w:r>
                    <w:rPr>
                      <w:rFonts w:hint="eastAsia" w:ascii="Times New Roman" w:hAnsi="Times New Roman" w:cs="Times New Roman"/>
                      <w:b w:val="0"/>
                      <w:bCs w:val="0"/>
                      <w:color w:val="FF0000"/>
                      <w:vertAlign w:val="baseline"/>
                      <w:lang w:val="en-US" w:eastAsia="zh-CN"/>
                    </w:rPr>
                    <w:t>矿石喷淋清洗装置</w:t>
                  </w:r>
                  <w:r>
                    <w:rPr>
                      <w:rFonts w:hint="eastAsia" w:cs="Times New Roman"/>
                      <w:b w:val="0"/>
                      <w:bCs w:val="0"/>
                      <w:color w:val="FF0000"/>
                      <w:vertAlign w:val="baseline"/>
                      <w:lang w:val="en-US" w:eastAsia="zh-CN"/>
                    </w:rPr>
                    <w:t>，产生的废水经四级沉淀处理后回用于骨料清洗工序，不外排</w:t>
                  </w:r>
                </w:p>
              </w:tc>
              <w:tc>
                <w:tcPr>
                  <w:tcW w:w="483" w:type="pct"/>
                  <w:noWrap w:val="0"/>
                  <w:vAlign w:val="center"/>
                </w:tcPr>
                <w:p w14:paraId="351A1C0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FF0000"/>
                      <w:lang w:val="en-US" w:eastAsia="zh-CN"/>
                    </w:rPr>
                  </w:pPr>
                  <w:r>
                    <w:rPr>
                      <w:rFonts w:hint="eastAsia" w:cs="Times New Roman"/>
                      <w:color w:val="FF0000"/>
                      <w:lang w:val="en-US" w:eastAsia="zh-CN"/>
                    </w:rPr>
                    <w:t>新建</w:t>
                  </w:r>
                </w:p>
              </w:tc>
            </w:tr>
            <w:tr w14:paraId="7C2A24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6" w:hRule="atLeast"/>
                <w:jc w:val="center"/>
              </w:trPr>
              <w:tc>
                <w:tcPr>
                  <w:tcW w:w="422" w:type="pct"/>
                  <w:vMerge w:val="continue"/>
                  <w:noWrap w:val="0"/>
                  <w:vAlign w:val="center"/>
                </w:tcPr>
                <w:p w14:paraId="2938B6D1">
                  <w:pPr>
                    <w:keepNext w:val="0"/>
                    <w:keepLines w:val="0"/>
                    <w:suppressLineNumbers w:val="0"/>
                    <w:spacing w:before="0" w:beforeAutospacing="0" w:after="0" w:afterAutospacing="0"/>
                    <w:ind w:left="0" w:right="0"/>
                    <w:jc w:val="center"/>
                  </w:pPr>
                </w:p>
              </w:tc>
              <w:tc>
                <w:tcPr>
                  <w:tcW w:w="1071" w:type="pct"/>
                  <w:gridSpan w:val="2"/>
                  <w:vMerge w:val="continue"/>
                  <w:noWrap w:val="0"/>
                  <w:vAlign w:val="center"/>
                </w:tcPr>
                <w:p w14:paraId="20158C5F">
                  <w:pPr>
                    <w:keepNext w:val="0"/>
                    <w:keepLines w:val="0"/>
                    <w:suppressLineNumbers w:val="0"/>
                    <w:spacing w:before="0" w:beforeAutospacing="0" w:after="0" w:afterAutospacing="0"/>
                    <w:ind w:left="0" w:right="0"/>
                    <w:jc w:val="center"/>
                    <w:rPr>
                      <w:color w:val="FF0000"/>
                    </w:rPr>
                  </w:pPr>
                </w:p>
              </w:tc>
              <w:tc>
                <w:tcPr>
                  <w:tcW w:w="1213" w:type="pct"/>
                  <w:noWrap w:val="0"/>
                  <w:vAlign w:val="center"/>
                </w:tcPr>
                <w:p w14:paraId="29D44540">
                  <w:pPr>
                    <w:keepNext w:val="0"/>
                    <w:keepLines w:val="0"/>
                    <w:suppressLineNumbers w:val="0"/>
                    <w:spacing w:before="0" w:beforeAutospacing="0" w:after="0" w:afterAutospacing="0"/>
                    <w:ind w:left="0" w:right="0"/>
                    <w:jc w:val="center"/>
                    <w:rPr>
                      <w:rFonts w:hint="eastAsia" w:eastAsia="宋体" w:cs="Times New Roman"/>
                      <w:color w:val="FF0000"/>
                      <w:spacing w:val="8"/>
                      <w:lang w:eastAsia="zh-CN"/>
                    </w:rPr>
                  </w:pPr>
                  <w:r>
                    <w:rPr>
                      <w:rFonts w:hint="eastAsia" w:eastAsia="宋体" w:cs="Times New Roman"/>
                      <w:color w:val="FF0000"/>
                      <w:spacing w:val="8"/>
                      <w:lang w:eastAsia="zh-CN"/>
                    </w:rPr>
                    <w:t>2.</w:t>
                  </w:r>
                  <w:r>
                    <w:rPr>
                      <w:color w:val="FF0000"/>
                      <w:spacing w:val="8"/>
                    </w:rPr>
                    <w:t>生活污水排入玻璃钢防渗化粪池（容积</w:t>
                  </w:r>
                  <w:r>
                    <w:rPr>
                      <w:color w:val="FF0000"/>
                      <w:spacing w:val="5"/>
                    </w:rPr>
                    <w:t>45m</w:t>
                  </w:r>
                  <w:r>
                    <w:rPr>
                      <w:color w:val="FF0000"/>
                      <w:spacing w:val="5"/>
                      <w:position w:val="10"/>
                      <w:sz w:val="10"/>
                      <w:szCs w:val="10"/>
                    </w:rPr>
                    <w:t>3</w:t>
                  </w:r>
                  <w:r>
                    <w:rPr>
                      <w:color w:val="FF0000"/>
                      <w:spacing w:val="5"/>
                    </w:rPr>
                    <w:t>）预处理后，定期清运至和硕县污</w:t>
                  </w:r>
                  <w:r>
                    <w:rPr>
                      <w:color w:val="FF0000"/>
                      <w:spacing w:val="4"/>
                    </w:rPr>
                    <w:t>水处理</w:t>
                  </w:r>
                  <w:r>
                    <w:rPr>
                      <w:color w:val="FF0000"/>
                      <w:spacing w:val="5"/>
                    </w:rPr>
                    <w:t>厂处理</w:t>
                  </w:r>
                </w:p>
              </w:tc>
              <w:tc>
                <w:tcPr>
                  <w:tcW w:w="1158" w:type="pct"/>
                  <w:shd w:val="clear" w:color="auto" w:fill="auto"/>
                  <w:noWrap w:val="0"/>
                  <w:vAlign w:val="center"/>
                </w:tcPr>
                <w:p w14:paraId="65D49643">
                  <w:pPr>
                    <w:keepNext w:val="0"/>
                    <w:keepLines w:val="0"/>
                    <w:suppressLineNumbers w:val="0"/>
                    <w:spacing w:before="0" w:beforeAutospacing="0" w:after="0" w:afterAutospacing="0"/>
                    <w:ind w:left="0" w:right="0"/>
                    <w:jc w:val="center"/>
                    <w:rPr>
                      <w:rFonts w:hint="eastAsia" w:eastAsia="宋体" w:cs="Times New Roman"/>
                      <w:color w:val="FF0000"/>
                      <w:spacing w:val="8"/>
                      <w:lang w:eastAsia="zh-CN"/>
                    </w:rPr>
                  </w:pPr>
                  <w:r>
                    <w:rPr>
                      <w:rFonts w:hint="eastAsia" w:cs="Times New Roman"/>
                      <w:color w:val="FF0000"/>
                      <w:sz w:val="21"/>
                      <w:szCs w:val="21"/>
                      <w:lang w:val="en-US" w:eastAsia="zh-CN"/>
                    </w:rPr>
                    <w:t>2.</w:t>
                  </w:r>
                  <w:r>
                    <w:rPr>
                      <w:rFonts w:hint="eastAsia" w:ascii="Times New Roman" w:hAnsi="Times New Roman" w:cs="Times New Roman"/>
                      <w:color w:val="FF0000"/>
                      <w:sz w:val="21"/>
                      <w:szCs w:val="21"/>
                      <w:lang w:val="en-US" w:eastAsia="zh-CN"/>
                    </w:rPr>
                    <w:t>生活污水排入</w:t>
                  </w:r>
                  <w:r>
                    <w:rPr>
                      <w:rFonts w:hint="eastAsia" w:ascii="宋体" w:hAnsi="宋体" w:cs="宋体"/>
                      <w:color w:val="FF0000"/>
                      <w:szCs w:val="21"/>
                      <w:lang w:val="en-US" w:eastAsia="zh-CN"/>
                    </w:rPr>
                    <w:t>玻璃钢防渗化粪池（容积</w:t>
                  </w:r>
                  <w:r>
                    <w:rPr>
                      <w:rFonts w:hint="default" w:ascii="Times New Roman" w:hAnsi="Times New Roman" w:cs="Times New Roman"/>
                      <w:color w:val="FF0000"/>
                      <w:szCs w:val="21"/>
                      <w:lang w:val="en-US" w:eastAsia="zh-CN"/>
                    </w:rPr>
                    <w:t>45m</w:t>
                  </w:r>
                  <w:r>
                    <w:rPr>
                      <w:rFonts w:hint="default" w:ascii="Times New Roman" w:hAnsi="Times New Roman" w:cs="Times New Roman"/>
                      <w:color w:val="FF0000"/>
                      <w:szCs w:val="21"/>
                      <w:vertAlign w:val="superscript"/>
                      <w:lang w:val="en-US" w:eastAsia="zh-CN"/>
                    </w:rPr>
                    <w:t>3</w:t>
                  </w:r>
                  <w:r>
                    <w:rPr>
                      <w:rFonts w:hint="eastAsia" w:ascii="宋体" w:hAnsi="宋体" w:cs="宋体"/>
                      <w:color w:val="FF0000"/>
                      <w:szCs w:val="21"/>
                      <w:lang w:val="en-US" w:eastAsia="zh-CN"/>
                    </w:rPr>
                    <w:t>）预处理后</w:t>
                  </w:r>
                  <w:r>
                    <w:rPr>
                      <w:rFonts w:hint="eastAsia" w:ascii="Times New Roman" w:hAnsi="Times New Roman" w:cs="Times New Roman"/>
                      <w:color w:val="FF0000"/>
                      <w:sz w:val="21"/>
                      <w:szCs w:val="21"/>
                      <w:lang w:val="en-US" w:eastAsia="zh-CN"/>
                    </w:rPr>
                    <w:t>，定期清运至和硕县污水处理厂处理</w:t>
                  </w:r>
                </w:p>
              </w:tc>
              <w:tc>
                <w:tcPr>
                  <w:tcW w:w="649" w:type="pct"/>
                  <w:noWrap w:val="0"/>
                  <w:vAlign w:val="center"/>
                </w:tcPr>
                <w:p w14:paraId="3911A0B7">
                  <w:pPr>
                    <w:keepNext w:val="0"/>
                    <w:keepLines w:val="0"/>
                    <w:suppressLineNumbers w:val="0"/>
                    <w:spacing w:before="0" w:beforeAutospacing="0" w:after="0" w:afterAutospacing="0"/>
                    <w:ind w:left="0" w:leftChars="0" w:right="0" w:rightChars="0"/>
                    <w:jc w:val="center"/>
                    <w:rPr>
                      <w:rFonts w:hint="eastAsia" w:eastAsia="宋体" w:cs="Times New Roman"/>
                      <w:color w:val="FF0000"/>
                      <w:spacing w:val="8"/>
                      <w:lang w:eastAsia="zh-CN"/>
                    </w:rPr>
                  </w:pPr>
                  <w:r>
                    <w:rPr>
                      <w:rFonts w:hint="eastAsia" w:cs="Times New Roman"/>
                      <w:color w:val="FF0000"/>
                      <w:lang w:val="en-US" w:eastAsia="zh-CN"/>
                    </w:rPr>
                    <w:t>无变化</w:t>
                  </w:r>
                </w:p>
              </w:tc>
              <w:tc>
                <w:tcPr>
                  <w:tcW w:w="483" w:type="pct"/>
                  <w:noWrap w:val="0"/>
                  <w:vAlign w:val="center"/>
                </w:tcPr>
                <w:p w14:paraId="6D1750B4">
                  <w:pPr>
                    <w:pStyle w:val="2"/>
                    <w:ind w:left="0" w:leftChars="0" w:firstLine="0" w:firstLineChars="0"/>
                    <w:jc w:val="center"/>
                    <w:rPr>
                      <w:rFonts w:hint="eastAsia" w:eastAsia="宋体" w:cs="Times New Roman"/>
                      <w:color w:val="FF0000"/>
                      <w:spacing w:val="8"/>
                      <w:lang w:eastAsia="zh-CN"/>
                    </w:rPr>
                  </w:pPr>
                  <w:r>
                    <w:rPr>
                      <w:rFonts w:hint="eastAsia"/>
                      <w:color w:val="FF0000"/>
                      <w:lang w:val="en-US" w:eastAsia="zh-CN"/>
                    </w:rPr>
                    <w:t>新建</w:t>
                  </w:r>
                </w:p>
              </w:tc>
            </w:tr>
            <w:tr w14:paraId="3169D5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422" w:type="pct"/>
                  <w:vMerge w:val="continue"/>
                  <w:noWrap w:val="0"/>
                  <w:vAlign w:val="center"/>
                </w:tcPr>
                <w:p w14:paraId="6732BBFE">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c>
                <w:tcPr>
                  <w:tcW w:w="1071" w:type="pct"/>
                  <w:gridSpan w:val="2"/>
                  <w:noWrap w:val="0"/>
                  <w:vAlign w:val="center"/>
                </w:tcPr>
                <w:p w14:paraId="568BAE44">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color w:val="auto"/>
                    </w:rPr>
                    <w:t>供暖设施</w:t>
                  </w:r>
                </w:p>
              </w:tc>
              <w:tc>
                <w:tcPr>
                  <w:tcW w:w="1213" w:type="pct"/>
                  <w:noWrap w:val="0"/>
                  <w:vAlign w:val="center"/>
                </w:tcPr>
                <w:p w14:paraId="44552A55">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color w:val="auto"/>
                    </w:rPr>
                    <w:t>本项目冬季采用电采暖</w:t>
                  </w:r>
                </w:p>
              </w:tc>
              <w:tc>
                <w:tcPr>
                  <w:tcW w:w="1158" w:type="pct"/>
                  <w:shd w:val="clear" w:color="auto" w:fill="auto"/>
                  <w:noWrap w:val="0"/>
                  <w:vAlign w:val="center"/>
                </w:tcPr>
                <w:p w14:paraId="5446DFC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rPr>
                    <w:t>本项目冬季采用电采暖</w:t>
                  </w:r>
                </w:p>
              </w:tc>
              <w:tc>
                <w:tcPr>
                  <w:tcW w:w="649" w:type="pct"/>
                  <w:noWrap w:val="0"/>
                  <w:vAlign w:val="center"/>
                </w:tcPr>
                <w:p w14:paraId="4488D149">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rPr>
                  </w:pPr>
                  <w:r>
                    <w:rPr>
                      <w:rFonts w:hint="eastAsia" w:cs="Times New Roman"/>
                      <w:color w:val="auto"/>
                      <w:lang w:val="en-US" w:eastAsia="zh-CN"/>
                    </w:rPr>
                    <w:t>无变化</w:t>
                  </w:r>
                </w:p>
              </w:tc>
              <w:tc>
                <w:tcPr>
                  <w:tcW w:w="483" w:type="pct"/>
                  <w:noWrap w:val="0"/>
                  <w:vAlign w:val="center"/>
                </w:tcPr>
                <w:p w14:paraId="2156637C">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cs="Times New Roman"/>
                      <w:color w:val="auto"/>
                      <w:lang w:val="en-US" w:eastAsia="zh-CN"/>
                    </w:rPr>
                    <w:t>依托现有</w:t>
                  </w:r>
                </w:p>
              </w:tc>
            </w:tr>
            <w:tr w14:paraId="70FE8F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22" w:type="pct"/>
                  <w:vMerge w:val="restart"/>
                  <w:noWrap w:val="0"/>
                  <w:vAlign w:val="center"/>
                </w:tcPr>
                <w:p w14:paraId="2D81F5BA">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color w:val="auto"/>
                    </w:rPr>
                    <w:t>环保</w:t>
                  </w:r>
                </w:p>
                <w:p w14:paraId="56D3293E">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color w:val="auto"/>
                    </w:rPr>
                    <w:t>工程</w:t>
                  </w:r>
                </w:p>
              </w:tc>
              <w:tc>
                <w:tcPr>
                  <w:tcW w:w="1071" w:type="pct"/>
                  <w:gridSpan w:val="2"/>
                  <w:vMerge w:val="restart"/>
                  <w:noWrap w:val="0"/>
                  <w:vAlign w:val="center"/>
                </w:tcPr>
                <w:p w14:paraId="3FAD5EBC">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color w:val="auto"/>
                    </w:rPr>
                    <w:t>固废处置</w:t>
                  </w:r>
                </w:p>
              </w:tc>
              <w:tc>
                <w:tcPr>
                  <w:tcW w:w="1213" w:type="pct"/>
                  <w:noWrap w:val="0"/>
                  <w:vAlign w:val="center"/>
                </w:tcPr>
                <w:p w14:paraId="77E85B7F">
                  <w:pPr>
                    <w:keepNext w:val="0"/>
                    <w:keepLines w:val="0"/>
                    <w:numPr>
                      <w:ilvl w:val="0"/>
                      <w:numId w:val="0"/>
                    </w:numPr>
                    <w:suppressLineNumbers w:val="0"/>
                    <w:spacing w:before="0" w:beforeAutospacing="0" w:after="0" w:afterAutospacing="0"/>
                    <w:ind w:right="0" w:rightChars="0"/>
                    <w:jc w:val="center"/>
                    <w:rPr>
                      <w:rFonts w:hint="default" w:eastAsia="宋体"/>
                      <w:color w:val="auto"/>
                      <w:lang w:val="en-US" w:eastAsia="zh-CN"/>
                    </w:rPr>
                  </w:pPr>
                  <w:r>
                    <w:rPr>
                      <w:rFonts w:hint="eastAsia"/>
                      <w:color w:val="auto"/>
                      <w:lang w:val="en-US" w:eastAsia="zh-CN"/>
                    </w:rPr>
                    <w:t>1.</w:t>
                  </w:r>
                  <w:r>
                    <w:rPr>
                      <w:rFonts w:hint="eastAsia"/>
                      <w:color w:val="auto"/>
                      <w:lang w:val="zh-CN"/>
                    </w:rPr>
                    <w:t>项目区生活垃圾利用厂区原有的生活垃圾箱收集，</w:t>
                  </w:r>
                  <w:r>
                    <w:rPr>
                      <w:rFonts w:hint="eastAsia"/>
                      <w:color w:val="auto"/>
                      <w:lang w:val="en-US" w:eastAsia="zh-CN"/>
                    </w:rPr>
                    <w:t>由园区环卫部门定期清运</w:t>
                  </w:r>
                  <w:r>
                    <w:rPr>
                      <w:rFonts w:hint="eastAsia"/>
                      <w:color w:val="auto"/>
                    </w:rPr>
                    <w:t>；</w:t>
                  </w:r>
                </w:p>
              </w:tc>
              <w:tc>
                <w:tcPr>
                  <w:tcW w:w="1158" w:type="pct"/>
                  <w:shd w:val="clear" w:color="auto" w:fill="auto"/>
                  <w:noWrap w:val="0"/>
                  <w:vAlign w:val="center"/>
                </w:tcPr>
                <w:p w14:paraId="00DFBDCF">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1.</w:t>
                  </w:r>
                  <w:r>
                    <w:rPr>
                      <w:rFonts w:hint="eastAsia"/>
                      <w:color w:val="auto"/>
                      <w:lang w:val="zh-CN"/>
                    </w:rPr>
                    <w:t>项目区生活垃圾利用厂区原有的生活垃圾箱收集，</w:t>
                  </w:r>
                  <w:r>
                    <w:rPr>
                      <w:rFonts w:hint="eastAsia"/>
                      <w:color w:val="auto"/>
                      <w:lang w:val="en-US" w:eastAsia="zh-CN"/>
                    </w:rPr>
                    <w:t>由园区环卫部门定期清运</w:t>
                  </w:r>
                  <w:r>
                    <w:rPr>
                      <w:rFonts w:hint="eastAsia"/>
                      <w:color w:val="auto"/>
                    </w:rPr>
                    <w:t>；</w:t>
                  </w:r>
                </w:p>
              </w:tc>
              <w:tc>
                <w:tcPr>
                  <w:tcW w:w="649" w:type="pct"/>
                  <w:noWrap w:val="0"/>
                  <w:vAlign w:val="center"/>
                </w:tcPr>
                <w:p w14:paraId="103F169A">
                  <w:pPr>
                    <w:keepNext w:val="0"/>
                    <w:keepLines w:val="0"/>
                    <w:suppressLineNumbers w:val="0"/>
                    <w:spacing w:before="0" w:beforeAutospacing="0" w:after="0" w:afterAutospacing="0"/>
                    <w:ind w:left="0" w:leftChars="0" w:right="0" w:rightChars="0"/>
                    <w:jc w:val="center"/>
                    <w:rPr>
                      <w:rFonts w:hint="eastAsia"/>
                      <w:color w:val="auto"/>
                      <w:lang w:val="en-US" w:eastAsia="zh-CN"/>
                    </w:rPr>
                  </w:pPr>
                  <w:r>
                    <w:rPr>
                      <w:rFonts w:hint="eastAsia" w:cs="Times New Roman"/>
                      <w:color w:val="auto"/>
                      <w:lang w:val="en-US" w:eastAsia="zh-CN"/>
                    </w:rPr>
                    <w:t>无变化</w:t>
                  </w:r>
                </w:p>
              </w:tc>
              <w:tc>
                <w:tcPr>
                  <w:tcW w:w="483" w:type="pct"/>
                  <w:noWrap w:val="0"/>
                  <w:vAlign w:val="center"/>
                </w:tcPr>
                <w:p w14:paraId="52AB3A7F">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eastAsia="zh-CN"/>
                    </w:rPr>
                    <w:t>依托</w:t>
                  </w:r>
                  <w:r>
                    <w:rPr>
                      <w:rFonts w:hint="eastAsia" w:cs="Times New Roman"/>
                      <w:color w:val="auto"/>
                      <w:lang w:val="en-US" w:eastAsia="zh-CN"/>
                    </w:rPr>
                    <w:t>现有</w:t>
                  </w:r>
                </w:p>
              </w:tc>
            </w:tr>
            <w:tr w14:paraId="01DC8D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22" w:type="pct"/>
                  <w:vMerge w:val="continue"/>
                  <w:noWrap w:val="0"/>
                  <w:vAlign w:val="center"/>
                </w:tcPr>
                <w:p w14:paraId="6A71AE00">
                  <w:pPr>
                    <w:pStyle w:val="2"/>
                    <w:ind w:left="0" w:leftChars="0" w:firstLine="0" w:firstLineChars="0"/>
                    <w:jc w:val="center"/>
                    <w:rPr>
                      <w:color w:val="auto"/>
                    </w:rPr>
                  </w:pPr>
                </w:p>
              </w:tc>
              <w:tc>
                <w:tcPr>
                  <w:tcW w:w="1071" w:type="pct"/>
                  <w:gridSpan w:val="2"/>
                  <w:vMerge w:val="continue"/>
                  <w:noWrap w:val="0"/>
                  <w:vAlign w:val="center"/>
                </w:tcPr>
                <w:p w14:paraId="1767EC6A">
                  <w:pPr>
                    <w:pStyle w:val="2"/>
                    <w:ind w:left="0" w:leftChars="0" w:firstLine="0" w:firstLineChars="0"/>
                    <w:jc w:val="center"/>
                    <w:rPr>
                      <w:color w:val="auto"/>
                    </w:rPr>
                  </w:pPr>
                </w:p>
              </w:tc>
              <w:tc>
                <w:tcPr>
                  <w:tcW w:w="1213" w:type="pct"/>
                  <w:noWrap w:val="0"/>
                  <w:vAlign w:val="center"/>
                </w:tcPr>
                <w:p w14:paraId="76ADC955">
                  <w:pPr>
                    <w:pStyle w:val="2"/>
                    <w:numPr>
                      <w:ilvl w:val="0"/>
                      <w:numId w:val="0"/>
                    </w:numPr>
                    <w:ind w:left="0" w:leftChars="0" w:firstLine="0" w:firstLineChars="0"/>
                    <w:jc w:val="center"/>
                    <w:rPr>
                      <w:rFonts w:hint="eastAsia"/>
                      <w:color w:val="auto"/>
                      <w:lang w:val="en-US" w:eastAsia="zh-CN"/>
                    </w:rPr>
                  </w:pPr>
                  <w:r>
                    <w:rPr>
                      <w:rFonts w:hint="eastAsia" w:cs="Times New Roman"/>
                      <w:color w:val="auto"/>
                      <w:kern w:val="2"/>
                      <w:sz w:val="21"/>
                      <w:szCs w:val="24"/>
                      <w:lang w:val="en-US" w:eastAsia="zh-CN" w:bidi="ar-SA"/>
                    </w:rPr>
                    <w:t>1.</w:t>
                  </w:r>
                  <w:r>
                    <w:rPr>
                      <w:rFonts w:hint="eastAsia"/>
                      <w:color w:val="auto"/>
                      <w:lang w:val="en-US" w:eastAsia="zh-CN"/>
                    </w:rPr>
                    <w:t>项目设备维修产生的废机油，危险废物贮存点（5m</w:t>
                  </w:r>
                  <w:r>
                    <w:rPr>
                      <w:rFonts w:hint="eastAsia"/>
                      <w:color w:val="auto"/>
                      <w:vertAlign w:val="superscript"/>
                      <w:lang w:val="en-US" w:eastAsia="zh-CN"/>
                    </w:rPr>
                    <w:t>2</w:t>
                  </w:r>
                  <w:r>
                    <w:rPr>
                      <w:rFonts w:hint="eastAsia"/>
                      <w:color w:val="auto"/>
                      <w:lang w:val="en-US" w:eastAsia="zh-CN"/>
                    </w:rPr>
                    <w:t>）暂存，定期委托有资质单位进行处理；</w:t>
                  </w:r>
                </w:p>
                <w:p w14:paraId="53AC95B4">
                  <w:pPr>
                    <w:pStyle w:val="13"/>
                    <w:numPr>
                      <w:ilvl w:val="0"/>
                      <w:numId w:val="0"/>
                    </w:numPr>
                    <w:jc w:val="center"/>
                    <w:rPr>
                      <w:rFonts w:hint="eastAsia"/>
                      <w:color w:val="auto"/>
                      <w:lang w:val="en-US" w:eastAsia="zh-CN"/>
                    </w:rPr>
                  </w:pPr>
                  <w:r>
                    <w:rPr>
                      <w:rFonts w:hint="eastAsia" w:ascii="Times New Roman" w:hAnsi="Times New Roman" w:cs="Times New Roman"/>
                      <w:color w:val="auto"/>
                      <w:kern w:val="2"/>
                      <w:sz w:val="21"/>
                      <w:szCs w:val="21"/>
                      <w:lang w:val="en-US" w:eastAsia="zh-CN" w:bidi="ar-SA"/>
                    </w:rPr>
                    <w:t>2.</w:t>
                  </w:r>
                  <w:r>
                    <w:rPr>
                      <w:rFonts w:hint="default" w:ascii="Times New Roman" w:hAnsi="Times New Roman" w:cs="Times New Roman"/>
                      <w:color w:val="auto"/>
                      <w:lang w:val="en-US" w:eastAsia="zh-CN"/>
                    </w:rPr>
                    <w:t>废活性</w:t>
                  </w:r>
                  <w:r>
                    <w:rPr>
                      <w:rFonts w:hint="eastAsia"/>
                      <w:color w:val="auto"/>
                      <w:lang w:val="en-US" w:eastAsia="zh-CN"/>
                    </w:rPr>
                    <w:t>炭，危险废物贮存点</w:t>
                  </w:r>
                  <w:r>
                    <w:rPr>
                      <w:rFonts w:hint="default" w:ascii="Times New Roman" w:hAnsi="Times New Roman" w:cs="Times New Roman"/>
                      <w:color w:val="auto"/>
                      <w:lang w:val="en-US" w:eastAsia="zh-CN"/>
                    </w:rPr>
                    <w:t>（5m</w:t>
                  </w:r>
                  <w:r>
                    <w:rPr>
                      <w:rFonts w:hint="default" w:ascii="Times New Roman" w:hAnsi="Times New Roman" w:cs="Times New Roman"/>
                      <w:color w:val="auto"/>
                      <w:vertAlign w:val="superscript"/>
                      <w:lang w:val="en-US" w:eastAsia="zh-CN"/>
                    </w:rPr>
                    <w:t>2</w:t>
                  </w:r>
                  <w:r>
                    <w:rPr>
                      <w:rFonts w:hint="eastAsia"/>
                      <w:color w:val="auto"/>
                      <w:lang w:val="en-US" w:eastAsia="zh-CN"/>
                    </w:rPr>
                    <w:t>）暂存，定期委托有资质单位进行处理</w:t>
                  </w:r>
                </w:p>
              </w:tc>
              <w:tc>
                <w:tcPr>
                  <w:tcW w:w="1158" w:type="pct"/>
                  <w:shd w:val="clear" w:color="auto" w:fill="auto"/>
                  <w:noWrap w:val="0"/>
                  <w:vAlign w:val="center"/>
                </w:tcPr>
                <w:p w14:paraId="748D6866">
                  <w:pPr>
                    <w:pStyle w:val="2"/>
                    <w:numPr>
                      <w:ilvl w:val="0"/>
                      <w:numId w:val="0"/>
                    </w:numPr>
                    <w:ind w:left="0" w:leftChars="0" w:firstLine="0" w:firstLineChars="0"/>
                    <w:jc w:val="center"/>
                    <w:rPr>
                      <w:rFonts w:hint="eastAsia"/>
                      <w:color w:val="auto"/>
                      <w:lang w:val="en-US" w:eastAsia="zh-CN"/>
                    </w:rPr>
                  </w:pPr>
                  <w:r>
                    <w:rPr>
                      <w:rFonts w:hint="eastAsia" w:cs="Times New Roman"/>
                      <w:color w:val="auto"/>
                      <w:kern w:val="2"/>
                      <w:sz w:val="21"/>
                      <w:szCs w:val="24"/>
                      <w:lang w:val="en-US" w:eastAsia="zh-CN" w:bidi="ar-SA"/>
                    </w:rPr>
                    <w:t>1.</w:t>
                  </w:r>
                  <w:r>
                    <w:rPr>
                      <w:rFonts w:hint="eastAsia"/>
                      <w:color w:val="auto"/>
                      <w:lang w:val="en-US" w:eastAsia="zh-CN"/>
                    </w:rPr>
                    <w:t>项目设备维修产生的废机油，危险废物贮存点（5m</w:t>
                  </w:r>
                  <w:r>
                    <w:rPr>
                      <w:rFonts w:hint="eastAsia"/>
                      <w:color w:val="auto"/>
                      <w:vertAlign w:val="superscript"/>
                      <w:lang w:val="en-US" w:eastAsia="zh-CN"/>
                    </w:rPr>
                    <w:t>2</w:t>
                  </w:r>
                  <w:r>
                    <w:rPr>
                      <w:rFonts w:hint="eastAsia"/>
                      <w:color w:val="auto"/>
                      <w:lang w:val="en-US" w:eastAsia="zh-CN"/>
                    </w:rPr>
                    <w:t>）暂存，定期委托有资质单位进行处理；</w:t>
                  </w:r>
                </w:p>
                <w:p w14:paraId="4E5E658B">
                  <w:pPr>
                    <w:pStyle w:val="13"/>
                    <w:numPr>
                      <w:ilvl w:val="0"/>
                      <w:numId w:val="0"/>
                    </w:numPr>
                    <w:ind w:left="0" w:leftChars="0" w:firstLine="0" w:firstLineChars="0"/>
                    <w:jc w:val="center"/>
                    <w:rPr>
                      <w:rFonts w:hint="default" w:ascii="宋体" w:hAnsi="Courier New" w:eastAsia="宋体" w:cs="宋体"/>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w:t>
                  </w:r>
                  <w:r>
                    <w:rPr>
                      <w:rFonts w:hint="default" w:ascii="Times New Roman" w:hAnsi="Times New Roman" w:cs="Times New Roman"/>
                      <w:color w:val="auto"/>
                      <w:lang w:val="en-US" w:eastAsia="zh-CN"/>
                    </w:rPr>
                    <w:t>废活性</w:t>
                  </w:r>
                  <w:r>
                    <w:rPr>
                      <w:rFonts w:hint="eastAsia"/>
                      <w:color w:val="auto"/>
                      <w:lang w:val="en-US" w:eastAsia="zh-CN"/>
                    </w:rPr>
                    <w:t>炭，危险废物贮存点</w:t>
                  </w:r>
                  <w:r>
                    <w:rPr>
                      <w:rFonts w:hint="default" w:ascii="Times New Roman" w:hAnsi="Times New Roman" w:cs="Times New Roman"/>
                      <w:color w:val="auto"/>
                      <w:lang w:val="en-US" w:eastAsia="zh-CN"/>
                    </w:rPr>
                    <w:t>（5m</w:t>
                  </w:r>
                  <w:r>
                    <w:rPr>
                      <w:rFonts w:hint="default" w:ascii="Times New Roman" w:hAnsi="Times New Roman" w:cs="Times New Roman"/>
                      <w:color w:val="auto"/>
                      <w:vertAlign w:val="superscript"/>
                      <w:lang w:val="en-US" w:eastAsia="zh-CN"/>
                    </w:rPr>
                    <w:t>2</w:t>
                  </w:r>
                  <w:r>
                    <w:rPr>
                      <w:rFonts w:hint="eastAsia"/>
                      <w:color w:val="auto"/>
                      <w:lang w:val="en-US" w:eastAsia="zh-CN"/>
                    </w:rPr>
                    <w:t>）暂存，定期委托有资质单位进行处理</w:t>
                  </w:r>
                </w:p>
              </w:tc>
              <w:tc>
                <w:tcPr>
                  <w:tcW w:w="649" w:type="pct"/>
                  <w:noWrap w:val="0"/>
                  <w:vAlign w:val="center"/>
                </w:tcPr>
                <w:p w14:paraId="7D74ACF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2"/>
                      <w:sz w:val="21"/>
                      <w:szCs w:val="21"/>
                      <w:lang w:val="en-US" w:eastAsia="zh-CN" w:bidi="ar-SA"/>
                    </w:rPr>
                  </w:pPr>
                  <w:r>
                    <w:rPr>
                      <w:rFonts w:hint="eastAsia" w:cs="Times New Roman"/>
                      <w:color w:val="auto"/>
                      <w:lang w:val="en-US" w:eastAsia="zh-CN"/>
                    </w:rPr>
                    <w:t>无变化</w:t>
                  </w:r>
                </w:p>
              </w:tc>
              <w:tc>
                <w:tcPr>
                  <w:tcW w:w="483" w:type="pct"/>
                  <w:noWrap w:val="0"/>
                  <w:vAlign w:val="center"/>
                </w:tcPr>
                <w:p w14:paraId="45BC727E">
                  <w:pPr>
                    <w:pStyle w:val="2"/>
                    <w:ind w:left="0" w:leftChars="0" w:firstLine="0" w:firstLineChars="0"/>
                    <w:jc w:val="center"/>
                    <w:rPr>
                      <w:rFonts w:hint="default"/>
                      <w:color w:val="auto"/>
                      <w:lang w:val="en-US" w:eastAsia="zh-CN"/>
                    </w:rPr>
                  </w:pPr>
                  <w:r>
                    <w:rPr>
                      <w:rFonts w:hint="eastAsia"/>
                      <w:color w:val="auto"/>
                      <w:lang w:val="en-US" w:eastAsia="zh-CN"/>
                    </w:rPr>
                    <w:t>新建</w:t>
                  </w:r>
                </w:p>
              </w:tc>
            </w:tr>
            <w:tr w14:paraId="41195F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22" w:type="pct"/>
                  <w:vMerge w:val="continue"/>
                  <w:noWrap w:val="0"/>
                  <w:vAlign w:val="center"/>
                </w:tcPr>
                <w:p w14:paraId="60E3F2BC">
                  <w:pPr>
                    <w:pStyle w:val="6"/>
                    <w:jc w:val="center"/>
                    <w:rPr>
                      <w:color w:val="auto"/>
                    </w:rPr>
                  </w:pPr>
                </w:p>
              </w:tc>
              <w:tc>
                <w:tcPr>
                  <w:tcW w:w="1071" w:type="pct"/>
                  <w:gridSpan w:val="2"/>
                  <w:vMerge w:val="continue"/>
                  <w:noWrap w:val="0"/>
                  <w:vAlign w:val="center"/>
                </w:tcPr>
                <w:p w14:paraId="2A830473">
                  <w:pPr>
                    <w:pStyle w:val="6"/>
                    <w:jc w:val="center"/>
                    <w:rPr>
                      <w:color w:val="auto"/>
                    </w:rPr>
                  </w:pPr>
                </w:p>
              </w:tc>
              <w:tc>
                <w:tcPr>
                  <w:tcW w:w="1213" w:type="pct"/>
                  <w:noWrap w:val="0"/>
                  <w:vAlign w:val="center"/>
                </w:tcPr>
                <w:p w14:paraId="7A10BF82">
                  <w:pPr>
                    <w:pStyle w:val="6"/>
                    <w:spacing w:line="240" w:lineRule="auto"/>
                    <w:jc w:val="center"/>
                    <w:rPr>
                      <w:rFonts w:hint="eastAsia" w:ascii="Times New Roman" w:hAnsi="Times New Roman" w:eastAsia="宋体" w:cs="Times New Roman"/>
                      <w:b w:val="0"/>
                      <w:bCs w:val="0"/>
                      <w:color w:val="auto"/>
                      <w:kern w:val="2"/>
                      <w:sz w:val="21"/>
                      <w:szCs w:val="24"/>
                      <w:lang w:val="en-US" w:eastAsia="zh-CN" w:bidi="ar-SA"/>
                    </w:rPr>
                  </w:pPr>
                  <w:r>
                    <w:rPr>
                      <w:rFonts w:hint="eastAsia" w:cs="Times New Roman"/>
                      <w:b w:val="0"/>
                      <w:bCs w:val="0"/>
                      <w:color w:val="auto"/>
                      <w:kern w:val="2"/>
                      <w:sz w:val="21"/>
                      <w:szCs w:val="24"/>
                      <w:lang w:val="en-US" w:eastAsia="zh-CN" w:bidi="ar-SA"/>
                    </w:rPr>
                    <w:t>1.</w:t>
                  </w:r>
                  <w:r>
                    <w:rPr>
                      <w:rFonts w:hint="eastAsia" w:ascii="Times New Roman" w:hAnsi="Times New Roman" w:eastAsia="宋体" w:cs="Times New Roman"/>
                      <w:b w:val="0"/>
                      <w:bCs w:val="0"/>
                      <w:color w:val="auto"/>
                      <w:kern w:val="2"/>
                      <w:sz w:val="21"/>
                      <w:szCs w:val="24"/>
                      <w:lang w:val="en-US" w:eastAsia="zh-CN" w:bidi="ar-SA"/>
                    </w:rPr>
                    <w:t>布袋除尘器收集的粉尘</w:t>
                  </w:r>
                  <w:r>
                    <w:rPr>
                      <w:rFonts w:hint="eastAsia" w:cs="Times New Roman"/>
                      <w:b w:val="0"/>
                      <w:bCs w:val="0"/>
                      <w:color w:val="auto"/>
                      <w:kern w:val="2"/>
                      <w:sz w:val="21"/>
                      <w:szCs w:val="24"/>
                      <w:lang w:val="en-US" w:eastAsia="zh-CN" w:bidi="ar-SA"/>
                    </w:rPr>
                    <w:t>用作原料回用于生产</w:t>
                  </w:r>
                </w:p>
              </w:tc>
              <w:tc>
                <w:tcPr>
                  <w:tcW w:w="1158" w:type="pct"/>
                  <w:shd w:val="clear" w:color="auto" w:fill="auto"/>
                  <w:noWrap w:val="0"/>
                  <w:vAlign w:val="center"/>
                </w:tcPr>
                <w:p w14:paraId="3CAAE6B4">
                  <w:pPr>
                    <w:pStyle w:val="6"/>
                    <w:spacing w:line="240" w:lineRule="auto"/>
                    <w:jc w:val="center"/>
                    <w:rPr>
                      <w:rFonts w:hint="eastAsia" w:ascii="Times New Roman" w:hAnsi="Times New Roman" w:eastAsia="宋体" w:cs="Times New Roman"/>
                      <w:b w:val="0"/>
                      <w:bCs w:val="0"/>
                      <w:color w:val="auto"/>
                      <w:kern w:val="2"/>
                      <w:sz w:val="21"/>
                      <w:szCs w:val="24"/>
                      <w:lang w:val="en-US" w:eastAsia="zh-CN" w:bidi="ar-SA"/>
                    </w:rPr>
                  </w:pPr>
                  <w:r>
                    <w:rPr>
                      <w:rFonts w:hint="eastAsia" w:cs="Times New Roman"/>
                      <w:b w:val="0"/>
                      <w:bCs w:val="0"/>
                      <w:color w:val="auto"/>
                      <w:kern w:val="2"/>
                      <w:sz w:val="21"/>
                      <w:szCs w:val="24"/>
                      <w:lang w:val="en-US" w:eastAsia="zh-CN" w:bidi="ar-SA"/>
                    </w:rPr>
                    <w:t>1.</w:t>
                  </w:r>
                  <w:r>
                    <w:rPr>
                      <w:rFonts w:hint="eastAsia" w:ascii="Times New Roman" w:hAnsi="Times New Roman" w:eastAsia="宋体" w:cs="Times New Roman"/>
                      <w:b w:val="0"/>
                      <w:bCs w:val="0"/>
                      <w:color w:val="auto"/>
                      <w:kern w:val="2"/>
                      <w:sz w:val="21"/>
                      <w:szCs w:val="24"/>
                      <w:lang w:val="en-US" w:eastAsia="zh-CN" w:bidi="ar-SA"/>
                    </w:rPr>
                    <w:t>布袋除尘器收集的粉尘</w:t>
                  </w:r>
                  <w:r>
                    <w:rPr>
                      <w:rFonts w:hint="eastAsia" w:cs="Times New Roman"/>
                      <w:b w:val="0"/>
                      <w:bCs w:val="0"/>
                      <w:color w:val="auto"/>
                      <w:kern w:val="2"/>
                      <w:sz w:val="21"/>
                      <w:szCs w:val="24"/>
                      <w:lang w:val="en-US" w:eastAsia="zh-CN" w:bidi="ar-SA"/>
                    </w:rPr>
                    <w:t>用作原料回用于生产</w:t>
                  </w:r>
                </w:p>
              </w:tc>
              <w:tc>
                <w:tcPr>
                  <w:tcW w:w="649" w:type="pct"/>
                  <w:noWrap w:val="0"/>
                  <w:vAlign w:val="center"/>
                </w:tcPr>
                <w:p w14:paraId="5C8626D7">
                  <w:pPr>
                    <w:keepNext w:val="0"/>
                    <w:keepLines w:val="0"/>
                    <w:suppressLineNumbers w:val="0"/>
                    <w:spacing w:before="0" w:beforeAutospacing="0" w:after="0" w:afterAutospacing="0"/>
                    <w:ind w:left="0" w:leftChars="0" w:right="0" w:rightChars="0"/>
                    <w:jc w:val="center"/>
                    <w:rPr>
                      <w:rFonts w:hint="eastAsia" w:cs="Times New Roman"/>
                      <w:b w:val="0"/>
                      <w:bCs w:val="0"/>
                      <w:color w:val="auto"/>
                      <w:kern w:val="2"/>
                      <w:sz w:val="21"/>
                      <w:szCs w:val="24"/>
                      <w:lang w:val="en-US" w:eastAsia="zh-CN" w:bidi="ar-SA"/>
                    </w:rPr>
                  </w:pPr>
                  <w:r>
                    <w:rPr>
                      <w:rFonts w:hint="eastAsia" w:cs="Times New Roman"/>
                      <w:color w:val="FF0000"/>
                      <w:lang w:val="en-US" w:eastAsia="zh-CN"/>
                    </w:rPr>
                    <w:t>新增</w:t>
                  </w:r>
                </w:p>
              </w:tc>
              <w:tc>
                <w:tcPr>
                  <w:tcW w:w="483" w:type="pct"/>
                  <w:noWrap w:val="0"/>
                  <w:vAlign w:val="center"/>
                </w:tcPr>
                <w:p w14:paraId="77C91DC9">
                  <w:pPr>
                    <w:pStyle w:val="6"/>
                    <w:spacing w:line="240" w:lineRule="auto"/>
                    <w:jc w:val="center"/>
                    <w:rPr>
                      <w:rFonts w:hint="default" w:ascii="Times New Roman" w:hAnsi="Times New Roman" w:eastAsia="宋体" w:cs="Times New Roman"/>
                      <w:b w:val="0"/>
                      <w:bCs w:val="0"/>
                      <w:color w:val="auto"/>
                      <w:kern w:val="2"/>
                      <w:sz w:val="21"/>
                      <w:szCs w:val="24"/>
                      <w:lang w:val="en-US" w:eastAsia="zh-CN" w:bidi="ar-SA"/>
                    </w:rPr>
                  </w:pPr>
                  <w:r>
                    <w:rPr>
                      <w:rFonts w:hint="eastAsia" w:cs="Times New Roman"/>
                      <w:b w:val="0"/>
                      <w:bCs w:val="0"/>
                      <w:color w:val="auto"/>
                      <w:kern w:val="2"/>
                      <w:sz w:val="21"/>
                      <w:szCs w:val="24"/>
                      <w:lang w:val="en-US" w:eastAsia="zh-CN" w:bidi="ar-SA"/>
                    </w:rPr>
                    <w:t>新建</w:t>
                  </w:r>
                </w:p>
              </w:tc>
            </w:tr>
            <w:tr w14:paraId="0A57B0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22" w:type="pct"/>
                  <w:vMerge w:val="continue"/>
                  <w:noWrap w:val="0"/>
                  <w:vAlign w:val="center"/>
                </w:tcPr>
                <w:p w14:paraId="13725A85">
                  <w:pPr>
                    <w:pStyle w:val="6"/>
                    <w:jc w:val="center"/>
                  </w:pPr>
                </w:p>
              </w:tc>
              <w:tc>
                <w:tcPr>
                  <w:tcW w:w="1071" w:type="pct"/>
                  <w:gridSpan w:val="2"/>
                  <w:vMerge w:val="continue"/>
                  <w:noWrap w:val="0"/>
                  <w:vAlign w:val="center"/>
                </w:tcPr>
                <w:p w14:paraId="3090956B">
                  <w:pPr>
                    <w:pStyle w:val="6"/>
                    <w:jc w:val="center"/>
                  </w:pPr>
                </w:p>
              </w:tc>
              <w:tc>
                <w:tcPr>
                  <w:tcW w:w="1213" w:type="pct"/>
                  <w:noWrap w:val="0"/>
                  <w:vAlign w:val="center"/>
                </w:tcPr>
                <w:p w14:paraId="116787FC">
                  <w:pPr>
                    <w:spacing w:line="240" w:lineRule="auto"/>
                    <w:jc w:val="center"/>
                    <w:rPr>
                      <w:rFonts w:hint="default"/>
                      <w:lang w:val="en-US" w:eastAsia="zh-CN"/>
                    </w:rPr>
                  </w:pPr>
                  <w:r>
                    <w:rPr>
                      <w:rFonts w:hint="eastAsia" w:cs="Times New Roman"/>
                      <w:b w:val="0"/>
                      <w:bCs w:val="0"/>
                      <w:color w:val="auto"/>
                      <w:kern w:val="2"/>
                      <w:sz w:val="21"/>
                      <w:szCs w:val="24"/>
                      <w:lang w:val="en-US" w:eastAsia="zh-CN" w:bidi="ar-SA"/>
                    </w:rPr>
                    <w:t>无</w:t>
                  </w:r>
                </w:p>
              </w:tc>
              <w:tc>
                <w:tcPr>
                  <w:tcW w:w="1158" w:type="pct"/>
                  <w:shd w:val="clear" w:color="auto" w:fill="auto"/>
                  <w:noWrap w:val="0"/>
                  <w:vAlign w:val="center"/>
                </w:tcPr>
                <w:p w14:paraId="6CB1ECFE">
                  <w:pPr>
                    <w:pStyle w:val="6"/>
                    <w:spacing w:line="240" w:lineRule="auto"/>
                    <w:jc w:val="center"/>
                    <w:rPr>
                      <w:rFonts w:hint="eastAsia" w:ascii="Times New Roman" w:hAnsi="Times New Roman" w:cs="Times New Roman"/>
                      <w:b w:val="0"/>
                      <w:bCs w:val="0"/>
                      <w:vertAlign w:val="baseline"/>
                      <w:lang w:val="en-US" w:eastAsia="zh-CN"/>
                    </w:rPr>
                  </w:pPr>
                  <w:r>
                    <w:rPr>
                      <w:rFonts w:hint="eastAsia" w:cs="Times New Roman"/>
                      <w:b w:val="0"/>
                      <w:bCs w:val="0"/>
                      <w:color w:val="auto"/>
                      <w:kern w:val="2"/>
                      <w:sz w:val="21"/>
                      <w:szCs w:val="24"/>
                      <w:lang w:val="en-US" w:eastAsia="zh-CN" w:bidi="ar-SA"/>
                    </w:rPr>
                    <w:t>1.四级沉淀</w:t>
                  </w:r>
                  <w:r>
                    <w:rPr>
                      <w:rFonts w:hint="eastAsia" w:ascii="Times New Roman" w:hAnsi="Times New Roman" w:cs="Times New Roman"/>
                      <w:b w:val="0"/>
                      <w:bCs w:val="0"/>
                      <w:vertAlign w:val="baseline"/>
                      <w:lang w:val="en-US" w:eastAsia="zh-CN"/>
                    </w:rPr>
                    <w:t>池定期清理产生的底泥，暂存于一般固废间，定期委托有资质单位进行处理；</w:t>
                  </w:r>
                </w:p>
                <w:p w14:paraId="69A97927">
                  <w:pPr>
                    <w:spacing w:line="240" w:lineRule="auto"/>
                    <w:jc w:val="center"/>
                    <w:rPr>
                      <w:rFonts w:hint="eastAsia" w:ascii="Times New Roman" w:hAnsi="Times New Roman" w:eastAsia="宋体" w:cs="Times New Roman"/>
                      <w:kern w:val="2"/>
                      <w:sz w:val="21"/>
                      <w:szCs w:val="24"/>
                      <w:lang w:val="en-US" w:eastAsia="zh-CN" w:bidi="ar-SA"/>
                    </w:rPr>
                  </w:pPr>
                  <w:r>
                    <w:rPr>
                      <w:rFonts w:hint="eastAsia" w:cs="Times New Roman"/>
                      <w:b w:val="0"/>
                      <w:bCs w:val="0"/>
                      <w:vertAlign w:val="baseline"/>
                      <w:lang w:val="en-US" w:eastAsia="zh-CN"/>
                    </w:rPr>
                    <w:t>2.</w:t>
                  </w:r>
                  <w:r>
                    <w:rPr>
                      <w:rFonts w:hint="eastAsia" w:ascii="Times New Roman" w:hAnsi="Times New Roman" w:cs="Times New Roman"/>
                      <w:b w:val="0"/>
                      <w:bCs w:val="0"/>
                      <w:vertAlign w:val="baseline"/>
                      <w:lang w:val="en-US" w:eastAsia="zh-CN"/>
                    </w:rPr>
                    <w:t>脱膜产生的废塑料薄膜，暂存于一般固废间，定期委托有资质单位进行处理</w:t>
                  </w:r>
                </w:p>
              </w:tc>
              <w:tc>
                <w:tcPr>
                  <w:tcW w:w="649" w:type="pct"/>
                  <w:noWrap w:val="0"/>
                  <w:vAlign w:val="center"/>
                </w:tcPr>
                <w:p w14:paraId="4AC02154">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 w:val="0"/>
                      <w:bCs w:val="0"/>
                      <w:vertAlign w:val="baseline"/>
                      <w:lang w:val="en-US" w:eastAsia="zh-CN"/>
                    </w:rPr>
                  </w:pPr>
                  <w:r>
                    <w:rPr>
                      <w:rFonts w:hint="eastAsia" w:cs="Times New Roman"/>
                      <w:color w:val="auto"/>
                      <w:lang w:val="en-US" w:eastAsia="zh-CN"/>
                    </w:rPr>
                    <w:t>新增一般固废：废水处理污泥（900-099-S07）；</w:t>
                  </w:r>
                  <w:r>
                    <w:rPr>
                      <w:rFonts w:hint="eastAsia" w:ascii="Times New Roman" w:hAnsi="Times New Roman" w:cs="Times New Roman"/>
                      <w:b w:val="0"/>
                      <w:bCs w:val="0"/>
                      <w:vertAlign w:val="baseline"/>
                      <w:lang w:val="en-US" w:eastAsia="zh-CN"/>
                    </w:rPr>
                    <w:t>废塑料</w:t>
                  </w:r>
                  <w:r>
                    <w:rPr>
                      <w:rFonts w:hint="eastAsia" w:cs="Times New Roman"/>
                      <w:b w:val="0"/>
                      <w:bCs w:val="0"/>
                      <w:vertAlign w:val="baseline"/>
                      <w:lang w:val="en-US" w:eastAsia="zh-CN"/>
                    </w:rPr>
                    <w:t>（900-003-S17）</w:t>
                  </w:r>
                </w:p>
              </w:tc>
              <w:tc>
                <w:tcPr>
                  <w:tcW w:w="483" w:type="pct"/>
                  <w:noWrap w:val="0"/>
                  <w:vAlign w:val="center"/>
                </w:tcPr>
                <w:p w14:paraId="60322788">
                  <w:pPr>
                    <w:pStyle w:val="6"/>
                    <w:spacing w:line="240" w:lineRule="auto"/>
                    <w:jc w:val="center"/>
                    <w:rPr>
                      <w:rFonts w:hint="eastAsia" w:cs="Times New Roman"/>
                      <w:b w:val="0"/>
                      <w:bCs w:val="0"/>
                      <w:color w:val="0000FF"/>
                      <w:kern w:val="2"/>
                      <w:sz w:val="21"/>
                      <w:szCs w:val="24"/>
                      <w:lang w:val="en-US" w:eastAsia="zh-CN" w:bidi="ar-SA"/>
                    </w:rPr>
                  </w:pPr>
                  <w:r>
                    <w:rPr>
                      <w:rFonts w:hint="eastAsia" w:cs="Times New Roman"/>
                      <w:b w:val="0"/>
                      <w:bCs w:val="0"/>
                      <w:color w:val="0000FF"/>
                      <w:kern w:val="2"/>
                      <w:sz w:val="21"/>
                      <w:szCs w:val="24"/>
                      <w:lang w:val="en-US" w:eastAsia="zh-CN" w:bidi="ar-SA"/>
                    </w:rPr>
                    <w:t>/</w:t>
                  </w:r>
                </w:p>
              </w:tc>
            </w:tr>
            <w:tr w14:paraId="607909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422" w:type="pct"/>
                  <w:vMerge w:val="continue"/>
                  <w:noWrap w:val="0"/>
                  <w:vAlign w:val="center"/>
                </w:tcPr>
                <w:p w14:paraId="235CFEB0">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c>
                <w:tcPr>
                  <w:tcW w:w="1071" w:type="pct"/>
                  <w:gridSpan w:val="2"/>
                  <w:noWrap w:val="0"/>
                  <w:vAlign w:val="center"/>
                </w:tcPr>
                <w:p w14:paraId="5B3EC4C3">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color w:val="auto"/>
                    </w:rPr>
                    <w:t>废气处理</w:t>
                  </w:r>
                </w:p>
              </w:tc>
              <w:tc>
                <w:tcPr>
                  <w:tcW w:w="1213" w:type="pct"/>
                  <w:noWrap w:val="0"/>
                  <w:vAlign w:val="center"/>
                </w:tcPr>
                <w:p w14:paraId="6073C408">
                  <w:pPr>
                    <w:keepNext w:val="0"/>
                    <w:keepLines w:val="0"/>
                    <w:numPr>
                      <w:ilvl w:val="0"/>
                      <w:numId w:val="0"/>
                    </w:numPr>
                    <w:suppressLineNumbers w:val="0"/>
                    <w:spacing w:before="0" w:beforeAutospacing="0" w:after="0" w:afterAutospacing="0"/>
                    <w:ind w:right="0" w:rightChars="0"/>
                    <w:jc w:val="center"/>
                    <w:rPr>
                      <w:rFonts w:hint="eastAsia" w:cs="Times New Roman"/>
                      <w:color w:val="auto"/>
                      <w:kern w:val="2"/>
                      <w:sz w:val="21"/>
                      <w:szCs w:val="24"/>
                      <w:lang w:val="en-US" w:eastAsia="zh-CN" w:bidi="ar-SA"/>
                    </w:rPr>
                  </w:pPr>
                  <w:r>
                    <w:rPr>
                      <w:rFonts w:hint="eastAsia" w:cs="Times New Roman"/>
                      <w:color w:val="auto"/>
                      <w:kern w:val="2"/>
                      <w:sz w:val="21"/>
                      <w:szCs w:val="24"/>
                      <w:lang w:val="en-US" w:eastAsia="zh-CN" w:bidi="ar-SA"/>
                    </w:rPr>
                    <w:t>1.设置集气系统收集破碎过程中产生粉尘，通过脉冲式布袋除尘器处理后由15m排气筒（DA001）排放；</w:t>
                  </w:r>
                </w:p>
                <w:p w14:paraId="098EDF31">
                  <w:pPr>
                    <w:keepNext w:val="0"/>
                    <w:keepLines w:val="0"/>
                    <w:numPr>
                      <w:ilvl w:val="0"/>
                      <w:numId w:val="0"/>
                    </w:numPr>
                    <w:suppressLineNumbers w:val="0"/>
                    <w:spacing w:before="0" w:beforeAutospacing="0" w:after="0" w:afterAutospacing="0"/>
                    <w:ind w:right="0" w:rightChars="0"/>
                    <w:jc w:val="center"/>
                    <w:rPr>
                      <w:rFonts w:hint="eastAsia" w:cs="Times New Roman"/>
                      <w:color w:val="auto"/>
                      <w:kern w:val="2"/>
                      <w:sz w:val="21"/>
                      <w:szCs w:val="24"/>
                      <w:lang w:val="en-US" w:eastAsia="zh-CN" w:bidi="ar-SA"/>
                    </w:rPr>
                  </w:pPr>
                  <w:r>
                    <w:rPr>
                      <w:rFonts w:hint="eastAsia" w:cs="Times New Roman"/>
                      <w:color w:val="auto"/>
                      <w:kern w:val="2"/>
                      <w:sz w:val="21"/>
                      <w:szCs w:val="24"/>
                      <w:lang w:val="en-US" w:eastAsia="zh-CN" w:bidi="ar-SA"/>
                    </w:rPr>
                    <w:t>2.设置集气系统收集搅拌过程中产生的粉尘和有机废气，通过脉冲式布袋除尘器+活性炭吸附装置处理后由15m排气筒（DA002）排放；</w:t>
                  </w:r>
                </w:p>
                <w:p w14:paraId="6DBACDC6">
                  <w:pPr>
                    <w:keepNext w:val="0"/>
                    <w:keepLines w:val="0"/>
                    <w:numPr>
                      <w:ilvl w:val="0"/>
                      <w:numId w:val="0"/>
                    </w:numPr>
                    <w:suppressLineNumbers w:val="0"/>
                    <w:spacing w:before="0" w:beforeAutospacing="0" w:after="0" w:afterAutospacing="0"/>
                    <w:ind w:right="0" w:right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3.荒料堆场</w:t>
                  </w:r>
                  <w:r>
                    <w:rPr>
                      <w:rFonts w:hint="eastAsia" w:ascii="Times New Roman" w:hAnsi="Times New Roman" w:eastAsia="宋体" w:cs="Times New Roman"/>
                      <w:color w:val="auto"/>
                      <w:kern w:val="2"/>
                      <w:sz w:val="21"/>
                      <w:szCs w:val="24"/>
                      <w:lang w:val="en-US" w:eastAsia="zh-CN" w:bidi="ar-SA"/>
                    </w:rPr>
                    <w:t>采取防风抑尘网+防尘网覆盖措施进行抑尘</w:t>
                  </w:r>
                  <w:r>
                    <w:rPr>
                      <w:rFonts w:hint="eastAsia" w:cs="Times New Roman"/>
                      <w:color w:val="auto"/>
                      <w:kern w:val="2"/>
                      <w:sz w:val="21"/>
                      <w:szCs w:val="24"/>
                      <w:lang w:val="en-US" w:eastAsia="zh-CN" w:bidi="ar-SA"/>
                    </w:rPr>
                    <w:t>；</w:t>
                  </w:r>
                </w:p>
                <w:p w14:paraId="27FB5022">
                  <w:pPr>
                    <w:keepNext w:val="0"/>
                    <w:keepLines w:val="0"/>
                    <w:numPr>
                      <w:ilvl w:val="0"/>
                      <w:numId w:val="0"/>
                    </w:numPr>
                    <w:suppressLineNumbers w:val="0"/>
                    <w:spacing w:before="0" w:beforeAutospacing="0" w:after="0" w:afterAutospacing="0"/>
                    <w:ind w:right="0" w:rightChars="0"/>
                    <w:jc w:val="center"/>
                    <w:rPr>
                      <w:rFonts w:hint="default"/>
                      <w:lang w:val="en-US" w:eastAsia="zh-CN"/>
                    </w:rPr>
                  </w:pPr>
                  <w:r>
                    <w:rPr>
                      <w:rFonts w:hint="eastAsia" w:cs="Times New Roman"/>
                      <w:color w:val="auto"/>
                      <w:kern w:val="2"/>
                      <w:sz w:val="21"/>
                      <w:szCs w:val="24"/>
                      <w:lang w:val="en-US" w:eastAsia="zh-CN" w:bidi="ar-SA"/>
                    </w:rPr>
                    <w:t>4.</w:t>
                  </w:r>
                  <w:r>
                    <w:rPr>
                      <w:rFonts w:hint="eastAsia" w:ascii="Times New Roman" w:hAnsi="Times New Roman" w:eastAsia="宋体" w:cs="Times New Roman"/>
                      <w:color w:val="auto"/>
                      <w:kern w:val="2"/>
                      <w:sz w:val="21"/>
                      <w:szCs w:val="24"/>
                      <w:lang w:val="en-US" w:eastAsia="zh-CN" w:bidi="ar-SA"/>
                    </w:rPr>
                    <w:t>脱模养护臭气：密闭厂房，无组织排放</w:t>
                  </w:r>
                </w:p>
              </w:tc>
              <w:tc>
                <w:tcPr>
                  <w:tcW w:w="1158" w:type="pct"/>
                  <w:shd w:val="clear" w:color="auto" w:fill="auto"/>
                  <w:noWrap w:val="0"/>
                  <w:vAlign w:val="center"/>
                </w:tcPr>
                <w:p w14:paraId="164AEA09">
                  <w:pPr>
                    <w:keepNext w:val="0"/>
                    <w:keepLines w:val="0"/>
                    <w:numPr>
                      <w:ilvl w:val="0"/>
                      <w:numId w:val="0"/>
                    </w:numPr>
                    <w:suppressLineNumbers w:val="0"/>
                    <w:spacing w:before="0" w:beforeAutospacing="0" w:after="0" w:afterAutospacing="0"/>
                    <w:ind w:right="0" w:rightChars="0"/>
                    <w:jc w:val="center"/>
                    <w:rPr>
                      <w:rFonts w:hint="eastAsia" w:ascii="Times New Roman" w:hAnsi="Times New Roman" w:cs="Times New Roman"/>
                      <w:b w:val="0"/>
                      <w:bCs w:val="0"/>
                      <w:vertAlign w:val="baseline"/>
                      <w:lang w:val="en-US" w:eastAsia="zh-CN"/>
                    </w:rPr>
                  </w:pPr>
                  <w:r>
                    <w:rPr>
                      <w:rFonts w:hint="eastAsia" w:cs="Times New Roman"/>
                      <w:color w:val="auto"/>
                      <w:kern w:val="2"/>
                      <w:sz w:val="21"/>
                      <w:szCs w:val="24"/>
                      <w:lang w:val="en-US" w:eastAsia="zh-CN" w:bidi="ar-SA"/>
                    </w:rPr>
                    <w:t>1.</w:t>
                  </w:r>
                  <w:r>
                    <w:rPr>
                      <w:rFonts w:hint="default" w:ascii="Times New Roman" w:hAnsi="Times New Roman" w:cs="Times New Roman"/>
                      <w:b w:val="0"/>
                      <w:bCs w:val="0"/>
                      <w:vertAlign w:val="baseline"/>
                      <w:lang w:val="en-US" w:eastAsia="zh-CN"/>
                    </w:rPr>
                    <w:t>破碎</w:t>
                  </w:r>
                  <w:r>
                    <w:rPr>
                      <w:rFonts w:hint="eastAsia" w:ascii="Times New Roman" w:hAnsi="Times New Roman" w:cs="Times New Roman"/>
                      <w:b w:val="0"/>
                      <w:bCs w:val="0"/>
                      <w:vertAlign w:val="baseline"/>
                      <w:lang w:val="en-US" w:eastAsia="zh-CN"/>
                    </w:rPr>
                    <w:t>工序各阶段</w:t>
                  </w:r>
                  <w:r>
                    <w:rPr>
                      <w:rFonts w:hint="default" w:ascii="Times New Roman" w:hAnsi="Times New Roman" w:cs="Times New Roman"/>
                      <w:b w:val="0"/>
                      <w:bCs w:val="0"/>
                      <w:vertAlign w:val="baseline"/>
                      <w:lang w:val="en-US" w:eastAsia="zh-CN"/>
                    </w:rPr>
                    <w:t>收集</w:t>
                  </w:r>
                  <w:r>
                    <w:rPr>
                      <w:rFonts w:hint="eastAsia" w:ascii="Times New Roman" w:hAnsi="Times New Roman" w:cs="Times New Roman"/>
                      <w:b w:val="0"/>
                      <w:bCs w:val="0"/>
                      <w:vertAlign w:val="baseline"/>
                      <w:lang w:val="en-US" w:eastAsia="zh-CN"/>
                    </w:rPr>
                    <w:t>的</w:t>
                  </w:r>
                  <w:r>
                    <w:rPr>
                      <w:rFonts w:hint="default" w:ascii="Times New Roman" w:hAnsi="Times New Roman" w:cs="Times New Roman"/>
                      <w:b w:val="0"/>
                      <w:bCs w:val="0"/>
                      <w:vertAlign w:val="baseline"/>
                      <w:lang w:val="en-US" w:eastAsia="zh-CN"/>
                    </w:rPr>
                    <w:t>破碎粉尘</w:t>
                  </w:r>
                  <w:r>
                    <w:rPr>
                      <w:rFonts w:hint="eastAsia" w:ascii="Times New Roman" w:hAnsi="Times New Roman" w:cs="Times New Roman"/>
                      <w:b w:val="0"/>
                      <w:bCs w:val="0"/>
                      <w:vertAlign w:val="baseline"/>
                      <w:lang w:val="en-US" w:eastAsia="zh-CN"/>
                    </w:rPr>
                    <w:t>分别</w:t>
                  </w:r>
                  <w:r>
                    <w:rPr>
                      <w:rFonts w:hint="eastAsia" w:ascii="宋体" w:hAnsi="宋体" w:eastAsia="宋体" w:cs="宋体"/>
                      <w:b w:val="0"/>
                      <w:bCs w:val="0"/>
                      <w:vertAlign w:val="baseline"/>
                      <w:lang w:val="en-US" w:eastAsia="zh-CN"/>
                    </w:rPr>
                    <w:t>至</w:t>
                  </w:r>
                  <w:r>
                    <w:rPr>
                      <w:rFonts w:hint="eastAsia" w:ascii="宋体" w:hAnsi="宋体" w:cs="宋体"/>
                      <w:b w:val="0"/>
                      <w:bCs w:val="0"/>
                      <w:vertAlign w:val="baseline"/>
                      <w:lang w:val="en-US" w:eastAsia="zh-CN"/>
                    </w:rPr>
                    <w:t>2</w:t>
                  </w:r>
                  <w:r>
                    <w:rPr>
                      <w:rFonts w:hint="eastAsia" w:ascii="宋体" w:hAnsi="宋体" w:eastAsia="宋体" w:cs="宋体"/>
                      <w:b w:val="0"/>
                      <w:bCs w:val="0"/>
                      <w:vertAlign w:val="baseline"/>
                      <w:lang w:val="en-US" w:eastAsia="zh-CN"/>
                    </w:rPr>
                    <w:t>套“布袋除尘器”处</w:t>
                  </w:r>
                  <w:r>
                    <w:rPr>
                      <w:rFonts w:hint="default" w:ascii="Times New Roman" w:hAnsi="Times New Roman" w:cs="Times New Roman"/>
                      <w:b w:val="0"/>
                      <w:bCs w:val="0"/>
                      <w:vertAlign w:val="baseline"/>
                      <w:lang w:val="en-US" w:eastAsia="zh-CN"/>
                    </w:rPr>
                    <w:t>理后</w:t>
                  </w:r>
                  <w:r>
                    <w:rPr>
                      <w:rFonts w:hint="eastAsia" w:ascii="Times New Roman" w:hAnsi="Times New Roman" w:cs="Times New Roman"/>
                      <w:b w:val="0"/>
                      <w:bCs w:val="0"/>
                      <w:vertAlign w:val="baseline"/>
                      <w:lang w:val="en-US" w:eastAsia="zh-CN"/>
                    </w:rPr>
                    <w:t>分别</w:t>
                  </w:r>
                  <w:r>
                    <w:rPr>
                      <w:rFonts w:hint="default" w:ascii="Times New Roman" w:hAnsi="Times New Roman" w:cs="Times New Roman"/>
                      <w:b w:val="0"/>
                      <w:bCs w:val="0"/>
                      <w:vertAlign w:val="baseline"/>
                      <w:lang w:val="en-US" w:eastAsia="zh-CN"/>
                    </w:rPr>
                    <w:t>经15m排气筒</w:t>
                  </w:r>
                  <w:r>
                    <w:rPr>
                      <w:rFonts w:hint="eastAsia" w:ascii="Times New Roman" w:hAnsi="Times New Roman" w:cs="Times New Roman"/>
                      <w:b w:val="0"/>
                      <w:bCs w:val="0"/>
                      <w:vertAlign w:val="baseline"/>
                      <w:lang w:val="en-US" w:eastAsia="zh-CN"/>
                    </w:rPr>
                    <w:t>（DA00</w:t>
                  </w:r>
                  <w:r>
                    <w:rPr>
                      <w:rFonts w:hint="eastAsia" w:cs="Times New Roman"/>
                      <w:b w:val="0"/>
                      <w:bCs w:val="0"/>
                      <w:vertAlign w:val="baseline"/>
                      <w:lang w:val="en-US" w:eastAsia="zh-CN"/>
                    </w:rPr>
                    <w:t>1、</w:t>
                  </w:r>
                  <w:r>
                    <w:rPr>
                      <w:rFonts w:hint="eastAsia" w:ascii="Times New Roman" w:hAnsi="Times New Roman" w:cs="Times New Roman"/>
                      <w:b w:val="0"/>
                      <w:bCs w:val="0"/>
                      <w:vertAlign w:val="baseline"/>
                      <w:lang w:val="en-US" w:eastAsia="zh-CN"/>
                    </w:rPr>
                    <w:t>DA00</w:t>
                  </w:r>
                  <w:r>
                    <w:rPr>
                      <w:rFonts w:hint="eastAsia" w:cs="Times New Roman"/>
                      <w:b w:val="0"/>
                      <w:bCs w:val="0"/>
                      <w:vertAlign w:val="baseline"/>
                      <w:lang w:val="en-US" w:eastAsia="zh-CN"/>
                    </w:rPr>
                    <w:t>2</w:t>
                  </w:r>
                  <w:r>
                    <w:rPr>
                      <w:rFonts w:hint="eastAsia" w:ascii="Times New Roman" w:hAnsi="Times New Roman" w:cs="Times New Roman"/>
                      <w:b w:val="0"/>
                      <w:bCs w:val="0"/>
                      <w:vertAlign w:val="baseline"/>
                      <w:lang w:val="en-US" w:eastAsia="zh-CN"/>
                    </w:rPr>
                    <w:t>）</w:t>
                  </w:r>
                  <w:r>
                    <w:rPr>
                      <w:rFonts w:hint="default" w:ascii="Times New Roman" w:hAnsi="Times New Roman" w:cs="Times New Roman"/>
                      <w:b w:val="0"/>
                      <w:bCs w:val="0"/>
                      <w:vertAlign w:val="baseline"/>
                      <w:lang w:val="en-US" w:eastAsia="zh-CN"/>
                    </w:rPr>
                    <w:t>排放</w:t>
                  </w:r>
                  <w:r>
                    <w:rPr>
                      <w:rFonts w:hint="eastAsia" w:ascii="Times New Roman" w:hAnsi="Times New Roman" w:cs="Times New Roman"/>
                      <w:b w:val="0"/>
                      <w:bCs w:val="0"/>
                      <w:vertAlign w:val="baseline"/>
                      <w:lang w:val="en-US" w:eastAsia="zh-CN"/>
                    </w:rPr>
                    <w:t>；</w:t>
                  </w:r>
                </w:p>
                <w:p w14:paraId="6E33E61F">
                  <w:pPr>
                    <w:keepNext w:val="0"/>
                    <w:keepLines w:val="0"/>
                    <w:numPr>
                      <w:ilvl w:val="0"/>
                      <w:numId w:val="0"/>
                    </w:numPr>
                    <w:suppressLineNumbers w:val="0"/>
                    <w:spacing w:before="0" w:beforeAutospacing="0" w:after="0" w:afterAutospacing="0"/>
                    <w:ind w:right="0" w:rightChars="0"/>
                    <w:jc w:val="center"/>
                    <w:rPr>
                      <w:rFonts w:hint="eastAsia" w:cs="Times New Roman"/>
                      <w:color w:val="auto"/>
                      <w:lang w:val="en-US" w:eastAsia="zh-CN"/>
                    </w:rPr>
                  </w:pPr>
                  <w:r>
                    <w:rPr>
                      <w:rFonts w:hint="eastAsia" w:cs="Times New Roman"/>
                      <w:b w:val="0"/>
                      <w:bCs w:val="0"/>
                      <w:vertAlign w:val="baseline"/>
                      <w:lang w:val="en-US" w:eastAsia="zh-CN"/>
                    </w:rPr>
                    <w:t>2.皮带输送转接过程</w:t>
                  </w:r>
                  <w:r>
                    <w:rPr>
                      <w:rFonts w:hint="default" w:ascii="Times New Roman" w:hAnsi="Times New Roman" w:cs="Times New Roman"/>
                      <w:b w:val="0"/>
                      <w:bCs w:val="0"/>
                      <w:vertAlign w:val="baseline"/>
                      <w:lang w:val="en-US" w:eastAsia="zh-CN"/>
                    </w:rPr>
                    <w:t>散逸粉尘</w:t>
                  </w:r>
                  <w:r>
                    <w:rPr>
                      <w:rFonts w:hint="eastAsia" w:cs="Times New Roman"/>
                      <w:b w:val="0"/>
                      <w:bCs w:val="0"/>
                      <w:vertAlign w:val="baseline"/>
                      <w:lang w:val="en-US" w:eastAsia="zh-CN"/>
                    </w:rPr>
                    <w:t>收集后</w:t>
                  </w:r>
                  <w:r>
                    <w:rPr>
                      <w:rFonts w:hint="default" w:ascii="Times New Roman" w:hAnsi="Times New Roman" w:cs="Times New Roman"/>
                      <w:b w:val="0"/>
                      <w:bCs w:val="0"/>
                      <w:vertAlign w:val="baseline"/>
                      <w:lang w:val="en-US" w:eastAsia="zh-CN"/>
                    </w:rPr>
                    <w:t>设置</w:t>
                  </w:r>
                  <w:r>
                    <w:rPr>
                      <w:rFonts w:hint="eastAsia" w:cs="Times New Roman"/>
                      <w:b w:val="0"/>
                      <w:bCs w:val="0"/>
                      <w:vertAlign w:val="baseline"/>
                      <w:lang w:val="en-US" w:eastAsia="zh-CN"/>
                    </w:rPr>
                    <w:t>1</w:t>
                  </w:r>
                  <w:r>
                    <w:rPr>
                      <w:rFonts w:hint="eastAsia" w:ascii="Times New Roman" w:hAnsi="Times New Roman" w:cs="Times New Roman"/>
                      <w:b w:val="0"/>
                      <w:bCs w:val="0"/>
                      <w:vertAlign w:val="baseline"/>
                      <w:lang w:val="en-US" w:eastAsia="zh-CN"/>
                    </w:rPr>
                    <w:t>套</w:t>
                  </w:r>
                  <w:r>
                    <w:rPr>
                      <w:rFonts w:hint="eastAsia" w:ascii="宋体" w:hAnsi="宋体" w:eastAsia="宋体" w:cs="宋体"/>
                      <w:b w:val="0"/>
                      <w:bCs w:val="0"/>
                      <w:vertAlign w:val="baseline"/>
                      <w:lang w:val="en-US" w:eastAsia="zh-CN"/>
                    </w:rPr>
                    <w:t>“</w:t>
                  </w:r>
                  <w:r>
                    <w:rPr>
                      <w:rFonts w:hint="default" w:ascii="Times New Roman" w:hAnsi="Times New Roman" w:cs="Times New Roman"/>
                      <w:b w:val="0"/>
                      <w:bCs w:val="0"/>
                      <w:vertAlign w:val="baseline"/>
                      <w:lang w:val="en-US" w:eastAsia="zh-CN"/>
                    </w:rPr>
                    <w:t>集气罩</w:t>
                  </w:r>
                  <w:r>
                    <w:rPr>
                      <w:rFonts w:hint="eastAsia" w:ascii="Times New Roman" w:hAnsi="Times New Roman" w:cs="Times New Roman"/>
                      <w:b w:val="0"/>
                      <w:bCs w:val="0"/>
                      <w:vertAlign w:val="baseline"/>
                      <w:lang w:val="en-US" w:eastAsia="zh-CN"/>
                    </w:rPr>
                    <w:t>+</w:t>
                  </w:r>
                  <w:r>
                    <w:rPr>
                      <w:rFonts w:hint="eastAsia" w:ascii="宋体" w:hAnsi="宋体" w:eastAsia="宋体" w:cs="宋体"/>
                      <w:b w:val="0"/>
                      <w:bCs w:val="0"/>
                      <w:vertAlign w:val="baseline"/>
                      <w:lang w:val="en-US" w:eastAsia="zh-CN"/>
                    </w:rPr>
                    <w:t>布袋除尘器”处</w:t>
                  </w:r>
                  <w:r>
                    <w:rPr>
                      <w:rFonts w:hint="default" w:ascii="Times New Roman" w:hAnsi="Times New Roman" w:cs="Times New Roman"/>
                      <w:b w:val="0"/>
                      <w:bCs w:val="0"/>
                      <w:vertAlign w:val="baseline"/>
                      <w:lang w:val="en-US" w:eastAsia="zh-CN"/>
                    </w:rPr>
                    <w:t>理后经1</w:t>
                  </w:r>
                  <w:r>
                    <w:rPr>
                      <w:rFonts w:hint="eastAsia" w:cs="Times New Roman"/>
                      <w:b w:val="0"/>
                      <w:bCs w:val="0"/>
                      <w:vertAlign w:val="baseline"/>
                      <w:lang w:val="en-US" w:eastAsia="zh-CN"/>
                    </w:rPr>
                    <w:t>7</w:t>
                  </w:r>
                  <w:r>
                    <w:rPr>
                      <w:rFonts w:hint="default" w:ascii="Times New Roman" w:hAnsi="Times New Roman" w:cs="Times New Roman"/>
                      <w:b w:val="0"/>
                      <w:bCs w:val="0"/>
                      <w:vertAlign w:val="baseline"/>
                      <w:lang w:val="en-US" w:eastAsia="zh-CN"/>
                    </w:rPr>
                    <w:t>m排气筒</w:t>
                  </w:r>
                  <w:r>
                    <w:rPr>
                      <w:rFonts w:hint="eastAsia" w:cs="Times New Roman"/>
                      <w:b w:val="0"/>
                      <w:bCs w:val="0"/>
                      <w:vertAlign w:val="baseline"/>
                      <w:lang w:val="en-US" w:eastAsia="zh-CN"/>
                    </w:rPr>
                    <w:t>（</w:t>
                  </w:r>
                  <w:r>
                    <w:rPr>
                      <w:rFonts w:hint="eastAsia" w:ascii="Times New Roman" w:hAnsi="Times New Roman" w:cs="Times New Roman"/>
                      <w:b w:val="0"/>
                      <w:bCs w:val="0"/>
                      <w:vertAlign w:val="baseline"/>
                      <w:lang w:val="en-US" w:eastAsia="zh-CN"/>
                    </w:rPr>
                    <w:t>DA00</w:t>
                  </w:r>
                  <w:r>
                    <w:rPr>
                      <w:rFonts w:hint="eastAsia" w:cs="Times New Roman"/>
                      <w:b w:val="0"/>
                      <w:bCs w:val="0"/>
                      <w:vertAlign w:val="baseline"/>
                      <w:lang w:val="en-US" w:eastAsia="zh-CN"/>
                    </w:rPr>
                    <w:t>3）</w:t>
                  </w:r>
                  <w:r>
                    <w:rPr>
                      <w:rFonts w:hint="default" w:ascii="Times New Roman" w:hAnsi="Times New Roman" w:cs="Times New Roman"/>
                      <w:b w:val="0"/>
                      <w:bCs w:val="0"/>
                      <w:vertAlign w:val="baseline"/>
                      <w:lang w:val="en-US" w:eastAsia="zh-CN"/>
                    </w:rPr>
                    <w:t>排放</w:t>
                  </w:r>
                  <w:r>
                    <w:rPr>
                      <w:rFonts w:hint="eastAsia" w:cs="Times New Roman"/>
                      <w:color w:val="auto"/>
                      <w:lang w:val="en-US" w:eastAsia="zh-CN"/>
                    </w:rPr>
                    <w:t>；</w:t>
                  </w:r>
                </w:p>
                <w:p w14:paraId="74F276E3">
                  <w:pPr>
                    <w:keepNext w:val="0"/>
                    <w:keepLines w:val="0"/>
                    <w:numPr>
                      <w:ilvl w:val="0"/>
                      <w:numId w:val="0"/>
                    </w:numPr>
                    <w:suppressLineNumbers w:val="0"/>
                    <w:spacing w:before="0" w:beforeAutospacing="0" w:after="0" w:afterAutospacing="0"/>
                    <w:ind w:right="0" w:rightChars="0"/>
                    <w:jc w:val="center"/>
                    <w:rPr>
                      <w:rFonts w:hint="eastAsia" w:ascii="Times New Roman" w:hAnsi="Times New Roman" w:cs="Times New Roman"/>
                      <w:b w:val="0"/>
                      <w:bCs w:val="0"/>
                      <w:vertAlign w:val="baseline"/>
                      <w:lang w:val="en-US" w:eastAsia="zh-CN"/>
                    </w:rPr>
                  </w:pPr>
                  <w:r>
                    <w:rPr>
                      <w:rFonts w:hint="eastAsia" w:cs="Times New Roman"/>
                      <w:color w:val="auto"/>
                      <w:kern w:val="2"/>
                      <w:sz w:val="21"/>
                      <w:szCs w:val="24"/>
                      <w:lang w:val="en-US" w:eastAsia="zh-CN" w:bidi="ar-SA"/>
                    </w:rPr>
                    <w:t>3.</w:t>
                  </w:r>
                  <w:r>
                    <w:rPr>
                      <w:rFonts w:hint="eastAsia"/>
                      <w:color w:val="auto"/>
                      <w:lang w:val="en-US" w:eastAsia="zh-CN"/>
                    </w:rPr>
                    <w:t>设置集气系统收集搅拌过程中产生的粉尘和有机废气，通过脉冲式布袋除尘器+活性炭吸附装置处理后由15m排气筒</w:t>
                  </w:r>
                  <w:r>
                    <w:rPr>
                      <w:rFonts w:hint="eastAsia"/>
                      <w:color w:val="auto"/>
                      <w:lang w:eastAsia="zh-CN"/>
                    </w:rPr>
                    <w:t>（</w:t>
                  </w:r>
                  <w:r>
                    <w:rPr>
                      <w:rFonts w:hint="eastAsia"/>
                      <w:color w:val="auto"/>
                      <w:lang w:val="en-US" w:eastAsia="zh-CN"/>
                    </w:rPr>
                    <w:t>DA004</w:t>
                  </w:r>
                  <w:r>
                    <w:rPr>
                      <w:rFonts w:hint="eastAsia"/>
                      <w:color w:val="auto"/>
                      <w:lang w:eastAsia="zh-CN"/>
                    </w:rPr>
                    <w:t>）</w:t>
                  </w:r>
                  <w:r>
                    <w:rPr>
                      <w:rFonts w:hint="eastAsia"/>
                      <w:color w:val="auto"/>
                      <w:lang w:val="en-US" w:eastAsia="zh-CN"/>
                    </w:rPr>
                    <w:t>排放</w:t>
                  </w:r>
                  <w:r>
                    <w:rPr>
                      <w:rFonts w:hint="eastAsia" w:ascii="Times New Roman" w:hAnsi="Times New Roman" w:cs="Times New Roman"/>
                      <w:b w:val="0"/>
                      <w:bCs w:val="0"/>
                      <w:vertAlign w:val="baseline"/>
                      <w:lang w:val="en-US" w:eastAsia="zh-CN"/>
                    </w:rPr>
                    <w:t>；</w:t>
                  </w:r>
                </w:p>
                <w:p w14:paraId="0601E25C">
                  <w:pPr>
                    <w:keepNext w:val="0"/>
                    <w:keepLines w:val="0"/>
                    <w:numPr>
                      <w:ilvl w:val="0"/>
                      <w:numId w:val="0"/>
                    </w:numPr>
                    <w:suppressLineNumbers w:val="0"/>
                    <w:spacing w:before="0" w:beforeAutospacing="0" w:after="0" w:afterAutospacing="0"/>
                    <w:ind w:right="0" w:rightChars="0"/>
                    <w:jc w:val="center"/>
                    <w:rPr>
                      <w:rFonts w:hint="eastAsia"/>
                      <w:color w:val="auto"/>
                      <w:lang w:val="en-US" w:eastAsia="zh-CN"/>
                    </w:rPr>
                  </w:pPr>
                  <w:r>
                    <w:rPr>
                      <w:rFonts w:hint="eastAsia" w:cs="Times New Roman"/>
                      <w:b w:val="0"/>
                      <w:bCs w:val="0"/>
                      <w:vertAlign w:val="baseline"/>
                      <w:lang w:val="en-US" w:eastAsia="zh-CN"/>
                    </w:rPr>
                    <w:t>4.</w:t>
                  </w:r>
                  <w:r>
                    <w:rPr>
                      <w:rFonts w:hint="eastAsia" w:ascii="Times New Roman" w:hAnsi="Times New Roman" w:cs="Times New Roman"/>
                      <w:b w:val="0"/>
                      <w:bCs w:val="0"/>
                      <w:vertAlign w:val="baseline"/>
                      <w:lang w:val="en-US" w:eastAsia="zh-CN"/>
                    </w:rPr>
                    <w:t>破碎后分别收集至各储存罐，</w:t>
                  </w:r>
                  <w:r>
                    <w:rPr>
                      <w:rFonts w:hint="eastAsia" w:ascii="Times New Roman" w:hAnsi="Times New Roman" w:cs="Times New Roman"/>
                      <w:b w:val="0"/>
                      <w:bCs w:val="0"/>
                      <w:color w:val="FF0000"/>
                      <w:vertAlign w:val="baseline"/>
                      <w:lang w:val="en-US" w:eastAsia="zh-CN"/>
                    </w:rPr>
                    <w:t>罐</w:t>
                  </w:r>
                  <w:r>
                    <w:rPr>
                      <w:rFonts w:hint="eastAsia" w:cs="Times New Roman"/>
                      <w:b w:val="0"/>
                      <w:bCs w:val="0"/>
                      <w:color w:val="FF0000"/>
                      <w:vertAlign w:val="baseline"/>
                      <w:lang w:val="en-US" w:eastAsia="zh-CN"/>
                    </w:rPr>
                    <w:t>区</w:t>
                  </w:r>
                  <w:r>
                    <w:rPr>
                      <w:rFonts w:hint="eastAsia" w:ascii="Times New Roman" w:hAnsi="Times New Roman" w:cs="Times New Roman"/>
                      <w:b w:val="0"/>
                      <w:bCs w:val="0"/>
                      <w:color w:val="FF0000"/>
                      <w:vertAlign w:val="baseline"/>
                      <w:lang w:val="en-US" w:eastAsia="zh-CN"/>
                    </w:rPr>
                    <w:t>设置</w:t>
                  </w:r>
                  <w:r>
                    <w:rPr>
                      <w:rFonts w:hint="eastAsia" w:cs="Times New Roman"/>
                      <w:b w:val="0"/>
                      <w:bCs w:val="0"/>
                      <w:color w:val="FF0000"/>
                      <w:vertAlign w:val="baseline"/>
                      <w:lang w:val="en-US" w:eastAsia="zh-CN"/>
                    </w:rPr>
                    <w:t>一套</w:t>
                  </w:r>
                  <w:r>
                    <w:rPr>
                      <w:rFonts w:hint="eastAsia" w:ascii="宋体" w:hAnsi="宋体" w:eastAsia="宋体" w:cs="宋体"/>
                      <w:b w:val="0"/>
                      <w:bCs w:val="0"/>
                      <w:color w:val="FF0000"/>
                      <w:vertAlign w:val="baseline"/>
                      <w:lang w:val="en-US" w:eastAsia="zh-CN"/>
                    </w:rPr>
                    <w:t>“布袋除尘器”</w:t>
                  </w:r>
                  <w:r>
                    <w:rPr>
                      <w:rFonts w:hint="eastAsia" w:ascii="宋体" w:hAnsi="宋体" w:cs="宋体"/>
                      <w:b w:val="0"/>
                      <w:bCs w:val="0"/>
                      <w:color w:val="FF0000"/>
                      <w:vertAlign w:val="baseline"/>
                      <w:lang w:val="en-US" w:eastAsia="zh-CN"/>
                    </w:rPr>
                    <w:t>，</w:t>
                  </w:r>
                  <w:r>
                    <w:rPr>
                      <w:rFonts w:hint="eastAsia" w:ascii="宋体" w:hAnsi="宋体" w:eastAsia="宋体" w:cs="宋体"/>
                      <w:b w:val="0"/>
                      <w:bCs w:val="0"/>
                      <w:vertAlign w:val="baseline"/>
                      <w:lang w:val="en-US" w:eastAsia="zh-CN"/>
                    </w:rPr>
                    <w:t>处</w:t>
                  </w:r>
                  <w:r>
                    <w:rPr>
                      <w:rFonts w:hint="default" w:ascii="Times New Roman" w:hAnsi="Times New Roman" w:cs="Times New Roman"/>
                      <w:b w:val="0"/>
                      <w:bCs w:val="0"/>
                      <w:vertAlign w:val="baseline"/>
                      <w:lang w:val="en-US" w:eastAsia="zh-CN"/>
                    </w:rPr>
                    <w:t>理后</w:t>
                  </w:r>
                  <w:r>
                    <w:rPr>
                      <w:rFonts w:hint="eastAsia" w:ascii="Times New Roman" w:hAnsi="Times New Roman" w:cs="Times New Roman"/>
                      <w:b w:val="0"/>
                      <w:bCs w:val="0"/>
                      <w:vertAlign w:val="baseline"/>
                      <w:lang w:val="en-US" w:eastAsia="zh-CN"/>
                    </w:rPr>
                    <w:t>无组织排放</w:t>
                  </w:r>
                  <w:r>
                    <w:rPr>
                      <w:rFonts w:hint="eastAsia"/>
                      <w:color w:val="auto"/>
                      <w:lang w:val="en-US" w:eastAsia="zh-CN"/>
                    </w:rPr>
                    <w:t>；</w:t>
                  </w:r>
                </w:p>
                <w:p w14:paraId="4E4945FF">
                  <w:pPr>
                    <w:keepNext w:val="0"/>
                    <w:keepLines w:val="0"/>
                    <w:numPr>
                      <w:ilvl w:val="0"/>
                      <w:numId w:val="0"/>
                    </w:numPr>
                    <w:suppressLineNumbers w:val="0"/>
                    <w:spacing w:before="0" w:beforeAutospacing="0" w:after="0" w:afterAutospacing="0"/>
                    <w:ind w:right="0" w:right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5.荒料堆场</w:t>
                  </w:r>
                  <w:r>
                    <w:rPr>
                      <w:rFonts w:hint="eastAsia" w:ascii="Times New Roman" w:hAnsi="Times New Roman" w:eastAsia="宋体" w:cs="Times New Roman"/>
                      <w:color w:val="auto"/>
                      <w:kern w:val="2"/>
                      <w:sz w:val="21"/>
                      <w:szCs w:val="24"/>
                      <w:lang w:val="en-US" w:eastAsia="zh-CN" w:bidi="ar-SA"/>
                    </w:rPr>
                    <w:t>采取防风抑尘网+防尘网覆盖措施进行抑尘</w:t>
                  </w:r>
                  <w:r>
                    <w:rPr>
                      <w:rFonts w:hint="eastAsia" w:cs="Times New Roman"/>
                      <w:color w:val="auto"/>
                      <w:kern w:val="2"/>
                      <w:sz w:val="21"/>
                      <w:szCs w:val="24"/>
                      <w:lang w:val="en-US" w:eastAsia="zh-CN" w:bidi="ar-SA"/>
                    </w:rPr>
                    <w:t>；</w:t>
                  </w:r>
                </w:p>
                <w:p w14:paraId="6EE5156F">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kern w:val="2"/>
                      <w:sz w:val="21"/>
                      <w:szCs w:val="24"/>
                      <w:lang w:val="en-US" w:eastAsia="zh-CN" w:bidi="ar-SA"/>
                    </w:rPr>
                  </w:pPr>
                  <w:r>
                    <w:rPr>
                      <w:rFonts w:hint="eastAsia" w:cs="Times New Roman"/>
                      <w:color w:val="auto"/>
                      <w:kern w:val="2"/>
                      <w:sz w:val="21"/>
                      <w:szCs w:val="24"/>
                      <w:lang w:val="en-US" w:eastAsia="zh-CN" w:bidi="ar-SA"/>
                    </w:rPr>
                    <w:t>6.</w:t>
                  </w:r>
                  <w:r>
                    <w:rPr>
                      <w:rFonts w:hint="eastAsia" w:ascii="Times New Roman" w:hAnsi="Times New Roman" w:eastAsia="宋体" w:cs="Times New Roman"/>
                      <w:color w:val="auto"/>
                      <w:kern w:val="2"/>
                      <w:sz w:val="21"/>
                      <w:szCs w:val="24"/>
                      <w:lang w:val="en-US" w:eastAsia="zh-CN" w:bidi="ar-SA"/>
                    </w:rPr>
                    <w:t>脱模养护臭气：密闭厂房，无组织排放</w:t>
                  </w:r>
                </w:p>
              </w:tc>
              <w:tc>
                <w:tcPr>
                  <w:tcW w:w="649" w:type="pct"/>
                  <w:noWrap w:val="0"/>
                  <w:vAlign w:val="center"/>
                </w:tcPr>
                <w:p w14:paraId="2A060A71">
                  <w:pPr>
                    <w:keepNext w:val="0"/>
                    <w:keepLines w:val="0"/>
                    <w:suppressLineNumbers w:val="0"/>
                    <w:spacing w:before="0" w:beforeAutospacing="0" w:after="0" w:afterAutospacing="0"/>
                    <w:ind w:left="0" w:leftChars="0" w:right="0" w:rightChars="0"/>
                    <w:jc w:val="center"/>
                    <w:rPr>
                      <w:rFonts w:hint="eastAsia" w:cs="Times New Roman"/>
                      <w:color w:val="auto"/>
                      <w:kern w:val="2"/>
                      <w:sz w:val="21"/>
                      <w:szCs w:val="24"/>
                      <w:lang w:val="en-US" w:eastAsia="zh-CN" w:bidi="ar-SA"/>
                    </w:rPr>
                  </w:pPr>
                  <w:r>
                    <w:rPr>
                      <w:rFonts w:hint="default" w:ascii="Times New Roman" w:hAnsi="Times New Roman" w:cs="Times New Roman"/>
                      <w:b w:val="0"/>
                      <w:bCs w:val="0"/>
                      <w:vertAlign w:val="baseline"/>
                      <w:lang w:val="en-US" w:eastAsia="zh-CN"/>
                    </w:rPr>
                    <w:t>破碎</w:t>
                  </w:r>
                  <w:r>
                    <w:rPr>
                      <w:rFonts w:hint="eastAsia" w:ascii="Times New Roman" w:hAnsi="Times New Roman" w:cs="Times New Roman"/>
                      <w:b w:val="0"/>
                      <w:bCs w:val="0"/>
                      <w:vertAlign w:val="baseline"/>
                      <w:lang w:val="en-US" w:eastAsia="zh-CN"/>
                    </w:rPr>
                    <w:t>工序</w:t>
                  </w:r>
                  <w:r>
                    <w:rPr>
                      <w:rFonts w:hint="eastAsia" w:cs="Times New Roman"/>
                      <w:b w:val="0"/>
                      <w:bCs w:val="0"/>
                      <w:vertAlign w:val="baseline"/>
                      <w:lang w:val="en-US" w:eastAsia="zh-CN"/>
                    </w:rPr>
                    <w:t>增加3</w:t>
                  </w:r>
                  <w:r>
                    <w:rPr>
                      <w:rFonts w:hint="eastAsia" w:ascii="宋体" w:hAnsi="宋体" w:eastAsia="宋体" w:cs="宋体"/>
                      <w:b w:val="0"/>
                      <w:bCs w:val="0"/>
                      <w:vertAlign w:val="baseline"/>
                      <w:lang w:val="en-US" w:eastAsia="zh-CN"/>
                    </w:rPr>
                    <w:t>套“布袋除尘器”</w:t>
                  </w:r>
                  <w:r>
                    <w:rPr>
                      <w:rFonts w:hint="eastAsia" w:ascii="宋体" w:hAnsi="宋体" w:cs="宋体"/>
                      <w:b w:val="0"/>
                      <w:bCs w:val="0"/>
                      <w:vertAlign w:val="baseline"/>
                      <w:lang w:val="en-US" w:eastAsia="zh-CN"/>
                    </w:rPr>
                    <w:t>；</w:t>
                  </w:r>
                  <w:r>
                    <w:rPr>
                      <w:rFonts w:hint="eastAsia" w:ascii="Times New Roman" w:hAnsi="Times New Roman" w:cs="Times New Roman"/>
                      <w:b w:val="0"/>
                      <w:bCs w:val="0"/>
                      <w:vertAlign w:val="baseline"/>
                      <w:lang w:val="en-US" w:eastAsia="zh-CN"/>
                    </w:rPr>
                    <w:t>破碎后分别收集至各储存罐，各储存罐设置有</w:t>
                  </w:r>
                  <w:r>
                    <w:rPr>
                      <w:rFonts w:hint="eastAsia" w:cs="Times New Roman"/>
                      <w:b w:val="0"/>
                      <w:bCs w:val="0"/>
                      <w:vertAlign w:val="baseline"/>
                      <w:lang w:val="en-US" w:eastAsia="zh-CN"/>
                    </w:rPr>
                    <w:t>一套</w:t>
                  </w:r>
                  <w:r>
                    <w:rPr>
                      <w:rFonts w:hint="eastAsia" w:ascii="宋体" w:hAnsi="宋体" w:eastAsia="宋体" w:cs="宋体"/>
                      <w:b w:val="0"/>
                      <w:bCs w:val="0"/>
                      <w:vertAlign w:val="baseline"/>
                      <w:lang w:val="en-US" w:eastAsia="zh-CN"/>
                    </w:rPr>
                    <w:t>“布袋除尘器”</w:t>
                  </w:r>
                </w:p>
              </w:tc>
              <w:tc>
                <w:tcPr>
                  <w:tcW w:w="483" w:type="pct"/>
                  <w:noWrap w:val="0"/>
                  <w:vAlign w:val="center"/>
                </w:tcPr>
                <w:p w14:paraId="3F82CEF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FF"/>
                      <w:lang w:eastAsia="zh-CN"/>
                    </w:rPr>
                  </w:pPr>
                  <w:r>
                    <w:rPr>
                      <w:rFonts w:hint="eastAsia" w:cs="Times New Roman"/>
                      <w:color w:val="0000FF"/>
                      <w:lang w:val="en-US" w:eastAsia="zh-CN"/>
                    </w:rPr>
                    <w:t>/</w:t>
                  </w:r>
                </w:p>
              </w:tc>
            </w:tr>
            <w:tr w14:paraId="6EBDFD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9" w:hRule="atLeast"/>
                <w:jc w:val="center"/>
              </w:trPr>
              <w:tc>
                <w:tcPr>
                  <w:tcW w:w="422" w:type="pct"/>
                  <w:vMerge w:val="continue"/>
                  <w:noWrap w:val="0"/>
                  <w:vAlign w:val="center"/>
                </w:tcPr>
                <w:p w14:paraId="01746596">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c>
                <w:tcPr>
                  <w:tcW w:w="1071" w:type="pct"/>
                  <w:gridSpan w:val="2"/>
                  <w:vMerge w:val="restart"/>
                  <w:noWrap w:val="0"/>
                  <w:vAlign w:val="center"/>
                </w:tcPr>
                <w:p w14:paraId="4F7E28B8">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color w:val="auto"/>
                    </w:rPr>
                    <w:t>废水处理</w:t>
                  </w:r>
                </w:p>
              </w:tc>
              <w:tc>
                <w:tcPr>
                  <w:tcW w:w="1213" w:type="pct"/>
                  <w:noWrap w:val="0"/>
                  <w:vAlign w:val="center"/>
                </w:tcPr>
                <w:p w14:paraId="30A2DF02">
                  <w:pPr>
                    <w:keepNext w:val="0"/>
                    <w:keepLines w:val="0"/>
                    <w:widowControl/>
                    <w:suppressLineNumbers w:val="0"/>
                    <w:jc w:val="center"/>
                    <w:rPr>
                      <w:rFonts w:hint="eastAsia" w:ascii="Times New Roman" w:hAnsi="Times New Roman" w:eastAsia="宋体" w:cs="Times New Roman"/>
                      <w:color w:val="FF0000"/>
                      <w:lang w:val="en-US" w:eastAsia="zh-CN"/>
                    </w:rPr>
                  </w:pPr>
                  <w:r>
                    <w:rPr>
                      <w:rFonts w:hint="eastAsia" w:cs="Times New Roman"/>
                      <w:color w:val="FF0000"/>
                      <w:sz w:val="21"/>
                      <w:szCs w:val="21"/>
                      <w:lang w:val="en-US" w:eastAsia="zh-CN"/>
                    </w:rPr>
                    <w:t>1.本项目无</w:t>
                  </w:r>
                  <w:r>
                    <w:rPr>
                      <w:rFonts w:hint="eastAsia" w:ascii="Times New Roman" w:hAnsi="Times New Roman" w:cs="Times New Roman"/>
                      <w:color w:val="FF0000"/>
                      <w:sz w:val="21"/>
                      <w:szCs w:val="21"/>
                      <w:lang w:val="en-US" w:eastAsia="zh-CN"/>
                    </w:rPr>
                    <w:t>生产</w:t>
                  </w:r>
                  <w:r>
                    <w:rPr>
                      <w:rFonts w:hint="eastAsia" w:cs="Times New Roman"/>
                      <w:color w:val="FF0000"/>
                      <w:sz w:val="21"/>
                      <w:szCs w:val="21"/>
                      <w:lang w:val="en-US" w:eastAsia="zh-CN"/>
                    </w:rPr>
                    <w:t>废</w:t>
                  </w:r>
                  <w:r>
                    <w:rPr>
                      <w:rFonts w:hint="eastAsia" w:ascii="Times New Roman" w:hAnsi="Times New Roman" w:cs="Times New Roman"/>
                      <w:color w:val="FF0000"/>
                      <w:sz w:val="21"/>
                      <w:szCs w:val="21"/>
                      <w:lang w:val="en-US" w:eastAsia="zh-CN"/>
                    </w:rPr>
                    <w:t>水</w:t>
                  </w:r>
                </w:p>
              </w:tc>
              <w:tc>
                <w:tcPr>
                  <w:tcW w:w="1158" w:type="pct"/>
                  <w:shd w:val="clear" w:color="auto" w:fill="auto"/>
                  <w:noWrap w:val="0"/>
                  <w:vAlign w:val="center"/>
                </w:tcPr>
                <w:p w14:paraId="432CCCD2">
                  <w:pPr>
                    <w:keepNext w:val="0"/>
                    <w:keepLines w:val="0"/>
                    <w:widowControl/>
                    <w:suppressLineNumbers w:val="0"/>
                    <w:jc w:val="center"/>
                    <w:rPr>
                      <w:rFonts w:hint="eastAsia" w:ascii="Times New Roman" w:hAnsi="Times New Roman" w:eastAsia="宋体" w:cs="Times New Roman"/>
                      <w:color w:val="FF0000"/>
                      <w:kern w:val="2"/>
                      <w:sz w:val="21"/>
                      <w:szCs w:val="24"/>
                      <w:lang w:val="en-US" w:eastAsia="zh-CN" w:bidi="ar-SA"/>
                    </w:rPr>
                  </w:pPr>
                  <w:r>
                    <w:rPr>
                      <w:rFonts w:hint="eastAsia" w:cs="Times New Roman"/>
                      <w:color w:val="FF0000"/>
                      <w:sz w:val="21"/>
                      <w:szCs w:val="21"/>
                      <w:lang w:val="en-US" w:eastAsia="zh-CN"/>
                    </w:rPr>
                    <w:t>1.</w:t>
                  </w:r>
                  <w:r>
                    <w:rPr>
                      <w:rFonts w:hint="eastAsia" w:ascii="Times New Roman" w:hAnsi="Times New Roman" w:cs="Times New Roman"/>
                      <w:b w:val="0"/>
                      <w:bCs w:val="0"/>
                      <w:color w:val="FF0000"/>
                      <w:vertAlign w:val="baseline"/>
                      <w:lang w:val="en-US" w:eastAsia="zh-CN"/>
                    </w:rPr>
                    <w:t>在破碎前端安装的喷淋装置洗掉矿石表面泥土，产生的废水经四级沉淀处理后回用于骨料清洗工序，不外排。四级沉淀池定期清理产生的底泥</w:t>
                  </w:r>
                </w:p>
              </w:tc>
              <w:tc>
                <w:tcPr>
                  <w:tcW w:w="649" w:type="pct"/>
                  <w:noWrap w:val="0"/>
                  <w:vAlign w:val="center"/>
                </w:tcPr>
                <w:p w14:paraId="089F09E6">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FF0000"/>
                      <w:sz w:val="21"/>
                      <w:szCs w:val="21"/>
                      <w:lang w:val="en-US" w:eastAsia="zh-CN"/>
                    </w:rPr>
                  </w:pPr>
                  <w:r>
                    <w:rPr>
                      <w:rFonts w:hint="eastAsia" w:cs="Times New Roman"/>
                      <w:color w:val="FF0000"/>
                      <w:lang w:val="en-US" w:eastAsia="zh-CN"/>
                    </w:rPr>
                    <w:t>新增</w:t>
                  </w:r>
                  <w:r>
                    <w:rPr>
                      <w:rFonts w:hint="eastAsia" w:ascii="Times New Roman" w:hAnsi="Times New Roman" w:cs="Times New Roman"/>
                      <w:b w:val="0"/>
                      <w:bCs w:val="0"/>
                      <w:color w:val="FF0000"/>
                      <w:vertAlign w:val="baseline"/>
                      <w:lang w:val="en-US" w:eastAsia="zh-CN"/>
                    </w:rPr>
                    <w:t>矿石喷淋清洗装置</w:t>
                  </w:r>
                  <w:r>
                    <w:rPr>
                      <w:rFonts w:hint="eastAsia" w:cs="Times New Roman"/>
                      <w:b w:val="0"/>
                      <w:bCs w:val="0"/>
                      <w:color w:val="FF0000"/>
                      <w:vertAlign w:val="baseline"/>
                      <w:lang w:val="en-US" w:eastAsia="zh-CN"/>
                    </w:rPr>
                    <w:t>，产生的废水经四级沉淀处理后回用于骨料清洗工序，不外排</w:t>
                  </w:r>
                </w:p>
              </w:tc>
              <w:tc>
                <w:tcPr>
                  <w:tcW w:w="483" w:type="pct"/>
                  <w:noWrap w:val="0"/>
                  <w:vAlign w:val="center"/>
                </w:tcPr>
                <w:p w14:paraId="26948C1C">
                  <w:pPr>
                    <w:keepNext w:val="0"/>
                    <w:keepLines w:val="0"/>
                    <w:suppressLineNumbers w:val="0"/>
                    <w:spacing w:before="0" w:beforeAutospacing="0" w:after="0" w:afterAutospacing="0"/>
                    <w:ind w:left="0" w:right="0"/>
                    <w:jc w:val="center"/>
                    <w:rPr>
                      <w:rFonts w:hint="default" w:ascii="Times New Roman" w:hAnsi="Times New Roman" w:cs="Times New Roman"/>
                      <w:color w:val="FF0000"/>
                      <w:lang w:val="en-US" w:eastAsia="zh-CN"/>
                    </w:rPr>
                  </w:pPr>
                  <w:r>
                    <w:rPr>
                      <w:rFonts w:hint="eastAsia" w:cs="Times New Roman"/>
                      <w:color w:val="FF0000"/>
                      <w:lang w:val="en-US" w:eastAsia="zh-CN"/>
                    </w:rPr>
                    <w:t>新建</w:t>
                  </w:r>
                </w:p>
              </w:tc>
            </w:tr>
            <w:tr w14:paraId="61A348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9" w:hRule="atLeast"/>
                <w:jc w:val="center"/>
              </w:trPr>
              <w:tc>
                <w:tcPr>
                  <w:tcW w:w="422" w:type="pct"/>
                  <w:vMerge w:val="continue"/>
                  <w:noWrap w:val="0"/>
                  <w:vAlign w:val="center"/>
                </w:tcPr>
                <w:p w14:paraId="2AD2984C">
                  <w:pPr>
                    <w:keepNext w:val="0"/>
                    <w:keepLines w:val="0"/>
                    <w:suppressLineNumbers w:val="0"/>
                    <w:spacing w:before="0" w:beforeAutospacing="0" w:after="0" w:afterAutospacing="0"/>
                    <w:ind w:left="0" w:right="0"/>
                    <w:jc w:val="center"/>
                  </w:pPr>
                </w:p>
              </w:tc>
              <w:tc>
                <w:tcPr>
                  <w:tcW w:w="1071" w:type="pct"/>
                  <w:gridSpan w:val="2"/>
                  <w:vMerge w:val="continue"/>
                  <w:noWrap w:val="0"/>
                  <w:vAlign w:val="center"/>
                </w:tcPr>
                <w:p w14:paraId="22010E4B">
                  <w:pPr>
                    <w:keepNext w:val="0"/>
                    <w:keepLines w:val="0"/>
                    <w:suppressLineNumbers w:val="0"/>
                    <w:spacing w:before="0" w:beforeAutospacing="0" w:after="0" w:afterAutospacing="0"/>
                    <w:ind w:left="0" w:right="0"/>
                    <w:jc w:val="center"/>
                  </w:pPr>
                </w:p>
              </w:tc>
              <w:tc>
                <w:tcPr>
                  <w:tcW w:w="1926" w:type="dxa"/>
                  <w:noWrap w:val="0"/>
                  <w:vAlign w:val="center"/>
                </w:tcPr>
                <w:p w14:paraId="3061E2FB">
                  <w:pPr>
                    <w:keepNext w:val="0"/>
                    <w:keepLines w:val="0"/>
                    <w:suppressLineNumbers w:val="0"/>
                    <w:spacing w:before="0" w:beforeAutospacing="0" w:after="0" w:afterAutospacing="0"/>
                    <w:ind w:left="0" w:leftChars="0" w:right="0" w:rightChars="0"/>
                    <w:jc w:val="center"/>
                    <w:rPr>
                      <w:rFonts w:hint="eastAsia" w:cs="Times New Roman"/>
                      <w:color w:val="FF0000"/>
                      <w:sz w:val="21"/>
                      <w:szCs w:val="21"/>
                      <w:lang w:val="en-US" w:eastAsia="zh-CN"/>
                    </w:rPr>
                  </w:pPr>
                  <w:r>
                    <w:rPr>
                      <w:rFonts w:hint="eastAsia" w:eastAsia="宋体" w:cs="Times New Roman"/>
                      <w:color w:val="FF0000"/>
                      <w:spacing w:val="8"/>
                      <w:lang w:eastAsia="zh-CN"/>
                    </w:rPr>
                    <w:t>2.</w:t>
                  </w:r>
                  <w:r>
                    <w:rPr>
                      <w:color w:val="FF0000"/>
                      <w:spacing w:val="8"/>
                    </w:rPr>
                    <w:t>生活污水排入玻璃钢防渗化粪池（容积</w:t>
                  </w:r>
                  <w:r>
                    <w:rPr>
                      <w:color w:val="FF0000"/>
                      <w:spacing w:val="5"/>
                    </w:rPr>
                    <w:t>45m</w:t>
                  </w:r>
                  <w:r>
                    <w:rPr>
                      <w:color w:val="FF0000"/>
                      <w:spacing w:val="5"/>
                      <w:position w:val="10"/>
                      <w:sz w:val="10"/>
                      <w:szCs w:val="10"/>
                    </w:rPr>
                    <w:t>3</w:t>
                  </w:r>
                  <w:r>
                    <w:rPr>
                      <w:color w:val="FF0000"/>
                      <w:spacing w:val="5"/>
                    </w:rPr>
                    <w:t>）预处理后，定期清运至和硕县污</w:t>
                  </w:r>
                  <w:r>
                    <w:rPr>
                      <w:color w:val="FF0000"/>
                      <w:spacing w:val="4"/>
                    </w:rPr>
                    <w:t>水处理</w:t>
                  </w:r>
                  <w:r>
                    <w:rPr>
                      <w:color w:val="FF0000"/>
                      <w:spacing w:val="5"/>
                    </w:rPr>
                    <w:t>厂处理</w:t>
                  </w:r>
                </w:p>
              </w:tc>
              <w:tc>
                <w:tcPr>
                  <w:tcW w:w="1838" w:type="dxa"/>
                  <w:shd w:val="clear" w:color="auto" w:fill="auto"/>
                  <w:noWrap w:val="0"/>
                  <w:vAlign w:val="center"/>
                </w:tcPr>
                <w:p w14:paraId="2B6DF8BB">
                  <w:pPr>
                    <w:keepNext w:val="0"/>
                    <w:keepLines w:val="0"/>
                    <w:suppressLineNumbers w:val="0"/>
                    <w:spacing w:before="0" w:beforeAutospacing="0" w:after="0" w:afterAutospacing="0"/>
                    <w:ind w:left="0" w:leftChars="0" w:right="0" w:rightChars="0"/>
                    <w:jc w:val="center"/>
                    <w:rPr>
                      <w:rFonts w:hint="eastAsia" w:cs="Times New Roman"/>
                      <w:color w:val="FF0000"/>
                      <w:sz w:val="21"/>
                      <w:szCs w:val="21"/>
                      <w:lang w:val="en-US" w:eastAsia="zh-CN"/>
                    </w:rPr>
                  </w:pPr>
                  <w:r>
                    <w:rPr>
                      <w:rFonts w:hint="eastAsia" w:cs="Times New Roman"/>
                      <w:color w:val="FF0000"/>
                      <w:sz w:val="21"/>
                      <w:szCs w:val="21"/>
                      <w:lang w:val="en-US" w:eastAsia="zh-CN"/>
                    </w:rPr>
                    <w:t>2.</w:t>
                  </w:r>
                  <w:r>
                    <w:rPr>
                      <w:rFonts w:hint="eastAsia" w:ascii="Times New Roman" w:hAnsi="Times New Roman" w:cs="Times New Roman"/>
                      <w:color w:val="FF0000"/>
                      <w:sz w:val="21"/>
                      <w:szCs w:val="21"/>
                      <w:lang w:val="en-US" w:eastAsia="zh-CN"/>
                    </w:rPr>
                    <w:t>生活污水排入</w:t>
                  </w:r>
                  <w:r>
                    <w:rPr>
                      <w:rFonts w:hint="eastAsia" w:ascii="宋体" w:hAnsi="宋体" w:cs="宋体"/>
                      <w:color w:val="FF0000"/>
                      <w:szCs w:val="21"/>
                      <w:lang w:val="en-US" w:eastAsia="zh-CN"/>
                    </w:rPr>
                    <w:t>玻璃钢防渗化粪池（容积</w:t>
                  </w:r>
                  <w:r>
                    <w:rPr>
                      <w:rFonts w:hint="default" w:ascii="Times New Roman" w:hAnsi="Times New Roman" w:cs="Times New Roman"/>
                      <w:color w:val="FF0000"/>
                      <w:szCs w:val="21"/>
                      <w:lang w:val="en-US" w:eastAsia="zh-CN"/>
                    </w:rPr>
                    <w:t>45m</w:t>
                  </w:r>
                  <w:r>
                    <w:rPr>
                      <w:rFonts w:hint="default" w:ascii="Times New Roman" w:hAnsi="Times New Roman" w:cs="Times New Roman"/>
                      <w:color w:val="FF0000"/>
                      <w:szCs w:val="21"/>
                      <w:vertAlign w:val="superscript"/>
                      <w:lang w:val="en-US" w:eastAsia="zh-CN"/>
                    </w:rPr>
                    <w:t>3</w:t>
                  </w:r>
                  <w:r>
                    <w:rPr>
                      <w:rFonts w:hint="eastAsia" w:ascii="宋体" w:hAnsi="宋体" w:cs="宋体"/>
                      <w:color w:val="FF0000"/>
                      <w:szCs w:val="21"/>
                      <w:lang w:val="en-US" w:eastAsia="zh-CN"/>
                    </w:rPr>
                    <w:t>）预处理后</w:t>
                  </w:r>
                  <w:r>
                    <w:rPr>
                      <w:rFonts w:hint="eastAsia" w:ascii="Times New Roman" w:hAnsi="Times New Roman" w:cs="Times New Roman"/>
                      <w:color w:val="FF0000"/>
                      <w:sz w:val="21"/>
                      <w:szCs w:val="21"/>
                      <w:lang w:val="en-US" w:eastAsia="zh-CN"/>
                    </w:rPr>
                    <w:t>，定期清运至和硕县污水处理厂处理</w:t>
                  </w:r>
                </w:p>
              </w:tc>
              <w:tc>
                <w:tcPr>
                  <w:tcW w:w="1031" w:type="dxa"/>
                  <w:noWrap w:val="0"/>
                  <w:vAlign w:val="center"/>
                </w:tcPr>
                <w:p w14:paraId="7ECCE46E">
                  <w:pPr>
                    <w:keepNext w:val="0"/>
                    <w:keepLines w:val="0"/>
                    <w:suppressLineNumbers w:val="0"/>
                    <w:spacing w:before="0" w:beforeAutospacing="0" w:after="0" w:afterAutospacing="0"/>
                    <w:ind w:left="0" w:leftChars="0" w:right="0" w:rightChars="0"/>
                    <w:jc w:val="center"/>
                    <w:rPr>
                      <w:rFonts w:hint="eastAsia" w:cs="Times New Roman"/>
                      <w:color w:val="FF0000"/>
                      <w:sz w:val="21"/>
                      <w:szCs w:val="21"/>
                      <w:lang w:val="en-US" w:eastAsia="zh-CN"/>
                    </w:rPr>
                  </w:pPr>
                  <w:r>
                    <w:rPr>
                      <w:rFonts w:hint="eastAsia" w:cs="Times New Roman"/>
                      <w:color w:val="FF0000"/>
                      <w:lang w:val="en-US" w:eastAsia="zh-CN"/>
                    </w:rPr>
                    <w:t>无变化</w:t>
                  </w:r>
                </w:p>
              </w:tc>
              <w:tc>
                <w:tcPr>
                  <w:tcW w:w="768" w:type="dxa"/>
                  <w:noWrap w:val="0"/>
                  <w:vAlign w:val="center"/>
                </w:tcPr>
                <w:p w14:paraId="0D775AD3">
                  <w:pPr>
                    <w:pStyle w:val="2"/>
                    <w:ind w:left="0" w:leftChars="0" w:firstLine="0" w:firstLineChars="0"/>
                    <w:jc w:val="center"/>
                    <w:rPr>
                      <w:rFonts w:hint="eastAsia" w:cs="Times New Roman"/>
                      <w:color w:val="FF0000"/>
                      <w:sz w:val="21"/>
                      <w:szCs w:val="21"/>
                      <w:lang w:val="en-US" w:eastAsia="zh-CN"/>
                    </w:rPr>
                  </w:pPr>
                  <w:r>
                    <w:rPr>
                      <w:rFonts w:hint="eastAsia"/>
                      <w:color w:val="FF0000"/>
                      <w:lang w:val="en-US" w:eastAsia="zh-CN"/>
                    </w:rPr>
                    <w:t>新建</w:t>
                  </w:r>
                </w:p>
              </w:tc>
            </w:tr>
            <w:tr w14:paraId="285FBB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422" w:type="pct"/>
                  <w:vMerge w:val="continue"/>
                  <w:noWrap w:val="0"/>
                  <w:vAlign w:val="center"/>
                </w:tcPr>
                <w:p w14:paraId="385AD10F">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p>
              </w:tc>
              <w:tc>
                <w:tcPr>
                  <w:tcW w:w="1071" w:type="pct"/>
                  <w:gridSpan w:val="2"/>
                  <w:noWrap w:val="0"/>
                  <w:vAlign w:val="center"/>
                </w:tcPr>
                <w:p w14:paraId="4198C186">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color w:val="auto"/>
                    </w:rPr>
                    <w:t>噪声</w:t>
                  </w:r>
                </w:p>
              </w:tc>
              <w:tc>
                <w:tcPr>
                  <w:tcW w:w="1213" w:type="pct"/>
                  <w:noWrap w:val="0"/>
                  <w:vAlign w:val="center"/>
                </w:tcPr>
                <w:p w14:paraId="40CBAE91">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color w:val="auto"/>
                    </w:rPr>
                    <w:t>设备设置减震垫、进行减震基础</w:t>
                  </w:r>
                </w:p>
              </w:tc>
              <w:tc>
                <w:tcPr>
                  <w:tcW w:w="1158" w:type="pct"/>
                  <w:shd w:val="clear" w:color="auto" w:fill="auto"/>
                  <w:noWrap w:val="0"/>
                  <w:vAlign w:val="center"/>
                </w:tcPr>
                <w:p w14:paraId="3057C13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rPr>
                    <w:t>设备设置减震垫、进行减震基础</w:t>
                  </w:r>
                </w:p>
              </w:tc>
              <w:tc>
                <w:tcPr>
                  <w:tcW w:w="649" w:type="pct"/>
                  <w:noWrap w:val="0"/>
                  <w:vAlign w:val="center"/>
                </w:tcPr>
                <w:p w14:paraId="4DBCA66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rPr>
                  </w:pPr>
                  <w:r>
                    <w:rPr>
                      <w:rFonts w:hint="eastAsia" w:cs="Times New Roman"/>
                      <w:color w:val="auto"/>
                      <w:lang w:val="en-US" w:eastAsia="zh-CN"/>
                    </w:rPr>
                    <w:t>无变化</w:t>
                  </w:r>
                </w:p>
              </w:tc>
              <w:tc>
                <w:tcPr>
                  <w:tcW w:w="483" w:type="pct"/>
                  <w:noWrap w:val="0"/>
                  <w:vAlign w:val="center"/>
                </w:tcPr>
                <w:p w14:paraId="073D21E3">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color w:val="auto"/>
                    </w:rPr>
                    <w:t>/</w:t>
                  </w:r>
                </w:p>
              </w:tc>
            </w:tr>
            <w:tr w14:paraId="524CD2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422" w:type="pct"/>
                  <w:vMerge w:val="restart"/>
                  <w:noWrap w:val="0"/>
                  <w:vAlign w:val="center"/>
                </w:tcPr>
                <w:p w14:paraId="41093D5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eastAsia" w:cs="Times New Roman"/>
                      <w:color w:val="auto"/>
                      <w:lang w:val="en-US" w:eastAsia="zh-CN"/>
                    </w:rPr>
                    <w:t>依托工程</w:t>
                  </w:r>
                </w:p>
              </w:tc>
              <w:tc>
                <w:tcPr>
                  <w:tcW w:w="406" w:type="pct"/>
                  <w:vMerge w:val="restart"/>
                  <w:noWrap w:val="0"/>
                  <w:vAlign w:val="center"/>
                </w:tcPr>
                <w:p w14:paraId="761516A5">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color w:val="auto"/>
                    </w:rPr>
                    <w:t>辅助</w:t>
                  </w:r>
                </w:p>
                <w:p w14:paraId="58D69F0F">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rPr>
                  </w:pPr>
                  <w:r>
                    <w:rPr>
                      <w:rFonts w:hint="eastAsia" w:ascii="Times New Roman" w:hAnsi="Times New Roman" w:cs="Times New Roman"/>
                      <w:color w:val="auto"/>
                    </w:rPr>
                    <w:t>工程</w:t>
                  </w:r>
                </w:p>
              </w:tc>
              <w:tc>
                <w:tcPr>
                  <w:tcW w:w="665" w:type="pct"/>
                  <w:noWrap w:val="0"/>
                  <w:vAlign w:val="center"/>
                </w:tcPr>
                <w:p w14:paraId="4AF9C307">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rPr>
                  </w:pPr>
                  <w:r>
                    <w:rPr>
                      <w:rFonts w:hint="eastAsia" w:ascii="Times New Roman" w:hAnsi="Times New Roman" w:cs="Times New Roman"/>
                      <w:color w:val="auto"/>
                    </w:rPr>
                    <w:t>办公楼</w:t>
                  </w:r>
                </w:p>
              </w:tc>
              <w:tc>
                <w:tcPr>
                  <w:tcW w:w="3021" w:type="pct"/>
                  <w:gridSpan w:val="3"/>
                  <w:shd w:val="clear" w:color="auto" w:fill="auto"/>
                  <w:noWrap w:val="0"/>
                  <w:vAlign w:val="center"/>
                </w:tcPr>
                <w:p w14:paraId="66F21B2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rPr>
                  </w:pPr>
                  <w:r>
                    <w:rPr>
                      <w:rFonts w:hint="default" w:ascii="Times New Roman" w:hAnsi="Times New Roman" w:cs="Times New Roman"/>
                      <w:color w:val="auto"/>
                    </w:rPr>
                    <w:t>3F</w:t>
                  </w:r>
                  <w:r>
                    <w:rPr>
                      <w:rFonts w:hint="eastAsia" w:cs="Times New Roman"/>
                      <w:color w:val="auto"/>
                      <w:lang w:eastAsia="zh-CN"/>
                    </w:rPr>
                    <w:t>，</w:t>
                  </w:r>
                  <w:r>
                    <w:rPr>
                      <w:rFonts w:hint="eastAsia" w:cs="Times New Roman"/>
                      <w:color w:val="auto"/>
                      <w:lang w:val="en-US" w:eastAsia="zh-CN"/>
                    </w:rPr>
                    <w:t>砖混结构，3035.51</w:t>
                  </w:r>
                  <w:r>
                    <w:rPr>
                      <w:rFonts w:hint="default" w:ascii="Times New Roman" w:hAnsi="Times New Roman" w:cs="Times New Roman"/>
                      <w:color w:val="auto"/>
                    </w:rPr>
                    <w:t>m</w:t>
                  </w:r>
                  <w:r>
                    <w:rPr>
                      <w:rFonts w:hint="default" w:ascii="Times New Roman" w:hAnsi="Times New Roman" w:cs="Times New Roman"/>
                      <w:color w:val="auto"/>
                      <w:vertAlign w:val="superscript"/>
                      <w:lang w:val="en-US" w:eastAsia="zh-CN"/>
                    </w:rPr>
                    <w:t>2</w:t>
                  </w:r>
                </w:p>
              </w:tc>
              <w:tc>
                <w:tcPr>
                  <w:tcW w:w="483" w:type="pct"/>
                  <w:noWrap w:val="0"/>
                  <w:vAlign w:val="center"/>
                </w:tcPr>
                <w:p w14:paraId="3FFEBE4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eastAsia" w:cs="Times New Roman"/>
                      <w:color w:val="auto"/>
                      <w:lang w:val="en-US" w:eastAsia="zh-CN"/>
                    </w:rPr>
                    <w:t>依托现有</w:t>
                  </w:r>
                </w:p>
              </w:tc>
            </w:tr>
            <w:tr w14:paraId="75635C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422" w:type="pct"/>
                  <w:vMerge w:val="continue"/>
                  <w:noWrap w:val="0"/>
                  <w:vAlign w:val="center"/>
                </w:tcPr>
                <w:p w14:paraId="1DEA2D71">
                  <w:pPr>
                    <w:keepNext w:val="0"/>
                    <w:keepLines w:val="0"/>
                    <w:suppressLineNumbers w:val="0"/>
                    <w:spacing w:before="0" w:beforeAutospacing="0" w:after="0" w:afterAutospacing="0"/>
                    <w:ind w:left="0" w:right="0"/>
                    <w:jc w:val="center"/>
                    <w:rPr>
                      <w:rFonts w:hint="eastAsia" w:cs="Times New Roman"/>
                      <w:color w:val="auto"/>
                      <w:lang w:val="en-US" w:eastAsia="zh-CN"/>
                    </w:rPr>
                  </w:pPr>
                </w:p>
              </w:tc>
              <w:tc>
                <w:tcPr>
                  <w:tcW w:w="406" w:type="pct"/>
                  <w:vMerge w:val="continue"/>
                  <w:noWrap w:val="0"/>
                  <w:vAlign w:val="center"/>
                </w:tcPr>
                <w:p w14:paraId="23E38729">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rPr>
                  </w:pPr>
                </w:p>
              </w:tc>
              <w:tc>
                <w:tcPr>
                  <w:tcW w:w="665" w:type="pct"/>
                  <w:noWrap w:val="0"/>
                  <w:vAlign w:val="center"/>
                </w:tcPr>
                <w:p w14:paraId="56B223D6">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食宿楼</w:t>
                  </w:r>
                </w:p>
              </w:tc>
              <w:tc>
                <w:tcPr>
                  <w:tcW w:w="3021" w:type="pct"/>
                  <w:gridSpan w:val="3"/>
                  <w:shd w:val="clear" w:color="auto" w:fill="auto"/>
                  <w:noWrap w:val="0"/>
                  <w:vAlign w:val="center"/>
                </w:tcPr>
                <w:p w14:paraId="5FEC469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rPr>
                  </w:pPr>
                  <w:r>
                    <w:rPr>
                      <w:rFonts w:hint="default" w:ascii="Times New Roman" w:hAnsi="Times New Roman" w:cs="Times New Roman"/>
                      <w:color w:val="auto"/>
                    </w:rPr>
                    <w:t>3F</w:t>
                  </w:r>
                  <w:r>
                    <w:rPr>
                      <w:rFonts w:hint="eastAsia" w:cs="Times New Roman"/>
                      <w:color w:val="auto"/>
                      <w:lang w:eastAsia="zh-CN"/>
                    </w:rPr>
                    <w:t>，</w:t>
                  </w:r>
                  <w:r>
                    <w:rPr>
                      <w:rFonts w:hint="eastAsia" w:cs="Times New Roman"/>
                      <w:color w:val="auto"/>
                      <w:lang w:val="en-US" w:eastAsia="zh-CN"/>
                    </w:rPr>
                    <w:t>砖混结构，545.58</w:t>
                  </w:r>
                  <w:r>
                    <w:rPr>
                      <w:rFonts w:hint="default" w:ascii="Times New Roman" w:hAnsi="Times New Roman" w:cs="Times New Roman"/>
                      <w:color w:val="auto"/>
                    </w:rPr>
                    <w:t>m</w:t>
                  </w:r>
                  <w:r>
                    <w:rPr>
                      <w:rFonts w:hint="default" w:ascii="Times New Roman" w:hAnsi="Times New Roman" w:cs="Times New Roman"/>
                      <w:color w:val="auto"/>
                      <w:vertAlign w:val="superscript"/>
                      <w:lang w:val="en-US" w:eastAsia="zh-CN"/>
                    </w:rPr>
                    <w:t>2</w:t>
                  </w:r>
                </w:p>
              </w:tc>
              <w:tc>
                <w:tcPr>
                  <w:tcW w:w="483" w:type="pct"/>
                  <w:noWrap w:val="0"/>
                  <w:vAlign w:val="center"/>
                </w:tcPr>
                <w:p w14:paraId="7E02EFF2">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cs="Times New Roman"/>
                      <w:color w:val="auto"/>
                      <w:lang w:val="en-US" w:eastAsia="zh-CN"/>
                    </w:rPr>
                    <w:t>依托现有</w:t>
                  </w:r>
                </w:p>
              </w:tc>
            </w:tr>
            <w:tr w14:paraId="328115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422" w:type="pct"/>
                  <w:vMerge w:val="continue"/>
                  <w:noWrap w:val="0"/>
                  <w:vAlign w:val="center"/>
                </w:tcPr>
                <w:p w14:paraId="2FA339F7">
                  <w:pPr>
                    <w:keepNext w:val="0"/>
                    <w:keepLines w:val="0"/>
                    <w:suppressLineNumbers w:val="0"/>
                    <w:spacing w:before="0" w:beforeAutospacing="0" w:after="0" w:afterAutospacing="0"/>
                    <w:ind w:left="0" w:right="0"/>
                    <w:jc w:val="center"/>
                    <w:rPr>
                      <w:rFonts w:hint="eastAsia" w:cs="Times New Roman"/>
                      <w:color w:val="auto"/>
                      <w:lang w:val="en-US" w:eastAsia="zh-CN"/>
                    </w:rPr>
                  </w:pPr>
                </w:p>
              </w:tc>
              <w:tc>
                <w:tcPr>
                  <w:tcW w:w="406" w:type="pct"/>
                  <w:vMerge w:val="continue"/>
                  <w:noWrap w:val="0"/>
                  <w:vAlign w:val="center"/>
                </w:tcPr>
                <w:p w14:paraId="4384841B">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rPr>
                  </w:pPr>
                </w:p>
              </w:tc>
              <w:tc>
                <w:tcPr>
                  <w:tcW w:w="665" w:type="pct"/>
                  <w:noWrap w:val="0"/>
                  <w:vAlign w:val="center"/>
                </w:tcPr>
                <w:p w14:paraId="42672901">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rPr>
                  </w:pPr>
                  <w:r>
                    <w:rPr>
                      <w:rFonts w:hint="eastAsia" w:ascii="Times New Roman" w:hAnsi="Times New Roman" w:cs="Times New Roman"/>
                      <w:color w:val="auto"/>
                    </w:rPr>
                    <w:t>警卫室</w:t>
                  </w:r>
                </w:p>
              </w:tc>
              <w:tc>
                <w:tcPr>
                  <w:tcW w:w="3021" w:type="pct"/>
                  <w:gridSpan w:val="3"/>
                  <w:shd w:val="clear" w:color="auto" w:fill="auto"/>
                  <w:noWrap w:val="0"/>
                  <w:vAlign w:val="center"/>
                </w:tcPr>
                <w:p w14:paraId="2C1C2295">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1</w:t>
                  </w:r>
                  <w:r>
                    <w:rPr>
                      <w:rFonts w:hint="default" w:ascii="Times New Roman" w:hAnsi="Times New Roman" w:cs="Times New Roman"/>
                      <w:color w:val="auto"/>
                    </w:rPr>
                    <w:t>F</w:t>
                  </w:r>
                  <w:r>
                    <w:rPr>
                      <w:rFonts w:hint="eastAsia" w:cs="Times New Roman"/>
                      <w:color w:val="auto"/>
                      <w:lang w:eastAsia="zh-CN"/>
                    </w:rPr>
                    <w:t>，</w:t>
                  </w:r>
                  <w:r>
                    <w:rPr>
                      <w:rFonts w:hint="eastAsia" w:cs="Times New Roman"/>
                      <w:color w:val="auto"/>
                      <w:lang w:val="en-US" w:eastAsia="zh-CN"/>
                    </w:rPr>
                    <w:t>砖混结构，80</w:t>
                  </w:r>
                  <w:r>
                    <w:rPr>
                      <w:rFonts w:hint="default" w:ascii="Times New Roman" w:hAnsi="Times New Roman" w:cs="Times New Roman"/>
                      <w:color w:val="auto"/>
                    </w:rPr>
                    <w:t>m</w:t>
                  </w:r>
                  <w:r>
                    <w:rPr>
                      <w:rFonts w:hint="default" w:ascii="Times New Roman" w:hAnsi="Times New Roman" w:cs="Times New Roman"/>
                      <w:color w:val="auto"/>
                      <w:vertAlign w:val="superscript"/>
                    </w:rPr>
                    <w:t>2</w:t>
                  </w:r>
                </w:p>
              </w:tc>
              <w:tc>
                <w:tcPr>
                  <w:tcW w:w="483" w:type="pct"/>
                  <w:noWrap w:val="0"/>
                  <w:vAlign w:val="center"/>
                </w:tcPr>
                <w:p w14:paraId="03607788">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cs="Times New Roman"/>
                      <w:color w:val="auto"/>
                      <w:lang w:val="en-US" w:eastAsia="zh-CN"/>
                    </w:rPr>
                    <w:t>依托现有</w:t>
                  </w:r>
                </w:p>
              </w:tc>
            </w:tr>
            <w:tr w14:paraId="61E1B8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422" w:type="pct"/>
                  <w:vMerge w:val="continue"/>
                  <w:noWrap w:val="0"/>
                  <w:vAlign w:val="center"/>
                </w:tcPr>
                <w:p w14:paraId="77E51216">
                  <w:pPr>
                    <w:keepNext w:val="0"/>
                    <w:keepLines w:val="0"/>
                    <w:suppressLineNumbers w:val="0"/>
                    <w:spacing w:before="0" w:beforeAutospacing="0" w:after="0" w:afterAutospacing="0"/>
                    <w:ind w:left="0" w:right="0"/>
                    <w:jc w:val="center"/>
                    <w:rPr>
                      <w:rFonts w:hint="eastAsia" w:cs="Times New Roman"/>
                      <w:color w:val="auto"/>
                      <w:lang w:val="en-US" w:eastAsia="zh-CN"/>
                    </w:rPr>
                  </w:pPr>
                </w:p>
              </w:tc>
              <w:tc>
                <w:tcPr>
                  <w:tcW w:w="406" w:type="pct"/>
                  <w:vMerge w:val="continue"/>
                  <w:noWrap w:val="0"/>
                  <w:vAlign w:val="center"/>
                </w:tcPr>
                <w:p w14:paraId="101A5244">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rPr>
                  </w:pPr>
                </w:p>
              </w:tc>
              <w:tc>
                <w:tcPr>
                  <w:tcW w:w="665" w:type="pct"/>
                  <w:noWrap w:val="0"/>
                  <w:vAlign w:val="center"/>
                </w:tcPr>
                <w:p w14:paraId="1D588C88">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循环水池</w:t>
                  </w:r>
                </w:p>
              </w:tc>
              <w:tc>
                <w:tcPr>
                  <w:tcW w:w="3021" w:type="pct"/>
                  <w:gridSpan w:val="3"/>
                  <w:shd w:val="clear" w:color="auto" w:fill="auto"/>
                  <w:noWrap w:val="0"/>
                  <w:vAlign w:val="center"/>
                </w:tcPr>
                <w:p w14:paraId="2A8C0EFE">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20m</w:t>
                  </w:r>
                  <w:r>
                    <w:rPr>
                      <w:rFonts w:hint="eastAsia" w:cs="Times New Roman"/>
                      <w:color w:val="auto"/>
                      <w:vertAlign w:val="superscript"/>
                      <w:lang w:val="en-US" w:eastAsia="zh-CN"/>
                    </w:rPr>
                    <w:t>3</w:t>
                  </w:r>
                </w:p>
              </w:tc>
              <w:tc>
                <w:tcPr>
                  <w:tcW w:w="483" w:type="pct"/>
                  <w:noWrap w:val="0"/>
                  <w:vAlign w:val="center"/>
                </w:tcPr>
                <w:p w14:paraId="76824997">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cs="Times New Roman"/>
                      <w:color w:val="auto"/>
                      <w:lang w:val="en-US" w:eastAsia="zh-CN"/>
                    </w:rPr>
                    <w:t>依托现有</w:t>
                  </w:r>
                </w:p>
              </w:tc>
            </w:tr>
            <w:tr w14:paraId="1F7778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422" w:type="pct"/>
                  <w:vMerge w:val="continue"/>
                  <w:noWrap w:val="0"/>
                  <w:vAlign w:val="center"/>
                </w:tcPr>
                <w:p w14:paraId="45F7C0CA">
                  <w:pPr>
                    <w:keepNext w:val="0"/>
                    <w:keepLines w:val="0"/>
                    <w:suppressLineNumbers w:val="0"/>
                    <w:spacing w:before="0" w:beforeAutospacing="0" w:after="0" w:afterAutospacing="0"/>
                    <w:ind w:left="0" w:right="0"/>
                    <w:jc w:val="center"/>
                    <w:rPr>
                      <w:rFonts w:hint="eastAsia" w:cs="Times New Roman"/>
                      <w:color w:val="auto"/>
                      <w:lang w:val="en-US" w:eastAsia="zh-CN"/>
                    </w:rPr>
                  </w:pPr>
                </w:p>
              </w:tc>
              <w:tc>
                <w:tcPr>
                  <w:tcW w:w="406" w:type="pct"/>
                  <w:vMerge w:val="continue"/>
                  <w:noWrap w:val="0"/>
                  <w:vAlign w:val="center"/>
                </w:tcPr>
                <w:p w14:paraId="425F7232">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rPr>
                  </w:pPr>
                </w:p>
              </w:tc>
              <w:tc>
                <w:tcPr>
                  <w:tcW w:w="665" w:type="pct"/>
                  <w:noWrap w:val="0"/>
                  <w:vAlign w:val="center"/>
                </w:tcPr>
                <w:p w14:paraId="54415828">
                  <w:pPr>
                    <w:keepNext w:val="0"/>
                    <w:keepLines w:val="0"/>
                    <w:suppressLineNumbers w:val="0"/>
                    <w:spacing w:before="0" w:beforeAutospacing="0" w:after="0" w:afterAutospacing="0"/>
                    <w:ind w:left="0" w:leftChars="0" w:right="0" w:rightChars="0"/>
                    <w:jc w:val="center"/>
                    <w:rPr>
                      <w:rFonts w:hint="default" w:cs="Times New Roman"/>
                      <w:color w:val="auto"/>
                      <w:lang w:val="en-US" w:eastAsia="zh-CN"/>
                    </w:rPr>
                  </w:pPr>
                  <w:r>
                    <w:rPr>
                      <w:rFonts w:hint="eastAsia" w:cs="Times New Roman"/>
                      <w:color w:val="auto"/>
                      <w:lang w:val="en-US" w:eastAsia="zh-CN"/>
                    </w:rPr>
                    <w:t>沉淀池</w:t>
                  </w:r>
                </w:p>
              </w:tc>
              <w:tc>
                <w:tcPr>
                  <w:tcW w:w="3021" w:type="pct"/>
                  <w:gridSpan w:val="3"/>
                  <w:shd w:val="clear" w:color="auto" w:fill="auto"/>
                  <w:noWrap w:val="0"/>
                  <w:vAlign w:val="center"/>
                </w:tcPr>
                <w:p w14:paraId="3D3D1E5B">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13m</w:t>
                  </w:r>
                  <w:r>
                    <w:rPr>
                      <w:rFonts w:hint="eastAsia" w:cs="Times New Roman"/>
                      <w:color w:val="auto"/>
                      <w:vertAlign w:val="superscript"/>
                      <w:lang w:val="en-US" w:eastAsia="zh-CN"/>
                    </w:rPr>
                    <w:t>3</w:t>
                  </w:r>
                </w:p>
              </w:tc>
              <w:tc>
                <w:tcPr>
                  <w:tcW w:w="483" w:type="pct"/>
                  <w:noWrap w:val="0"/>
                  <w:vAlign w:val="center"/>
                </w:tcPr>
                <w:p w14:paraId="003154C3">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cs="Times New Roman"/>
                      <w:color w:val="auto"/>
                      <w:lang w:val="en-US" w:eastAsia="zh-CN"/>
                    </w:rPr>
                    <w:t>依托现有</w:t>
                  </w:r>
                </w:p>
              </w:tc>
            </w:tr>
            <w:tr w14:paraId="2F1B71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422" w:type="pct"/>
                  <w:vMerge w:val="continue"/>
                  <w:noWrap w:val="0"/>
                  <w:vAlign w:val="center"/>
                </w:tcPr>
                <w:p w14:paraId="19A98F7E">
                  <w:pPr>
                    <w:keepNext w:val="0"/>
                    <w:keepLines w:val="0"/>
                    <w:suppressLineNumbers w:val="0"/>
                    <w:spacing w:before="0" w:beforeAutospacing="0" w:after="0" w:afterAutospacing="0"/>
                    <w:ind w:left="0" w:right="0"/>
                    <w:jc w:val="center"/>
                    <w:rPr>
                      <w:rFonts w:hint="eastAsia" w:cs="Times New Roman"/>
                      <w:color w:val="auto"/>
                      <w:lang w:val="en-US" w:eastAsia="zh-CN"/>
                    </w:rPr>
                  </w:pPr>
                </w:p>
              </w:tc>
              <w:tc>
                <w:tcPr>
                  <w:tcW w:w="406" w:type="pct"/>
                  <w:noWrap w:val="0"/>
                  <w:vAlign w:val="center"/>
                </w:tcPr>
                <w:p w14:paraId="06A5AA8A">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rPr>
                  </w:pPr>
                  <w:r>
                    <w:rPr>
                      <w:rFonts w:hint="eastAsia" w:cs="Times New Roman"/>
                      <w:color w:val="auto"/>
                      <w:lang w:val="en-US" w:eastAsia="zh-CN"/>
                    </w:rPr>
                    <w:t>储运工程</w:t>
                  </w:r>
                </w:p>
              </w:tc>
              <w:tc>
                <w:tcPr>
                  <w:tcW w:w="665" w:type="pct"/>
                  <w:noWrap w:val="0"/>
                  <w:vAlign w:val="center"/>
                </w:tcPr>
                <w:p w14:paraId="25F8D07B">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成品库房</w:t>
                  </w:r>
                </w:p>
              </w:tc>
              <w:tc>
                <w:tcPr>
                  <w:tcW w:w="3021" w:type="pct"/>
                  <w:gridSpan w:val="3"/>
                  <w:shd w:val="clear" w:color="auto" w:fill="auto"/>
                  <w:noWrap w:val="0"/>
                  <w:vAlign w:val="center"/>
                </w:tcPr>
                <w:p w14:paraId="2A2F50E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1F</w:t>
                  </w:r>
                  <w:r>
                    <w:rPr>
                      <w:rFonts w:hint="eastAsia" w:cs="Times New Roman"/>
                      <w:color w:val="auto"/>
                      <w:lang w:val="en-US" w:eastAsia="zh-CN"/>
                    </w:rPr>
                    <w:t>，19032.63</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eastAsia" w:cs="Times New Roman"/>
                      <w:color w:val="auto"/>
                      <w:vertAlign w:val="baseline"/>
                      <w:lang w:eastAsia="zh-CN"/>
                    </w:rPr>
                    <w:t>（</w:t>
                  </w:r>
                  <w:r>
                    <w:rPr>
                      <w:rFonts w:hint="eastAsia" w:cs="Times New Roman"/>
                      <w:color w:val="auto"/>
                      <w:vertAlign w:val="baseline"/>
                      <w:lang w:val="en-US" w:eastAsia="zh-CN"/>
                    </w:rPr>
                    <w:t>1#车间</w:t>
                  </w:r>
                  <w:r>
                    <w:rPr>
                      <w:rFonts w:hint="eastAsia" w:cs="Times New Roman"/>
                      <w:color w:val="auto"/>
                      <w:vertAlign w:val="baseline"/>
                      <w:lang w:eastAsia="zh-CN"/>
                    </w:rPr>
                    <w:t>）</w:t>
                  </w:r>
                </w:p>
              </w:tc>
              <w:tc>
                <w:tcPr>
                  <w:tcW w:w="483" w:type="pct"/>
                  <w:noWrap w:val="0"/>
                  <w:vAlign w:val="center"/>
                </w:tcPr>
                <w:p w14:paraId="1BD9CE4B">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cs="Times New Roman"/>
                      <w:color w:val="auto"/>
                      <w:lang w:val="en-US" w:eastAsia="zh-CN"/>
                    </w:rPr>
                    <w:t>依托现有</w:t>
                  </w:r>
                </w:p>
              </w:tc>
            </w:tr>
            <w:tr w14:paraId="14754C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422" w:type="pct"/>
                  <w:vMerge w:val="continue"/>
                  <w:noWrap w:val="0"/>
                  <w:vAlign w:val="center"/>
                </w:tcPr>
                <w:p w14:paraId="12E6CC1F">
                  <w:pPr>
                    <w:keepNext w:val="0"/>
                    <w:keepLines w:val="0"/>
                    <w:suppressLineNumbers w:val="0"/>
                    <w:spacing w:before="0" w:beforeAutospacing="0" w:after="0" w:afterAutospacing="0"/>
                    <w:ind w:left="0" w:right="0"/>
                    <w:jc w:val="center"/>
                    <w:rPr>
                      <w:rFonts w:hint="eastAsia" w:cs="Times New Roman"/>
                      <w:color w:val="auto"/>
                      <w:lang w:val="en-US" w:eastAsia="zh-CN"/>
                    </w:rPr>
                  </w:pPr>
                </w:p>
              </w:tc>
              <w:tc>
                <w:tcPr>
                  <w:tcW w:w="1071" w:type="pct"/>
                  <w:gridSpan w:val="2"/>
                  <w:noWrap w:val="0"/>
                  <w:vAlign w:val="center"/>
                </w:tcPr>
                <w:p w14:paraId="455864EB">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rPr>
                  </w:pPr>
                  <w:r>
                    <w:rPr>
                      <w:rFonts w:hint="eastAsia" w:ascii="Times New Roman" w:hAnsi="Times New Roman" w:cs="Times New Roman"/>
                      <w:color w:val="auto"/>
                    </w:rPr>
                    <w:t>供配电设施</w:t>
                  </w:r>
                </w:p>
              </w:tc>
              <w:tc>
                <w:tcPr>
                  <w:tcW w:w="3021" w:type="pct"/>
                  <w:gridSpan w:val="3"/>
                  <w:noWrap w:val="0"/>
                  <w:vAlign w:val="center"/>
                </w:tcPr>
                <w:p w14:paraId="7E19208F">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rPr>
                  </w:pPr>
                  <w:r>
                    <w:rPr>
                      <w:rFonts w:hint="eastAsia" w:ascii="Times New Roman" w:hAnsi="Times New Roman" w:cs="Times New Roman"/>
                      <w:color w:val="auto"/>
                    </w:rPr>
                    <w:t>园区供电电网</w:t>
                  </w:r>
                </w:p>
              </w:tc>
              <w:tc>
                <w:tcPr>
                  <w:tcW w:w="483" w:type="pct"/>
                  <w:noWrap w:val="0"/>
                  <w:vAlign w:val="center"/>
                </w:tcPr>
                <w:p w14:paraId="0D0BF012">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cs="Times New Roman"/>
                      <w:color w:val="auto"/>
                      <w:lang w:val="en-US" w:eastAsia="zh-CN"/>
                    </w:rPr>
                    <w:t>依托现有</w:t>
                  </w:r>
                </w:p>
              </w:tc>
            </w:tr>
            <w:tr w14:paraId="35BF54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422" w:type="pct"/>
                  <w:vMerge w:val="continue"/>
                  <w:noWrap w:val="0"/>
                  <w:vAlign w:val="center"/>
                </w:tcPr>
                <w:p w14:paraId="09354D3F">
                  <w:pPr>
                    <w:keepNext w:val="0"/>
                    <w:keepLines w:val="0"/>
                    <w:suppressLineNumbers w:val="0"/>
                    <w:spacing w:before="0" w:beforeAutospacing="0" w:after="0" w:afterAutospacing="0"/>
                    <w:ind w:left="0" w:right="0"/>
                    <w:jc w:val="center"/>
                    <w:rPr>
                      <w:rFonts w:hint="eastAsia" w:cs="Times New Roman"/>
                      <w:color w:val="auto"/>
                      <w:lang w:val="en-US" w:eastAsia="zh-CN"/>
                    </w:rPr>
                  </w:pPr>
                </w:p>
              </w:tc>
              <w:tc>
                <w:tcPr>
                  <w:tcW w:w="1071" w:type="pct"/>
                  <w:gridSpan w:val="2"/>
                  <w:noWrap w:val="0"/>
                  <w:vAlign w:val="center"/>
                </w:tcPr>
                <w:p w14:paraId="09E0AEC6">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ascii="Times New Roman" w:hAnsi="Times New Roman" w:cs="Times New Roman"/>
                      <w:color w:val="auto"/>
                    </w:rPr>
                    <w:t>供水设施</w:t>
                  </w:r>
                </w:p>
              </w:tc>
              <w:tc>
                <w:tcPr>
                  <w:tcW w:w="3021" w:type="pct"/>
                  <w:gridSpan w:val="3"/>
                  <w:noWrap w:val="0"/>
                  <w:vAlign w:val="center"/>
                </w:tcPr>
                <w:p w14:paraId="01855F3B">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rPr>
                  </w:pPr>
                  <w:r>
                    <w:rPr>
                      <w:rFonts w:hint="eastAsia" w:ascii="Times New Roman" w:hAnsi="Times New Roman" w:cs="Times New Roman"/>
                      <w:color w:val="auto"/>
                    </w:rPr>
                    <w:t>园区给水管网供给</w:t>
                  </w:r>
                </w:p>
              </w:tc>
              <w:tc>
                <w:tcPr>
                  <w:tcW w:w="483" w:type="pct"/>
                  <w:noWrap w:val="0"/>
                  <w:vAlign w:val="center"/>
                </w:tcPr>
                <w:p w14:paraId="1B669B0F">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cs="Times New Roman"/>
                      <w:color w:val="auto"/>
                      <w:lang w:val="en-US" w:eastAsia="zh-CN"/>
                    </w:rPr>
                    <w:t>依托现有</w:t>
                  </w:r>
                </w:p>
              </w:tc>
            </w:tr>
            <w:tr w14:paraId="2D2FA1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422" w:type="pct"/>
                  <w:vMerge w:val="continue"/>
                  <w:noWrap w:val="0"/>
                  <w:vAlign w:val="center"/>
                </w:tcPr>
                <w:p w14:paraId="4963FA96">
                  <w:pPr>
                    <w:keepNext w:val="0"/>
                    <w:keepLines w:val="0"/>
                    <w:suppressLineNumbers w:val="0"/>
                    <w:spacing w:before="0" w:beforeAutospacing="0" w:after="0" w:afterAutospacing="0"/>
                    <w:ind w:left="0" w:right="0"/>
                    <w:jc w:val="center"/>
                    <w:rPr>
                      <w:rFonts w:hint="eastAsia" w:cs="Times New Roman"/>
                      <w:color w:val="auto"/>
                      <w:lang w:val="en-US" w:eastAsia="zh-CN"/>
                    </w:rPr>
                  </w:pPr>
                </w:p>
              </w:tc>
              <w:tc>
                <w:tcPr>
                  <w:tcW w:w="1071" w:type="pct"/>
                  <w:gridSpan w:val="2"/>
                  <w:noWrap w:val="0"/>
                  <w:vAlign w:val="center"/>
                </w:tcPr>
                <w:p w14:paraId="57FBD59A">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rPr>
                  </w:pPr>
                  <w:r>
                    <w:rPr>
                      <w:rFonts w:hint="eastAsia" w:ascii="Times New Roman" w:hAnsi="Times New Roman" w:cs="Times New Roman"/>
                      <w:color w:val="auto"/>
                    </w:rPr>
                    <w:t>供暖设施</w:t>
                  </w:r>
                </w:p>
              </w:tc>
              <w:tc>
                <w:tcPr>
                  <w:tcW w:w="3021" w:type="pct"/>
                  <w:gridSpan w:val="3"/>
                  <w:noWrap w:val="0"/>
                  <w:vAlign w:val="center"/>
                </w:tcPr>
                <w:p w14:paraId="7EEA8ED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rPr>
                  </w:pPr>
                  <w:r>
                    <w:rPr>
                      <w:rFonts w:hint="eastAsia" w:ascii="Times New Roman" w:hAnsi="Times New Roman" w:cs="Times New Roman"/>
                      <w:color w:val="auto"/>
                    </w:rPr>
                    <w:t>本项目冬季采用电采暖</w:t>
                  </w:r>
                </w:p>
              </w:tc>
              <w:tc>
                <w:tcPr>
                  <w:tcW w:w="483" w:type="pct"/>
                  <w:noWrap w:val="0"/>
                  <w:vAlign w:val="center"/>
                </w:tcPr>
                <w:p w14:paraId="3CCF9D63">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cs="Times New Roman"/>
                      <w:color w:val="auto"/>
                      <w:lang w:val="en-US" w:eastAsia="zh-CN"/>
                    </w:rPr>
                    <w:t>依托现有</w:t>
                  </w:r>
                </w:p>
              </w:tc>
            </w:tr>
            <w:tr w14:paraId="61BA23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422" w:type="pct"/>
                  <w:vMerge w:val="continue"/>
                  <w:noWrap w:val="0"/>
                  <w:vAlign w:val="center"/>
                </w:tcPr>
                <w:p w14:paraId="22F002BC">
                  <w:pPr>
                    <w:keepNext w:val="0"/>
                    <w:keepLines w:val="0"/>
                    <w:suppressLineNumbers w:val="0"/>
                    <w:spacing w:before="0" w:beforeAutospacing="0" w:after="0" w:afterAutospacing="0"/>
                    <w:ind w:left="0" w:right="0"/>
                    <w:jc w:val="center"/>
                    <w:rPr>
                      <w:rFonts w:hint="eastAsia" w:cs="Times New Roman"/>
                      <w:color w:val="auto"/>
                      <w:lang w:val="en-US" w:eastAsia="zh-CN"/>
                    </w:rPr>
                  </w:pPr>
                </w:p>
              </w:tc>
              <w:tc>
                <w:tcPr>
                  <w:tcW w:w="1071" w:type="pct"/>
                  <w:gridSpan w:val="2"/>
                  <w:noWrap w:val="0"/>
                  <w:vAlign w:val="center"/>
                </w:tcPr>
                <w:p w14:paraId="08BCFBF1">
                  <w:pPr>
                    <w:keepNext w:val="0"/>
                    <w:keepLines w:val="0"/>
                    <w:suppressLineNumbers w:val="0"/>
                    <w:spacing w:before="0" w:beforeAutospacing="0" w:after="0" w:afterAutospacing="0"/>
                    <w:ind w:left="0" w:leftChars="0" w:right="0" w:rightChars="0"/>
                    <w:jc w:val="center"/>
                    <w:rPr>
                      <w:rFonts w:hint="default" w:eastAsia="宋体" w:cs="Times New Roman"/>
                      <w:color w:val="auto"/>
                      <w:lang w:val="en-US" w:eastAsia="zh-CN"/>
                    </w:rPr>
                  </w:pPr>
                  <w:r>
                    <w:rPr>
                      <w:rFonts w:hint="eastAsia" w:cs="Times New Roman"/>
                      <w:color w:val="auto"/>
                      <w:lang w:val="en-US" w:eastAsia="zh-CN"/>
                    </w:rPr>
                    <w:t>固废</w:t>
                  </w:r>
                </w:p>
              </w:tc>
              <w:tc>
                <w:tcPr>
                  <w:tcW w:w="3021" w:type="pct"/>
                  <w:gridSpan w:val="3"/>
                  <w:noWrap w:val="0"/>
                  <w:vAlign w:val="center"/>
                </w:tcPr>
                <w:p w14:paraId="12A2CF67">
                  <w:pPr>
                    <w:keepNext w:val="0"/>
                    <w:keepLines w:val="0"/>
                    <w:suppressLineNumbers w:val="0"/>
                    <w:spacing w:before="0" w:beforeAutospacing="0" w:after="0" w:afterAutospacing="0"/>
                    <w:ind w:left="0" w:leftChars="0" w:right="0" w:rightChars="0"/>
                    <w:jc w:val="center"/>
                    <w:rPr>
                      <w:rFonts w:hint="eastAsia"/>
                      <w:color w:val="auto"/>
                      <w:lang w:val="en-US" w:eastAsia="zh-CN"/>
                    </w:rPr>
                  </w:pPr>
                  <w:r>
                    <w:rPr>
                      <w:rFonts w:hint="eastAsia"/>
                      <w:color w:val="auto"/>
                      <w:lang w:val="en-US" w:eastAsia="zh-CN"/>
                    </w:rPr>
                    <w:t>生活</w:t>
                  </w:r>
                  <w:r>
                    <w:rPr>
                      <w:rFonts w:hint="eastAsia"/>
                      <w:color w:val="auto"/>
                      <w:lang w:val="zh-CN"/>
                    </w:rPr>
                    <w:t>垃圾利用厂区原有的生活垃圾箱收集，</w:t>
                  </w:r>
                  <w:r>
                    <w:rPr>
                      <w:rFonts w:hint="eastAsia"/>
                      <w:color w:val="auto"/>
                      <w:lang w:val="en-US" w:eastAsia="zh-CN"/>
                    </w:rPr>
                    <w:t>后由园区环卫部门定期清运</w:t>
                  </w:r>
                </w:p>
              </w:tc>
              <w:tc>
                <w:tcPr>
                  <w:tcW w:w="483" w:type="pct"/>
                  <w:noWrap w:val="0"/>
                  <w:vAlign w:val="center"/>
                </w:tcPr>
                <w:p w14:paraId="1CB1519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eastAsia" w:cs="Times New Roman"/>
                      <w:color w:val="auto"/>
                      <w:lang w:val="en-US" w:eastAsia="zh-CN"/>
                    </w:rPr>
                    <w:t>依托现有</w:t>
                  </w:r>
                </w:p>
              </w:tc>
            </w:tr>
          </w:tbl>
          <w:p w14:paraId="2BA6F56B">
            <w:pPr>
              <w:keepNext w:val="0"/>
              <w:keepLines w:val="0"/>
              <w:pageBreakBefore w:val="0"/>
              <w:widowControl w:val="0"/>
              <w:kinsoku/>
              <w:wordWrap/>
              <w:overflowPunct/>
              <w:topLinePunct w:val="0"/>
              <w:bidi w:val="0"/>
              <w:snapToGrid/>
              <w:spacing w:line="520" w:lineRule="exact"/>
              <w:ind w:left="0" w:leftChars="0" w:firstLine="482" w:firstLineChars="200"/>
              <w:jc w:val="left"/>
              <w:textAlignment w:val="auto"/>
              <w:rPr>
                <w:rFonts w:hint="default" w:eastAsia="宋体"/>
                <w:b/>
                <w:bCs/>
                <w:color w:val="auto"/>
                <w:sz w:val="24"/>
                <w:lang w:val="en-US" w:eastAsia="zh-CN"/>
              </w:rPr>
            </w:pPr>
            <w:r>
              <w:rPr>
                <w:rFonts w:hint="eastAsia"/>
                <w:b/>
                <w:bCs/>
                <w:color w:val="auto"/>
                <w:sz w:val="24"/>
                <w:lang w:eastAsia="zh-CN"/>
              </w:rPr>
              <w:t>5.</w:t>
            </w:r>
            <w:r>
              <w:rPr>
                <w:rFonts w:hint="eastAsia"/>
                <w:b/>
                <w:bCs/>
                <w:color w:val="auto"/>
                <w:sz w:val="24"/>
                <w:lang w:val="en-US" w:eastAsia="zh-CN"/>
              </w:rPr>
              <w:t>主要产品情况</w:t>
            </w:r>
          </w:p>
          <w:p w14:paraId="0ED06C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本项目建成后，</w:t>
            </w:r>
            <w:r>
              <w:rPr>
                <w:rFonts w:hint="default" w:ascii="Times New Roman" w:hAnsi="Times New Roman" w:cs="Times New Roman"/>
                <w:color w:val="auto"/>
                <w:sz w:val="24"/>
                <w:szCs w:val="24"/>
              </w:rPr>
              <w:t>预计</w:t>
            </w:r>
            <w:r>
              <w:rPr>
                <w:rFonts w:hint="eastAsia"/>
                <w:color w:val="FF0000"/>
                <w:sz w:val="24"/>
                <w:lang w:val="en-US" w:eastAsia="zh-CN"/>
              </w:rPr>
              <w:t>年生产3.2万吨人造岗石</w:t>
            </w:r>
            <w:r>
              <w:rPr>
                <w:rFonts w:hint="eastAsia"/>
                <w:color w:val="auto"/>
                <w:sz w:val="24"/>
                <w:lang w:val="en-US" w:eastAsia="zh-CN"/>
              </w:rPr>
              <w:t>，</w:t>
            </w:r>
            <w:r>
              <w:rPr>
                <w:rFonts w:hint="eastAsia" w:cs="Times New Roman"/>
                <w:color w:val="auto"/>
                <w:sz w:val="24"/>
                <w:szCs w:val="24"/>
                <w:lang w:val="en-US" w:eastAsia="zh-CN"/>
              </w:rPr>
              <w:t>项目主要产品方案见表2-3。</w:t>
            </w:r>
          </w:p>
          <w:p w14:paraId="24A8E30E">
            <w:pPr>
              <w:pStyle w:val="6"/>
              <w:spacing w:line="240" w:lineRule="auto"/>
              <w:jc w:val="center"/>
              <w:rPr>
                <w:rFonts w:hint="eastAsia" w:cs="Times New Roman"/>
                <w:b/>
                <w:bCs/>
                <w:color w:val="auto"/>
                <w:sz w:val="21"/>
                <w:szCs w:val="21"/>
                <w:lang w:val="en-US" w:eastAsia="zh-CN"/>
              </w:rPr>
            </w:pPr>
            <w:r>
              <w:rPr>
                <w:rFonts w:hint="default" w:ascii="Times New Roman" w:hAnsi="Times New Roman" w:cs="Times New Roman"/>
                <w:b/>
                <w:bCs/>
                <w:color w:val="auto"/>
                <w:sz w:val="21"/>
                <w:szCs w:val="21"/>
              </w:rPr>
              <w:t>表</w:t>
            </w:r>
            <w:r>
              <w:rPr>
                <w:rFonts w:hint="eastAsia" w:cs="Times New Roman"/>
                <w:b/>
                <w:bCs/>
                <w:color w:val="auto"/>
                <w:sz w:val="21"/>
                <w:szCs w:val="21"/>
                <w:lang w:val="en-US" w:eastAsia="zh-CN"/>
              </w:rPr>
              <w:t>2-3主要产品产能</w:t>
            </w:r>
          </w:p>
          <w:tbl>
            <w:tblPr>
              <w:tblStyle w:val="25"/>
              <w:tblW w:w="46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1752"/>
              <w:gridCol w:w="1440"/>
              <w:gridCol w:w="1419"/>
              <w:gridCol w:w="1112"/>
              <w:gridCol w:w="1077"/>
            </w:tblGrid>
            <w:tr w14:paraId="131BE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7" w:hRule="atLeast"/>
                <w:jc w:val="center"/>
              </w:trPr>
              <w:tc>
                <w:tcPr>
                  <w:tcW w:w="409" w:type="pct"/>
                  <w:vMerge w:val="restart"/>
                  <w:tcBorders>
                    <w:left w:val="nil"/>
                  </w:tcBorders>
                  <w:vAlign w:val="center"/>
                </w:tcPr>
                <w:p w14:paraId="5C0F7EDF">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序号</w:t>
                  </w:r>
                </w:p>
              </w:tc>
              <w:tc>
                <w:tcPr>
                  <w:tcW w:w="1182" w:type="pct"/>
                  <w:vMerge w:val="restart"/>
                  <w:vAlign w:val="center"/>
                </w:tcPr>
                <w:p w14:paraId="09A85914">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名称</w:t>
                  </w:r>
                </w:p>
              </w:tc>
              <w:tc>
                <w:tcPr>
                  <w:tcW w:w="2680" w:type="pct"/>
                  <w:gridSpan w:val="3"/>
                  <w:tcBorders>
                    <w:right w:val="nil"/>
                  </w:tcBorders>
                  <w:vAlign w:val="center"/>
                </w:tcPr>
                <w:p w14:paraId="461E6274">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产量</w:t>
                  </w:r>
                </w:p>
              </w:tc>
              <w:tc>
                <w:tcPr>
                  <w:tcW w:w="727" w:type="pct"/>
                  <w:vMerge w:val="restart"/>
                  <w:tcBorders>
                    <w:right w:val="nil"/>
                  </w:tcBorders>
                  <w:vAlign w:val="center"/>
                </w:tcPr>
                <w:p w14:paraId="09C54721">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单位</w:t>
                  </w:r>
                </w:p>
              </w:tc>
            </w:tr>
            <w:tr w14:paraId="68A1C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09" w:type="pct"/>
                  <w:vMerge w:val="continue"/>
                  <w:tcBorders>
                    <w:left w:val="nil"/>
                  </w:tcBorders>
                  <w:vAlign w:val="center"/>
                </w:tcPr>
                <w:p w14:paraId="2FA24FF3">
                  <w:pPr>
                    <w:keepNext w:val="0"/>
                    <w:keepLines w:val="0"/>
                    <w:suppressLineNumbers w:val="0"/>
                    <w:spacing w:before="0" w:beforeAutospacing="0" w:after="0" w:afterAutospacing="0"/>
                    <w:ind w:left="0" w:right="0"/>
                    <w:jc w:val="center"/>
                  </w:pPr>
                </w:p>
              </w:tc>
              <w:tc>
                <w:tcPr>
                  <w:tcW w:w="1182" w:type="pct"/>
                  <w:vMerge w:val="continue"/>
                  <w:vAlign w:val="center"/>
                </w:tcPr>
                <w:p w14:paraId="35B07C8D">
                  <w:pPr>
                    <w:keepNext w:val="0"/>
                    <w:keepLines w:val="0"/>
                    <w:suppressLineNumbers w:val="0"/>
                    <w:spacing w:before="0" w:beforeAutospacing="0" w:after="0" w:afterAutospacing="0"/>
                    <w:ind w:left="0" w:right="0"/>
                    <w:jc w:val="center"/>
                  </w:pPr>
                </w:p>
              </w:tc>
              <w:tc>
                <w:tcPr>
                  <w:tcW w:w="972" w:type="pct"/>
                  <w:tcBorders>
                    <w:right w:val="nil"/>
                  </w:tcBorders>
                  <w:vAlign w:val="center"/>
                </w:tcPr>
                <w:p w14:paraId="76F33455">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重新报批前</w:t>
                  </w:r>
                </w:p>
              </w:tc>
              <w:tc>
                <w:tcPr>
                  <w:tcW w:w="957" w:type="pct"/>
                  <w:tcBorders>
                    <w:right w:val="nil"/>
                  </w:tcBorders>
                  <w:vAlign w:val="center"/>
                </w:tcPr>
                <w:p w14:paraId="1DF79610">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重新报批</w:t>
                  </w:r>
                  <w:r>
                    <w:rPr>
                      <w:rFonts w:hint="eastAsia" w:cs="Times New Roman"/>
                      <w:color w:val="auto"/>
                      <w:lang w:val="en-US" w:eastAsia="zh-CN"/>
                    </w:rPr>
                    <w:t>后</w:t>
                  </w:r>
                </w:p>
              </w:tc>
              <w:tc>
                <w:tcPr>
                  <w:tcW w:w="750" w:type="pct"/>
                  <w:tcBorders>
                    <w:right w:val="nil"/>
                  </w:tcBorders>
                  <w:vAlign w:val="center"/>
                </w:tcPr>
                <w:p w14:paraId="686CC981">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变化量</w:t>
                  </w:r>
                </w:p>
              </w:tc>
              <w:tc>
                <w:tcPr>
                  <w:tcW w:w="727" w:type="pct"/>
                  <w:vMerge w:val="continue"/>
                  <w:tcBorders>
                    <w:right w:val="nil"/>
                  </w:tcBorders>
                  <w:vAlign w:val="center"/>
                </w:tcPr>
                <w:p w14:paraId="76C127CE">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r>
            <w:tr w14:paraId="76BD3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9" w:type="pct"/>
                  <w:tcBorders>
                    <w:left w:val="nil"/>
                  </w:tcBorders>
                  <w:vAlign w:val="center"/>
                </w:tcPr>
                <w:p w14:paraId="0B0F764F">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1182" w:type="pct"/>
                  <w:vAlign w:val="center"/>
                </w:tcPr>
                <w:p w14:paraId="7CA4AA49">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人造岗石</w:t>
                  </w:r>
                </w:p>
              </w:tc>
              <w:tc>
                <w:tcPr>
                  <w:tcW w:w="972" w:type="pct"/>
                  <w:tcBorders>
                    <w:right w:val="nil"/>
                  </w:tcBorders>
                  <w:vAlign w:val="center"/>
                </w:tcPr>
                <w:p w14:paraId="0CA42FC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lang w:val="en-US" w:eastAsia="zh-CN"/>
                    </w:rPr>
                  </w:pPr>
                  <w:r>
                    <w:rPr>
                      <w:rFonts w:hint="eastAsia" w:cs="Times New Roman"/>
                      <w:color w:val="auto"/>
                      <w:lang w:val="en-US" w:eastAsia="zh-CN"/>
                    </w:rPr>
                    <w:t>3.2</w:t>
                  </w:r>
                </w:p>
              </w:tc>
              <w:tc>
                <w:tcPr>
                  <w:tcW w:w="957" w:type="pct"/>
                  <w:tcBorders>
                    <w:right w:val="nil"/>
                  </w:tcBorders>
                  <w:vAlign w:val="center"/>
                </w:tcPr>
                <w:p w14:paraId="36A72A8E">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3.2</w:t>
                  </w:r>
                </w:p>
              </w:tc>
              <w:tc>
                <w:tcPr>
                  <w:tcW w:w="750" w:type="pct"/>
                  <w:tcBorders>
                    <w:right w:val="nil"/>
                  </w:tcBorders>
                  <w:vAlign w:val="center"/>
                </w:tcPr>
                <w:p w14:paraId="4DD60560">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+0</w:t>
                  </w:r>
                </w:p>
              </w:tc>
              <w:tc>
                <w:tcPr>
                  <w:tcW w:w="727" w:type="pct"/>
                  <w:tcBorders>
                    <w:right w:val="nil"/>
                  </w:tcBorders>
                  <w:vAlign w:val="center"/>
                </w:tcPr>
                <w:p w14:paraId="65E65E53">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万t/a</w:t>
                  </w:r>
                </w:p>
              </w:tc>
            </w:tr>
          </w:tbl>
          <w:p w14:paraId="3926461F">
            <w:pPr>
              <w:keepNext w:val="0"/>
              <w:keepLines w:val="0"/>
              <w:pageBreakBefore w:val="0"/>
              <w:widowControl w:val="0"/>
              <w:numPr>
                <w:ilvl w:val="0"/>
                <w:numId w:val="2"/>
              </w:numPr>
              <w:kinsoku/>
              <w:wordWrap/>
              <w:overflowPunct/>
              <w:topLinePunct w:val="0"/>
              <w:autoSpaceDE/>
              <w:autoSpaceDN/>
              <w:bidi w:val="0"/>
              <w:adjustRightInd/>
              <w:snapToGrid/>
              <w:spacing w:line="520" w:lineRule="exact"/>
              <w:ind w:firstLine="482" w:firstLineChars="200"/>
              <w:jc w:val="left"/>
              <w:textAlignment w:val="auto"/>
              <w:rPr>
                <w:rFonts w:hint="eastAsia"/>
                <w:b/>
                <w:bCs/>
                <w:color w:val="auto"/>
                <w:sz w:val="24"/>
              </w:rPr>
            </w:pPr>
            <w:r>
              <w:rPr>
                <w:rFonts w:hint="eastAsia"/>
                <w:b/>
                <w:bCs/>
                <w:color w:val="auto"/>
                <w:sz w:val="24"/>
              </w:rPr>
              <w:t>主要生产设施</w:t>
            </w:r>
          </w:p>
          <w:p w14:paraId="50892BDA">
            <w:pPr>
              <w:pStyle w:val="37"/>
              <w:rPr>
                <w:rFonts w:hint="eastAsia"/>
                <w:b/>
                <w:bCs/>
                <w:color w:val="auto"/>
                <w:sz w:val="24"/>
              </w:rPr>
            </w:pPr>
          </w:p>
          <w:p w14:paraId="1B2084C3">
            <w:pPr>
              <w:rPr>
                <w:rFonts w:hint="eastAsia"/>
                <w:b/>
                <w:bCs/>
                <w:color w:val="auto"/>
                <w:sz w:val="24"/>
              </w:rPr>
            </w:pPr>
          </w:p>
          <w:p w14:paraId="60F5F20D">
            <w:pPr>
              <w:rPr>
                <w:rFonts w:hint="eastAsia"/>
                <w:b/>
                <w:bCs/>
                <w:color w:val="auto"/>
                <w:sz w:val="24"/>
              </w:rPr>
            </w:pPr>
          </w:p>
          <w:p w14:paraId="2E8E04F3">
            <w:pPr>
              <w:pStyle w:val="37"/>
              <w:rPr>
                <w:rFonts w:hint="eastAsia"/>
              </w:rPr>
            </w:pPr>
          </w:p>
          <w:p w14:paraId="7B9F9CCC">
            <w:pPr>
              <w:pStyle w:val="55"/>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color w:val="auto"/>
              </w:rPr>
            </w:pPr>
            <w:r>
              <w:rPr>
                <w:rFonts w:hint="eastAsia"/>
                <w:color w:val="auto"/>
                <w:sz w:val="21"/>
                <w:szCs w:val="21"/>
              </w:rPr>
              <w:t>表</w:t>
            </w:r>
            <w:r>
              <w:rPr>
                <w:rFonts w:hint="eastAsia" w:eastAsia="宋体"/>
                <w:color w:val="auto"/>
                <w:sz w:val="21"/>
                <w:szCs w:val="21"/>
                <w:lang w:val="en-US" w:eastAsia="zh-CN"/>
              </w:rPr>
              <w:t>2</w:t>
            </w:r>
            <w:r>
              <w:rPr>
                <w:rFonts w:hint="eastAsia"/>
                <w:color w:val="auto"/>
                <w:sz w:val="21"/>
                <w:szCs w:val="21"/>
              </w:rPr>
              <w:t>-</w:t>
            </w:r>
            <w:r>
              <w:rPr>
                <w:rFonts w:hint="eastAsia" w:eastAsia="宋体"/>
                <w:color w:val="auto"/>
                <w:sz w:val="21"/>
                <w:szCs w:val="21"/>
                <w:lang w:val="en-US" w:eastAsia="zh-CN"/>
              </w:rPr>
              <w:t>4</w:t>
            </w:r>
            <w:r>
              <w:rPr>
                <w:rFonts w:hint="eastAsia"/>
                <w:color w:val="auto"/>
                <w:sz w:val="21"/>
                <w:szCs w:val="21"/>
              </w:rPr>
              <w:t>主要生产设备一览表</w:t>
            </w:r>
          </w:p>
          <w:tbl>
            <w:tblPr>
              <w:tblStyle w:val="25"/>
              <w:tblW w:w="4998"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992"/>
              <w:gridCol w:w="1725"/>
              <w:gridCol w:w="977"/>
              <w:gridCol w:w="977"/>
              <w:gridCol w:w="978"/>
              <w:gridCol w:w="572"/>
            </w:tblGrid>
            <w:tr w14:paraId="64963D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53" w:type="pct"/>
                  <w:vMerge w:val="restart"/>
                  <w:vAlign w:val="center"/>
                </w:tcPr>
                <w:p w14:paraId="0BA3D4A8">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生产单元</w:t>
                  </w:r>
                </w:p>
              </w:tc>
              <w:tc>
                <w:tcPr>
                  <w:tcW w:w="1254" w:type="pct"/>
                  <w:vMerge w:val="restart"/>
                  <w:vAlign w:val="center"/>
                </w:tcPr>
                <w:p w14:paraId="3F3E3824">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设备名称</w:t>
                  </w:r>
                </w:p>
              </w:tc>
              <w:tc>
                <w:tcPr>
                  <w:tcW w:w="1085" w:type="pct"/>
                  <w:vMerge w:val="restart"/>
                  <w:vAlign w:val="center"/>
                </w:tcPr>
                <w:p w14:paraId="2B3DE598">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cs="Times New Roman"/>
                      <w:color w:val="auto"/>
                      <w:lang w:val="en-US" w:eastAsia="zh-CN"/>
                    </w:rPr>
                    <w:t>设备型号</w:t>
                  </w:r>
                </w:p>
              </w:tc>
              <w:tc>
                <w:tcPr>
                  <w:tcW w:w="1845" w:type="pct"/>
                  <w:gridSpan w:val="3"/>
                  <w:vAlign w:val="center"/>
                </w:tcPr>
                <w:p w14:paraId="27B79FB1">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数量</w:t>
                  </w:r>
                </w:p>
              </w:tc>
              <w:tc>
                <w:tcPr>
                  <w:tcW w:w="360" w:type="pct"/>
                  <w:vMerge w:val="restart"/>
                  <w:vAlign w:val="center"/>
                </w:tcPr>
                <w:p w14:paraId="02167E3F">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单位</w:t>
                  </w:r>
                </w:p>
              </w:tc>
            </w:tr>
            <w:tr w14:paraId="702C66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53" w:type="pct"/>
                  <w:vMerge w:val="continue"/>
                  <w:vAlign w:val="center"/>
                </w:tcPr>
                <w:p w14:paraId="06913B53">
                  <w:pPr>
                    <w:keepNext w:val="0"/>
                    <w:keepLines w:val="0"/>
                    <w:suppressLineNumbers w:val="0"/>
                    <w:spacing w:before="0" w:beforeAutospacing="0" w:after="0" w:afterAutospacing="0"/>
                    <w:ind w:left="0" w:leftChars="0" w:right="0" w:rightChars="0"/>
                    <w:jc w:val="center"/>
                  </w:pPr>
                </w:p>
              </w:tc>
              <w:tc>
                <w:tcPr>
                  <w:tcW w:w="1254" w:type="pct"/>
                  <w:vMerge w:val="continue"/>
                  <w:vAlign w:val="center"/>
                </w:tcPr>
                <w:p w14:paraId="27632421">
                  <w:pPr>
                    <w:keepNext w:val="0"/>
                    <w:keepLines w:val="0"/>
                    <w:suppressLineNumbers w:val="0"/>
                    <w:spacing w:before="0" w:beforeAutospacing="0" w:after="0" w:afterAutospacing="0"/>
                    <w:ind w:left="0" w:leftChars="0" w:right="0" w:rightChars="0"/>
                    <w:jc w:val="center"/>
                  </w:pPr>
                </w:p>
              </w:tc>
              <w:tc>
                <w:tcPr>
                  <w:tcW w:w="1085" w:type="pct"/>
                  <w:vMerge w:val="continue"/>
                  <w:vAlign w:val="center"/>
                </w:tcPr>
                <w:p w14:paraId="44F88743">
                  <w:pPr>
                    <w:keepNext w:val="0"/>
                    <w:keepLines w:val="0"/>
                    <w:suppressLineNumbers w:val="0"/>
                    <w:spacing w:before="0" w:beforeAutospacing="0" w:after="0" w:afterAutospacing="0"/>
                    <w:ind w:left="0" w:leftChars="0" w:right="0" w:rightChars="0"/>
                    <w:jc w:val="center"/>
                  </w:pPr>
                </w:p>
              </w:tc>
              <w:tc>
                <w:tcPr>
                  <w:tcW w:w="615" w:type="pct"/>
                  <w:vAlign w:val="center"/>
                </w:tcPr>
                <w:p w14:paraId="61F013BF">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重新报批前</w:t>
                  </w:r>
                </w:p>
              </w:tc>
              <w:tc>
                <w:tcPr>
                  <w:tcW w:w="615" w:type="pct"/>
                  <w:vAlign w:val="center"/>
                </w:tcPr>
                <w:p w14:paraId="06747170">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重新报批</w:t>
                  </w:r>
                  <w:r>
                    <w:rPr>
                      <w:rFonts w:hint="eastAsia" w:cs="Times New Roman"/>
                      <w:color w:val="auto"/>
                      <w:lang w:val="en-US" w:eastAsia="zh-CN"/>
                    </w:rPr>
                    <w:t>后</w:t>
                  </w:r>
                </w:p>
              </w:tc>
              <w:tc>
                <w:tcPr>
                  <w:tcW w:w="615" w:type="pct"/>
                  <w:shd w:val="clear" w:color="auto" w:fill="auto"/>
                  <w:vAlign w:val="center"/>
                </w:tcPr>
                <w:p w14:paraId="6060D87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变化量</w:t>
                  </w:r>
                </w:p>
              </w:tc>
              <w:tc>
                <w:tcPr>
                  <w:tcW w:w="360" w:type="pct"/>
                  <w:vMerge w:val="continue"/>
                  <w:vAlign w:val="center"/>
                </w:tcPr>
                <w:p w14:paraId="6E2DD8BE">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p>
              </w:tc>
            </w:tr>
            <w:tr w14:paraId="11726E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453" w:type="pct"/>
                  <w:vMerge w:val="restart"/>
                  <w:vAlign w:val="center"/>
                </w:tcPr>
                <w:p w14:paraId="04F9CD40">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cs="Times New Roman"/>
                      <w:color w:val="auto"/>
                      <w:lang w:val="en-US" w:eastAsia="zh-CN"/>
                    </w:rPr>
                    <w:t>破碎系统</w:t>
                  </w:r>
                </w:p>
              </w:tc>
              <w:tc>
                <w:tcPr>
                  <w:tcW w:w="1254" w:type="pct"/>
                  <w:vAlign w:val="center"/>
                </w:tcPr>
                <w:p w14:paraId="6F4FB113">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双轴洗砂机</w:t>
                  </w:r>
                </w:p>
              </w:tc>
              <w:tc>
                <w:tcPr>
                  <w:tcW w:w="1085" w:type="pct"/>
                  <w:vAlign w:val="center"/>
                </w:tcPr>
                <w:p w14:paraId="1002E42C">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1160型</w:t>
                  </w:r>
                </w:p>
              </w:tc>
              <w:tc>
                <w:tcPr>
                  <w:tcW w:w="615" w:type="pct"/>
                  <w:vAlign w:val="center"/>
                </w:tcPr>
                <w:p w14:paraId="7160216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lang w:val="en-US" w:eastAsia="zh-CN"/>
                    </w:rPr>
                  </w:pPr>
                  <w:r>
                    <w:rPr>
                      <w:rFonts w:hint="eastAsia" w:cs="Times New Roman"/>
                      <w:color w:val="auto"/>
                      <w:lang w:val="en-US" w:eastAsia="zh-CN"/>
                    </w:rPr>
                    <w:t>0</w:t>
                  </w:r>
                </w:p>
              </w:tc>
              <w:tc>
                <w:tcPr>
                  <w:tcW w:w="615" w:type="pct"/>
                  <w:vAlign w:val="center"/>
                </w:tcPr>
                <w:p w14:paraId="09D867C2">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1</w:t>
                  </w:r>
                </w:p>
              </w:tc>
              <w:tc>
                <w:tcPr>
                  <w:tcW w:w="615" w:type="pct"/>
                  <w:vAlign w:val="center"/>
                </w:tcPr>
                <w:p w14:paraId="301D2691">
                  <w:pPr>
                    <w:keepNext w:val="0"/>
                    <w:keepLines w:val="0"/>
                    <w:suppressLineNumbers w:val="0"/>
                    <w:spacing w:before="0" w:beforeAutospacing="0" w:after="0" w:afterAutospacing="0"/>
                    <w:ind w:left="0" w:leftChars="0" w:right="0" w:rightChars="0"/>
                    <w:jc w:val="center"/>
                    <w:rPr>
                      <w:rFonts w:hint="default" w:cs="Times New Roman"/>
                      <w:color w:val="auto"/>
                      <w:lang w:val="en-US" w:eastAsia="zh-CN"/>
                    </w:rPr>
                  </w:pPr>
                  <w:r>
                    <w:rPr>
                      <w:rFonts w:hint="eastAsia" w:cs="Times New Roman"/>
                      <w:color w:val="auto"/>
                      <w:lang w:val="en-US" w:eastAsia="zh-CN"/>
                    </w:rPr>
                    <w:t>+1</w:t>
                  </w:r>
                </w:p>
              </w:tc>
              <w:tc>
                <w:tcPr>
                  <w:tcW w:w="360" w:type="pct"/>
                  <w:vAlign w:val="center"/>
                </w:tcPr>
                <w:p w14:paraId="2F2D20E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lang w:val="en-US" w:eastAsia="zh-CN"/>
                    </w:rPr>
                  </w:pPr>
                  <w:r>
                    <w:rPr>
                      <w:rFonts w:hint="eastAsia" w:cs="Times New Roman"/>
                      <w:color w:val="auto"/>
                      <w:lang w:val="en-US" w:eastAsia="zh-CN"/>
                    </w:rPr>
                    <w:t>台</w:t>
                  </w:r>
                </w:p>
              </w:tc>
            </w:tr>
            <w:tr w14:paraId="1D1CF4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453" w:type="pct"/>
                  <w:vMerge w:val="continue"/>
                  <w:vAlign w:val="center"/>
                </w:tcPr>
                <w:p w14:paraId="0C664061">
                  <w:pPr>
                    <w:keepNext w:val="0"/>
                    <w:keepLines w:val="0"/>
                    <w:suppressLineNumbers w:val="0"/>
                    <w:spacing w:before="0" w:beforeAutospacing="0" w:after="0" w:afterAutospacing="0"/>
                    <w:ind w:left="0" w:right="0"/>
                    <w:jc w:val="center"/>
                  </w:pPr>
                </w:p>
              </w:tc>
              <w:tc>
                <w:tcPr>
                  <w:tcW w:w="1254" w:type="pct"/>
                  <w:vAlign w:val="center"/>
                </w:tcPr>
                <w:p w14:paraId="0B35C254">
                  <w:pPr>
                    <w:keepNext w:val="0"/>
                    <w:keepLines w:val="0"/>
                    <w:suppressLineNumbers w:val="0"/>
                    <w:spacing w:before="0" w:beforeAutospacing="0" w:after="0" w:afterAutospacing="0"/>
                    <w:ind w:left="0" w:right="0"/>
                    <w:jc w:val="center"/>
                    <w:rPr>
                      <w:rFonts w:hint="eastAsia" w:cs="Times New Roman"/>
                      <w:color w:val="auto"/>
                      <w:lang w:val="en-US" w:eastAsia="zh-CN"/>
                    </w:rPr>
                  </w:pPr>
                  <w:r>
                    <w:rPr>
                      <w:rFonts w:hint="eastAsia" w:cs="Times New Roman"/>
                      <w:color w:val="auto"/>
                      <w:lang w:val="en-US" w:eastAsia="zh-CN"/>
                    </w:rPr>
                    <w:t>洗石机</w:t>
                  </w:r>
                </w:p>
              </w:tc>
              <w:tc>
                <w:tcPr>
                  <w:tcW w:w="1085" w:type="pct"/>
                  <w:vAlign w:val="center"/>
                </w:tcPr>
                <w:p w14:paraId="1A0B2955">
                  <w:pPr>
                    <w:keepNext w:val="0"/>
                    <w:keepLines w:val="0"/>
                    <w:suppressLineNumbers w:val="0"/>
                    <w:spacing w:before="0" w:beforeAutospacing="0" w:after="0" w:afterAutospacing="0"/>
                    <w:ind w:left="0" w:right="0"/>
                    <w:jc w:val="center"/>
                    <w:rPr>
                      <w:rFonts w:hint="eastAsia" w:cs="Times New Roman"/>
                      <w:color w:val="auto"/>
                      <w:lang w:val="en-US" w:eastAsia="zh-CN"/>
                    </w:rPr>
                  </w:pPr>
                  <w:r>
                    <w:rPr>
                      <w:rFonts w:hint="eastAsia" w:cs="Times New Roman"/>
                      <w:color w:val="auto"/>
                      <w:lang w:val="en-US" w:eastAsia="zh-CN"/>
                    </w:rPr>
                    <w:t>1260型</w:t>
                  </w:r>
                </w:p>
              </w:tc>
              <w:tc>
                <w:tcPr>
                  <w:tcW w:w="615" w:type="pct"/>
                  <w:vAlign w:val="center"/>
                </w:tcPr>
                <w:p w14:paraId="1203A49E">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0</w:t>
                  </w:r>
                </w:p>
              </w:tc>
              <w:tc>
                <w:tcPr>
                  <w:tcW w:w="615" w:type="pct"/>
                  <w:vAlign w:val="center"/>
                </w:tcPr>
                <w:p w14:paraId="408CD8A7">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1</w:t>
                  </w:r>
                </w:p>
              </w:tc>
              <w:tc>
                <w:tcPr>
                  <w:tcW w:w="615" w:type="pct"/>
                  <w:vAlign w:val="center"/>
                </w:tcPr>
                <w:p w14:paraId="457F1983">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+1</w:t>
                  </w:r>
                </w:p>
              </w:tc>
              <w:tc>
                <w:tcPr>
                  <w:tcW w:w="360" w:type="pct"/>
                  <w:vAlign w:val="center"/>
                </w:tcPr>
                <w:p w14:paraId="2D52DFC3">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台</w:t>
                  </w:r>
                </w:p>
              </w:tc>
            </w:tr>
            <w:tr w14:paraId="5F46A7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3" w:type="pct"/>
                  <w:vMerge w:val="continue"/>
                  <w:vAlign w:val="center"/>
                </w:tcPr>
                <w:p w14:paraId="0752289B">
                  <w:pPr>
                    <w:keepNext w:val="0"/>
                    <w:keepLines w:val="0"/>
                    <w:suppressLineNumbers w:val="0"/>
                    <w:spacing w:before="0" w:beforeAutospacing="0" w:after="0" w:afterAutospacing="0"/>
                    <w:ind w:left="0" w:right="0"/>
                    <w:jc w:val="center"/>
                  </w:pPr>
                </w:p>
              </w:tc>
              <w:tc>
                <w:tcPr>
                  <w:tcW w:w="1254" w:type="pct"/>
                  <w:vAlign w:val="center"/>
                </w:tcPr>
                <w:p w14:paraId="030CC8BA">
                  <w:pPr>
                    <w:keepNext w:val="0"/>
                    <w:keepLines w:val="0"/>
                    <w:suppressLineNumbers w:val="0"/>
                    <w:spacing w:before="0" w:beforeAutospacing="0" w:after="0" w:afterAutospacing="0"/>
                    <w:ind w:left="0" w:right="0"/>
                    <w:jc w:val="center"/>
                    <w:rPr>
                      <w:rFonts w:hint="eastAsia" w:cs="Times New Roman"/>
                      <w:color w:val="auto"/>
                      <w:lang w:val="en-US" w:eastAsia="zh-CN"/>
                    </w:rPr>
                  </w:pPr>
                  <w:r>
                    <w:rPr>
                      <w:rFonts w:hint="eastAsia" w:cs="Times New Roman"/>
                      <w:color w:val="auto"/>
                      <w:lang w:val="en-US" w:eastAsia="zh-CN"/>
                    </w:rPr>
                    <w:t>振动下料斗</w:t>
                  </w:r>
                </w:p>
              </w:tc>
              <w:tc>
                <w:tcPr>
                  <w:tcW w:w="1085" w:type="pct"/>
                  <w:vAlign w:val="center"/>
                </w:tcPr>
                <w:p w14:paraId="34ECF1D8">
                  <w:pPr>
                    <w:keepNext w:val="0"/>
                    <w:keepLines w:val="0"/>
                    <w:suppressLineNumbers w:val="0"/>
                    <w:spacing w:before="0" w:beforeAutospacing="0" w:after="0" w:afterAutospacing="0"/>
                    <w:ind w:left="0" w:right="0"/>
                    <w:jc w:val="center"/>
                    <w:rPr>
                      <w:rFonts w:hint="eastAsia" w:cs="Times New Roman"/>
                      <w:color w:val="auto"/>
                      <w:lang w:val="en-US" w:eastAsia="zh-CN"/>
                    </w:rPr>
                  </w:pPr>
                  <w:r>
                    <w:rPr>
                      <w:rFonts w:hint="eastAsia" w:cs="Times New Roman"/>
                      <w:color w:val="auto"/>
                      <w:lang w:val="en-US" w:eastAsia="zh-CN"/>
                    </w:rPr>
                    <w:t>3811型</w:t>
                  </w:r>
                </w:p>
              </w:tc>
              <w:tc>
                <w:tcPr>
                  <w:tcW w:w="615" w:type="pct"/>
                  <w:vAlign w:val="center"/>
                </w:tcPr>
                <w:p w14:paraId="2ECBB395">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0</w:t>
                  </w:r>
                </w:p>
              </w:tc>
              <w:tc>
                <w:tcPr>
                  <w:tcW w:w="615" w:type="pct"/>
                  <w:vAlign w:val="center"/>
                </w:tcPr>
                <w:p w14:paraId="4DD96604">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1</w:t>
                  </w:r>
                </w:p>
              </w:tc>
              <w:tc>
                <w:tcPr>
                  <w:tcW w:w="615" w:type="pct"/>
                  <w:vAlign w:val="center"/>
                </w:tcPr>
                <w:p w14:paraId="3F487078">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+1</w:t>
                  </w:r>
                </w:p>
              </w:tc>
              <w:tc>
                <w:tcPr>
                  <w:tcW w:w="360" w:type="pct"/>
                  <w:vAlign w:val="center"/>
                </w:tcPr>
                <w:p w14:paraId="0DE99BA0">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台</w:t>
                  </w:r>
                </w:p>
              </w:tc>
            </w:tr>
            <w:tr w14:paraId="2038C9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453" w:type="pct"/>
                  <w:vMerge w:val="continue"/>
                  <w:vAlign w:val="center"/>
                </w:tcPr>
                <w:p w14:paraId="55D36731">
                  <w:pPr>
                    <w:keepNext w:val="0"/>
                    <w:keepLines w:val="0"/>
                    <w:suppressLineNumbers w:val="0"/>
                    <w:spacing w:before="0" w:beforeAutospacing="0" w:after="0" w:afterAutospacing="0"/>
                    <w:ind w:left="0" w:right="0"/>
                    <w:jc w:val="center"/>
                  </w:pPr>
                </w:p>
              </w:tc>
              <w:tc>
                <w:tcPr>
                  <w:tcW w:w="1254" w:type="pct"/>
                  <w:vAlign w:val="center"/>
                </w:tcPr>
                <w:p w14:paraId="51E45E94">
                  <w:pPr>
                    <w:keepNext w:val="0"/>
                    <w:keepLines w:val="0"/>
                    <w:suppressLineNumbers w:val="0"/>
                    <w:spacing w:before="0" w:beforeAutospacing="0" w:after="0" w:afterAutospacing="0"/>
                    <w:ind w:left="0" w:right="0"/>
                    <w:jc w:val="center"/>
                    <w:rPr>
                      <w:rFonts w:hint="eastAsia" w:cs="Times New Roman"/>
                      <w:color w:val="auto"/>
                      <w:lang w:val="en-US" w:eastAsia="zh-CN"/>
                    </w:rPr>
                  </w:pPr>
                  <w:r>
                    <w:rPr>
                      <w:rFonts w:hint="eastAsia" w:cs="Times New Roman"/>
                      <w:color w:val="auto"/>
                      <w:lang w:val="en-US" w:eastAsia="zh-CN"/>
                    </w:rPr>
                    <w:t>锤式破碎机</w:t>
                  </w:r>
                </w:p>
              </w:tc>
              <w:tc>
                <w:tcPr>
                  <w:tcW w:w="1085" w:type="pct"/>
                  <w:vAlign w:val="center"/>
                </w:tcPr>
                <w:p w14:paraId="63AF9A81">
                  <w:pPr>
                    <w:keepNext w:val="0"/>
                    <w:keepLines w:val="0"/>
                    <w:suppressLineNumbers w:val="0"/>
                    <w:spacing w:before="0" w:beforeAutospacing="0" w:after="0" w:afterAutospacing="0"/>
                    <w:ind w:left="0" w:right="0"/>
                    <w:jc w:val="center"/>
                    <w:rPr>
                      <w:rFonts w:hint="eastAsia" w:cs="Times New Roman"/>
                      <w:color w:val="auto"/>
                      <w:lang w:val="en-US" w:eastAsia="zh-CN"/>
                    </w:rPr>
                  </w:pPr>
                  <w:r>
                    <w:rPr>
                      <w:rFonts w:hint="eastAsia" w:cs="Times New Roman"/>
                      <w:color w:val="auto"/>
                      <w:lang w:val="en-US" w:eastAsia="zh-CN"/>
                    </w:rPr>
                    <w:t>400*600</w:t>
                  </w:r>
                </w:p>
              </w:tc>
              <w:tc>
                <w:tcPr>
                  <w:tcW w:w="615" w:type="pct"/>
                  <w:vAlign w:val="center"/>
                </w:tcPr>
                <w:p w14:paraId="6C317FEE">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0</w:t>
                  </w:r>
                </w:p>
              </w:tc>
              <w:tc>
                <w:tcPr>
                  <w:tcW w:w="615" w:type="pct"/>
                  <w:vAlign w:val="center"/>
                </w:tcPr>
                <w:p w14:paraId="17533887">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1</w:t>
                  </w:r>
                </w:p>
              </w:tc>
              <w:tc>
                <w:tcPr>
                  <w:tcW w:w="615" w:type="pct"/>
                  <w:vAlign w:val="center"/>
                </w:tcPr>
                <w:p w14:paraId="1871DFA9">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+1</w:t>
                  </w:r>
                </w:p>
              </w:tc>
              <w:tc>
                <w:tcPr>
                  <w:tcW w:w="360" w:type="pct"/>
                  <w:vAlign w:val="center"/>
                </w:tcPr>
                <w:p w14:paraId="2871C187">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台</w:t>
                  </w:r>
                </w:p>
              </w:tc>
            </w:tr>
            <w:tr w14:paraId="4D8A2D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453" w:type="pct"/>
                  <w:vMerge w:val="continue"/>
                  <w:vAlign w:val="center"/>
                </w:tcPr>
                <w:p w14:paraId="35E6AF15">
                  <w:pPr>
                    <w:keepNext w:val="0"/>
                    <w:keepLines w:val="0"/>
                    <w:suppressLineNumbers w:val="0"/>
                    <w:spacing w:before="0" w:beforeAutospacing="0" w:after="0" w:afterAutospacing="0"/>
                    <w:ind w:left="0" w:right="0"/>
                    <w:jc w:val="center"/>
                    <w:rPr>
                      <w:rFonts w:hint="eastAsia" w:cs="Times New Roman"/>
                      <w:color w:val="auto"/>
                      <w:lang w:val="en-US" w:eastAsia="zh-CN"/>
                    </w:rPr>
                  </w:pPr>
                </w:p>
              </w:tc>
              <w:tc>
                <w:tcPr>
                  <w:tcW w:w="1254" w:type="pct"/>
                  <w:vAlign w:val="center"/>
                </w:tcPr>
                <w:p w14:paraId="2326A4BB">
                  <w:pPr>
                    <w:keepNext w:val="0"/>
                    <w:keepLines w:val="0"/>
                    <w:suppressLineNumbers w:val="0"/>
                    <w:spacing w:before="0" w:beforeAutospacing="0" w:after="0" w:afterAutospacing="0"/>
                    <w:ind w:left="0" w:right="0"/>
                    <w:jc w:val="center"/>
                    <w:rPr>
                      <w:rFonts w:hint="eastAsia" w:cs="Times New Roman"/>
                      <w:color w:val="auto"/>
                      <w:lang w:val="en-US" w:eastAsia="zh-CN"/>
                    </w:rPr>
                  </w:pPr>
                  <w:r>
                    <w:rPr>
                      <w:rFonts w:hint="eastAsia" w:cs="Times New Roman"/>
                      <w:color w:val="auto"/>
                      <w:lang w:val="en-US" w:eastAsia="zh-CN"/>
                    </w:rPr>
                    <w:t>颚式破碎机</w:t>
                  </w:r>
                </w:p>
              </w:tc>
              <w:tc>
                <w:tcPr>
                  <w:tcW w:w="1085" w:type="pct"/>
                  <w:vAlign w:val="center"/>
                </w:tcPr>
                <w:p w14:paraId="1AE71E1F">
                  <w:pPr>
                    <w:keepNext w:val="0"/>
                    <w:keepLines w:val="0"/>
                    <w:suppressLineNumbers w:val="0"/>
                    <w:spacing w:before="0" w:beforeAutospacing="0" w:after="0" w:afterAutospacing="0"/>
                    <w:ind w:left="0" w:right="0"/>
                    <w:jc w:val="center"/>
                    <w:rPr>
                      <w:rFonts w:hint="eastAsia" w:cs="Times New Roman"/>
                      <w:color w:val="auto"/>
                      <w:lang w:val="en-US" w:eastAsia="zh-CN"/>
                    </w:rPr>
                  </w:pPr>
                  <w:r>
                    <w:rPr>
                      <w:rFonts w:hint="eastAsia" w:cs="Times New Roman"/>
                      <w:color w:val="auto"/>
                      <w:lang w:val="en-US" w:eastAsia="zh-CN"/>
                    </w:rPr>
                    <w:t>600*600</w:t>
                  </w:r>
                </w:p>
              </w:tc>
              <w:tc>
                <w:tcPr>
                  <w:tcW w:w="615" w:type="pct"/>
                  <w:vAlign w:val="center"/>
                </w:tcPr>
                <w:p w14:paraId="2F566FC2">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1</w:t>
                  </w:r>
                </w:p>
              </w:tc>
              <w:tc>
                <w:tcPr>
                  <w:tcW w:w="615" w:type="pct"/>
                  <w:vAlign w:val="center"/>
                </w:tcPr>
                <w:p w14:paraId="539077DE">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2</w:t>
                  </w:r>
                </w:p>
              </w:tc>
              <w:tc>
                <w:tcPr>
                  <w:tcW w:w="615" w:type="pct"/>
                  <w:vAlign w:val="center"/>
                </w:tcPr>
                <w:p w14:paraId="511F0E59">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+1</w:t>
                  </w:r>
                </w:p>
              </w:tc>
              <w:tc>
                <w:tcPr>
                  <w:tcW w:w="360" w:type="pct"/>
                  <w:vAlign w:val="center"/>
                </w:tcPr>
                <w:p w14:paraId="42EF11FC">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台</w:t>
                  </w:r>
                </w:p>
              </w:tc>
            </w:tr>
            <w:tr w14:paraId="1FD1F9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453" w:type="pct"/>
                  <w:vMerge w:val="continue"/>
                  <w:vAlign w:val="center"/>
                </w:tcPr>
                <w:p w14:paraId="529AEF68">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p>
              </w:tc>
              <w:tc>
                <w:tcPr>
                  <w:tcW w:w="1254" w:type="pct"/>
                  <w:vAlign w:val="center"/>
                </w:tcPr>
                <w:p w14:paraId="283E047D">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cs="Times New Roman"/>
                      <w:color w:val="auto"/>
                      <w:lang w:val="en-US" w:eastAsia="zh-CN"/>
                    </w:rPr>
                    <w:t>送料皮带传送机</w:t>
                  </w:r>
                </w:p>
              </w:tc>
              <w:tc>
                <w:tcPr>
                  <w:tcW w:w="1085" w:type="pct"/>
                  <w:vAlign w:val="center"/>
                </w:tcPr>
                <w:p w14:paraId="70803736">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15kW</w:t>
                  </w:r>
                </w:p>
              </w:tc>
              <w:tc>
                <w:tcPr>
                  <w:tcW w:w="615" w:type="pct"/>
                  <w:vAlign w:val="center"/>
                </w:tcPr>
                <w:p w14:paraId="7B6DF1B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lang w:val="en-US" w:eastAsia="zh-CN"/>
                    </w:rPr>
                  </w:pPr>
                  <w:r>
                    <w:rPr>
                      <w:rFonts w:hint="eastAsia" w:cs="Times New Roman"/>
                      <w:color w:val="auto"/>
                      <w:lang w:val="en-US" w:eastAsia="zh-CN"/>
                    </w:rPr>
                    <w:t>1</w:t>
                  </w:r>
                </w:p>
              </w:tc>
              <w:tc>
                <w:tcPr>
                  <w:tcW w:w="615" w:type="pct"/>
                  <w:vAlign w:val="center"/>
                </w:tcPr>
                <w:p w14:paraId="6AC8E33D">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1</w:t>
                  </w:r>
                </w:p>
              </w:tc>
              <w:tc>
                <w:tcPr>
                  <w:tcW w:w="615" w:type="pct"/>
                  <w:vAlign w:val="center"/>
                </w:tcPr>
                <w:p w14:paraId="4589F6E8">
                  <w:pPr>
                    <w:keepNext w:val="0"/>
                    <w:keepLines w:val="0"/>
                    <w:suppressLineNumbers w:val="0"/>
                    <w:spacing w:before="0" w:beforeAutospacing="0" w:after="0" w:afterAutospacing="0"/>
                    <w:ind w:left="0" w:leftChars="0" w:right="0" w:rightChars="0"/>
                    <w:jc w:val="center"/>
                    <w:rPr>
                      <w:rFonts w:hint="default" w:cs="Times New Roman"/>
                      <w:color w:val="auto"/>
                      <w:lang w:val="en-US" w:eastAsia="zh-CN"/>
                    </w:rPr>
                  </w:pPr>
                  <w:r>
                    <w:rPr>
                      <w:rFonts w:hint="eastAsia" w:cs="Times New Roman"/>
                      <w:color w:val="auto"/>
                      <w:lang w:val="en-US" w:eastAsia="zh-CN"/>
                    </w:rPr>
                    <w:t>+0</w:t>
                  </w:r>
                </w:p>
              </w:tc>
              <w:tc>
                <w:tcPr>
                  <w:tcW w:w="360" w:type="pct"/>
                  <w:vAlign w:val="center"/>
                </w:tcPr>
                <w:p w14:paraId="159868C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lang w:val="en-US" w:eastAsia="zh-CN"/>
                    </w:rPr>
                  </w:pPr>
                  <w:r>
                    <w:rPr>
                      <w:rFonts w:hint="eastAsia" w:cs="Times New Roman"/>
                      <w:color w:val="auto"/>
                      <w:lang w:val="en-US" w:eastAsia="zh-CN"/>
                    </w:rPr>
                    <w:t>套</w:t>
                  </w:r>
                </w:p>
              </w:tc>
            </w:tr>
            <w:tr w14:paraId="17D37F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453" w:type="pct"/>
                  <w:vMerge w:val="continue"/>
                  <w:vAlign w:val="center"/>
                </w:tcPr>
                <w:p w14:paraId="2CF64A23">
                  <w:pPr>
                    <w:keepNext w:val="0"/>
                    <w:keepLines w:val="0"/>
                    <w:suppressLineNumbers w:val="0"/>
                    <w:spacing w:before="0" w:beforeAutospacing="0" w:after="0" w:afterAutospacing="0"/>
                    <w:ind w:left="0" w:right="0"/>
                    <w:jc w:val="center"/>
                  </w:pPr>
                </w:p>
              </w:tc>
              <w:tc>
                <w:tcPr>
                  <w:tcW w:w="1254" w:type="pct"/>
                  <w:vAlign w:val="center"/>
                </w:tcPr>
                <w:p w14:paraId="2805AE19">
                  <w:pPr>
                    <w:keepNext w:val="0"/>
                    <w:keepLines w:val="0"/>
                    <w:suppressLineNumbers w:val="0"/>
                    <w:spacing w:before="0" w:beforeAutospacing="0" w:after="0" w:afterAutospacing="0"/>
                    <w:ind w:left="0" w:right="0"/>
                    <w:jc w:val="center"/>
                    <w:rPr>
                      <w:rFonts w:hint="eastAsia" w:cs="Times New Roman"/>
                      <w:color w:val="auto"/>
                      <w:lang w:val="en-US" w:eastAsia="zh-CN"/>
                    </w:rPr>
                  </w:pPr>
                  <w:r>
                    <w:rPr>
                      <w:rFonts w:hint="eastAsia" w:cs="Times New Roman"/>
                      <w:color w:val="auto"/>
                      <w:lang w:val="en-US" w:eastAsia="zh-CN"/>
                    </w:rPr>
                    <w:t>选粉机</w:t>
                  </w:r>
                </w:p>
              </w:tc>
              <w:tc>
                <w:tcPr>
                  <w:tcW w:w="1085" w:type="pct"/>
                  <w:vAlign w:val="center"/>
                </w:tcPr>
                <w:p w14:paraId="043FCCBD">
                  <w:pPr>
                    <w:keepNext w:val="0"/>
                    <w:keepLines w:val="0"/>
                    <w:suppressLineNumbers w:val="0"/>
                    <w:spacing w:before="0" w:beforeAutospacing="0" w:after="0" w:afterAutospacing="0"/>
                    <w:ind w:left="0" w:right="0"/>
                    <w:jc w:val="center"/>
                    <w:rPr>
                      <w:rFonts w:hint="eastAsia" w:cs="Times New Roman"/>
                      <w:color w:val="auto"/>
                      <w:lang w:val="en-US" w:eastAsia="zh-CN"/>
                    </w:rPr>
                  </w:pPr>
                  <w:r>
                    <w:rPr>
                      <w:rFonts w:hint="eastAsia" w:cs="Times New Roman"/>
                      <w:color w:val="auto"/>
                      <w:lang w:val="en-US" w:eastAsia="zh-CN"/>
                    </w:rPr>
                    <w:t>30—40t</w:t>
                  </w:r>
                </w:p>
              </w:tc>
              <w:tc>
                <w:tcPr>
                  <w:tcW w:w="615" w:type="pct"/>
                  <w:vAlign w:val="center"/>
                </w:tcPr>
                <w:p w14:paraId="170511E5">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0</w:t>
                  </w:r>
                </w:p>
              </w:tc>
              <w:tc>
                <w:tcPr>
                  <w:tcW w:w="615" w:type="pct"/>
                  <w:vAlign w:val="center"/>
                </w:tcPr>
                <w:p w14:paraId="3856F2AD">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1</w:t>
                  </w:r>
                </w:p>
              </w:tc>
              <w:tc>
                <w:tcPr>
                  <w:tcW w:w="615" w:type="pct"/>
                  <w:vAlign w:val="center"/>
                </w:tcPr>
                <w:p w14:paraId="793ABC41">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+1</w:t>
                  </w:r>
                </w:p>
              </w:tc>
              <w:tc>
                <w:tcPr>
                  <w:tcW w:w="360" w:type="pct"/>
                  <w:vAlign w:val="center"/>
                </w:tcPr>
                <w:p w14:paraId="1F34747A">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台</w:t>
                  </w:r>
                </w:p>
              </w:tc>
            </w:tr>
            <w:tr w14:paraId="3BD017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453" w:type="pct"/>
                  <w:vMerge w:val="continue"/>
                  <w:vAlign w:val="center"/>
                </w:tcPr>
                <w:p w14:paraId="61E5211F">
                  <w:pPr>
                    <w:keepNext w:val="0"/>
                    <w:keepLines w:val="0"/>
                    <w:suppressLineNumbers w:val="0"/>
                    <w:spacing w:before="0" w:beforeAutospacing="0" w:after="0" w:afterAutospacing="0"/>
                    <w:ind w:left="0" w:leftChars="0" w:right="0" w:rightChars="0"/>
                    <w:jc w:val="center"/>
                  </w:pPr>
                </w:p>
              </w:tc>
              <w:tc>
                <w:tcPr>
                  <w:tcW w:w="1254" w:type="pct"/>
                  <w:vAlign w:val="center"/>
                </w:tcPr>
                <w:p w14:paraId="6A544A02">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方形摇摆筛</w:t>
                  </w:r>
                </w:p>
              </w:tc>
              <w:tc>
                <w:tcPr>
                  <w:tcW w:w="1085" w:type="pct"/>
                  <w:vAlign w:val="center"/>
                </w:tcPr>
                <w:p w14:paraId="1E26919B">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2036-10p</w:t>
                  </w:r>
                </w:p>
              </w:tc>
              <w:tc>
                <w:tcPr>
                  <w:tcW w:w="615" w:type="pct"/>
                  <w:vAlign w:val="center"/>
                </w:tcPr>
                <w:p w14:paraId="771DBAB0">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0</w:t>
                  </w:r>
                </w:p>
              </w:tc>
              <w:tc>
                <w:tcPr>
                  <w:tcW w:w="615" w:type="pct"/>
                  <w:vAlign w:val="center"/>
                </w:tcPr>
                <w:p w14:paraId="7DFAB194">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1</w:t>
                  </w:r>
                </w:p>
              </w:tc>
              <w:tc>
                <w:tcPr>
                  <w:tcW w:w="615" w:type="pct"/>
                  <w:vAlign w:val="center"/>
                </w:tcPr>
                <w:p w14:paraId="3FA19036">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+1</w:t>
                  </w:r>
                </w:p>
              </w:tc>
              <w:tc>
                <w:tcPr>
                  <w:tcW w:w="360" w:type="pct"/>
                  <w:vAlign w:val="center"/>
                </w:tcPr>
                <w:p w14:paraId="1ECCAD46">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台</w:t>
                  </w:r>
                </w:p>
              </w:tc>
            </w:tr>
            <w:tr w14:paraId="1730F6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453" w:type="pct"/>
                  <w:vMerge w:val="continue"/>
                  <w:vAlign w:val="center"/>
                </w:tcPr>
                <w:p w14:paraId="5F66EE7F">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p>
              </w:tc>
              <w:tc>
                <w:tcPr>
                  <w:tcW w:w="1254" w:type="pct"/>
                  <w:vAlign w:val="center"/>
                </w:tcPr>
                <w:p w14:paraId="177C99BC">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方形摇摆筛</w:t>
                  </w:r>
                </w:p>
              </w:tc>
              <w:tc>
                <w:tcPr>
                  <w:tcW w:w="1085" w:type="pct"/>
                  <w:vAlign w:val="center"/>
                </w:tcPr>
                <w:p w14:paraId="0224DA35">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2036-8p</w:t>
                  </w:r>
                </w:p>
              </w:tc>
              <w:tc>
                <w:tcPr>
                  <w:tcW w:w="615" w:type="pct"/>
                  <w:vAlign w:val="center"/>
                </w:tcPr>
                <w:p w14:paraId="50A6E6D7">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0</w:t>
                  </w:r>
                </w:p>
              </w:tc>
              <w:tc>
                <w:tcPr>
                  <w:tcW w:w="615" w:type="pct"/>
                  <w:vAlign w:val="center"/>
                </w:tcPr>
                <w:p w14:paraId="335B863F">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2</w:t>
                  </w:r>
                </w:p>
              </w:tc>
              <w:tc>
                <w:tcPr>
                  <w:tcW w:w="615" w:type="pct"/>
                  <w:vAlign w:val="center"/>
                </w:tcPr>
                <w:p w14:paraId="5AA80BE8">
                  <w:pPr>
                    <w:keepNext w:val="0"/>
                    <w:keepLines w:val="0"/>
                    <w:suppressLineNumbers w:val="0"/>
                    <w:spacing w:before="0" w:beforeAutospacing="0" w:after="0" w:afterAutospacing="0"/>
                    <w:ind w:left="0" w:leftChars="0" w:right="0" w:rightChars="0"/>
                    <w:jc w:val="center"/>
                    <w:rPr>
                      <w:rFonts w:hint="default" w:cs="Times New Roman"/>
                      <w:color w:val="auto"/>
                      <w:lang w:val="en-US" w:eastAsia="zh-CN"/>
                    </w:rPr>
                  </w:pPr>
                  <w:r>
                    <w:rPr>
                      <w:rFonts w:hint="eastAsia" w:cs="Times New Roman"/>
                      <w:color w:val="auto"/>
                      <w:lang w:val="en-US" w:eastAsia="zh-CN"/>
                    </w:rPr>
                    <w:t>+2</w:t>
                  </w:r>
                </w:p>
              </w:tc>
              <w:tc>
                <w:tcPr>
                  <w:tcW w:w="360" w:type="pct"/>
                  <w:vAlign w:val="center"/>
                </w:tcPr>
                <w:p w14:paraId="5C115556">
                  <w:pPr>
                    <w:keepNext w:val="0"/>
                    <w:keepLines w:val="0"/>
                    <w:suppressLineNumbers w:val="0"/>
                    <w:spacing w:before="0" w:beforeAutospacing="0" w:after="0" w:afterAutospacing="0"/>
                    <w:ind w:left="0" w:leftChars="0" w:right="0" w:rightChars="0"/>
                    <w:jc w:val="center"/>
                    <w:rPr>
                      <w:rFonts w:hint="default" w:cs="Times New Roman"/>
                      <w:color w:val="auto"/>
                      <w:lang w:val="en-US" w:eastAsia="zh-CN"/>
                    </w:rPr>
                  </w:pPr>
                  <w:r>
                    <w:rPr>
                      <w:rFonts w:hint="eastAsia" w:cs="Times New Roman"/>
                      <w:color w:val="auto"/>
                      <w:lang w:val="en-US" w:eastAsia="zh-CN"/>
                    </w:rPr>
                    <w:t>台</w:t>
                  </w:r>
                </w:p>
              </w:tc>
            </w:tr>
            <w:tr w14:paraId="0A21E9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453" w:type="pct"/>
                  <w:vMerge w:val="continue"/>
                  <w:vAlign w:val="center"/>
                </w:tcPr>
                <w:p w14:paraId="3C0913D3">
                  <w:pPr>
                    <w:keepNext w:val="0"/>
                    <w:keepLines w:val="0"/>
                    <w:suppressLineNumbers w:val="0"/>
                    <w:spacing w:before="0" w:beforeAutospacing="0" w:after="0" w:afterAutospacing="0"/>
                    <w:ind w:left="0" w:leftChars="0" w:right="0" w:rightChars="0"/>
                    <w:jc w:val="center"/>
                  </w:pPr>
                </w:p>
              </w:tc>
              <w:tc>
                <w:tcPr>
                  <w:tcW w:w="1254" w:type="pct"/>
                  <w:vAlign w:val="center"/>
                </w:tcPr>
                <w:p w14:paraId="527BF1C8">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原料罐</w:t>
                  </w:r>
                </w:p>
              </w:tc>
              <w:tc>
                <w:tcPr>
                  <w:tcW w:w="1085" w:type="pct"/>
                  <w:vAlign w:val="center"/>
                </w:tcPr>
                <w:p w14:paraId="6173F8B3">
                  <w:pPr>
                    <w:keepNext w:val="0"/>
                    <w:keepLines w:val="0"/>
                    <w:suppressLineNumbers w:val="0"/>
                    <w:spacing w:before="0" w:beforeAutospacing="0" w:after="0" w:afterAutospacing="0"/>
                    <w:ind w:left="0" w:leftChars="0" w:right="0" w:rightChars="0"/>
                    <w:jc w:val="center"/>
                    <w:rPr>
                      <w:rFonts w:hint="default" w:cs="Times New Roman"/>
                      <w:color w:val="auto"/>
                      <w:lang w:val="en-US" w:eastAsia="zh-CN"/>
                    </w:rPr>
                  </w:pPr>
                  <w:r>
                    <w:rPr>
                      <w:rFonts w:hint="eastAsia" w:cs="Times New Roman"/>
                      <w:color w:val="auto"/>
                      <w:lang w:val="en-US" w:eastAsia="zh-CN"/>
                    </w:rPr>
                    <w:t>/</w:t>
                  </w:r>
                </w:p>
              </w:tc>
              <w:tc>
                <w:tcPr>
                  <w:tcW w:w="615" w:type="pct"/>
                  <w:vAlign w:val="center"/>
                </w:tcPr>
                <w:p w14:paraId="14B93BE9">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0</w:t>
                  </w:r>
                </w:p>
              </w:tc>
              <w:tc>
                <w:tcPr>
                  <w:tcW w:w="615" w:type="pct"/>
                  <w:vAlign w:val="center"/>
                </w:tcPr>
                <w:p w14:paraId="170160AD">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6</w:t>
                  </w:r>
                </w:p>
              </w:tc>
              <w:tc>
                <w:tcPr>
                  <w:tcW w:w="615" w:type="pct"/>
                  <w:vAlign w:val="center"/>
                </w:tcPr>
                <w:p w14:paraId="673CDD8F">
                  <w:pPr>
                    <w:keepNext w:val="0"/>
                    <w:keepLines w:val="0"/>
                    <w:suppressLineNumbers w:val="0"/>
                    <w:spacing w:before="0" w:beforeAutospacing="0" w:after="0" w:afterAutospacing="0"/>
                    <w:ind w:left="0" w:leftChars="0" w:right="0" w:rightChars="0"/>
                    <w:jc w:val="center"/>
                    <w:rPr>
                      <w:rFonts w:hint="default" w:cs="Times New Roman"/>
                      <w:color w:val="auto"/>
                      <w:lang w:val="en-US" w:eastAsia="zh-CN"/>
                    </w:rPr>
                  </w:pPr>
                  <w:r>
                    <w:rPr>
                      <w:rFonts w:hint="eastAsia" w:cs="Times New Roman"/>
                      <w:color w:val="auto"/>
                      <w:lang w:val="en-US" w:eastAsia="zh-CN"/>
                    </w:rPr>
                    <w:t>+6</w:t>
                  </w:r>
                </w:p>
              </w:tc>
              <w:tc>
                <w:tcPr>
                  <w:tcW w:w="360" w:type="pct"/>
                  <w:vAlign w:val="center"/>
                </w:tcPr>
                <w:p w14:paraId="62758210">
                  <w:pPr>
                    <w:keepNext w:val="0"/>
                    <w:keepLines w:val="0"/>
                    <w:suppressLineNumbers w:val="0"/>
                    <w:spacing w:before="0" w:beforeAutospacing="0" w:after="0" w:afterAutospacing="0"/>
                    <w:ind w:left="0" w:leftChars="0" w:right="0" w:rightChars="0"/>
                    <w:jc w:val="center"/>
                    <w:rPr>
                      <w:rFonts w:hint="default" w:cs="Times New Roman"/>
                      <w:color w:val="auto"/>
                      <w:lang w:val="en-US" w:eastAsia="zh-CN"/>
                    </w:rPr>
                  </w:pPr>
                  <w:r>
                    <w:rPr>
                      <w:rFonts w:hint="eastAsia" w:cs="Times New Roman"/>
                      <w:color w:val="auto"/>
                      <w:lang w:val="en-US" w:eastAsia="zh-CN"/>
                    </w:rPr>
                    <w:t>罐</w:t>
                  </w:r>
                </w:p>
              </w:tc>
            </w:tr>
            <w:tr w14:paraId="267815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726BB579">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配料系统</w:t>
                  </w:r>
                </w:p>
              </w:tc>
              <w:tc>
                <w:tcPr>
                  <w:tcW w:w="1254" w:type="pct"/>
                  <w:vAlign w:val="center"/>
                </w:tcPr>
                <w:p w14:paraId="27990FD1">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自动称量料斗</w:t>
                  </w:r>
                </w:p>
              </w:tc>
              <w:tc>
                <w:tcPr>
                  <w:tcW w:w="1085" w:type="pct"/>
                  <w:vAlign w:val="center"/>
                </w:tcPr>
                <w:p w14:paraId="1CDB8CC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lang w:val="en-US" w:eastAsia="zh-CN"/>
                    </w:rPr>
                  </w:pPr>
                  <w:r>
                    <w:rPr>
                      <w:rFonts w:hint="eastAsia" w:cs="Times New Roman"/>
                      <w:color w:val="auto"/>
                      <w:lang w:val="en-US" w:eastAsia="zh-CN"/>
                    </w:rPr>
                    <w:t>2835*2120型</w:t>
                  </w:r>
                </w:p>
              </w:tc>
              <w:tc>
                <w:tcPr>
                  <w:tcW w:w="615" w:type="pct"/>
                  <w:vAlign w:val="center"/>
                </w:tcPr>
                <w:p w14:paraId="6DBEA09B">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w:t>
                  </w:r>
                </w:p>
              </w:tc>
              <w:tc>
                <w:tcPr>
                  <w:tcW w:w="615" w:type="pct"/>
                  <w:vAlign w:val="center"/>
                </w:tcPr>
                <w:p w14:paraId="13CF3312">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w:t>
                  </w:r>
                </w:p>
              </w:tc>
              <w:tc>
                <w:tcPr>
                  <w:tcW w:w="615" w:type="pct"/>
                  <w:vAlign w:val="center"/>
                </w:tcPr>
                <w:p w14:paraId="4FCC122D">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455E36B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r>
            <w:tr w14:paraId="20F65F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restart"/>
                  <w:vAlign w:val="center"/>
                </w:tcPr>
                <w:p w14:paraId="3D8C7980">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输送系统</w:t>
                  </w:r>
                </w:p>
              </w:tc>
              <w:tc>
                <w:tcPr>
                  <w:tcW w:w="1254" w:type="pct"/>
                  <w:vAlign w:val="center"/>
                </w:tcPr>
                <w:p w14:paraId="423D9441">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主搅拌机送料皮带输送机</w:t>
                  </w:r>
                </w:p>
              </w:tc>
              <w:tc>
                <w:tcPr>
                  <w:tcW w:w="1085" w:type="pct"/>
                  <w:vAlign w:val="center"/>
                </w:tcPr>
                <w:p w14:paraId="5388D44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lang w:val="en-US" w:eastAsia="zh-CN"/>
                    </w:rPr>
                  </w:pPr>
                  <w:r>
                    <w:rPr>
                      <w:rFonts w:hint="eastAsia" w:cs="Times New Roman"/>
                      <w:color w:val="auto"/>
                      <w:lang w:val="en-US" w:eastAsia="zh-CN"/>
                    </w:rPr>
                    <w:t>15kW</w:t>
                  </w:r>
                </w:p>
              </w:tc>
              <w:tc>
                <w:tcPr>
                  <w:tcW w:w="615" w:type="pct"/>
                  <w:vAlign w:val="center"/>
                </w:tcPr>
                <w:p w14:paraId="3B4C0D56">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69E61054">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5527D7F1">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40C4BA3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r>
            <w:tr w14:paraId="0507BC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052E9BA2">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1A938C87">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多色搅拌机送料皮带输机</w:t>
                  </w:r>
                </w:p>
              </w:tc>
              <w:tc>
                <w:tcPr>
                  <w:tcW w:w="1085" w:type="pct"/>
                  <w:vAlign w:val="center"/>
                </w:tcPr>
                <w:p w14:paraId="62F47C2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lang w:val="en-US" w:eastAsia="zh-CN"/>
                    </w:rPr>
                  </w:pPr>
                  <w:r>
                    <w:rPr>
                      <w:rFonts w:hint="eastAsia" w:cs="Times New Roman"/>
                      <w:color w:val="auto"/>
                      <w:lang w:val="en-US" w:eastAsia="zh-CN"/>
                    </w:rPr>
                    <w:t>22kW</w:t>
                  </w:r>
                </w:p>
              </w:tc>
              <w:tc>
                <w:tcPr>
                  <w:tcW w:w="615" w:type="pct"/>
                  <w:vAlign w:val="center"/>
                </w:tcPr>
                <w:p w14:paraId="11713405">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238C2CFC">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2AB65847">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641C091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r>
            <w:tr w14:paraId="3F2C14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262DDEBC">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5C2F8265">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多色搅拌机送料横皮带输机</w:t>
                  </w:r>
                </w:p>
              </w:tc>
              <w:tc>
                <w:tcPr>
                  <w:tcW w:w="1085" w:type="pct"/>
                  <w:vAlign w:val="center"/>
                </w:tcPr>
                <w:p w14:paraId="7915BCC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lang w:val="en-US" w:eastAsia="zh-CN"/>
                    </w:rPr>
                  </w:pPr>
                  <w:r>
                    <w:rPr>
                      <w:rFonts w:hint="eastAsia" w:cs="Times New Roman"/>
                      <w:color w:val="auto"/>
                      <w:lang w:val="en-US" w:eastAsia="zh-CN"/>
                    </w:rPr>
                    <w:t>5.5kW</w:t>
                  </w:r>
                </w:p>
              </w:tc>
              <w:tc>
                <w:tcPr>
                  <w:tcW w:w="615" w:type="pct"/>
                  <w:vAlign w:val="center"/>
                </w:tcPr>
                <w:p w14:paraId="3F4FE9CC">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1E9FC85E">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52A50767">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1AB6D49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r>
            <w:tr w14:paraId="74DCF6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72A04450">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3B341508">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多色搅拌机送料行走皮带输机</w:t>
                  </w:r>
                </w:p>
              </w:tc>
              <w:tc>
                <w:tcPr>
                  <w:tcW w:w="1085" w:type="pct"/>
                  <w:vAlign w:val="center"/>
                </w:tcPr>
                <w:p w14:paraId="0AF65E8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lang w:val="en-US" w:eastAsia="zh-CN"/>
                    </w:rPr>
                  </w:pPr>
                  <w:r>
                    <w:rPr>
                      <w:rFonts w:hint="eastAsia" w:cs="Times New Roman"/>
                      <w:color w:val="auto"/>
                      <w:lang w:val="en-US" w:eastAsia="zh-CN"/>
                    </w:rPr>
                    <w:t>2.2KW</w:t>
                  </w:r>
                </w:p>
              </w:tc>
              <w:tc>
                <w:tcPr>
                  <w:tcW w:w="615" w:type="pct"/>
                  <w:vAlign w:val="center"/>
                </w:tcPr>
                <w:p w14:paraId="12B29C84">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660C79A2">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0E8D6E49">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0E7CCA1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r>
            <w:tr w14:paraId="15B331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7354BFB8">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49E46CF6">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多色搅拌机下料皮带输机</w:t>
                  </w:r>
                </w:p>
              </w:tc>
              <w:tc>
                <w:tcPr>
                  <w:tcW w:w="1085" w:type="pct"/>
                  <w:vAlign w:val="center"/>
                </w:tcPr>
                <w:p w14:paraId="3CF1636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lang w:val="en-US" w:eastAsia="zh-CN"/>
                    </w:rPr>
                  </w:pPr>
                  <w:r>
                    <w:rPr>
                      <w:rFonts w:hint="eastAsia" w:cs="Times New Roman"/>
                      <w:color w:val="auto"/>
                      <w:lang w:val="en-US" w:eastAsia="zh-CN"/>
                    </w:rPr>
                    <w:t>3kW</w:t>
                  </w:r>
                </w:p>
              </w:tc>
              <w:tc>
                <w:tcPr>
                  <w:tcW w:w="615" w:type="pct"/>
                  <w:vAlign w:val="center"/>
                </w:tcPr>
                <w:p w14:paraId="6D55E02D">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2B6D5C08">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6C668722">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41D272A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r>
            <w:tr w14:paraId="63B2BF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453" w:type="pct"/>
                  <w:vMerge w:val="continue"/>
                  <w:vAlign w:val="center"/>
                </w:tcPr>
                <w:p w14:paraId="1C041F82">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408F7487">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转角皮带输送机</w:t>
                  </w:r>
                </w:p>
              </w:tc>
              <w:tc>
                <w:tcPr>
                  <w:tcW w:w="1085" w:type="pct"/>
                  <w:vAlign w:val="center"/>
                </w:tcPr>
                <w:p w14:paraId="5BBB2A9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lang w:val="en-US" w:eastAsia="zh-CN"/>
                    </w:rPr>
                  </w:pPr>
                  <w:r>
                    <w:rPr>
                      <w:rFonts w:hint="eastAsia" w:cs="Times New Roman"/>
                      <w:color w:val="auto"/>
                      <w:lang w:val="en-US" w:eastAsia="zh-CN"/>
                    </w:rPr>
                    <w:t>3kW</w:t>
                  </w:r>
                </w:p>
              </w:tc>
              <w:tc>
                <w:tcPr>
                  <w:tcW w:w="615" w:type="pct"/>
                  <w:vAlign w:val="center"/>
                </w:tcPr>
                <w:p w14:paraId="38B7CA65">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3B56E4B1">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41FFE75E">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5695D90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r>
            <w:tr w14:paraId="7C6259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453" w:type="pct"/>
                  <w:vMerge w:val="continue"/>
                  <w:vAlign w:val="center"/>
                </w:tcPr>
                <w:p w14:paraId="083CCC45">
                  <w:pPr>
                    <w:keepNext w:val="0"/>
                    <w:keepLines w:val="0"/>
                    <w:suppressLineNumbers w:val="0"/>
                    <w:spacing w:before="0" w:beforeAutospacing="0" w:after="0" w:afterAutospacing="0"/>
                    <w:ind w:left="0" w:right="0"/>
                    <w:jc w:val="center"/>
                  </w:pPr>
                </w:p>
              </w:tc>
              <w:tc>
                <w:tcPr>
                  <w:tcW w:w="1254" w:type="pct"/>
                  <w:vAlign w:val="center"/>
                </w:tcPr>
                <w:p w14:paraId="53EB6518">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色选机</w:t>
                  </w:r>
                </w:p>
              </w:tc>
              <w:tc>
                <w:tcPr>
                  <w:tcW w:w="1085" w:type="pct"/>
                  <w:vAlign w:val="center"/>
                </w:tcPr>
                <w:p w14:paraId="692603B0">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cs="Times New Roman"/>
                      <w:color w:val="auto"/>
                      <w:lang w:val="en-US" w:eastAsia="zh-CN"/>
                    </w:rPr>
                    <w:t>/</w:t>
                  </w:r>
                </w:p>
              </w:tc>
              <w:tc>
                <w:tcPr>
                  <w:tcW w:w="615" w:type="pct"/>
                  <w:vAlign w:val="center"/>
                </w:tcPr>
                <w:p w14:paraId="454CC88E">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615" w:type="pct"/>
                  <w:vAlign w:val="center"/>
                </w:tcPr>
                <w:p w14:paraId="1800C37B">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6ECBC7CE">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+1</w:t>
                  </w:r>
                </w:p>
              </w:tc>
              <w:tc>
                <w:tcPr>
                  <w:tcW w:w="360" w:type="pct"/>
                  <w:vAlign w:val="center"/>
                </w:tcPr>
                <w:p w14:paraId="77B7A437">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台</w:t>
                  </w:r>
                </w:p>
              </w:tc>
            </w:tr>
            <w:tr w14:paraId="06C68D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453" w:type="pct"/>
                  <w:vMerge w:val="continue"/>
                  <w:vAlign w:val="center"/>
                </w:tcPr>
                <w:p w14:paraId="1A36DE37">
                  <w:pPr>
                    <w:keepNext w:val="0"/>
                    <w:keepLines w:val="0"/>
                    <w:suppressLineNumbers w:val="0"/>
                    <w:spacing w:before="0" w:beforeAutospacing="0" w:after="0" w:afterAutospacing="0"/>
                    <w:ind w:left="0" w:right="0"/>
                    <w:jc w:val="center"/>
                  </w:pPr>
                </w:p>
              </w:tc>
              <w:tc>
                <w:tcPr>
                  <w:tcW w:w="1254" w:type="pct"/>
                  <w:vAlign w:val="center"/>
                </w:tcPr>
                <w:p w14:paraId="079CCC74">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提升机</w:t>
                  </w:r>
                </w:p>
              </w:tc>
              <w:tc>
                <w:tcPr>
                  <w:tcW w:w="1085" w:type="pct"/>
                  <w:vAlign w:val="center"/>
                </w:tcPr>
                <w:p w14:paraId="2F1C8E42">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NE100-22.5</w:t>
                  </w:r>
                  <w:r>
                    <w:rPr>
                      <w:rFonts w:hint="eastAsia" w:cs="Times New Roman"/>
                      <w:color w:val="auto"/>
                      <w:lang w:val="en-US" w:eastAsia="zh-CN"/>
                    </w:rPr>
                    <w:t>米</w:t>
                  </w:r>
                </w:p>
              </w:tc>
              <w:tc>
                <w:tcPr>
                  <w:tcW w:w="615" w:type="pct"/>
                  <w:vAlign w:val="center"/>
                </w:tcPr>
                <w:p w14:paraId="5AA788EA">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615" w:type="pct"/>
                  <w:vAlign w:val="center"/>
                </w:tcPr>
                <w:p w14:paraId="07FD871D">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7477FB3F">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+1</w:t>
                  </w:r>
                </w:p>
              </w:tc>
              <w:tc>
                <w:tcPr>
                  <w:tcW w:w="360" w:type="pct"/>
                  <w:vAlign w:val="center"/>
                </w:tcPr>
                <w:p w14:paraId="62727379">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台</w:t>
                  </w:r>
                </w:p>
              </w:tc>
            </w:tr>
            <w:tr w14:paraId="7A1D47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453" w:type="pct"/>
                  <w:vMerge w:val="continue"/>
                  <w:vAlign w:val="center"/>
                </w:tcPr>
                <w:p w14:paraId="320B3829">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1F2F4F05">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提升机</w:t>
                  </w:r>
                </w:p>
              </w:tc>
              <w:tc>
                <w:tcPr>
                  <w:tcW w:w="1085" w:type="pct"/>
                  <w:vAlign w:val="center"/>
                </w:tcPr>
                <w:p w14:paraId="1BA5953D">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NE15-17.5米</w:t>
                  </w:r>
                </w:p>
              </w:tc>
              <w:tc>
                <w:tcPr>
                  <w:tcW w:w="615" w:type="pct"/>
                  <w:vAlign w:val="center"/>
                </w:tcPr>
                <w:p w14:paraId="18F611D5">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615" w:type="pct"/>
                  <w:vAlign w:val="center"/>
                </w:tcPr>
                <w:p w14:paraId="029FB8D7">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6BCAE36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+1</w:t>
                  </w:r>
                </w:p>
              </w:tc>
              <w:tc>
                <w:tcPr>
                  <w:tcW w:w="360" w:type="pct"/>
                  <w:vAlign w:val="center"/>
                </w:tcPr>
                <w:p w14:paraId="7364F420">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台</w:t>
                  </w:r>
                </w:p>
              </w:tc>
            </w:tr>
            <w:tr w14:paraId="1CE04D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453" w:type="pct"/>
                  <w:vMerge w:val="continue"/>
                  <w:vAlign w:val="center"/>
                </w:tcPr>
                <w:p w14:paraId="21652469">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50BD2FBC">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提升机</w:t>
                  </w:r>
                </w:p>
              </w:tc>
              <w:tc>
                <w:tcPr>
                  <w:tcW w:w="1085" w:type="pct"/>
                  <w:vAlign w:val="center"/>
                </w:tcPr>
                <w:p w14:paraId="6463D90E">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NE50-14米</w:t>
                  </w:r>
                </w:p>
              </w:tc>
              <w:tc>
                <w:tcPr>
                  <w:tcW w:w="615" w:type="pct"/>
                  <w:vAlign w:val="center"/>
                </w:tcPr>
                <w:p w14:paraId="56D54928">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615" w:type="pct"/>
                  <w:vAlign w:val="center"/>
                </w:tcPr>
                <w:p w14:paraId="38A57724">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3</w:t>
                  </w:r>
                </w:p>
              </w:tc>
              <w:tc>
                <w:tcPr>
                  <w:tcW w:w="615" w:type="pct"/>
                  <w:vAlign w:val="center"/>
                </w:tcPr>
                <w:p w14:paraId="0B140785">
                  <w:pPr>
                    <w:keepNext w:val="0"/>
                    <w:keepLines w:val="0"/>
                    <w:suppressLineNumbers w:val="0"/>
                    <w:spacing w:before="0" w:beforeAutospacing="0" w:after="0" w:afterAutospacing="0"/>
                    <w:ind w:left="0" w:leftChars="0" w:right="0" w:rightChars="0"/>
                    <w:jc w:val="center"/>
                    <w:rPr>
                      <w:rFonts w:hint="default" w:cs="Times New Roman"/>
                      <w:color w:val="auto"/>
                      <w:lang w:val="en-US" w:eastAsia="zh-CN"/>
                    </w:rPr>
                  </w:pPr>
                  <w:r>
                    <w:rPr>
                      <w:rFonts w:hint="eastAsia" w:cs="Times New Roman"/>
                      <w:color w:val="auto"/>
                      <w:lang w:val="en-US" w:eastAsia="zh-CN"/>
                    </w:rPr>
                    <w:t>+3</w:t>
                  </w:r>
                </w:p>
              </w:tc>
              <w:tc>
                <w:tcPr>
                  <w:tcW w:w="360" w:type="pct"/>
                  <w:vAlign w:val="center"/>
                </w:tcPr>
                <w:p w14:paraId="73A110B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台</w:t>
                  </w:r>
                </w:p>
              </w:tc>
            </w:tr>
            <w:tr w14:paraId="7284D9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453" w:type="pct"/>
                  <w:vMerge w:val="continue"/>
                  <w:vAlign w:val="center"/>
                </w:tcPr>
                <w:p w14:paraId="05EAC8A2">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217472D9">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提升机</w:t>
                  </w:r>
                </w:p>
              </w:tc>
              <w:tc>
                <w:tcPr>
                  <w:tcW w:w="1085" w:type="pct"/>
                  <w:vAlign w:val="center"/>
                </w:tcPr>
                <w:p w14:paraId="67CF2606">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NE50-13米</w:t>
                  </w:r>
                </w:p>
              </w:tc>
              <w:tc>
                <w:tcPr>
                  <w:tcW w:w="615" w:type="pct"/>
                  <w:vAlign w:val="center"/>
                </w:tcPr>
                <w:p w14:paraId="459AB769">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615" w:type="pct"/>
                  <w:vAlign w:val="center"/>
                </w:tcPr>
                <w:p w14:paraId="01132A5C">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30697EA2">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+1</w:t>
                  </w:r>
                </w:p>
              </w:tc>
              <w:tc>
                <w:tcPr>
                  <w:tcW w:w="360" w:type="pct"/>
                  <w:vAlign w:val="center"/>
                </w:tcPr>
                <w:p w14:paraId="51C38117">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台</w:t>
                  </w:r>
                </w:p>
              </w:tc>
            </w:tr>
            <w:tr w14:paraId="15946C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453" w:type="pct"/>
                  <w:vMerge w:val="restart"/>
                  <w:vAlign w:val="center"/>
                </w:tcPr>
                <w:p w14:paraId="0469CC57">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除尘系统</w:t>
                  </w:r>
                </w:p>
              </w:tc>
              <w:tc>
                <w:tcPr>
                  <w:tcW w:w="1254" w:type="pct"/>
                  <w:vAlign w:val="center"/>
                </w:tcPr>
                <w:p w14:paraId="327BD68D">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电子脉冲式</w:t>
                  </w:r>
                  <w:r>
                    <w:rPr>
                      <w:rFonts w:hint="eastAsia" w:ascii="Times New Roman" w:hAnsi="Times New Roman" w:cs="Times New Roman"/>
                      <w:color w:val="0000FF"/>
                      <w:lang w:val="en-US" w:eastAsia="zh-CN"/>
                    </w:rPr>
                    <w:t>除尘器</w:t>
                  </w:r>
                </w:p>
              </w:tc>
              <w:tc>
                <w:tcPr>
                  <w:tcW w:w="1085" w:type="pct"/>
                  <w:vAlign w:val="center"/>
                </w:tcPr>
                <w:p w14:paraId="465D2760">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160袋</w:t>
                  </w:r>
                </w:p>
              </w:tc>
              <w:tc>
                <w:tcPr>
                  <w:tcW w:w="615" w:type="pct"/>
                  <w:vAlign w:val="center"/>
                </w:tcPr>
                <w:p w14:paraId="2C432ABF">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2</w:t>
                  </w:r>
                </w:p>
              </w:tc>
              <w:tc>
                <w:tcPr>
                  <w:tcW w:w="615" w:type="pct"/>
                  <w:vAlign w:val="center"/>
                </w:tcPr>
                <w:p w14:paraId="2E0AF96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lang w:val="en-US" w:eastAsia="zh-CN"/>
                    </w:rPr>
                  </w:pPr>
                  <w:r>
                    <w:rPr>
                      <w:rFonts w:hint="eastAsia" w:cs="Times New Roman"/>
                      <w:color w:val="auto"/>
                      <w:lang w:val="en-US" w:eastAsia="zh-CN"/>
                    </w:rPr>
                    <w:t>1</w:t>
                  </w:r>
                </w:p>
              </w:tc>
              <w:tc>
                <w:tcPr>
                  <w:tcW w:w="615" w:type="pct"/>
                  <w:shd w:val="clear" w:color="auto" w:fill="auto"/>
                  <w:vAlign w:val="center"/>
                </w:tcPr>
                <w:p w14:paraId="4B5F694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-1</w:t>
                  </w:r>
                </w:p>
              </w:tc>
              <w:tc>
                <w:tcPr>
                  <w:tcW w:w="360" w:type="pct"/>
                  <w:vAlign w:val="center"/>
                </w:tcPr>
                <w:p w14:paraId="506BEC1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r>
            <w:tr w14:paraId="5201E6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453" w:type="pct"/>
                  <w:vMerge w:val="continue"/>
                  <w:vAlign w:val="center"/>
                </w:tcPr>
                <w:p w14:paraId="50E9BDFE">
                  <w:pPr>
                    <w:keepNext w:val="0"/>
                    <w:keepLines w:val="0"/>
                    <w:suppressLineNumbers w:val="0"/>
                    <w:spacing w:before="0" w:beforeAutospacing="0" w:after="0" w:afterAutospacing="0"/>
                    <w:ind w:left="0" w:right="0"/>
                    <w:jc w:val="center"/>
                  </w:pPr>
                </w:p>
              </w:tc>
              <w:tc>
                <w:tcPr>
                  <w:tcW w:w="1254" w:type="pct"/>
                  <w:vAlign w:val="center"/>
                </w:tcPr>
                <w:p w14:paraId="09B95096">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电子脉冲式</w:t>
                  </w:r>
                  <w:r>
                    <w:rPr>
                      <w:rFonts w:hint="eastAsia" w:ascii="Times New Roman" w:hAnsi="Times New Roman" w:cs="Times New Roman"/>
                      <w:color w:val="0000FF"/>
                      <w:lang w:val="en-US" w:eastAsia="zh-CN"/>
                    </w:rPr>
                    <w:t>除尘器</w:t>
                  </w:r>
                </w:p>
              </w:tc>
              <w:tc>
                <w:tcPr>
                  <w:tcW w:w="1085" w:type="pct"/>
                  <w:vAlign w:val="center"/>
                </w:tcPr>
                <w:p w14:paraId="69960C22">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cs="Times New Roman"/>
                      <w:color w:val="auto"/>
                      <w:lang w:val="en-US" w:eastAsia="zh-CN"/>
                    </w:rPr>
                    <w:t>MC-80</w:t>
                  </w:r>
                </w:p>
              </w:tc>
              <w:tc>
                <w:tcPr>
                  <w:tcW w:w="615" w:type="pct"/>
                  <w:vAlign w:val="center"/>
                </w:tcPr>
                <w:p w14:paraId="39DE4571">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615" w:type="pct"/>
                  <w:vAlign w:val="center"/>
                </w:tcPr>
                <w:p w14:paraId="62DB6AEB">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shd w:val="clear" w:color="auto" w:fill="auto"/>
                  <w:vAlign w:val="center"/>
                </w:tcPr>
                <w:p w14:paraId="5331CF5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+1</w:t>
                  </w:r>
                </w:p>
              </w:tc>
              <w:tc>
                <w:tcPr>
                  <w:tcW w:w="360" w:type="pct"/>
                  <w:vAlign w:val="center"/>
                </w:tcPr>
                <w:p w14:paraId="5C231276">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r>
            <w:tr w14:paraId="40DABD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453" w:type="pct"/>
                  <w:vMerge w:val="continue"/>
                  <w:vAlign w:val="center"/>
                </w:tcPr>
                <w:p w14:paraId="16530CAC">
                  <w:pPr>
                    <w:keepNext w:val="0"/>
                    <w:keepLines w:val="0"/>
                    <w:suppressLineNumbers w:val="0"/>
                    <w:spacing w:before="0" w:beforeAutospacing="0" w:after="0" w:afterAutospacing="0"/>
                    <w:ind w:left="0" w:right="0"/>
                    <w:jc w:val="center"/>
                  </w:pPr>
                </w:p>
              </w:tc>
              <w:tc>
                <w:tcPr>
                  <w:tcW w:w="1254" w:type="pct"/>
                  <w:vAlign w:val="center"/>
                </w:tcPr>
                <w:p w14:paraId="5CC44CB5">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电子脉冲式</w:t>
                  </w:r>
                  <w:r>
                    <w:rPr>
                      <w:rFonts w:hint="eastAsia" w:ascii="Times New Roman" w:hAnsi="Times New Roman" w:cs="Times New Roman"/>
                      <w:color w:val="0000FF"/>
                      <w:lang w:val="en-US" w:eastAsia="zh-CN"/>
                    </w:rPr>
                    <w:t>除尘器</w:t>
                  </w:r>
                </w:p>
              </w:tc>
              <w:tc>
                <w:tcPr>
                  <w:tcW w:w="1085" w:type="pct"/>
                  <w:vAlign w:val="center"/>
                </w:tcPr>
                <w:p w14:paraId="24006881">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cs="Times New Roman"/>
                      <w:color w:val="auto"/>
                      <w:lang w:val="en-US" w:eastAsia="zh-CN"/>
                    </w:rPr>
                    <w:t>MC-150</w:t>
                  </w:r>
                </w:p>
              </w:tc>
              <w:tc>
                <w:tcPr>
                  <w:tcW w:w="615" w:type="pct"/>
                  <w:vAlign w:val="center"/>
                </w:tcPr>
                <w:p w14:paraId="577AA671">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615" w:type="pct"/>
                  <w:vAlign w:val="center"/>
                </w:tcPr>
                <w:p w14:paraId="749D3A78">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638EAED6">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+1</w:t>
                  </w:r>
                </w:p>
              </w:tc>
              <w:tc>
                <w:tcPr>
                  <w:tcW w:w="360" w:type="pct"/>
                  <w:vAlign w:val="center"/>
                </w:tcPr>
                <w:p w14:paraId="7B63E2F1">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r>
            <w:tr w14:paraId="6EF1D6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453" w:type="pct"/>
                  <w:vMerge w:val="continue"/>
                  <w:vAlign w:val="center"/>
                </w:tcPr>
                <w:p w14:paraId="0C28A6F7">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2FF6B9D6">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电子脉冲式</w:t>
                  </w:r>
                  <w:r>
                    <w:rPr>
                      <w:rFonts w:hint="eastAsia" w:ascii="Times New Roman" w:hAnsi="Times New Roman" w:cs="Times New Roman"/>
                      <w:color w:val="0000FF"/>
                      <w:lang w:val="en-US" w:eastAsia="zh-CN"/>
                    </w:rPr>
                    <w:t>除尘器</w:t>
                  </w:r>
                </w:p>
              </w:tc>
              <w:tc>
                <w:tcPr>
                  <w:tcW w:w="1085" w:type="pct"/>
                  <w:vAlign w:val="center"/>
                </w:tcPr>
                <w:p w14:paraId="5C012331">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cs="Times New Roman"/>
                      <w:color w:val="auto"/>
                      <w:lang w:val="en-US" w:eastAsia="zh-CN"/>
                    </w:rPr>
                    <w:t>MC-200</w:t>
                  </w:r>
                </w:p>
              </w:tc>
              <w:tc>
                <w:tcPr>
                  <w:tcW w:w="615" w:type="pct"/>
                  <w:vAlign w:val="center"/>
                </w:tcPr>
                <w:p w14:paraId="4F96AA2F">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615" w:type="pct"/>
                  <w:vAlign w:val="center"/>
                </w:tcPr>
                <w:p w14:paraId="41D587A7">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22AC854E">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+1</w:t>
                  </w:r>
                </w:p>
              </w:tc>
              <w:tc>
                <w:tcPr>
                  <w:tcW w:w="360" w:type="pct"/>
                  <w:vAlign w:val="center"/>
                </w:tcPr>
                <w:p w14:paraId="1D4BD0AC">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r>
            <w:tr w14:paraId="38EBAA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453" w:type="pct"/>
                  <w:vMerge w:val="continue"/>
                  <w:vAlign w:val="center"/>
                </w:tcPr>
                <w:p w14:paraId="5FDAA794">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13525801">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电子脉冲式</w:t>
                  </w:r>
                  <w:r>
                    <w:rPr>
                      <w:rFonts w:hint="eastAsia" w:ascii="Times New Roman" w:hAnsi="Times New Roman" w:cs="Times New Roman"/>
                      <w:color w:val="0000FF"/>
                      <w:lang w:val="en-US" w:eastAsia="zh-CN"/>
                    </w:rPr>
                    <w:t>除尘器</w:t>
                  </w:r>
                </w:p>
              </w:tc>
              <w:tc>
                <w:tcPr>
                  <w:tcW w:w="1085" w:type="pct"/>
                  <w:vAlign w:val="center"/>
                </w:tcPr>
                <w:p w14:paraId="3C8C0E78">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cs="Times New Roman"/>
                      <w:color w:val="auto"/>
                      <w:lang w:val="en-US" w:eastAsia="zh-CN"/>
                    </w:rPr>
                    <w:t>MC-220</w:t>
                  </w:r>
                </w:p>
              </w:tc>
              <w:tc>
                <w:tcPr>
                  <w:tcW w:w="615" w:type="pct"/>
                  <w:vAlign w:val="center"/>
                </w:tcPr>
                <w:p w14:paraId="148AE507">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615" w:type="pct"/>
                  <w:vAlign w:val="center"/>
                </w:tcPr>
                <w:p w14:paraId="5DBF531F">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07A82918">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+1</w:t>
                  </w:r>
                </w:p>
              </w:tc>
              <w:tc>
                <w:tcPr>
                  <w:tcW w:w="360" w:type="pct"/>
                  <w:vAlign w:val="center"/>
                </w:tcPr>
                <w:p w14:paraId="1A195D74">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r>
            <w:tr w14:paraId="1A2BC0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6507B061">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621DE41C">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离式风机</w:t>
                  </w:r>
                </w:p>
              </w:tc>
              <w:tc>
                <w:tcPr>
                  <w:tcW w:w="1085" w:type="pct"/>
                  <w:vAlign w:val="center"/>
                </w:tcPr>
                <w:p w14:paraId="05044585">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22kW</w:t>
                  </w:r>
                </w:p>
              </w:tc>
              <w:tc>
                <w:tcPr>
                  <w:tcW w:w="615" w:type="pct"/>
                  <w:vAlign w:val="center"/>
                </w:tcPr>
                <w:p w14:paraId="4403FF80">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w:t>
                  </w:r>
                </w:p>
              </w:tc>
              <w:tc>
                <w:tcPr>
                  <w:tcW w:w="615" w:type="pct"/>
                  <w:vAlign w:val="center"/>
                </w:tcPr>
                <w:p w14:paraId="3AFEFA18">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w:t>
                  </w:r>
                </w:p>
              </w:tc>
              <w:tc>
                <w:tcPr>
                  <w:tcW w:w="615" w:type="pct"/>
                  <w:vAlign w:val="center"/>
                </w:tcPr>
                <w:p w14:paraId="04E3B3D5">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452B2F0B">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个</w:t>
                  </w:r>
                </w:p>
              </w:tc>
            </w:tr>
            <w:tr w14:paraId="171DF9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6520730A">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571C39F3">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除尘管道</w:t>
                  </w:r>
                </w:p>
              </w:tc>
              <w:tc>
                <w:tcPr>
                  <w:tcW w:w="1085" w:type="pct"/>
                  <w:vAlign w:val="center"/>
                </w:tcPr>
                <w:p w14:paraId="706EB428">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600A</w:t>
                  </w:r>
                </w:p>
              </w:tc>
              <w:tc>
                <w:tcPr>
                  <w:tcW w:w="615" w:type="pct"/>
                  <w:vAlign w:val="center"/>
                </w:tcPr>
                <w:p w14:paraId="1C50EBA8">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w:t>
                  </w:r>
                </w:p>
              </w:tc>
              <w:tc>
                <w:tcPr>
                  <w:tcW w:w="615" w:type="pct"/>
                  <w:vAlign w:val="center"/>
                </w:tcPr>
                <w:p w14:paraId="2D293B7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w:t>
                  </w:r>
                </w:p>
              </w:tc>
              <w:tc>
                <w:tcPr>
                  <w:tcW w:w="615" w:type="pct"/>
                  <w:vAlign w:val="center"/>
                </w:tcPr>
                <w:p w14:paraId="6FBA0585">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2B045D6E">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r>
            <w:tr w14:paraId="166411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4A408BAA">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001C3FEE">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单色搅拌机除尘罩</w:t>
                  </w:r>
                </w:p>
              </w:tc>
              <w:tc>
                <w:tcPr>
                  <w:tcW w:w="1085" w:type="pct"/>
                  <w:vAlign w:val="center"/>
                </w:tcPr>
                <w:p w14:paraId="3028E6D8">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1000A</w:t>
                  </w:r>
                </w:p>
              </w:tc>
              <w:tc>
                <w:tcPr>
                  <w:tcW w:w="615" w:type="pct"/>
                  <w:vAlign w:val="center"/>
                </w:tcPr>
                <w:p w14:paraId="2B25C2B6">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1E3BAF1A">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0ED5ECFA">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49CB8EA7">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r>
            <w:tr w14:paraId="4A1D8E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06F16CEC">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4309A106">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多色搅拌机除尘罩</w:t>
                  </w:r>
                </w:p>
              </w:tc>
              <w:tc>
                <w:tcPr>
                  <w:tcW w:w="1085" w:type="pct"/>
                  <w:vAlign w:val="center"/>
                </w:tcPr>
                <w:p w14:paraId="594CA056">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1400A</w:t>
                  </w:r>
                </w:p>
              </w:tc>
              <w:tc>
                <w:tcPr>
                  <w:tcW w:w="615" w:type="pct"/>
                  <w:vAlign w:val="center"/>
                </w:tcPr>
                <w:p w14:paraId="760A2DF6">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47C6C8C4">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2EED22B1">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2146531F">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r>
            <w:tr w14:paraId="272387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restart"/>
                  <w:vAlign w:val="center"/>
                </w:tcPr>
                <w:p w14:paraId="45666624">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主搅拌系统</w:t>
                  </w:r>
                </w:p>
              </w:tc>
              <w:tc>
                <w:tcPr>
                  <w:tcW w:w="1254" w:type="pct"/>
                  <w:vAlign w:val="center"/>
                </w:tcPr>
                <w:p w14:paraId="0CBB93E3">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卧式双轴式搅拌机</w:t>
                  </w:r>
                </w:p>
              </w:tc>
              <w:tc>
                <w:tcPr>
                  <w:tcW w:w="1085" w:type="pct"/>
                  <w:vAlign w:val="center"/>
                </w:tcPr>
                <w:p w14:paraId="28ADA06C">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9方</w:t>
                  </w:r>
                </w:p>
              </w:tc>
              <w:tc>
                <w:tcPr>
                  <w:tcW w:w="615" w:type="pct"/>
                  <w:vAlign w:val="center"/>
                </w:tcPr>
                <w:p w14:paraId="642E176D">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269AD18C">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7C6F8B8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798B9E0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个</w:t>
                  </w:r>
                </w:p>
              </w:tc>
            </w:tr>
            <w:tr w14:paraId="68B5B1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4ABC4512">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2FF742D7">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行星减速机</w:t>
                  </w:r>
                </w:p>
              </w:tc>
              <w:tc>
                <w:tcPr>
                  <w:tcW w:w="1085" w:type="pct"/>
                  <w:vAlign w:val="center"/>
                </w:tcPr>
                <w:p w14:paraId="78F10CE5">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NBZD630-56-IV</w:t>
                  </w:r>
                </w:p>
              </w:tc>
              <w:tc>
                <w:tcPr>
                  <w:tcW w:w="615" w:type="pct"/>
                  <w:vAlign w:val="center"/>
                </w:tcPr>
                <w:p w14:paraId="221BD728">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w:t>
                  </w:r>
                </w:p>
              </w:tc>
              <w:tc>
                <w:tcPr>
                  <w:tcW w:w="615" w:type="pct"/>
                  <w:vAlign w:val="center"/>
                </w:tcPr>
                <w:p w14:paraId="27581924">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w:t>
                  </w:r>
                </w:p>
              </w:tc>
              <w:tc>
                <w:tcPr>
                  <w:tcW w:w="615" w:type="pct"/>
                  <w:vAlign w:val="center"/>
                </w:tcPr>
                <w:p w14:paraId="684EFF7B">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6BD02DFC">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台</w:t>
                  </w:r>
                </w:p>
              </w:tc>
            </w:tr>
            <w:tr w14:paraId="51A161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2F201B35">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3061E215">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电机</w:t>
                  </w:r>
                </w:p>
              </w:tc>
              <w:tc>
                <w:tcPr>
                  <w:tcW w:w="1085" w:type="pct"/>
                  <w:vAlign w:val="center"/>
                </w:tcPr>
                <w:p w14:paraId="63EF0D8E">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132kW</w:t>
                  </w:r>
                </w:p>
              </w:tc>
              <w:tc>
                <w:tcPr>
                  <w:tcW w:w="615" w:type="pct"/>
                  <w:vAlign w:val="center"/>
                </w:tcPr>
                <w:p w14:paraId="7C19DFC7">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w:t>
                  </w:r>
                </w:p>
              </w:tc>
              <w:tc>
                <w:tcPr>
                  <w:tcW w:w="615" w:type="pct"/>
                  <w:vAlign w:val="center"/>
                </w:tcPr>
                <w:p w14:paraId="6D6E519C">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w:t>
                  </w:r>
                </w:p>
              </w:tc>
              <w:tc>
                <w:tcPr>
                  <w:tcW w:w="615" w:type="pct"/>
                  <w:vAlign w:val="center"/>
                </w:tcPr>
                <w:p w14:paraId="2817388D">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60F6A624">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台</w:t>
                  </w:r>
                </w:p>
              </w:tc>
            </w:tr>
            <w:tr w14:paraId="1AA85C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521A5C2A">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649566A9">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布料室</w:t>
                  </w:r>
                </w:p>
              </w:tc>
              <w:tc>
                <w:tcPr>
                  <w:tcW w:w="1085" w:type="pct"/>
                  <w:vAlign w:val="center"/>
                </w:tcPr>
                <w:p w14:paraId="340AC82A">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3300*7200</w:t>
                  </w:r>
                </w:p>
              </w:tc>
              <w:tc>
                <w:tcPr>
                  <w:tcW w:w="615" w:type="pct"/>
                  <w:vAlign w:val="center"/>
                </w:tcPr>
                <w:p w14:paraId="4AE04374">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439973C6">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05646FF5">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612CF15E">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个</w:t>
                  </w:r>
                </w:p>
              </w:tc>
            </w:tr>
            <w:tr w14:paraId="2BC57E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2A9FBE4B">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40E8A6B8">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自动称重式树脂桶</w:t>
                  </w:r>
                </w:p>
              </w:tc>
              <w:tc>
                <w:tcPr>
                  <w:tcW w:w="1085" w:type="pct"/>
                  <w:vAlign w:val="center"/>
                </w:tcPr>
                <w:p w14:paraId="5207DFEE">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2T</w:t>
                  </w:r>
                </w:p>
              </w:tc>
              <w:tc>
                <w:tcPr>
                  <w:tcW w:w="615" w:type="pct"/>
                  <w:vAlign w:val="center"/>
                </w:tcPr>
                <w:p w14:paraId="484D13CE">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6E0D97C7">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4998CF10">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6A20D12D">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r>
            <w:tr w14:paraId="624F27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61CB2C6F">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6D6EDA4D">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端门</w:t>
                  </w:r>
                </w:p>
              </w:tc>
              <w:tc>
                <w:tcPr>
                  <w:tcW w:w="1085" w:type="pct"/>
                  <w:vAlign w:val="center"/>
                </w:tcPr>
                <w:p w14:paraId="54B52680">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9000A</w:t>
                  </w:r>
                </w:p>
              </w:tc>
              <w:tc>
                <w:tcPr>
                  <w:tcW w:w="615" w:type="pct"/>
                  <w:vAlign w:val="center"/>
                </w:tcPr>
                <w:p w14:paraId="5838567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426B558C">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4E7EA5BD">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4928BCC5">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个</w:t>
                  </w:r>
                </w:p>
              </w:tc>
            </w:tr>
            <w:tr w14:paraId="136EDF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616A5806">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367379F2">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顶门及电机</w:t>
                  </w:r>
                </w:p>
              </w:tc>
              <w:tc>
                <w:tcPr>
                  <w:tcW w:w="1085" w:type="pct"/>
                  <w:vAlign w:val="center"/>
                </w:tcPr>
                <w:p w14:paraId="24045C15">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3kW</w:t>
                  </w:r>
                </w:p>
              </w:tc>
              <w:tc>
                <w:tcPr>
                  <w:tcW w:w="615" w:type="pct"/>
                  <w:vAlign w:val="center"/>
                </w:tcPr>
                <w:p w14:paraId="0998D431">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7B01F3AF">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3EAADB39">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01997FB7">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个</w:t>
                  </w:r>
                </w:p>
              </w:tc>
            </w:tr>
            <w:tr w14:paraId="3FFD8D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2401B1D3">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01BB0F3F">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平台及支架</w:t>
                  </w:r>
                </w:p>
              </w:tc>
              <w:tc>
                <w:tcPr>
                  <w:tcW w:w="1085" w:type="pct"/>
                  <w:vAlign w:val="center"/>
                </w:tcPr>
                <w:p w14:paraId="30E46846">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2730*1830*1200型</w:t>
                  </w:r>
                </w:p>
              </w:tc>
              <w:tc>
                <w:tcPr>
                  <w:tcW w:w="615" w:type="pct"/>
                  <w:vAlign w:val="center"/>
                </w:tcPr>
                <w:p w14:paraId="1B317FD4">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59E853DA">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5BDB14FC">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36EA3D02">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r>
            <w:tr w14:paraId="6DD65A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restart"/>
                  <w:vAlign w:val="center"/>
                </w:tcPr>
                <w:p w14:paraId="6F7415F0">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多色搅拌系统</w:t>
                  </w:r>
                </w:p>
              </w:tc>
              <w:tc>
                <w:tcPr>
                  <w:tcW w:w="1254" w:type="pct"/>
                  <w:vAlign w:val="center"/>
                </w:tcPr>
                <w:p w14:paraId="3F27F5FE">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0.5立方单色搅拌机及平台</w:t>
                  </w:r>
                </w:p>
              </w:tc>
              <w:tc>
                <w:tcPr>
                  <w:tcW w:w="1085" w:type="pct"/>
                  <w:vAlign w:val="center"/>
                </w:tcPr>
                <w:p w14:paraId="23AD3891">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15kW</w:t>
                  </w:r>
                </w:p>
              </w:tc>
              <w:tc>
                <w:tcPr>
                  <w:tcW w:w="615" w:type="pct"/>
                  <w:vAlign w:val="center"/>
                </w:tcPr>
                <w:p w14:paraId="4BD7BC1F">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0A431EB0">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06123889">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4679D337">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台</w:t>
                  </w:r>
                </w:p>
              </w:tc>
            </w:tr>
            <w:tr w14:paraId="6FA617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68D6D615">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1CBEFB8D">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0.5立方单色搅拌机树脂称重、搅拌系统</w:t>
                  </w:r>
                </w:p>
              </w:tc>
              <w:tc>
                <w:tcPr>
                  <w:tcW w:w="1085" w:type="pct"/>
                  <w:vAlign w:val="center"/>
                </w:tcPr>
                <w:p w14:paraId="0F612CAA">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0.2T</w:t>
                  </w:r>
                </w:p>
              </w:tc>
              <w:tc>
                <w:tcPr>
                  <w:tcW w:w="615" w:type="pct"/>
                  <w:vAlign w:val="center"/>
                </w:tcPr>
                <w:p w14:paraId="38D0EE6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45514125">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6B998212">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48F0D19C">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r>
            <w:tr w14:paraId="2B0F6F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5ED1FC75">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48555F51">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1立方单色搅拌机及平台</w:t>
                  </w:r>
                </w:p>
              </w:tc>
              <w:tc>
                <w:tcPr>
                  <w:tcW w:w="1085" w:type="pct"/>
                  <w:vAlign w:val="center"/>
                </w:tcPr>
                <w:p w14:paraId="1DADEAEA">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22kW</w:t>
                  </w:r>
                </w:p>
              </w:tc>
              <w:tc>
                <w:tcPr>
                  <w:tcW w:w="615" w:type="pct"/>
                  <w:vAlign w:val="center"/>
                </w:tcPr>
                <w:p w14:paraId="7DE78A5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1DF35B14">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4DCB259D">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734A540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台</w:t>
                  </w:r>
                </w:p>
              </w:tc>
            </w:tr>
            <w:tr w14:paraId="390672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69C69022">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2082840F">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1立方单色搅拌机树脂称重、搅拌系统</w:t>
                  </w:r>
                </w:p>
              </w:tc>
              <w:tc>
                <w:tcPr>
                  <w:tcW w:w="1085" w:type="pct"/>
                  <w:vAlign w:val="center"/>
                </w:tcPr>
                <w:p w14:paraId="44C9B4CE">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0.5t</w:t>
                  </w:r>
                </w:p>
              </w:tc>
              <w:tc>
                <w:tcPr>
                  <w:tcW w:w="615" w:type="pct"/>
                  <w:vAlign w:val="center"/>
                </w:tcPr>
                <w:p w14:paraId="65F316B6">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04577089">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4FE482AA">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27571EA0">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r>
            <w:tr w14:paraId="4DDA09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3D12D6F6">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20144389">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2立方单色搅拌机及平台</w:t>
                  </w:r>
                </w:p>
              </w:tc>
              <w:tc>
                <w:tcPr>
                  <w:tcW w:w="1085" w:type="pct"/>
                  <w:vAlign w:val="center"/>
                </w:tcPr>
                <w:p w14:paraId="2A7C8BE6">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35kW</w:t>
                  </w:r>
                </w:p>
              </w:tc>
              <w:tc>
                <w:tcPr>
                  <w:tcW w:w="615" w:type="pct"/>
                  <w:vAlign w:val="center"/>
                </w:tcPr>
                <w:p w14:paraId="5958B1DE">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26ED46E4">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391E3C41">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75ECA851">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台</w:t>
                  </w:r>
                </w:p>
              </w:tc>
            </w:tr>
            <w:tr w14:paraId="7C2A2E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6D15B941">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736B6F60">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2立方单色搅拌机树脂称重、搅拌系统</w:t>
                  </w:r>
                </w:p>
              </w:tc>
              <w:tc>
                <w:tcPr>
                  <w:tcW w:w="1085" w:type="pct"/>
                  <w:vAlign w:val="center"/>
                </w:tcPr>
                <w:p w14:paraId="53A8F05E">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1T</w:t>
                  </w:r>
                </w:p>
              </w:tc>
              <w:tc>
                <w:tcPr>
                  <w:tcW w:w="615" w:type="pct"/>
                  <w:vAlign w:val="center"/>
                </w:tcPr>
                <w:p w14:paraId="7072E739">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3FB7581A">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6199B6E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5B41828C">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r>
            <w:tr w14:paraId="73AC46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21B2C65D">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6E60329A">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3立方卧式双轴式搅拌机及平台</w:t>
                  </w:r>
                </w:p>
              </w:tc>
              <w:tc>
                <w:tcPr>
                  <w:tcW w:w="1085" w:type="pct"/>
                  <w:vAlign w:val="center"/>
                </w:tcPr>
                <w:p w14:paraId="558878AE">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55kW</w:t>
                  </w:r>
                </w:p>
              </w:tc>
              <w:tc>
                <w:tcPr>
                  <w:tcW w:w="615" w:type="pct"/>
                  <w:vAlign w:val="center"/>
                </w:tcPr>
                <w:p w14:paraId="60FA06DC">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78BD1727">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18F5CDC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215E60E2">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台</w:t>
                  </w:r>
                </w:p>
              </w:tc>
            </w:tr>
            <w:tr w14:paraId="49540D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22D89AD8">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1881195D">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3立方卧式双轴式搅拌机树脂称重、搅拌系统</w:t>
                  </w:r>
                </w:p>
              </w:tc>
              <w:tc>
                <w:tcPr>
                  <w:tcW w:w="1085" w:type="pct"/>
                  <w:vAlign w:val="center"/>
                </w:tcPr>
                <w:p w14:paraId="5537CD38">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1T</w:t>
                  </w:r>
                </w:p>
              </w:tc>
              <w:tc>
                <w:tcPr>
                  <w:tcW w:w="615" w:type="pct"/>
                  <w:vAlign w:val="center"/>
                </w:tcPr>
                <w:p w14:paraId="26E6A21A">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1E54D09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3D5D3F05">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160183AD">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r>
            <w:tr w14:paraId="50044F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453" w:type="pct"/>
                  <w:vMerge w:val="restart"/>
                  <w:vAlign w:val="center"/>
                </w:tcPr>
                <w:p w14:paraId="1469FF65">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压机系统</w:t>
                  </w:r>
                </w:p>
              </w:tc>
              <w:tc>
                <w:tcPr>
                  <w:tcW w:w="1254" w:type="pct"/>
                  <w:vAlign w:val="center"/>
                </w:tcPr>
                <w:p w14:paraId="687D77C9">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真空箱</w:t>
                  </w:r>
                </w:p>
              </w:tc>
              <w:tc>
                <w:tcPr>
                  <w:tcW w:w="1085" w:type="pct"/>
                  <w:vAlign w:val="center"/>
                </w:tcPr>
                <w:p w14:paraId="609B617E">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3050*5000 型</w:t>
                  </w:r>
                </w:p>
              </w:tc>
              <w:tc>
                <w:tcPr>
                  <w:tcW w:w="615" w:type="pct"/>
                  <w:vAlign w:val="center"/>
                </w:tcPr>
                <w:p w14:paraId="64FC06EB">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1FB4021F">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7128BE1C">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792ED194">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个</w:t>
                  </w:r>
                </w:p>
              </w:tc>
            </w:tr>
            <w:tr w14:paraId="6B266F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09AA31EF">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72581A7F">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密封门</w:t>
                  </w:r>
                </w:p>
              </w:tc>
              <w:tc>
                <w:tcPr>
                  <w:tcW w:w="1085" w:type="pct"/>
                  <w:vAlign w:val="center"/>
                </w:tcPr>
                <w:p w14:paraId="6C0C1D9C">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3050*5000 型A/B/C</w:t>
                  </w:r>
                </w:p>
              </w:tc>
              <w:tc>
                <w:tcPr>
                  <w:tcW w:w="615" w:type="pct"/>
                  <w:vAlign w:val="center"/>
                </w:tcPr>
                <w:p w14:paraId="06999F10">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w:t>
                  </w:r>
                </w:p>
              </w:tc>
              <w:tc>
                <w:tcPr>
                  <w:tcW w:w="615" w:type="pct"/>
                  <w:vAlign w:val="center"/>
                </w:tcPr>
                <w:p w14:paraId="6C331148">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w:t>
                  </w:r>
                </w:p>
              </w:tc>
              <w:tc>
                <w:tcPr>
                  <w:tcW w:w="615" w:type="pct"/>
                  <w:vAlign w:val="center"/>
                </w:tcPr>
                <w:p w14:paraId="5E5CFF1B">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74DD7265">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r>
            <w:tr w14:paraId="4DF815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3BBB7B90">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7E7B7700">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一体式</w:t>
                  </w:r>
                  <w:r>
                    <w:rPr>
                      <w:rFonts w:hint="eastAsia" w:cs="Times New Roman"/>
                      <w:color w:val="auto"/>
                      <w:lang w:val="en-US" w:eastAsia="zh-CN"/>
                    </w:rPr>
                    <w:t>振荡器</w:t>
                  </w:r>
                </w:p>
              </w:tc>
              <w:tc>
                <w:tcPr>
                  <w:tcW w:w="1085" w:type="pct"/>
                  <w:vAlign w:val="center"/>
                </w:tcPr>
                <w:p w14:paraId="38858624">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BMAQ-6-6—200T</w:t>
                  </w:r>
                </w:p>
              </w:tc>
              <w:tc>
                <w:tcPr>
                  <w:tcW w:w="615" w:type="pct"/>
                  <w:vAlign w:val="center"/>
                </w:tcPr>
                <w:p w14:paraId="14AA0AA8">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42AF4ECE">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42E1232B">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2671E7F6">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r>
            <w:tr w14:paraId="13FB91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052D06BF">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0639B92F">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润滑系统及其冷却站</w:t>
                  </w:r>
                </w:p>
              </w:tc>
              <w:tc>
                <w:tcPr>
                  <w:tcW w:w="1085" w:type="pct"/>
                  <w:vAlign w:val="center"/>
                </w:tcPr>
                <w:p w14:paraId="32E7A6BA">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132kW+11kW</w:t>
                  </w:r>
                </w:p>
              </w:tc>
              <w:tc>
                <w:tcPr>
                  <w:tcW w:w="615" w:type="pct"/>
                  <w:vAlign w:val="center"/>
                </w:tcPr>
                <w:p w14:paraId="4D601C24">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37E3C0E5">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73B51749">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397D95B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r>
            <w:tr w14:paraId="11F2C8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7C67F23F">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2E2D6100">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压头座</w:t>
                  </w:r>
                </w:p>
              </w:tc>
              <w:tc>
                <w:tcPr>
                  <w:tcW w:w="1085" w:type="pct"/>
                  <w:vAlign w:val="center"/>
                </w:tcPr>
                <w:p w14:paraId="7E9CCCD4">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2730*1830型</w:t>
                  </w:r>
                </w:p>
              </w:tc>
              <w:tc>
                <w:tcPr>
                  <w:tcW w:w="615" w:type="pct"/>
                  <w:vAlign w:val="center"/>
                </w:tcPr>
                <w:p w14:paraId="408854D8">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4A548CBA">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2E89DA3A">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2036BC80">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r>
            <w:tr w14:paraId="5CC019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12179994">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7AC49E80">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＜^450大气缸</w:t>
                  </w:r>
                </w:p>
              </w:tc>
              <w:tc>
                <w:tcPr>
                  <w:tcW w:w="1085" w:type="pct"/>
                  <w:vAlign w:val="center"/>
                </w:tcPr>
                <w:p w14:paraId="50D6FCF7">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450*1000型</w:t>
                  </w:r>
                </w:p>
              </w:tc>
              <w:tc>
                <w:tcPr>
                  <w:tcW w:w="615" w:type="pct"/>
                  <w:vAlign w:val="center"/>
                </w:tcPr>
                <w:p w14:paraId="5E2E60BE">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w:t>
                  </w:r>
                </w:p>
              </w:tc>
              <w:tc>
                <w:tcPr>
                  <w:tcW w:w="615" w:type="pct"/>
                  <w:vAlign w:val="center"/>
                </w:tcPr>
                <w:p w14:paraId="7842D3A4">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w:t>
                  </w:r>
                </w:p>
              </w:tc>
              <w:tc>
                <w:tcPr>
                  <w:tcW w:w="615" w:type="pct"/>
                  <w:vAlign w:val="center"/>
                </w:tcPr>
                <w:p w14:paraId="481969BF">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272994B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个</w:t>
                  </w:r>
                </w:p>
              </w:tc>
            </w:tr>
            <w:tr w14:paraId="7D0B3E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7D161268">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0F71CFF0">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缓冲垫及上下</w:t>
                  </w:r>
                  <w:r>
                    <w:rPr>
                      <w:rFonts w:hint="eastAsia" w:cs="Times New Roman"/>
                      <w:color w:val="auto"/>
                      <w:lang w:val="en-US" w:eastAsia="zh-CN"/>
                    </w:rPr>
                    <w:t>连接</w:t>
                  </w:r>
                  <w:r>
                    <w:rPr>
                      <w:rFonts w:hint="eastAsia" w:ascii="Times New Roman" w:hAnsi="Times New Roman" w:cs="Times New Roman"/>
                      <w:color w:val="auto"/>
                      <w:lang w:val="en-US" w:eastAsia="zh-CN"/>
                    </w:rPr>
                    <w:t>法兰</w:t>
                  </w:r>
                </w:p>
              </w:tc>
              <w:tc>
                <w:tcPr>
                  <w:tcW w:w="1085" w:type="pct"/>
                  <w:vAlign w:val="center"/>
                </w:tcPr>
                <w:p w14:paraId="58D15D3D">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450B</w:t>
                  </w:r>
                </w:p>
              </w:tc>
              <w:tc>
                <w:tcPr>
                  <w:tcW w:w="615" w:type="pct"/>
                  <w:vAlign w:val="center"/>
                </w:tcPr>
                <w:p w14:paraId="021CABEA">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w:t>
                  </w:r>
                </w:p>
              </w:tc>
              <w:tc>
                <w:tcPr>
                  <w:tcW w:w="615" w:type="pct"/>
                  <w:vAlign w:val="center"/>
                </w:tcPr>
                <w:p w14:paraId="164C2029">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w:t>
                  </w:r>
                </w:p>
              </w:tc>
              <w:tc>
                <w:tcPr>
                  <w:tcW w:w="615" w:type="pct"/>
                  <w:vAlign w:val="center"/>
                </w:tcPr>
                <w:p w14:paraId="22945ACB">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67ADD105">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r>
            <w:tr w14:paraId="512061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Align w:val="center"/>
                </w:tcPr>
                <w:p w14:paraId="7A975BD9">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运输及提升模具系统</w:t>
                  </w:r>
                </w:p>
              </w:tc>
              <w:tc>
                <w:tcPr>
                  <w:tcW w:w="1254" w:type="pct"/>
                  <w:vAlign w:val="center"/>
                </w:tcPr>
                <w:p w14:paraId="75553D51">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框架式运输小车</w:t>
                  </w:r>
                </w:p>
              </w:tc>
              <w:tc>
                <w:tcPr>
                  <w:tcW w:w="1085" w:type="pct"/>
                  <w:vAlign w:val="center"/>
                </w:tcPr>
                <w:p w14:paraId="54995BBF">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cs="Times New Roman"/>
                      <w:color w:val="auto"/>
                      <w:lang w:val="en-US" w:eastAsia="zh-CN"/>
                    </w:rPr>
                    <w:t>2730*1830型</w:t>
                  </w:r>
                </w:p>
              </w:tc>
              <w:tc>
                <w:tcPr>
                  <w:tcW w:w="615" w:type="pct"/>
                  <w:vAlign w:val="center"/>
                </w:tcPr>
                <w:p w14:paraId="2455CCAA">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w:t>
                  </w:r>
                </w:p>
              </w:tc>
              <w:tc>
                <w:tcPr>
                  <w:tcW w:w="615" w:type="pct"/>
                  <w:vAlign w:val="center"/>
                </w:tcPr>
                <w:p w14:paraId="4033B8D2">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w:t>
                  </w:r>
                </w:p>
              </w:tc>
              <w:tc>
                <w:tcPr>
                  <w:tcW w:w="615" w:type="pct"/>
                  <w:vAlign w:val="center"/>
                </w:tcPr>
                <w:p w14:paraId="45C87E3A">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6B3CCCC1">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台</w:t>
                  </w:r>
                </w:p>
              </w:tc>
            </w:tr>
            <w:tr w14:paraId="05D103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restart"/>
                  <w:vAlign w:val="center"/>
                </w:tcPr>
                <w:p w14:paraId="7CC393C0">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真空系统</w:t>
                  </w:r>
                </w:p>
              </w:tc>
              <w:tc>
                <w:tcPr>
                  <w:tcW w:w="1254" w:type="pct"/>
                  <w:vAlign w:val="center"/>
                </w:tcPr>
                <w:p w14:paraId="7B6C6BEC">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水环式真空泵</w:t>
                  </w:r>
                </w:p>
              </w:tc>
              <w:tc>
                <w:tcPr>
                  <w:tcW w:w="1085" w:type="pct"/>
                  <w:vAlign w:val="center"/>
                </w:tcPr>
                <w:p w14:paraId="18ECAD2A">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55kW</w:t>
                  </w:r>
                </w:p>
              </w:tc>
              <w:tc>
                <w:tcPr>
                  <w:tcW w:w="615" w:type="pct"/>
                  <w:vAlign w:val="center"/>
                </w:tcPr>
                <w:p w14:paraId="7A08AED4">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w:t>
                  </w:r>
                </w:p>
              </w:tc>
              <w:tc>
                <w:tcPr>
                  <w:tcW w:w="615" w:type="pct"/>
                  <w:vAlign w:val="center"/>
                </w:tcPr>
                <w:p w14:paraId="1774A422">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w:t>
                  </w:r>
                </w:p>
              </w:tc>
              <w:tc>
                <w:tcPr>
                  <w:tcW w:w="615" w:type="pct"/>
                  <w:vAlign w:val="center"/>
                </w:tcPr>
                <w:p w14:paraId="5E66272A">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3D58F37D">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台</w:t>
                  </w:r>
                </w:p>
              </w:tc>
            </w:tr>
            <w:tr w14:paraId="53DFB2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1528DF1F">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026966AC">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罗茨真空泵</w:t>
                  </w:r>
                </w:p>
              </w:tc>
              <w:tc>
                <w:tcPr>
                  <w:tcW w:w="1085" w:type="pct"/>
                  <w:vAlign w:val="center"/>
                </w:tcPr>
                <w:p w14:paraId="219D3294">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7.5kW</w:t>
                  </w:r>
                </w:p>
              </w:tc>
              <w:tc>
                <w:tcPr>
                  <w:tcW w:w="615" w:type="pct"/>
                  <w:vAlign w:val="center"/>
                </w:tcPr>
                <w:p w14:paraId="0478B49E">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w:t>
                  </w:r>
                </w:p>
              </w:tc>
              <w:tc>
                <w:tcPr>
                  <w:tcW w:w="615" w:type="pct"/>
                  <w:vAlign w:val="center"/>
                </w:tcPr>
                <w:p w14:paraId="0556F32C">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w:t>
                  </w:r>
                </w:p>
              </w:tc>
              <w:tc>
                <w:tcPr>
                  <w:tcW w:w="615" w:type="pct"/>
                  <w:vAlign w:val="center"/>
                </w:tcPr>
                <w:p w14:paraId="32CDE8AC">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08F731F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台</w:t>
                  </w:r>
                </w:p>
              </w:tc>
            </w:tr>
            <w:tr w14:paraId="586A0D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0F7DBDA5">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02B59AD2">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气动蝶阀</w:t>
                  </w:r>
                </w:p>
              </w:tc>
              <w:tc>
                <w:tcPr>
                  <w:tcW w:w="1085" w:type="pct"/>
                  <w:vAlign w:val="center"/>
                </w:tcPr>
                <w:p w14:paraId="2EB1C6CD">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DN80</w:t>
                  </w:r>
                </w:p>
              </w:tc>
              <w:tc>
                <w:tcPr>
                  <w:tcW w:w="615" w:type="pct"/>
                  <w:vAlign w:val="center"/>
                </w:tcPr>
                <w:p w14:paraId="749D7C3B">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w:t>
                  </w:r>
                </w:p>
              </w:tc>
              <w:tc>
                <w:tcPr>
                  <w:tcW w:w="615" w:type="pct"/>
                  <w:vAlign w:val="center"/>
                </w:tcPr>
                <w:p w14:paraId="43A24EE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w:t>
                  </w:r>
                </w:p>
              </w:tc>
              <w:tc>
                <w:tcPr>
                  <w:tcW w:w="615" w:type="pct"/>
                  <w:vAlign w:val="center"/>
                </w:tcPr>
                <w:p w14:paraId="08878228">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0A7AF89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个</w:t>
                  </w:r>
                </w:p>
              </w:tc>
            </w:tr>
            <w:tr w14:paraId="6D1834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5203EE98">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19AB54CD">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自吸式抽水机</w:t>
                  </w:r>
                </w:p>
              </w:tc>
              <w:tc>
                <w:tcPr>
                  <w:tcW w:w="1085" w:type="pct"/>
                  <w:vAlign w:val="center"/>
                </w:tcPr>
                <w:p w14:paraId="61621C20">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3kW</w:t>
                  </w:r>
                </w:p>
              </w:tc>
              <w:tc>
                <w:tcPr>
                  <w:tcW w:w="615" w:type="pct"/>
                  <w:vAlign w:val="center"/>
                </w:tcPr>
                <w:p w14:paraId="7EEB305B">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w:t>
                  </w:r>
                </w:p>
              </w:tc>
              <w:tc>
                <w:tcPr>
                  <w:tcW w:w="615" w:type="pct"/>
                  <w:vAlign w:val="center"/>
                </w:tcPr>
                <w:p w14:paraId="2BC39064">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w:t>
                  </w:r>
                </w:p>
              </w:tc>
              <w:tc>
                <w:tcPr>
                  <w:tcW w:w="615" w:type="pct"/>
                  <w:vAlign w:val="center"/>
                </w:tcPr>
                <w:p w14:paraId="612B189A">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59A67F00">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台</w:t>
                  </w:r>
                </w:p>
              </w:tc>
            </w:tr>
            <w:tr w14:paraId="54E2BF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1A7B01EC">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48BE17D0">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管路</w:t>
                  </w:r>
                </w:p>
              </w:tc>
              <w:tc>
                <w:tcPr>
                  <w:tcW w:w="1085" w:type="pct"/>
                  <w:vAlign w:val="center"/>
                </w:tcPr>
                <w:p w14:paraId="318D0C00">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10*6.5</w:t>
                  </w:r>
                </w:p>
              </w:tc>
              <w:tc>
                <w:tcPr>
                  <w:tcW w:w="615" w:type="pct"/>
                  <w:vAlign w:val="center"/>
                </w:tcPr>
                <w:p w14:paraId="7F548EEC">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w:t>
                  </w:r>
                </w:p>
              </w:tc>
              <w:tc>
                <w:tcPr>
                  <w:tcW w:w="615" w:type="pct"/>
                  <w:vAlign w:val="center"/>
                </w:tcPr>
                <w:p w14:paraId="168A0588">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w:t>
                  </w:r>
                </w:p>
              </w:tc>
              <w:tc>
                <w:tcPr>
                  <w:tcW w:w="615" w:type="pct"/>
                  <w:vAlign w:val="center"/>
                </w:tcPr>
                <w:p w14:paraId="56894D2D">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28B2848E">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r>
            <w:tr w14:paraId="24C059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restart"/>
                  <w:vAlign w:val="center"/>
                </w:tcPr>
                <w:p w14:paraId="279F5058">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液压系统</w:t>
                  </w:r>
                </w:p>
              </w:tc>
              <w:tc>
                <w:tcPr>
                  <w:tcW w:w="1254" w:type="pct"/>
                  <w:vAlign w:val="center"/>
                </w:tcPr>
                <w:p w14:paraId="445F8F46">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国外进口斜轴式柱塞泵</w:t>
                  </w:r>
                </w:p>
              </w:tc>
              <w:tc>
                <w:tcPr>
                  <w:tcW w:w="1085" w:type="pct"/>
                  <w:vAlign w:val="center"/>
                </w:tcPr>
                <w:p w14:paraId="0E91BCF8">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132kW/A4VSO-355DRG/30R</w:t>
                  </w:r>
                </w:p>
              </w:tc>
              <w:tc>
                <w:tcPr>
                  <w:tcW w:w="615" w:type="pct"/>
                  <w:vAlign w:val="center"/>
                </w:tcPr>
                <w:p w14:paraId="43DD1FDE">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p w14:paraId="39076721">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1DBB5602">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p w14:paraId="38D233FF">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57A2AB1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043A8116">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r>
            <w:tr w14:paraId="1F3180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7B23859B">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1E7260E9">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液压油油箱</w:t>
                  </w:r>
                </w:p>
              </w:tc>
              <w:tc>
                <w:tcPr>
                  <w:tcW w:w="1085" w:type="pct"/>
                  <w:vAlign w:val="center"/>
                </w:tcPr>
                <w:p w14:paraId="38749052">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2000L</w:t>
                  </w:r>
                </w:p>
              </w:tc>
              <w:tc>
                <w:tcPr>
                  <w:tcW w:w="615" w:type="pct"/>
                  <w:vAlign w:val="center"/>
                </w:tcPr>
                <w:p w14:paraId="65D93C2F">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637CF057">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12D60FA7">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1CCE3994">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个</w:t>
                  </w:r>
                </w:p>
              </w:tc>
            </w:tr>
            <w:tr w14:paraId="21E496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06D0D116">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25EE20EA">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端门控制，落料门，模具提升系统</w:t>
                  </w:r>
                </w:p>
              </w:tc>
              <w:tc>
                <w:tcPr>
                  <w:tcW w:w="1085" w:type="pct"/>
                  <w:vAlign w:val="center"/>
                </w:tcPr>
                <w:p w14:paraId="2E0787C9">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CBW-25</w:t>
                  </w:r>
                </w:p>
              </w:tc>
              <w:tc>
                <w:tcPr>
                  <w:tcW w:w="615" w:type="pct"/>
                  <w:vAlign w:val="center"/>
                </w:tcPr>
                <w:p w14:paraId="458D8200">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p w14:paraId="00686B40">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1AB03CCC">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p w14:paraId="34B67BBD">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70682F41">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6EDB8A24">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r>
            <w:tr w14:paraId="19BDFC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05C81851">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03FEC232">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液压油冷却循环系统</w:t>
                  </w:r>
                </w:p>
              </w:tc>
              <w:tc>
                <w:tcPr>
                  <w:tcW w:w="1085" w:type="pct"/>
                  <w:vAlign w:val="center"/>
                </w:tcPr>
                <w:p w14:paraId="68DD370B">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4kW</w:t>
                  </w:r>
                </w:p>
              </w:tc>
              <w:tc>
                <w:tcPr>
                  <w:tcW w:w="615" w:type="pct"/>
                  <w:vAlign w:val="center"/>
                </w:tcPr>
                <w:p w14:paraId="353770D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0FA2EFB8">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7FC7BEB4">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3237C97A">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r>
            <w:tr w14:paraId="4D3FF8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089EA3D4">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2D8DB83A">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液压油外冷却循环系统</w:t>
                  </w:r>
                </w:p>
              </w:tc>
              <w:tc>
                <w:tcPr>
                  <w:tcW w:w="1085" w:type="pct"/>
                  <w:vAlign w:val="center"/>
                </w:tcPr>
                <w:p w14:paraId="42DCA5C7">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3kW</w:t>
                  </w:r>
                </w:p>
              </w:tc>
              <w:tc>
                <w:tcPr>
                  <w:tcW w:w="615" w:type="pct"/>
                  <w:vAlign w:val="center"/>
                </w:tcPr>
                <w:p w14:paraId="1D7DD44F">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p w14:paraId="5C7CF4C4">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7B997C31">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p w14:paraId="70A3B871">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6D91F2EC">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72E94A64">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r>
            <w:tr w14:paraId="0B0B9E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1D030F36">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581B3C04">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油管、接头、分油器等</w:t>
                  </w:r>
                </w:p>
              </w:tc>
              <w:tc>
                <w:tcPr>
                  <w:tcW w:w="1085" w:type="pct"/>
                  <w:vAlign w:val="center"/>
                </w:tcPr>
                <w:p w14:paraId="4010CBAE">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cs="Times New Roman"/>
                      <w:color w:val="auto"/>
                      <w:lang w:val="en-US" w:eastAsia="zh-CN"/>
                    </w:rPr>
                    <w:t>/</w:t>
                  </w:r>
                </w:p>
              </w:tc>
              <w:tc>
                <w:tcPr>
                  <w:tcW w:w="615" w:type="pct"/>
                  <w:vAlign w:val="center"/>
                </w:tcPr>
                <w:p w14:paraId="4FA653F6">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7310D9C0">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1D674E7A">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20B38F10">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r>
            <w:tr w14:paraId="6EC295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restart"/>
                  <w:vAlign w:val="center"/>
                </w:tcPr>
                <w:p w14:paraId="1EE206B8">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气动系统</w:t>
                  </w:r>
                </w:p>
              </w:tc>
              <w:tc>
                <w:tcPr>
                  <w:tcW w:w="1254" w:type="pct"/>
                  <w:vAlign w:val="center"/>
                </w:tcPr>
                <w:p w14:paraId="51C7421D">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空压机</w:t>
                  </w:r>
                </w:p>
              </w:tc>
              <w:tc>
                <w:tcPr>
                  <w:tcW w:w="1085" w:type="pct"/>
                  <w:vAlign w:val="center"/>
                </w:tcPr>
                <w:p w14:paraId="7E50B930">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cs="Times New Roman"/>
                      <w:color w:val="auto"/>
                      <w:lang w:val="en-US" w:eastAsia="zh-CN"/>
                    </w:rPr>
                    <w:t>75kW</w:t>
                  </w:r>
                </w:p>
              </w:tc>
              <w:tc>
                <w:tcPr>
                  <w:tcW w:w="615" w:type="pct"/>
                  <w:vAlign w:val="center"/>
                </w:tcPr>
                <w:p w14:paraId="32240231">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73B6997D">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2</w:t>
                  </w:r>
                </w:p>
              </w:tc>
              <w:tc>
                <w:tcPr>
                  <w:tcW w:w="615" w:type="pct"/>
                  <w:vAlign w:val="center"/>
                </w:tcPr>
                <w:p w14:paraId="0F28732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lang w:val="en-US" w:eastAsia="zh-CN"/>
                    </w:rPr>
                  </w:pPr>
                  <w:r>
                    <w:rPr>
                      <w:rFonts w:hint="eastAsia" w:cs="Times New Roman"/>
                      <w:color w:val="auto"/>
                      <w:lang w:val="en-US" w:eastAsia="zh-CN"/>
                    </w:rPr>
                    <w:t>+1</w:t>
                  </w:r>
                </w:p>
              </w:tc>
              <w:tc>
                <w:tcPr>
                  <w:tcW w:w="360" w:type="pct"/>
                  <w:vAlign w:val="center"/>
                </w:tcPr>
                <w:p w14:paraId="5495F74C">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台</w:t>
                  </w:r>
                </w:p>
              </w:tc>
            </w:tr>
            <w:tr w14:paraId="2CCCE0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51710D7F">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5D17BCC4">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6立方米储气罐</w:t>
                  </w:r>
                </w:p>
              </w:tc>
              <w:tc>
                <w:tcPr>
                  <w:tcW w:w="1085" w:type="pct"/>
                  <w:vAlign w:val="center"/>
                </w:tcPr>
                <w:p w14:paraId="09CDB003">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cs="Times New Roman"/>
                      <w:color w:val="auto"/>
                      <w:lang w:val="en-US" w:eastAsia="zh-CN"/>
                    </w:rPr>
                    <w:t>/</w:t>
                  </w:r>
                </w:p>
              </w:tc>
              <w:tc>
                <w:tcPr>
                  <w:tcW w:w="615" w:type="pct"/>
                  <w:vAlign w:val="center"/>
                </w:tcPr>
                <w:p w14:paraId="3D3D8EE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7CB68B60">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1890BAF9">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60DB2EED">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个</w:t>
                  </w:r>
                </w:p>
              </w:tc>
            </w:tr>
            <w:tr w14:paraId="198265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60F7D426">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52B1023C">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干燥器（冷冻式压缩空气干燥机）</w:t>
                  </w:r>
                </w:p>
              </w:tc>
              <w:tc>
                <w:tcPr>
                  <w:tcW w:w="1085" w:type="pct"/>
                  <w:vAlign w:val="center"/>
                </w:tcPr>
                <w:p w14:paraId="39062D10">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HDF140</w:t>
                  </w:r>
                </w:p>
              </w:tc>
              <w:tc>
                <w:tcPr>
                  <w:tcW w:w="615" w:type="pct"/>
                  <w:vAlign w:val="center"/>
                </w:tcPr>
                <w:p w14:paraId="453B9787">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3F0AE338">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509CE81B">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79167957">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r>
            <w:tr w14:paraId="274A29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084A0159">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3C7B9231">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气管，气阀等气动元件</w:t>
                  </w:r>
                </w:p>
              </w:tc>
              <w:tc>
                <w:tcPr>
                  <w:tcW w:w="1085" w:type="pct"/>
                  <w:vAlign w:val="center"/>
                </w:tcPr>
                <w:p w14:paraId="04E43FC8">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E40 025D2C-L8</w:t>
                  </w:r>
                </w:p>
              </w:tc>
              <w:tc>
                <w:tcPr>
                  <w:tcW w:w="615" w:type="pct"/>
                  <w:vAlign w:val="center"/>
                </w:tcPr>
                <w:p w14:paraId="37F9A4BE">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566FC732">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33A4AF19">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257F4121">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r>
            <w:tr w14:paraId="27D07D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restart"/>
                  <w:vAlign w:val="center"/>
                </w:tcPr>
                <w:p w14:paraId="67314071">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水冷系统</w:t>
                  </w:r>
                </w:p>
              </w:tc>
              <w:tc>
                <w:tcPr>
                  <w:tcW w:w="1254" w:type="pct"/>
                  <w:vAlign w:val="center"/>
                </w:tcPr>
                <w:p w14:paraId="35E9E7B2">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冷却塔</w:t>
                  </w:r>
                </w:p>
              </w:tc>
              <w:tc>
                <w:tcPr>
                  <w:tcW w:w="1085" w:type="pct"/>
                  <w:vAlign w:val="center"/>
                </w:tcPr>
                <w:p w14:paraId="17D14911">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100T</w:t>
                  </w:r>
                </w:p>
              </w:tc>
              <w:tc>
                <w:tcPr>
                  <w:tcW w:w="615" w:type="pct"/>
                  <w:vAlign w:val="center"/>
                </w:tcPr>
                <w:p w14:paraId="146075A2">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7683D61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306D730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241D6365">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个</w:t>
                  </w:r>
                </w:p>
              </w:tc>
            </w:tr>
            <w:tr w14:paraId="1FEBF5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2D2A6C70">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2BE6C831">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自吸式抽水机及电机</w:t>
                  </w:r>
                </w:p>
              </w:tc>
              <w:tc>
                <w:tcPr>
                  <w:tcW w:w="1085" w:type="pct"/>
                  <w:vAlign w:val="center"/>
                </w:tcPr>
                <w:p w14:paraId="739F99D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4kW</w:t>
                  </w:r>
                </w:p>
              </w:tc>
              <w:tc>
                <w:tcPr>
                  <w:tcW w:w="615" w:type="pct"/>
                  <w:vAlign w:val="center"/>
                </w:tcPr>
                <w:p w14:paraId="1C8639E9">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3E7F779C">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3DE7FDC7">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43F7544B">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r>
            <w:tr w14:paraId="29E1B3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3D0E0076">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4B4A1EFA">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管路</w:t>
                  </w:r>
                </w:p>
              </w:tc>
              <w:tc>
                <w:tcPr>
                  <w:tcW w:w="1085" w:type="pct"/>
                  <w:vAlign w:val="center"/>
                </w:tcPr>
                <w:p w14:paraId="78B57F6C">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DN150</w:t>
                  </w:r>
                </w:p>
              </w:tc>
              <w:tc>
                <w:tcPr>
                  <w:tcW w:w="615" w:type="pct"/>
                  <w:vAlign w:val="center"/>
                </w:tcPr>
                <w:p w14:paraId="71899D12">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2ADD07C2">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25FDC0F5">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3174541B">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r>
            <w:tr w14:paraId="312B8D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restart"/>
                  <w:vAlign w:val="center"/>
                </w:tcPr>
                <w:p w14:paraId="321352F7">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电控系统</w:t>
                  </w:r>
                </w:p>
              </w:tc>
              <w:tc>
                <w:tcPr>
                  <w:tcW w:w="1254" w:type="pct"/>
                  <w:vAlign w:val="center"/>
                </w:tcPr>
                <w:p w14:paraId="05E97F78">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主操控台及平台</w:t>
                  </w:r>
                </w:p>
              </w:tc>
              <w:tc>
                <w:tcPr>
                  <w:tcW w:w="1085" w:type="pct"/>
                  <w:vAlign w:val="center"/>
                </w:tcPr>
                <w:p w14:paraId="1C17D81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SHINAIDE</w:t>
                  </w:r>
                </w:p>
              </w:tc>
              <w:tc>
                <w:tcPr>
                  <w:tcW w:w="615" w:type="pct"/>
                  <w:vAlign w:val="center"/>
                </w:tcPr>
                <w:p w14:paraId="595ECC38">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0FB612CF">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3C118BA5">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2ED5731C">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个</w:t>
                  </w:r>
                </w:p>
              </w:tc>
            </w:tr>
            <w:tr w14:paraId="1237C8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598075E7">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59318654">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动力柜</w:t>
                  </w:r>
                </w:p>
              </w:tc>
              <w:tc>
                <w:tcPr>
                  <w:tcW w:w="1085" w:type="pct"/>
                  <w:vAlign w:val="center"/>
                </w:tcPr>
                <w:p w14:paraId="4F1938BD">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1600A*2</w:t>
                  </w:r>
                </w:p>
              </w:tc>
              <w:tc>
                <w:tcPr>
                  <w:tcW w:w="615" w:type="pct"/>
                  <w:vAlign w:val="center"/>
                </w:tcPr>
                <w:p w14:paraId="7EE54DB6">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0A105569">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3AA78A9E">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09139BE4">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个</w:t>
                  </w:r>
                </w:p>
              </w:tc>
            </w:tr>
            <w:tr w14:paraId="257BE9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7A9AC463">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537F6039">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料斗机操作柜</w:t>
                  </w:r>
                </w:p>
              </w:tc>
              <w:tc>
                <w:tcPr>
                  <w:tcW w:w="1085" w:type="pct"/>
                  <w:vAlign w:val="center"/>
                </w:tcPr>
                <w:p w14:paraId="0C5036E0">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SHINAIDE</w:t>
                  </w:r>
                </w:p>
              </w:tc>
              <w:tc>
                <w:tcPr>
                  <w:tcW w:w="615" w:type="pct"/>
                  <w:vAlign w:val="center"/>
                </w:tcPr>
                <w:p w14:paraId="7629BF1C">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4BD36D8C">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6DFBE274">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4A5FC96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个</w:t>
                  </w:r>
                </w:p>
              </w:tc>
            </w:tr>
            <w:tr w14:paraId="49115F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6E3D2C99">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140EDE49">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110</w:t>
                  </w:r>
                  <w:r>
                    <w:rPr>
                      <w:rFonts w:hint="eastAsia" w:cs="Times New Roman"/>
                      <w:color w:val="auto"/>
                      <w:lang w:val="en-US" w:eastAsia="zh-CN"/>
                    </w:rPr>
                    <w:t>kW</w:t>
                  </w:r>
                  <w:r>
                    <w:rPr>
                      <w:rFonts w:hint="eastAsia" w:ascii="Times New Roman" w:hAnsi="Times New Roman" w:cs="Times New Roman"/>
                      <w:color w:val="auto"/>
                      <w:lang w:val="en-US" w:eastAsia="zh-CN"/>
                    </w:rPr>
                    <w:t>变频器</w:t>
                  </w:r>
                </w:p>
              </w:tc>
              <w:tc>
                <w:tcPr>
                  <w:tcW w:w="1085" w:type="pct"/>
                  <w:vAlign w:val="center"/>
                </w:tcPr>
                <w:p w14:paraId="75E25BF2">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S3900A</w:t>
                  </w:r>
                </w:p>
              </w:tc>
              <w:tc>
                <w:tcPr>
                  <w:tcW w:w="615" w:type="pct"/>
                  <w:vAlign w:val="center"/>
                </w:tcPr>
                <w:p w14:paraId="27372C12">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64248AAE">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77612ABC">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7E3530F0">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r>
            <w:tr w14:paraId="4A49BA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1F4C5599">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1CF162BA">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110</w:t>
                  </w:r>
                  <w:r>
                    <w:rPr>
                      <w:rFonts w:hint="eastAsia" w:cs="Times New Roman"/>
                      <w:color w:val="auto"/>
                      <w:lang w:val="en-US" w:eastAsia="zh-CN"/>
                    </w:rPr>
                    <w:t>kW</w:t>
                  </w:r>
                  <w:r>
                    <w:rPr>
                      <w:rFonts w:hint="eastAsia" w:ascii="Times New Roman" w:hAnsi="Times New Roman" w:cs="Times New Roman"/>
                      <w:color w:val="auto"/>
                      <w:lang w:val="en-US" w:eastAsia="zh-CN"/>
                    </w:rPr>
                    <w:t>变频器</w:t>
                  </w:r>
                </w:p>
              </w:tc>
              <w:tc>
                <w:tcPr>
                  <w:tcW w:w="1085" w:type="pct"/>
                  <w:vAlign w:val="center"/>
                </w:tcPr>
                <w:p w14:paraId="1205EFE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S3900A</w:t>
                  </w:r>
                </w:p>
              </w:tc>
              <w:tc>
                <w:tcPr>
                  <w:tcW w:w="615" w:type="pct"/>
                  <w:vAlign w:val="center"/>
                </w:tcPr>
                <w:p w14:paraId="34072B69">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2FD9FB02">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6AD0F2D4">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625B0DA5">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r>
            <w:tr w14:paraId="48ECEB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4CE3A8D3">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6FF7682C">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37</w:t>
                  </w:r>
                  <w:r>
                    <w:rPr>
                      <w:rFonts w:hint="eastAsia" w:cs="Times New Roman"/>
                      <w:color w:val="auto"/>
                      <w:lang w:val="en-US" w:eastAsia="zh-CN"/>
                    </w:rPr>
                    <w:t>kW</w:t>
                  </w:r>
                  <w:r>
                    <w:rPr>
                      <w:rFonts w:hint="eastAsia" w:ascii="Times New Roman" w:hAnsi="Times New Roman" w:cs="Times New Roman"/>
                      <w:color w:val="auto"/>
                      <w:lang w:val="en-US" w:eastAsia="zh-CN"/>
                    </w:rPr>
                    <w:t>变频器</w:t>
                  </w:r>
                </w:p>
              </w:tc>
              <w:tc>
                <w:tcPr>
                  <w:tcW w:w="1085" w:type="pct"/>
                  <w:vAlign w:val="center"/>
                </w:tcPr>
                <w:p w14:paraId="29F8CC9D">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S3900A</w:t>
                  </w:r>
                </w:p>
              </w:tc>
              <w:tc>
                <w:tcPr>
                  <w:tcW w:w="615" w:type="pct"/>
                  <w:vAlign w:val="center"/>
                </w:tcPr>
                <w:p w14:paraId="31D3D7C4">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2E2929CE">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2F3BE87F">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0E7068FC">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r>
            <w:tr w14:paraId="1A144F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2DE44937">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3D4B6ADD">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45</w:t>
                  </w:r>
                  <w:r>
                    <w:rPr>
                      <w:rFonts w:hint="eastAsia" w:cs="Times New Roman"/>
                      <w:color w:val="auto"/>
                      <w:lang w:val="en-US" w:eastAsia="zh-CN"/>
                    </w:rPr>
                    <w:t>kW</w:t>
                  </w:r>
                  <w:r>
                    <w:rPr>
                      <w:rFonts w:hint="eastAsia" w:ascii="Times New Roman" w:hAnsi="Times New Roman" w:cs="Times New Roman"/>
                      <w:color w:val="auto"/>
                      <w:lang w:val="en-US" w:eastAsia="zh-CN"/>
                    </w:rPr>
                    <w:t>变频器</w:t>
                  </w:r>
                </w:p>
              </w:tc>
              <w:tc>
                <w:tcPr>
                  <w:tcW w:w="1085" w:type="pct"/>
                  <w:vAlign w:val="center"/>
                </w:tcPr>
                <w:p w14:paraId="2CE7B752">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S3900A</w:t>
                  </w:r>
                </w:p>
              </w:tc>
              <w:tc>
                <w:tcPr>
                  <w:tcW w:w="615" w:type="pct"/>
                  <w:vAlign w:val="center"/>
                </w:tcPr>
                <w:p w14:paraId="25108ECB">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0EA3F57D">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7E0FEDA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18A6D6B9">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r>
            <w:tr w14:paraId="67AE53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3C889379">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47E4ED4A">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75KW变频器</w:t>
                  </w:r>
                </w:p>
              </w:tc>
              <w:tc>
                <w:tcPr>
                  <w:tcW w:w="1085" w:type="pct"/>
                  <w:vAlign w:val="center"/>
                </w:tcPr>
                <w:p w14:paraId="0D393D9B">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S3900A</w:t>
                  </w:r>
                </w:p>
              </w:tc>
              <w:tc>
                <w:tcPr>
                  <w:tcW w:w="615" w:type="pct"/>
                  <w:vAlign w:val="center"/>
                </w:tcPr>
                <w:p w14:paraId="7571B2E7">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4CB67545">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24293761">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496313A9">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r>
            <w:tr w14:paraId="1244D6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2E6945BE">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0AA74A8C">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315</w:t>
                  </w:r>
                  <w:r>
                    <w:rPr>
                      <w:rFonts w:hint="eastAsia" w:cs="Times New Roman"/>
                      <w:color w:val="auto"/>
                      <w:lang w:val="en-US" w:eastAsia="zh-CN"/>
                    </w:rPr>
                    <w:t>kW</w:t>
                  </w:r>
                  <w:r>
                    <w:rPr>
                      <w:rFonts w:hint="eastAsia" w:ascii="Times New Roman" w:hAnsi="Times New Roman" w:cs="Times New Roman"/>
                      <w:color w:val="auto"/>
                      <w:lang w:val="en-US" w:eastAsia="zh-CN"/>
                    </w:rPr>
                    <w:t>变频器</w:t>
                  </w:r>
                </w:p>
              </w:tc>
              <w:tc>
                <w:tcPr>
                  <w:tcW w:w="1085" w:type="pct"/>
                  <w:vAlign w:val="center"/>
                </w:tcPr>
                <w:p w14:paraId="0B95757E">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A1000</w:t>
                  </w:r>
                </w:p>
              </w:tc>
              <w:tc>
                <w:tcPr>
                  <w:tcW w:w="615" w:type="pct"/>
                  <w:vAlign w:val="center"/>
                </w:tcPr>
                <w:p w14:paraId="2ACADCA0">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775A8BD8">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4DF51D24">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6B1CE869">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个</w:t>
                  </w:r>
                </w:p>
              </w:tc>
            </w:tr>
            <w:tr w14:paraId="7A415E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7812B5EC">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28B15BE1">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气动控制柜</w:t>
                  </w:r>
                </w:p>
              </w:tc>
              <w:tc>
                <w:tcPr>
                  <w:tcW w:w="1085" w:type="pct"/>
                  <w:vAlign w:val="center"/>
                </w:tcPr>
                <w:p w14:paraId="5DC81A0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6</w:t>
                  </w:r>
                </w:p>
              </w:tc>
              <w:tc>
                <w:tcPr>
                  <w:tcW w:w="615" w:type="pct"/>
                  <w:vAlign w:val="center"/>
                </w:tcPr>
                <w:p w14:paraId="665FE900">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w:t>
                  </w:r>
                </w:p>
              </w:tc>
              <w:tc>
                <w:tcPr>
                  <w:tcW w:w="615" w:type="pct"/>
                  <w:vAlign w:val="center"/>
                </w:tcPr>
                <w:p w14:paraId="6A0E00A7">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w:t>
                  </w:r>
                </w:p>
              </w:tc>
              <w:tc>
                <w:tcPr>
                  <w:tcW w:w="615" w:type="pct"/>
                  <w:vAlign w:val="center"/>
                </w:tcPr>
                <w:p w14:paraId="2CB3312E">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58884E37">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个</w:t>
                  </w:r>
                </w:p>
              </w:tc>
            </w:tr>
            <w:tr w14:paraId="20FE04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38C374B4">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1567F6C2">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端门控制箱</w:t>
                  </w:r>
                </w:p>
              </w:tc>
              <w:tc>
                <w:tcPr>
                  <w:tcW w:w="1085" w:type="pct"/>
                  <w:vAlign w:val="center"/>
                </w:tcPr>
                <w:p w14:paraId="298813E8">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TAIDA</w:t>
                  </w:r>
                </w:p>
              </w:tc>
              <w:tc>
                <w:tcPr>
                  <w:tcW w:w="615" w:type="pct"/>
                  <w:vAlign w:val="center"/>
                </w:tcPr>
                <w:p w14:paraId="51D56C99">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28E2A7C2">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1DBDDB41">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1FEC402F">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个</w:t>
                  </w:r>
                </w:p>
              </w:tc>
            </w:tr>
            <w:tr w14:paraId="4BCF0D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5E819871">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6128B6EB">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单色搅拌机控制箱</w:t>
                  </w:r>
                </w:p>
              </w:tc>
              <w:tc>
                <w:tcPr>
                  <w:tcW w:w="1085" w:type="pct"/>
                  <w:vAlign w:val="center"/>
                </w:tcPr>
                <w:p w14:paraId="17E2094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TAIDA</w:t>
                  </w:r>
                </w:p>
              </w:tc>
              <w:tc>
                <w:tcPr>
                  <w:tcW w:w="615" w:type="pct"/>
                  <w:vAlign w:val="center"/>
                </w:tcPr>
                <w:p w14:paraId="4DD87858">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12</w:t>
                  </w:r>
                </w:p>
              </w:tc>
              <w:tc>
                <w:tcPr>
                  <w:tcW w:w="615" w:type="pct"/>
                  <w:vAlign w:val="center"/>
                </w:tcPr>
                <w:p w14:paraId="2213646D">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12</w:t>
                  </w:r>
                </w:p>
              </w:tc>
              <w:tc>
                <w:tcPr>
                  <w:tcW w:w="615" w:type="pct"/>
                  <w:vAlign w:val="center"/>
                </w:tcPr>
                <w:p w14:paraId="275D9439">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69441BD1">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r>
            <w:tr w14:paraId="38117B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453" w:type="pct"/>
                  <w:vMerge w:val="restart"/>
                  <w:vAlign w:val="center"/>
                </w:tcPr>
                <w:p w14:paraId="79236F65">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成型模具部分</w:t>
                  </w:r>
                </w:p>
              </w:tc>
              <w:tc>
                <w:tcPr>
                  <w:tcW w:w="1254" w:type="pct"/>
                  <w:vAlign w:val="center"/>
                </w:tcPr>
                <w:p w14:paraId="65F9AD29">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精佑磨机</w:t>
                  </w:r>
                </w:p>
              </w:tc>
              <w:tc>
                <w:tcPr>
                  <w:tcW w:w="1085" w:type="pct"/>
                  <w:vAlign w:val="center"/>
                </w:tcPr>
                <w:p w14:paraId="79F9EEB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lang w:val="en-US" w:eastAsia="zh-CN"/>
                    </w:rPr>
                  </w:pPr>
                  <w:r>
                    <w:rPr>
                      <w:rFonts w:hint="eastAsia" w:cs="Times New Roman"/>
                      <w:color w:val="auto"/>
                      <w:lang w:val="en-US" w:eastAsia="zh-CN"/>
                    </w:rPr>
                    <w:t>/</w:t>
                  </w:r>
                </w:p>
              </w:tc>
              <w:tc>
                <w:tcPr>
                  <w:tcW w:w="615" w:type="pct"/>
                  <w:vAlign w:val="center"/>
                </w:tcPr>
                <w:p w14:paraId="5FDF955B">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615" w:type="pct"/>
                  <w:vAlign w:val="center"/>
                </w:tcPr>
                <w:p w14:paraId="4C6CE030">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6337043C">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+1</w:t>
                  </w:r>
                </w:p>
              </w:tc>
              <w:tc>
                <w:tcPr>
                  <w:tcW w:w="360" w:type="pct"/>
                  <w:vAlign w:val="center"/>
                </w:tcPr>
                <w:p w14:paraId="5498C639">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台</w:t>
                  </w:r>
                </w:p>
              </w:tc>
            </w:tr>
            <w:tr w14:paraId="028A27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453" w:type="pct"/>
                  <w:vMerge w:val="continue"/>
                  <w:vAlign w:val="center"/>
                </w:tcPr>
                <w:p w14:paraId="553F61AF">
                  <w:pPr>
                    <w:keepNext w:val="0"/>
                    <w:keepLines w:val="0"/>
                    <w:suppressLineNumbers w:val="0"/>
                    <w:spacing w:before="0" w:beforeAutospacing="0" w:after="0" w:afterAutospacing="0"/>
                    <w:ind w:left="0" w:right="0"/>
                    <w:jc w:val="center"/>
                  </w:pPr>
                </w:p>
              </w:tc>
              <w:tc>
                <w:tcPr>
                  <w:tcW w:w="1254" w:type="pct"/>
                  <w:vAlign w:val="center"/>
                </w:tcPr>
                <w:p w14:paraId="755F6127">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打蜡机</w:t>
                  </w:r>
                </w:p>
              </w:tc>
              <w:tc>
                <w:tcPr>
                  <w:tcW w:w="1085" w:type="pct"/>
                  <w:vAlign w:val="center"/>
                </w:tcPr>
                <w:p w14:paraId="5581EA56">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cs="Times New Roman"/>
                      <w:color w:val="auto"/>
                      <w:lang w:val="en-US" w:eastAsia="zh-CN"/>
                    </w:rPr>
                    <w:t>/</w:t>
                  </w:r>
                </w:p>
              </w:tc>
              <w:tc>
                <w:tcPr>
                  <w:tcW w:w="615" w:type="pct"/>
                  <w:vAlign w:val="center"/>
                </w:tcPr>
                <w:p w14:paraId="4C1810C2">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615" w:type="pct"/>
                  <w:vAlign w:val="center"/>
                </w:tcPr>
                <w:p w14:paraId="676DED2D">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289149ED">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+1</w:t>
                  </w:r>
                </w:p>
              </w:tc>
              <w:tc>
                <w:tcPr>
                  <w:tcW w:w="360" w:type="pct"/>
                  <w:vAlign w:val="center"/>
                </w:tcPr>
                <w:p w14:paraId="3CBE02ED">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台</w:t>
                  </w:r>
                </w:p>
              </w:tc>
            </w:tr>
            <w:tr w14:paraId="48BE3C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453" w:type="pct"/>
                  <w:vMerge w:val="continue"/>
                  <w:vAlign w:val="center"/>
                </w:tcPr>
                <w:p w14:paraId="6B3FAE3E">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7F206260">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cs="Times New Roman"/>
                      <w:color w:val="auto"/>
                      <w:lang w:val="en-US" w:eastAsia="zh-CN"/>
                    </w:rPr>
                    <w:t>金刚石</w:t>
                  </w:r>
                  <w:r>
                    <w:rPr>
                      <w:rFonts w:hint="eastAsia" w:ascii="Times New Roman" w:hAnsi="Times New Roman" w:cs="Times New Roman"/>
                      <w:color w:val="auto"/>
                      <w:lang w:val="en-US" w:eastAsia="zh-CN"/>
                    </w:rPr>
                    <w:t>组合框架锯</w:t>
                  </w:r>
                </w:p>
              </w:tc>
              <w:tc>
                <w:tcPr>
                  <w:tcW w:w="1085" w:type="pct"/>
                  <w:vAlign w:val="center"/>
                </w:tcPr>
                <w:p w14:paraId="69AA9947">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cs="Times New Roman"/>
                      <w:color w:val="auto"/>
                      <w:lang w:val="en-US" w:eastAsia="zh-CN"/>
                    </w:rPr>
                    <w:t>/</w:t>
                  </w:r>
                </w:p>
              </w:tc>
              <w:tc>
                <w:tcPr>
                  <w:tcW w:w="615" w:type="pct"/>
                  <w:vAlign w:val="center"/>
                </w:tcPr>
                <w:p w14:paraId="666E3F00">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615" w:type="pct"/>
                  <w:vAlign w:val="center"/>
                </w:tcPr>
                <w:p w14:paraId="15AF9B59">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2</w:t>
                  </w:r>
                </w:p>
              </w:tc>
              <w:tc>
                <w:tcPr>
                  <w:tcW w:w="615" w:type="pct"/>
                  <w:vAlign w:val="center"/>
                </w:tcPr>
                <w:p w14:paraId="2D3CD756">
                  <w:pPr>
                    <w:keepNext w:val="0"/>
                    <w:keepLines w:val="0"/>
                    <w:suppressLineNumbers w:val="0"/>
                    <w:spacing w:before="0" w:beforeAutospacing="0" w:after="0" w:afterAutospacing="0"/>
                    <w:ind w:left="0" w:leftChars="0" w:right="0" w:rightChars="0"/>
                    <w:jc w:val="center"/>
                    <w:rPr>
                      <w:rFonts w:hint="default" w:cs="Times New Roman"/>
                      <w:color w:val="auto"/>
                      <w:lang w:val="en-US" w:eastAsia="zh-CN"/>
                    </w:rPr>
                  </w:pPr>
                  <w:r>
                    <w:rPr>
                      <w:rFonts w:hint="eastAsia" w:cs="Times New Roman"/>
                      <w:color w:val="auto"/>
                      <w:lang w:val="en-US" w:eastAsia="zh-CN"/>
                    </w:rPr>
                    <w:t>+2</w:t>
                  </w:r>
                </w:p>
              </w:tc>
              <w:tc>
                <w:tcPr>
                  <w:tcW w:w="360" w:type="pct"/>
                  <w:vAlign w:val="center"/>
                </w:tcPr>
                <w:p w14:paraId="116DB9B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台</w:t>
                  </w:r>
                </w:p>
              </w:tc>
            </w:tr>
            <w:tr w14:paraId="31296F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453" w:type="pct"/>
                  <w:vMerge w:val="continue"/>
                  <w:vAlign w:val="center"/>
                </w:tcPr>
                <w:p w14:paraId="3275C9A4">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shd w:val="clear" w:color="auto" w:fill="auto"/>
                  <w:vAlign w:val="center"/>
                </w:tcPr>
                <w:p w14:paraId="59AA4E1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模具</w:t>
                  </w:r>
                  <w:r>
                    <w:rPr>
                      <w:rFonts w:hint="eastAsia" w:cs="Times New Roman"/>
                      <w:color w:val="auto"/>
                      <w:lang w:val="en-US" w:eastAsia="zh-CN"/>
                    </w:rPr>
                    <w:t>（</w:t>
                  </w:r>
                  <w:r>
                    <w:rPr>
                      <w:rFonts w:hint="eastAsia" w:ascii="Times New Roman" w:hAnsi="Times New Roman" w:cs="Times New Roman"/>
                      <w:color w:val="auto"/>
                      <w:lang w:val="en-US" w:eastAsia="zh-CN"/>
                    </w:rPr>
                    <w:t>2733</w:t>
                  </w:r>
                  <w:r>
                    <w:rPr>
                      <w:rFonts w:hint="eastAsia" w:cs="Times New Roman"/>
                      <w:color w:val="auto"/>
                      <w:lang w:val="en-US" w:eastAsia="zh-CN"/>
                    </w:rPr>
                    <w:t>×</w:t>
                  </w:r>
                  <w:r>
                    <w:rPr>
                      <w:rFonts w:hint="eastAsia" w:ascii="Times New Roman" w:hAnsi="Times New Roman" w:cs="Times New Roman"/>
                      <w:color w:val="auto"/>
                      <w:lang w:val="en-US" w:eastAsia="zh-CN"/>
                    </w:rPr>
                    <w:t>1833</w:t>
                  </w:r>
                  <w:r>
                    <w:rPr>
                      <w:rFonts w:hint="eastAsia" w:cs="Times New Roman"/>
                      <w:color w:val="auto"/>
                      <w:lang w:val="en-US" w:eastAsia="zh-CN"/>
                    </w:rPr>
                    <w:t>×</w:t>
                  </w:r>
                  <w:r>
                    <w:rPr>
                      <w:rFonts w:hint="eastAsia" w:ascii="Times New Roman" w:hAnsi="Times New Roman" w:cs="Times New Roman"/>
                      <w:color w:val="auto"/>
                      <w:lang w:val="en-US" w:eastAsia="zh-CN"/>
                    </w:rPr>
                    <w:t>1480</w:t>
                  </w:r>
                  <w:r>
                    <w:rPr>
                      <w:rFonts w:hint="eastAsia" w:cs="Times New Roman"/>
                      <w:color w:val="auto"/>
                      <w:lang w:val="en-US" w:eastAsia="zh-CN"/>
                    </w:rPr>
                    <w:t>）</w:t>
                  </w:r>
                </w:p>
              </w:tc>
              <w:tc>
                <w:tcPr>
                  <w:tcW w:w="1085" w:type="pct"/>
                  <w:shd w:val="clear" w:color="auto" w:fill="auto"/>
                  <w:vAlign w:val="center"/>
                </w:tcPr>
                <w:p w14:paraId="2AB8CF2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2730*1830</w:t>
                  </w:r>
                </w:p>
              </w:tc>
              <w:tc>
                <w:tcPr>
                  <w:tcW w:w="615" w:type="pct"/>
                  <w:shd w:val="clear" w:color="auto" w:fill="auto"/>
                  <w:vAlign w:val="center"/>
                </w:tcPr>
                <w:p w14:paraId="61A2129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2</w:t>
                  </w:r>
                </w:p>
              </w:tc>
              <w:tc>
                <w:tcPr>
                  <w:tcW w:w="615" w:type="pct"/>
                  <w:shd w:val="clear" w:color="auto" w:fill="auto"/>
                  <w:vAlign w:val="center"/>
                </w:tcPr>
                <w:p w14:paraId="3E4F9B3B">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w:t>
                  </w:r>
                </w:p>
              </w:tc>
              <w:tc>
                <w:tcPr>
                  <w:tcW w:w="615" w:type="pct"/>
                  <w:shd w:val="clear" w:color="auto" w:fill="auto"/>
                  <w:vAlign w:val="center"/>
                </w:tcPr>
                <w:p w14:paraId="11D0CE37">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shd w:val="clear" w:color="auto" w:fill="auto"/>
                  <w:vAlign w:val="center"/>
                </w:tcPr>
                <w:p w14:paraId="556D2F7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套</w:t>
                  </w:r>
                </w:p>
              </w:tc>
            </w:tr>
            <w:tr w14:paraId="175BA0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6BF48273">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7EBA43FF">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模具加强框</w:t>
                  </w:r>
                  <w:r>
                    <w:rPr>
                      <w:rFonts w:hint="eastAsia" w:cs="Times New Roman"/>
                      <w:color w:val="auto"/>
                      <w:lang w:val="en-US" w:eastAsia="zh-CN"/>
                    </w:rPr>
                    <w:t>（</w:t>
                  </w:r>
                  <w:r>
                    <w:rPr>
                      <w:rFonts w:hint="eastAsia" w:ascii="Times New Roman" w:hAnsi="Times New Roman" w:cs="Times New Roman"/>
                      <w:color w:val="auto"/>
                      <w:lang w:val="en-US" w:eastAsia="zh-CN"/>
                    </w:rPr>
                    <w:t>2733</w:t>
                  </w:r>
                  <w:r>
                    <w:rPr>
                      <w:rFonts w:hint="eastAsia" w:cs="Times New Roman"/>
                      <w:color w:val="auto"/>
                      <w:lang w:val="en-US" w:eastAsia="zh-CN"/>
                    </w:rPr>
                    <w:t>×</w:t>
                  </w:r>
                  <w:r>
                    <w:rPr>
                      <w:rFonts w:hint="eastAsia" w:ascii="Times New Roman" w:hAnsi="Times New Roman" w:cs="Times New Roman"/>
                      <w:color w:val="auto"/>
                      <w:lang w:val="en-US" w:eastAsia="zh-CN"/>
                    </w:rPr>
                    <w:t>1833</w:t>
                  </w:r>
                  <w:r>
                    <w:rPr>
                      <w:rFonts w:hint="eastAsia" w:cs="Times New Roman"/>
                      <w:color w:val="auto"/>
                      <w:lang w:val="en-US" w:eastAsia="zh-CN"/>
                    </w:rPr>
                    <w:t>）</w:t>
                  </w:r>
                </w:p>
              </w:tc>
              <w:tc>
                <w:tcPr>
                  <w:tcW w:w="1085" w:type="pct"/>
                  <w:vAlign w:val="center"/>
                </w:tcPr>
                <w:p w14:paraId="2595165A">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2730*1830</w:t>
                  </w:r>
                </w:p>
              </w:tc>
              <w:tc>
                <w:tcPr>
                  <w:tcW w:w="615" w:type="pct"/>
                  <w:vAlign w:val="center"/>
                </w:tcPr>
                <w:p w14:paraId="7352EDE6">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29F4AC51">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44814446">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6562D331">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个</w:t>
                  </w:r>
                </w:p>
              </w:tc>
            </w:tr>
            <w:tr w14:paraId="39D78D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restart"/>
                  <w:vAlign w:val="center"/>
                </w:tcPr>
                <w:p w14:paraId="0B3C3008">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夹具部分</w:t>
                  </w:r>
                </w:p>
              </w:tc>
              <w:tc>
                <w:tcPr>
                  <w:tcW w:w="1254" w:type="pct"/>
                  <w:vAlign w:val="center"/>
                </w:tcPr>
                <w:p w14:paraId="68DD1834">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成型荒料夹具1833</w:t>
                  </w:r>
                </w:p>
              </w:tc>
              <w:tc>
                <w:tcPr>
                  <w:tcW w:w="1085" w:type="pct"/>
                  <w:vAlign w:val="center"/>
                </w:tcPr>
                <w:p w14:paraId="3832EC18">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2730*1830</w:t>
                  </w:r>
                </w:p>
              </w:tc>
              <w:tc>
                <w:tcPr>
                  <w:tcW w:w="615" w:type="pct"/>
                  <w:vAlign w:val="center"/>
                </w:tcPr>
                <w:p w14:paraId="3EFB2FB5">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1165DC45">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615" w:type="pct"/>
                  <w:vAlign w:val="center"/>
                </w:tcPr>
                <w:p w14:paraId="3E6CFC7C">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0B96E0BE">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个</w:t>
                  </w:r>
                </w:p>
              </w:tc>
            </w:tr>
            <w:tr w14:paraId="38BF20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vAlign w:val="center"/>
                </w:tcPr>
                <w:p w14:paraId="600C3A86">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p>
              </w:tc>
              <w:tc>
                <w:tcPr>
                  <w:tcW w:w="1254" w:type="pct"/>
                  <w:vAlign w:val="center"/>
                </w:tcPr>
                <w:p w14:paraId="3FAAF54C">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模具及加强框夹具1833</w:t>
                  </w:r>
                </w:p>
              </w:tc>
              <w:tc>
                <w:tcPr>
                  <w:tcW w:w="1085" w:type="pct"/>
                  <w:vAlign w:val="center"/>
                </w:tcPr>
                <w:p w14:paraId="7DA7AC81">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cs="Times New Roman"/>
                      <w:color w:val="auto"/>
                      <w:lang w:val="en-US" w:eastAsia="zh-CN"/>
                    </w:rPr>
                    <w:t>/</w:t>
                  </w:r>
                </w:p>
              </w:tc>
              <w:tc>
                <w:tcPr>
                  <w:tcW w:w="615" w:type="pct"/>
                  <w:vAlign w:val="center"/>
                </w:tcPr>
                <w:p w14:paraId="44234A27">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w:t>
                  </w:r>
                </w:p>
              </w:tc>
              <w:tc>
                <w:tcPr>
                  <w:tcW w:w="615" w:type="pct"/>
                  <w:vAlign w:val="center"/>
                </w:tcPr>
                <w:p w14:paraId="6AF2EF27">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w:t>
                  </w:r>
                </w:p>
              </w:tc>
              <w:tc>
                <w:tcPr>
                  <w:tcW w:w="615" w:type="pct"/>
                  <w:vAlign w:val="center"/>
                </w:tcPr>
                <w:p w14:paraId="4979B9BB">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+0</w:t>
                  </w:r>
                </w:p>
              </w:tc>
              <w:tc>
                <w:tcPr>
                  <w:tcW w:w="360" w:type="pct"/>
                  <w:vAlign w:val="center"/>
                </w:tcPr>
                <w:p w14:paraId="2A06A930">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r>
          </w:tbl>
          <w:p w14:paraId="4137931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2" w:firstLineChars="200"/>
              <w:jc w:val="left"/>
              <w:textAlignment w:val="auto"/>
              <w:rPr>
                <w:rFonts w:hint="eastAsia"/>
                <w:b/>
                <w:bCs/>
                <w:color w:val="auto"/>
                <w:sz w:val="24"/>
              </w:rPr>
            </w:pPr>
            <w:r>
              <w:rPr>
                <w:rFonts w:hint="eastAsia" w:cs="Times New Roman"/>
                <w:b/>
                <w:bCs/>
                <w:color w:val="auto"/>
                <w:kern w:val="2"/>
                <w:sz w:val="24"/>
                <w:szCs w:val="24"/>
                <w:lang w:val="en-US" w:eastAsia="zh-CN" w:bidi="ar-SA"/>
              </w:rPr>
              <w:t>7.</w:t>
            </w:r>
            <w:r>
              <w:rPr>
                <w:rFonts w:hint="eastAsia"/>
                <w:b/>
                <w:bCs/>
                <w:color w:val="auto"/>
                <w:sz w:val="24"/>
              </w:rPr>
              <w:t>主要原辅材料</w:t>
            </w:r>
          </w:p>
          <w:p w14:paraId="4AB2C7B4">
            <w:pPr>
              <w:adjustRightInd w:val="0"/>
              <w:snapToGrid w:val="0"/>
              <w:spacing w:line="520" w:lineRule="exact"/>
              <w:ind w:firstLine="480" w:firstLineChars="200"/>
              <w:jc w:val="left"/>
              <w:rPr>
                <w:rFonts w:hint="default" w:eastAsia="宋体"/>
                <w:color w:val="auto"/>
                <w:lang w:val="en-US" w:eastAsia="zh-CN"/>
              </w:rPr>
            </w:pPr>
            <w:r>
              <w:rPr>
                <w:rFonts w:hint="eastAsia"/>
                <w:color w:val="auto"/>
                <w:sz w:val="24"/>
              </w:rPr>
              <w:t>本项目所需主要原辅材料、能源消耗及来源见下表</w:t>
            </w:r>
            <w:r>
              <w:rPr>
                <w:rFonts w:hint="eastAsia"/>
                <w:color w:val="auto"/>
                <w:sz w:val="24"/>
                <w:lang w:val="en-US" w:eastAsia="zh-CN"/>
              </w:rPr>
              <w:t>2-5</w:t>
            </w:r>
            <w:r>
              <w:rPr>
                <w:rFonts w:hint="eastAsia"/>
                <w:color w:val="auto"/>
                <w:sz w:val="24"/>
                <w:lang w:eastAsia="zh-CN"/>
              </w:rPr>
              <w:t>，</w:t>
            </w:r>
            <w:r>
              <w:rPr>
                <w:rFonts w:hint="eastAsia"/>
                <w:color w:val="auto"/>
                <w:sz w:val="24"/>
                <w:lang w:val="en-US" w:eastAsia="zh-CN"/>
              </w:rPr>
              <w:t>原辅材料变化见下表2-6</w:t>
            </w:r>
            <w:r>
              <w:rPr>
                <w:rFonts w:hint="eastAsia"/>
                <w:color w:val="auto"/>
                <w:sz w:val="24"/>
              </w:rPr>
              <w:t>。</w:t>
            </w:r>
            <w:r>
              <w:rPr>
                <w:rFonts w:hint="eastAsia" w:ascii="Times New Roman" w:hAnsi="Times New Roman" w:eastAsia="宋体" w:cs="Times New Roman"/>
                <w:color w:val="auto"/>
                <w:sz w:val="24"/>
                <w:lang w:val="en-US" w:eastAsia="zh-CN"/>
              </w:rPr>
              <w:t>物料平衡见</w:t>
            </w:r>
            <w:r>
              <w:rPr>
                <w:rFonts w:hint="eastAsia" w:cs="Times New Roman"/>
                <w:color w:val="auto"/>
                <w:sz w:val="24"/>
                <w:lang w:val="en-US" w:eastAsia="zh-CN"/>
              </w:rPr>
              <w:t>下</w:t>
            </w:r>
            <w:r>
              <w:rPr>
                <w:rFonts w:hint="eastAsia" w:ascii="Times New Roman" w:hAnsi="Times New Roman" w:eastAsia="宋体" w:cs="Times New Roman"/>
                <w:color w:val="auto"/>
                <w:sz w:val="24"/>
                <w:lang w:val="en-US" w:eastAsia="zh-CN"/>
              </w:rPr>
              <w:t>表2-7。</w:t>
            </w:r>
          </w:p>
          <w:p w14:paraId="218172F2">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2" w:firstLineChars="20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表</w:t>
            </w:r>
            <w:r>
              <w:rPr>
                <w:rFonts w:hint="eastAsia" w:cs="Times New Roman"/>
                <w:b/>
                <w:bCs/>
                <w:color w:val="auto"/>
                <w:kern w:val="2"/>
                <w:sz w:val="21"/>
                <w:szCs w:val="21"/>
                <w:lang w:val="en-US" w:eastAsia="zh-CN" w:bidi="ar-SA"/>
              </w:rPr>
              <w:t>2</w:t>
            </w:r>
            <w:r>
              <w:rPr>
                <w:rFonts w:hint="eastAsia" w:ascii="Times New Roman" w:hAnsi="Times New Roman" w:eastAsia="宋体" w:cs="Times New Roman"/>
                <w:b/>
                <w:bCs/>
                <w:color w:val="auto"/>
                <w:kern w:val="2"/>
                <w:sz w:val="21"/>
                <w:szCs w:val="21"/>
                <w:lang w:val="en-US" w:eastAsia="zh-CN" w:bidi="ar-SA"/>
              </w:rPr>
              <w:t>-</w:t>
            </w:r>
            <w:r>
              <w:rPr>
                <w:rFonts w:hint="eastAsia" w:cs="Times New Roman"/>
                <w:b/>
                <w:bCs/>
                <w:color w:val="auto"/>
                <w:kern w:val="2"/>
                <w:sz w:val="21"/>
                <w:szCs w:val="21"/>
                <w:lang w:val="en-US" w:eastAsia="zh-CN" w:bidi="ar-SA"/>
              </w:rPr>
              <w:t>5</w:t>
            </w:r>
            <w:r>
              <w:rPr>
                <w:rFonts w:hint="eastAsia" w:ascii="Times New Roman" w:hAnsi="Times New Roman" w:eastAsia="宋体" w:cs="Times New Roman"/>
                <w:b/>
                <w:bCs/>
                <w:color w:val="auto"/>
                <w:kern w:val="2"/>
                <w:sz w:val="21"/>
                <w:szCs w:val="21"/>
                <w:lang w:val="en-US" w:eastAsia="zh-CN" w:bidi="ar-SA"/>
              </w:rPr>
              <w:t>本工程原辅材料一览表</w:t>
            </w:r>
          </w:p>
          <w:tbl>
            <w:tblPr>
              <w:tblStyle w:val="24"/>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1"/>
              <w:gridCol w:w="1200"/>
              <w:gridCol w:w="956"/>
              <w:gridCol w:w="938"/>
              <w:gridCol w:w="787"/>
              <w:gridCol w:w="675"/>
              <w:gridCol w:w="2975"/>
            </w:tblGrid>
            <w:tr w14:paraId="203BE4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58" w:type="pct"/>
                  <w:vMerge w:val="restart"/>
                  <w:noWrap w:val="0"/>
                  <w:vAlign w:val="center"/>
                </w:tcPr>
                <w:p w14:paraId="4F34403C">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color w:val="auto"/>
                    </w:rPr>
                    <w:t>序号</w:t>
                  </w:r>
                </w:p>
              </w:tc>
              <w:tc>
                <w:tcPr>
                  <w:tcW w:w="755" w:type="pct"/>
                  <w:vMerge w:val="restart"/>
                  <w:noWrap w:val="0"/>
                  <w:vAlign w:val="center"/>
                </w:tcPr>
                <w:p w14:paraId="2D1F3619">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color w:val="auto"/>
                    </w:rPr>
                    <w:t>产品名称</w:t>
                  </w:r>
                </w:p>
              </w:tc>
              <w:tc>
                <w:tcPr>
                  <w:tcW w:w="1687" w:type="pct"/>
                  <w:gridSpan w:val="3"/>
                  <w:noWrap w:val="0"/>
                  <w:vAlign w:val="center"/>
                </w:tcPr>
                <w:p w14:paraId="00DFBF85">
                  <w:pPr>
                    <w:keepNext w:val="0"/>
                    <w:keepLines w:val="0"/>
                    <w:suppressLineNumbers w:val="0"/>
                    <w:spacing w:before="0" w:beforeAutospacing="0" w:after="0" w:afterAutospacing="0"/>
                    <w:ind w:left="0" w:right="0"/>
                    <w:jc w:val="center"/>
                    <w:rPr>
                      <w:rFonts w:hint="eastAsia" w:cs="Times New Roman"/>
                      <w:color w:val="auto"/>
                      <w:lang w:val="en-US" w:eastAsia="zh-CN"/>
                    </w:rPr>
                  </w:pPr>
                  <w:r>
                    <w:rPr>
                      <w:rFonts w:hint="eastAsia" w:cs="Times New Roman"/>
                      <w:color w:val="auto"/>
                      <w:lang w:val="en-US" w:eastAsia="zh-CN"/>
                    </w:rPr>
                    <w:t>数量</w:t>
                  </w:r>
                </w:p>
              </w:tc>
              <w:tc>
                <w:tcPr>
                  <w:tcW w:w="424" w:type="pct"/>
                  <w:vMerge w:val="restart"/>
                  <w:noWrap w:val="0"/>
                  <w:vAlign w:val="center"/>
                </w:tcPr>
                <w:p w14:paraId="5B4A710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rPr>
                    <w:t>单位</w:t>
                  </w:r>
                </w:p>
              </w:tc>
              <w:tc>
                <w:tcPr>
                  <w:tcW w:w="1872" w:type="pct"/>
                  <w:vMerge w:val="restart"/>
                  <w:noWrap w:val="0"/>
                  <w:vAlign w:val="center"/>
                </w:tcPr>
                <w:p w14:paraId="53E47D5B">
                  <w:pPr>
                    <w:keepNext w:val="0"/>
                    <w:keepLines w:val="0"/>
                    <w:suppressLineNumbers w:val="0"/>
                    <w:spacing w:before="0" w:beforeAutospacing="0" w:after="0" w:afterAutospacing="0"/>
                    <w:ind w:left="0" w:right="0"/>
                    <w:jc w:val="center"/>
                    <w:rPr>
                      <w:rFonts w:hint="eastAsia" w:ascii="Times New Roman" w:hAnsi="Times New Roman" w:cs="Times New Roman"/>
                      <w:color w:val="auto"/>
                    </w:rPr>
                  </w:pPr>
                  <w:r>
                    <w:rPr>
                      <w:rFonts w:hint="eastAsia" w:ascii="Times New Roman" w:hAnsi="Times New Roman" w:cs="Times New Roman"/>
                      <w:color w:val="auto"/>
                    </w:rPr>
                    <w:t>备注</w:t>
                  </w:r>
                </w:p>
              </w:tc>
            </w:tr>
            <w:tr w14:paraId="420544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58" w:type="pct"/>
                  <w:vMerge w:val="continue"/>
                  <w:noWrap w:val="0"/>
                  <w:vAlign w:val="center"/>
                </w:tcPr>
                <w:p w14:paraId="7B8A6388">
                  <w:pPr>
                    <w:keepNext w:val="0"/>
                    <w:keepLines w:val="0"/>
                    <w:suppressLineNumbers w:val="0"/>
                    <w:spacing w:before="0" w:beforeAutospacing="0" w:after="0" w:afterAutospacing="0"/>
                    <w:ind w:left="0" w:right="0"/>
                    <w:jc w:val="center"/>
                  </w:pPr>
                </w:p>
              </w:tc>
              <w:tc>
                <w:tcPr>
                  <w:tcW w:w="755" w:type="pct"/>
                  <w:vMerge w:val="continue"/>
                  <w:noWrap w:val="0"/>
                  <w:vAlign w:val="center"/>
                </w:tcPr>
                <w:p w14:paraId="1834C32C">
                  <w:pPr>
                    <w:keepNext w:val="0"/>
                    <w:keepLines w:val="0"/>
                    <w:suppressLineNumbers w:val="0"/>
                    <w:spacing w:before="0" w:beforeAutospacing="0" w:after="0" w:afterAutospacing="0"/>
                    <w:ind w:left="0" w:right="0"/>
                    <w:jc w:val="center"/>
                  </w:pPr>
                </w:p>
              </w:tc>
              <w:tc>
                <w:tcPr>
                  <w:tcW w:w="601" w:type="pct"/>
                  <w:noWrap w:val="0"/>
                  <w:vAlign w:val="center"/>
                </w:tcPr>
                <w:p w14:paraId="3F5F7754">
                  <w:pPr>
                    <w:keepNext w:val="0"/>
                    <w:keepLines w:val="0"/>
                    <w:suppressLineNumbers w:val="0"/>
                    <w:spacing w:before="0" w:beforeAutospacing="0" w:after="0" w:afterAutospacing="0"/>
                    <w:ind w:left="0" w:leftChars="0" w:right="0" w:rightChars="0"/>
                    <w:jc w:val="center"/>
                  </w:pPr>
                  <w:r>
                    <w:rPr>
                      <w:rFonts w:hint="eastAsia" w:ascii="Times New Roman" w:hAnsi="Times New Roman" w:cs="Times New Roman"/>
                      <w:color w:val="auto"/>
                      <w:lang w:val="en-US" w:eastAsia="zh-CN"/>
                    </w:rPr>
                    <w:t>重新报批前</w:t>
                  </w:r>
                </w:p>
              </w:tc>
              <w:tc>
                <w:tcPr>
                  <w:tcW w:w="590" w:type="pct"/>
                  <w:noWrap w:val="0"/>
                  <w:vAlign w:val="center"/>
                </w:tcPr>
                <w:p w14:paraId="715FDE82">
                  <w:pPr>
                    <w:keepNext w:val="0"/>
                    <w:keepLines w:val="0"/>
                    <w:suppressLineNumbers w:val="0"/>
                    <w:spacing w:before="0" w:beforeAutospacing="0" w:after="0" w:afterAutospacing="0"/>
                    <w:ind w:left="0" w:leftChars="0" w:right="0" w:rightChars="0"/>
                    <w:jc w:val="center"/>
                  </w:pPr>
                  <w:r>
                    <w:rPr>
                      <w:rFonts w:hint="eastAsia" w:ascii="Times New Roman" w:hAnsi="Times New Roman" w:cs="Times New Roman"/>
                      <w:color w:val="auto"/>
                      <w:lang w:val="en-US" w:eastAsia="zh-CN"/>
                    </w:rPr>
                    <w:t>重新报批</w:t>
                  </w:r>
                  <w:r>
                    <w:rPr>
                      <w:rFonts w:hint="eastAsia" w:cs="Times New Roman"/>
                      <w:color w:val="auto"/>
                      <w:lang w:val="en-US" w:eastAsia="zh-CN"/>
                    </w:rPr>
                    <w:t>后</w:t>
                  </w:r>
                </w:p>
              </w:tc>
              <w:tc>
                <w:tcPr>
                  <w:tcW w:w="495" w:type="pct"/>
                  <w:noWrap w:val="0"/>
                  <w:vAlign w:val="center"/>
                </w:tcPr>
                <w:p w14:paraId="5411B26D">
                  <w:pPr>
                    <w:keepNext w:val="0"/>
                    <w:keepLines w:val="0"/>
                    <w:suppressLineNumbers w:val="0"/>
                    <w:spacing w:before="0" w:beforeAutospacing="0" w:after="0" w:afterAutospacing="0"/>
                    <w:ind w:left="0" w:leftChars="0" w:right="0" w:rightChars="0"/>
                    <w:jc w:val="center"/>
                  </w:pPr>
                  <w:r>
                    <w:rPr>
                      <w:rFonts w:hint="eastAsia" w:ascii="Times New Roman" w:hAnsi="Times New Roman" w:cs="Times New Roman"/>
                      <w:color w:val="auto"/>
                      <w:lang w:val="en-US" w:eastAsia="zh-CN"/>
                    </w:rPr>
                    <w:t>变化量</w:t>
                  </w:r>
                </w:p>
              </w:tc>
              <w:tc>
                <w:tcPr>
                  <w:tcW w:w="424" w:type="pct"/>
                  <w:vMerge w:val="continue"/>
                  <w:noWrap w:val="0"/>
                  <w:vAlign w:val="center"/>
                </w:tcPr>
                <w:p w14:paraId="2915203F">
                  <w:pPr>
                    <w:keepNext w:val="0"/>
                    <w:keepLines w:val="0"/>
                    <w:suppressLineNumbers w:val="0"/>
                    <w:spacing w:before="0" w:beforeAutospacing="0" w:after="0" w:afterAutospacing="0"/>
                    <w:ind w:left="0" w:right="0"/>
                    <w:jc w:val="center"/>
                  </w:pPr>
                </w:p>
              </w:tc>
              <w:tc>
                <w:tcPr>
                  <w:tcW w:w="1872" w:type="pct"/>
                  <w:vMerge w:val="continue"/>
                  <w:noWrap w:val="0"/>
                  <w:vAlign w:val="center"/>
                </w:tcPr>
                <w:p w14:paraId="70216C23">
                  <w:pPr>
                    <w:keepNext w:val="0"/>
                    <w:keepLines w:val="0"/>
                    <w:suppressLineNumbers w:val="0"/>
                    <w:spacing w:before="0" w:beforeAutospacing="0" w:after="0" w:afterAutospacing="0"/>
                    <w:ind w:left="0" w:right="0"/>
                    <w:jc w:val="center"/>
                  </w:pPr>
                </w:p>
              </w:tc>
            </w:tr>
            <w:tr w14:paraId="395A0B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258" w:type="pct"/>
                  <w:noWrap w:val="0"/>
                  <w:vAlign w:val="center"/>
                </w:tcPr>
                <w:p w14:paraId="57159005">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755" w:type="pct"/>
                  <w:noWrap w:val="0"/>
                  <w:vAlign w:val="center"/>
                </w:tcPr>
                <w:p w14:paraId="7F02B058">
                  <w:pPr>
                    <w:keepNext w:val="0"/>
                    <w:keepLines w:val="0"/>
                    <w:suppressLineNumbers w:val="0"/>
                    <w:spacing w:before="0" w:beforeAutospacing="0" w:after="0" w:afterAutospacing="0"/>
                    <w:ind w:left="0" w:right="0"/>
                    <w:jc w:val="center"/>
                    <w:rPr>
                      <w:rFonts w:hint="eastAsia" w:cs="Times New Roman"/>
                      <w:color w:val="auto"/>
                      <w:lang w:val="en-US" w:eastAsia="zh-CN"/>
                    </w:rPr>
                  </w:pPr>
                  <w:r>
                    <w:rPr>
                      <w:rFonts w:hint="eastAsia" w:cs="Times New Roman"/>
                      <w:color w:val="auto"/>
                      <w:lang w:val="en-US" w:eastAsia="zh-CN"/>
                    </w:rPr>
                    <w:t>骨料</w:t>
                  </w:r>
                </w:p>
                <w:p w14:paraId="5F29EF52">
                  <w:pPr>
                    <w:keepNext w:val="0"/>
                    <w:keepLines w:val="0"/>
                    <w:suppressLineNumbers w:val="0"/>
                    <w:spacing w:before="0" w:beforeAutospacing="0" w:after="0" w:afterAutospacing="0"/>
                    <w:ind w:left="0" w:right="0"/>
                    <w:jc w:val="both"/>
                    <w:rPr>
                      <w:rFonts w:hint="default" w:ascii="Times New Roman" w:hAnsi="Times New Roman" w:cs="Times New Roman"/>
                      <w:color w:val="auto"/>
                      <w:lang w:val="en-US" w:eastAsia="zh-CN"/>
                    </w:rPr>
                  </w:pPr>
                  <w:r>
                    <w:rPr>
                      <w:rFonts w:hint="eastAsia" w:cs="Times New Roman"/>
                      <w:color w:val="auto"/>
                      <w:lang w:val="en-US" w:eastAsia="zh-CN"/>
                    </w:rPr>
                    <w:t>（粒径80—100mm）</w:t>
                  </w:r>
                </w:p>
              </w:tc>
              <w:tc>
                <w:tcPr>
                  <w:tcW w:w="601" w:type="pct"/>
                  <w:noWrap w:val="0"/>
                  <w:vAlign w:val="center"/>
                </w:tcPr>
                <w:p w14:paraId="028A5C77">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cs="Times New Roman"/>
                      <w:color w:val="auto"/>
                      <w:lang w:val="en-US" w:eastAsia="zh-CN"/>
                    </w:rPr>
                    <w:t>1.284</w:t>
                  </w:r>
                </w:p>
              </w:tc>
              <w:tc>
                <w:tcPr>
                  <w:tcW w:w="590" w:type="pct"/>
                  <w:noWrap w:val="0"/>
                  <w:vAlign w:val="center"/>
                </w:tcPr>
                <w:p w14:paraId="13F4ABAB">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1.284</w:t>
                  </w:r>
                </w:p>
              </w:tc>
              <w:tc>
                <w:tcPr>
                  <w:tcW w:w="495" w:type="pct"/>
                  <w:noWrap w:val="0"/>
                  <w:vAlign w:val="center"/>
                </w:tcPr>
                <w:p w14:paraId="32CEAC4C">
                  <w:pPr>
                    <w:keepNext w:val="0"/>
                    <w:keepLines w:val="0"/>
                    <w:suppressLineNumbers w:val="0"/>
                    <w:spacing w:before="0" w:beforeAutospacing="0" w:after="0" w:afterAutospacing="0"/>
                    <w:ind w:left="0" w:right="0"/>
                    <w:jc w:val="center"/>
                    <w:rPr>
                      <w:rFonts w:hint="default" w:cs="Times New Roman"/>
                      <w:color w:val="auto"/>
                      <w:lang w:val="en-US" w:eastAsia="zh-CN"/>
                    </w:rPr>
                  </w:pPr>
                  <w:r>
                    <w:rPr>
                      <w:rFonts w:hint="eastAsia" w:cs="Times New Roman"/>
                      <w:color w:val="auto"/>
                      <w:lang w:val="en-US" w:eastAsia="zh-CN"/>
                    </w:rPr>
                    <w:t>+0</w:t>
                  </w:r>
                </w:p>
              </w:tc>
              <w:tc>
                <w:tcPr>
                  <w:tcW w:w="424" w:type="pct"/>
                  <w:noWrap w:val="0"/>
                  <w:vAlign w:val="center"/>
                </w:tcPr>
                <w:p w14:paraId="74DE15F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万吨</w:t>
                  </w:r>
                </w:p>
              </w:tc>
              <w:tc>
                <w:tcPr>
                  <w:tcW w:w="1872" w:type="pct"/>
                  <w:noWrap w:val="0"/>
                  <w:vAlign w:val="center"/>
                </w:tcPr>
                <w:p w14:paraId="12699149">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cs="Times New Roman"/>
                      <w:color w:val="auto"/>
                      <w:lang w:val="en-US" w:eastAsia="zh-CN"/>
                    </w:rPr>
                    <w:t>全部为外购，汽车拉运，堆放在荒料堆放区</w:t>
                  </w:r>
                </w:p>
              </w:tc>
            </w:tr>
            <w:tr w14:paraId="422AFF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258" w:type="pct"/>
                  <w:shd w:val="clear" w:color="auto" w:fill="auto"/>
                  <w:noWrap w:val="0"/>
                  <w:vAlign w:val="center"/>
                </w:tcPr>
                <w:p w14:paraId="739A23B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2</w:t>
                  </w:r>
                </w:p>
              </w:tc>
              <w:tc>
                <w:tcPr>
                  <w:tcW w:w="755" w:type="pct"/>
                  <w:shd w:val="clear" w:color="auto" w:fill="auto"/>
                  <w:noWrap w:val="0"/>
                  <w:vAlign w:val="center"/>
                </w:tcPr>
                <w:p w14:paraId="3B2611B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石英砂</w:t>
                  </w:r>
                </w:p>
              </w:tc>
              <w:tc>
                <w:tcPr>
                  <w:tcW w:w="601" w:type="pct"/>
                  <w:shd w:val="clear" w:color="auto" w:fill="auto"/>
                  <w:noWrap w:val="0"/>
                  <w:vAlign w:val="center"/>
                </w:tcPr>
                <w:p w14:paraId="4CF7751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0.96</w:t>
                  </w:r>
                </w:p>
              </w:tc>
              <w:tc>
                <w:tcPr>
                  <w:tcW w:w="590" w:type="pct"/>
                  <w:shd w:val="clear" w:color="auto" w:fill="auto"/>
                  <w:noWrap w:val="0"/>
                  <w:vAlign w:val="center"/>
                </w:tcPr>
                <w:p w14:paraId="22BFAB3B">
                  <w:pPr>
                    <w:keepNext w:val="0"/>
                    <w:keepLines w:val="0"/>
                    <w:suppressLineNumbers w:val="0"/>
                    <w:spacing w:before="0" w:beforeAutospacing="0" w:after="0" w:afterAutospacing="0"/>
                    <w:ind w:left="0" w:leftChars="0" w:right="0" w:rightChars="0"/>
                    <w:jc w:val="center"/>
                    <w:rPr>
                      <w:rFonts w:hint="eastAsia" w:cs="Times New Roman"/>
                      <w:color w:val="auto"/>
                      <w:kern w:val="2"/>
                      <w:sz w:val="21"/>
                      <w:szCs w:val="24"/>
                      <w:lang w:val="en-US" w:eastAsia="zh-CN" w:bidi="ar-SA"/>
                    </w:rPr>
                  </w:pPr>
                  <w:r>
                    <w:rPr>
                      <w:rFonts w:hint="eastAsia" w:cs="Times New Roman"/>
                      <w:color w:val="auto"/>
                      <w:kern w:val="2"/>
                      <w:sz w:val="21"/>
                      <w:szCs w:val="24"/>
                      <w:lang w:val="en-US" w:eastAsia="zh-CN" w:bidi="ar-SA"/>
                    </w:rPr>
                    <w:t>0.96</w:t>
                  </w:r>
                </w:p>
              </w:tc>
              <w:tc>
                <w:tcPr>
                  <w:tcW w:w="495" w:type="pct"/>
                  <w:shd w:val="clear" w:color="auto" w:fill="auto"/>
                  <w:noWrap w:val="0"/>
                  <w:vAlign w:val="center"/>
                </w:tcPr>
                <w:p w14:paraId="5BEBFEC9">
                  <w:pPr>
                    <w:keepNext w:val="0"/>
                    <w:keepLines w:val="0"/>
                    <w:suppressLineNumbers w:val="0"/>
                    <w:spacing w:before="0" w:beforeAutospacing="0" w:after="0" w:afterAutospacing="0"/>
                    <w:ind w:left="0" w:leftChars="0" w:right="0" w:rightChars="0"/>
                    <w:jc w:val="center"/>
                    <w:rPr>
                      <w:rFonts w:hint="eastAsia" w:cs="Times New Roman"/>
                      <w:color w:val="auto"/>
                      <w:kern w:val="2"/>
                      <w:sz w:val="21"/>
                      <w:szCs w:val="24"/>
                      <w:lang w:val="en-US" w:eastAsia="zh-CN" w:bidi="ar-SA"/>
                    </w:rPr>
                  </w:pPr>
                  <w:r>
                    <w:rPr>
                      <w:rFonts w:hint="eastAsia" w:cs="Times New Roman"/>
                      <w:color w:val="auto"/>
                      <w:lang w:val="en-US" w:eastAsia="zh-CN"/>
                    </w:rPr>
                    <w:t>+0</w:t>
                  </w:r>
                </w:p>
              </w:tc>
              <w:tc>
                <w:tcPr>
                  <w:tcW w:w="424" w:type="pct"/>
                  <w:shd w:val="clear" w:color="auto" w:fill="auto"/>
                  <w:noWrap w:val="0"/>
                  <w:vAlign w:val="center"/>
                </w:tcPr>
                <w:p w14:paraId="2D7F76B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万吨</w:t>
                  </w:r>
                </w:p>
              </w:tc>
              <w:tc>
                <w:tcPr>
                  <w:tcW w:w="1872" w:type="pct"/>
                  <w:noWrap w:val="0"/>
                  <w:vAlign w:val="center"/>
                </w:tcPr>
                <w:p w14:paraId="6C119088">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cs="Times New Roman"/>
                      <w:color w:val="auto"/>
                      <w:lang w:val="en-US" w:eastAsia="zh-CN"/>
                    </w:rPr>
                    <w:t>外购，袋装，汽车拉运，堆放在厂房内</w:t>
                  </w:r>
                </w:p>
              </w:tc>
            </w:tr>
            <w:tr w14:paraId="23E813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258" w:type="pct"/>
                  <w:noWrap w:val="0"/>
                  <w:vAlign w:val="center"/>
                </w:tcPr>
                <w:p w14:paraId="394511F1">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cs="Times New Roman"/>
                      <w:color w:val="auto"/>
                      <w:lang w:val="en-US" w:eastAsia="zh-CN"/>
                    </w:rPr>
                    <w:t>3</w:t>
                  </w:r>
                </w:p>
              </w:tc>
              <w:tc>
                <w:tcPr>
                  <w:tcW w:w="755" w:type="pct"/>
                  <w:noWrap w:val="0"/>
                  <w:vAlign w:val="center"/>
                </w:tcPr>
                <w:p w14:paraId="3497818B">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cs="Times New Roman"/>
                      <w:color w:val="auto"/>
                      <w:lang w:val="en-US" w:eastAsia="zh-CN"/>
                    </w:rPr>
                    <w:t>细粉</w:t>
                  </w:r>
                </w:p>
              </w:tc>
              <w:tc>
                <w:tcPr>
                  <w:tcW w:w="601" w:type="pct"/>
                  <w:noWrap w:val="0"/>
                  <w:vAlign w:val="center"/>
                </w:tcPr>
                <w:p w14:paraId="341C5FA3">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cs="Times New Roman"/>
                      <w:color w:val="auto"/>
                      <w:lang w:val="en-US" w:eastAsia="zh-CN"/>
                    </w:rPr>
                    <w:t>0.704</w:t>
                  </w:r>
                </w:p>
              </w:tc>
              <w:tc>
                <w:tcPr>
                  <w:tcW w:w="590" w:type="pct"/>
                  <w:noWrap w:val="0"/>
                  <w:vAlign w:val="center"/>
                </w:tcPr>
                <w:p w14:paraId="3DCA1656">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0.704</w:t>
                  </w:r>
                </w:p>
              </w:tc>
              <w:tc>
                <w:tcPr>
                  <w:tcW w:w="495" w:type="pct"/>
                  <w:noWrap w:val="0"/>
                  <w:vAlign w:val="center"/>
                </w:tcPr>
                <w:p w14:paraId="4225AE08">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+0</w:t>
                  </w:r>
                </w:p>
              </w:tc>
              <w:tc>
                <w:tcPr>
                  <w:tcW w:w="424" w:type="pct"/>
                  <w:noWrap w:val="0"/>
                  <w:vAlign w:val="center"/>
                </w:tcPr>
                <w:p w14:paraId="2AC8F2E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lang w:val="en-US" w:eastAsia="zh-CN"/>
                    </w:rPr>
                  </w:pPr>
                  <w:r>
                    <w:rPr>
                      <w:rFonts w:hint="eastAsia" w:cs="Times New Roman"/>
                      <w:color w:val="auto"/>
                      <w:lang w:val="en-US" w:eastAsia="zh-CN"/>
                    </w:rPr>
                    <w:t>万吨</w:t>
                  </w:r>
                </w:p>
              </w:tc>
              <w:tc>
                <w:tcPr>
                  <w:tcW w:w="1872" w:type="pct"/>
                  <w:noWrap w:val="0"/>
                  <w:vAlign w:val="center"/>
                </w:tcPr>
                <w:p w14:paraId="13FF6109">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cs="Times New Roman"/>
                      <w:color w:val="auto"/>
                      <w:lang w:val="en-US" w:eastAsia="zh-CN"/>
                    </w:rPr>
                    <w:t>外购，袋装，汽车拉运，堆放在厂房内</w:t>
                  </w:r>
                </w:p>
              </w:tc>
            </w:tr>
            <w:tr w14:paraId="6784C5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58" w:type="pct"/>
                  <w:noWrap w:val="0"/>
                  <w:vAlign w:val="center"/>
                </w:tcPr>
                <w:p w14:paraId="4664AC83">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cs="Times New Roman"/>
                      <w:color w:val="auto"/>
                      <w:lang w:val="en-US" w:eastAsia="zh-CN"/>
                    </w:rPr>
                    <w:t>4</w:t>
                  </w:r>
                </w:p>
              </w:tc>
              <w:tc>
                <w:tcPr>
                  <w:tcW w:w="755" w:type="pct"/>
                  <w:noWrap w:val="0"/>
                  <w:vAlign w:val="center"/>
                </w:tcPr>
                <w:p w14:paraId="1A99327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树脂</w:t>
                  </w:r>
                </w:p>
              </w:tc>
              <w:tc>
                <w:tcPr>
                  <w:tcW w:w="601" w:type="pct"/>
                  <w:noWrap w:val="0"/>
                  <w:vAlign w:val="center"/>
                </w:tcPr>
                <w:p w14:paraId="779CC5F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0.256</w:t>
                  </w:r>
                </w:p>
              </w:tc>
              <w:tc>
                <w:tcPr>
                  <w:tcW w:w="590" w:type="pct"/>
                  <w:noWrap w:val="0"/>
                  <w:vAlign w:val="center"/>
                </w:tcPr>
                <w:p w14:paraId="10425D65">
                  <w:pPr>
                    <w:keepNext w:val="0"/>
                    <w:keepLines w:val="0"/>
                    <w:suppressLineNumbers w:val="0"/>
                    <w:spacing w:before="0" w:beforeAutospacing="0" w:after="0" w:afterAutospacing="0"/>
                    <w:ind w:left="0" w:leftChars="0" w:right="0" w:rightChars="0"/>
                    <w:jc w:val="center"/>
                    <w:rPr>
                      <w:rFonts w:hint="eastAsia" w:cs="Times New Roman"/>
                      <w:color w:val="auto"/>
                      <w:kern w:val="2"/>
                      <w:sz w:val="21"/>
                      <w:szCs w:val="24"/>
                      <w:lang w:val="en-US" w:eastAsia="zh-CN" w:bidi="ar-SA"/>
                    </w:rPr>
                  </w:pPr>
                  <w:r>
                    <w:rPr>
                      <w:rFonts w:hint="eastAsia" w:cs="Times New Roman"/>
                      <w:color w:val="auto"/>
                      <w:kern w:val="2"/>
                      <w:sz w:val="21"/>
                      <w:szCs w:val="24"/>
                      <w:lang w:val="en-US" w:eastAsia="zh-CN" w:bidi="ar-SA"/>
                    </w:rPr>
                    <w:t>0.256</w:t>
                  </w:r>
                </w:p>
              </w:tc>
              <w:tc>
                <w:tcPr>
                  <w:tcW w:w="495" w:type="pct"/>
                  <w:noWrap w:val="0"/>
                  <w:vAlign w:val="center"/>
                </w:tcPr>
                <w:p w14:paraId="4B2ED014">
                  <w:pPr>
                    <w:keepNext w:val="0"/>
                    <w:keepLines w:val="0"/>
                    <w:suppressLineNumbers w:val="0"/>
                    <w:spacing w:before="0" w:beforeAutospacing="0" w:after="0" w:afterAutospacing="0"/>
                    <w:ind w:left="0" w:leftChars="0" w:right="0" w:rightChars="0"/>
                    <w:jc w:val="center"/>
                    <w:rPr>
                      <w:rFonts w:hint="eastAsia" w:cs="Times New Roman"/>
                      <w:color w:val="auto"/>
                      <w:kern w:val="2"/>
                      <w:sz w:val="21"/>
                      <w:szCs w:val="24"/>
                      <w:lang w:val="en-US" w:eastAsia="zh-CN" w:bidi="ar-SA"/>
                    </w:rPr>
                  </w:pPr>
                  <w:r>
                    <w:rPr>
                      <w:rFonts w:hint="eastAsia" w:cs="Times New Roman"/>
                      <w:color w:val="auto"/>
                      <w:lang w:val="en-US" w:eastAsia="zh-CN"/>
                    </w:rPr>
                    <w:t>+0</w:t>
                  </w:r>
                </w:p>
              </w:tc>
              <w:tc>
                <w:tcPr>
                  <w:tcW w:w="424" w:type="pct"/>
                  <w:noWrap w:val="0"/>
                  <w:vAlign w:val="center"/>
                </w:tcPr>
                <w:p w14:paraId="695C564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万吨</w:t>
                  </w:r>
                </w:p>
              </w:tc>
              <w:tc>
                <w:tcPr>
                  <w:tcW w:w="1872" w:type="pct"/>
                  <w:noWrap w:val="0"/>
                  <w:vAlign w:val="center"/>
                </w:tcPr>
                <w:p w14:paraId="3635C2B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外购，桶装，汽车拉运，堆放在厂房内</w:t>
                  </w:r>
                </w:p>
              </w:tc>
            </w:tr>
            <w:tr w14:paraId="099DAA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58" w:type="pct"/>
                  <w:noWrap w:val="0"/>
                  <w:vAlign w:val="center"/>
                </w:tcPr>
                <w:p w14:paraId="37D872C1">
                  <w:pPr>
                    <w:keepNext w:val="0"/>
                    <w:keepLines w:val="0"/>
                    <w:suppressLineNumbers w:val="0"/>
                    <w:spacing w:before="0" w:beforeAutospacing="0" w:after="0" w:afterAutospacing="0"/>
                    <w:ind w:left="0" w:right="0"/>
                    <w:jc w:val="center"/>
                    <w:rPr>
                      <w:rFonts w:hint="default" w:cs="Times New Roman"/>
                      <w:color w:val="auto"/>
                      <w:lang w:val="en-US" w:eastAsia="zh-CN"/>
                    </w:rPr>
                  </w:pPr>
                  <w:r>
                    <w:rPr>
                      <w:rFonts w:hint="eastAsia" w:cs="Times New Roman"/>
                      <w:color w:val="auto"/>
                      <w:lang w:val="en-US" w:eastAsia="zh-CN"/>
                    </w:rPr>
                    <w:t>5</w:t>
                  </w:r>
                </w:p>
              </w:tc>
              <w:tc>
                <w:tcPr>
                  <w:tcW w:w="755" w:type="pct"/>
                  <w:noWrap w:val="0"/>
                  <w:vAlign w:val="center"/>
                </w:tcPr>
                <w:p w14:paraId="3CE9F91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辅助材料和助剂</w:t>
                  </w:r>
                </w:p>
              </w:tc>
              <w:tc>
                <w:tcPr>
                  <w:tcW w:w="601" w:type="pct"/>
                  <w:noWrap w:val="0"/>
                  <w:vAlign w:val="center"/>
                </w:tcPr>
                <w:p w14:paraId="630B128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29.8</w:t>
                  </w:r>
                </w:p>
              </w:tc>
              <w:tc>
                <w:tcPr>
                  <w:tcW w:w="590" w:type="pct"/>
                  <w:noWrap w:val="0"/>
                  <w:vAlign w:val="center"/>
                </w:tcPr>
                <w:p w14:paraId="3C66046E">
                  <w:pPr>
                    <w:keepNext w:val="0"/>
                    <w:keepLines w:val="0"/>
                    <w:suppressLineNumbers w:val="0"/>
                    <w:spacing w:before="0" w:beforeAutospacing="0" w:after="0" w:afterAutospacing="0"/>
                    <w:ind w:left="0" w:leftChars="0" w:right="0" w:rightChars="0"/>
                    <w:jc w:val="center"/>
                    <w:rPr>
                      <w:rFonts w:hint="eastAsia" w:cs="Times New Roman"/>
                      <w:color w:val="auto"/>
                      <w:kern w:val="2"/>
                      <w:sz w:val="21"/>
                      <w:szCs w:val="24"/>
                      <w:lang w:val="en-US" w:eastAsia="zh-CN" w:bidi="ar-SA"/>
                    </w:rPr>
                  </w:pPr>
                  <w:r>
                    <w:rPr>
                      <w:rFonts w:hint="eastAsia" w:cs="Times New Roman"/>
                      <w:color w:val="auto"/>
                      <w:kern w:val="2"/>
                      <w:sz w:val="21"/>
                      <w:szCs w:val="24"/>
                      <w:lang w:val="en-US" w:eastAsia="zh-CN" w:bidi="ar-SA"/>
                    </w:rPr>
                    <w:t>29.8</w:t>
                  </w:r>
                </w:p>
              </w:tc>
              <w:tc>
                <w:tcPr>
                  <w:tcW w:w="495" w:type="pct"/>
                  <w:noWrap w:val="0"/>
                  <w:vAlign w:val="center"/>
                </w:tcPr>
                <w:p w14:paraId="3B3147CB">
                  <w:pPr>
                    <w:keepNext w:val="0"/>
                    <w:keepLines w:val="0"/>
                    <w:suppressLineNumbers w:val="0"/>
                    <w:spacing w:before="0" w:beforeAutospacing="0" w:after="0" w:afterAutospacing="0"/>
                    <w:ind w:left="0" w:leftChars="0" w:right="0" w:rightChars="0"/>
                    <w:jc w:val="center"/>
                    <w:rPr>
                      <w:rFonts w:hint="eastAsia" w:cs="Times New Roman"/>
                      <w:color w:val="auto"/>
                      <w:kern w:val="2"/>
                      <w:sz w:val="21"/>
                      <w:szCs w:val="24"/>
                      <w:lang w:val="en-US" w:eastAsia="zh-CN" w:bidi="ar-SA"/>
                    </w:rPr>
                  </w:pPr>
                  <w:r>
                    <w:rPr>
                      <w:rFonts w:hint="eastAsia" w:cs="Times New Roman"/>
                      <w:color w:val="auto"/>
                      <w:lang w:val="en-US" w:eastAsia="zh-CN"/>
                    </w:rPr>
                    <w:t>+0</w:t>
                  </w:r>
                </w:p>
              </w:tc>
              <w:tc>
                <w:tcPr>
                  <w:tcW w:w="424" w:type="pct"/>
                  <w:noWrap w:val="0"/>
                  <w:vAlign w:val="center"/>
                </w:tcPr>
                <w:p w14:paraId="07CB8BB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吨</w:t>
                  </w:r>
                </w:p>
              </w:tc>
              <w:tc>
                <w:tcPr>
                  <w:tcW w:w="1872" w:type="pct"/>
                  <w:noWrap w:val="0"/>
                  <w:vAlign w:val="center"/>
                </w:tcPr>
                <w:p w14:paraId="2CCF8B3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外购，桶装，汽车拉运，堆放在厂房内</w:t>
                  </w:r>
                </w:p>
              </w:tc>
            </w:tr>
            <w:tr w14:paraId="6E5446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58" w:type="pct"/>
                  <w:noWrap w:val="0"/>
                  <w:vAlign w:val="center"/>
                </w:tcPr>
                <w:p w14:paraId="38D9A38D">
                  <w:pPr>
                    <w:keepNext w:val="0"/>
                    <w:keepLines w:val="0"/>
                    <w:suppressLineNumbers w:val="0"/>
                    <w:spacing w:before="0" w:beforeAutospacing="0" w:after="0" w:afterAutospacing="0"/>
                    <w:ind w:left="0" w:right="0"/>
                    <w:jc w:val="center"/>
                    <w:rPr>
                      <w:rFonts w:hint="default" w:cs="Times New Roman"/>
                      <w:color w:val="auto"/>
                      <w:lang w:val="en-US" w:eastAsia="zh-CN"/>
                    </w:rPr>
                  </w:pPr>
                  <w:r>
                    <w:rPr>
                      <w:rFonts w:hint="eastAsia" w:cs="Times New Roman"/>
                      <w:color w:val="auto"/>
                      <w:lang w:val="en-US" w:eastAsia="zh-CN"/>
                    </w:rPr>
                    <w:t>6</w:t>
                  </w:r>
                </w:p>
              </w:tc>
              <w:tc>
                <w:tcPr>
                  <w:tcW w:w="755" w:type="pct"/>
                  <w:noWrap w:val="0"/>
                  <w:vAlign w:val="center"/>
                </w:tcPr>
                <w:p w14:paraId="1B3457A0">
                  <w:pPr>
                    <w:keepNext w:val="0"/>
                    <w:keepLines w:val="0"/>
                    <w:suppressLineNumbers w:val="0"/>
                    <w:spacing w:before="0" w:beforeAutospacing="0" w:after="0" w:afterAutospacing="0"/>
                    <w:ind w:left="0" w:leftChars="0" w:right="0" w:rightChars="0"/>
                    <w:jc w:val="center"/>
                    <w:rPr>
                      <w:rFonts w:hint="default" w:cs="Times New Roman"/>
                      <w:color w:val="auto"/>
                      <w:kern w:val="2"/>
                      <w:sz w:val="21"/>
                      <w:szCs w:val="24"/>
                      <w:lang w:val="en-US" w:eastAsia="zh-CN" w:bidi="ar-SA"/>
                    </w:rPr>
                  </w:pPr>
                  <w:r>
                    <w:rPr>
                      <w:rFonts w:hint="eastAsia" w:cs="Times New Roman"/>
                      <w:color w:val="auto"/>
                      <w:kern w:val="2"/>
                      <w:sz w:val="21"/>
                      <w:szCs w:val="24"/>
                      <w:lang w:val="en-US" w:eastAsia="zh-CN" w:bidi="ar-SA"/>
                    </w:rPr>
                    <w:t>电</w:t>
                  </w:r>
                </w:p>
              </w:tc>
              <w:tc>
                <w:tcPr>
                  <w:tcW w:w="601" w:type="pct"/>
                  <w:noWrap w:val="0"/>
                  <w:vAlign w:val="center"/>
                </w:tcPr>
                <w:p w14:paraId="2791B718">
                  <w:pPr>
                    <w:keepNext w:val="0"/>
                    <w:keepLines w:val="0"/>
                    <w:suppressLineNumbers w:val="0"/>
                    <w:spacing w:before="0" w:beforeAutospacing="0" w:after="0" w:afterAutospacing="0"/>
                    <w:ind w:left="0" w:leftChars="0" w:right="0" w:rightChars="0"/>
                    <w:jc w:val="center"/>
                    <w:rPr>
                      <w:rFonts w:hint="default" w:cs="Times New Roman"/>
                      <w:color w:val="auto"/>
                      <w:lang w:val="en-US" w:eastAsia="zh-CN"/>
                    </w:rPr>
                  </w:pPr>
                  <w:r>
                    <w:rPr>
                      <w:rFonts w:hint="eastAsia" w:cs="Times New Roman"/>
                      <w:color w:val="auto"/>
                      <w:lang w:val="en-US" w:eastAsia="zh-CN"/>
                    </w:rPr>
                    <w:t>246.97</w:t>
                  </w:r>
                </w:p>
              </w:tc>
              <w:tc>
                <w:tcPr>
                  <w:tcW w:w="590" w:type="pct"/>
                  <w:noWrap w:val="0"/>
                  <w:vAlign w:val="center"/>
                </w:tcPr>
                <w:p w14:paraId="2A88333C">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246.97</w:t>
                  </w:r>
                </w:p>
              </w:tc>
              <w:tc>
                <w:tcPr>
                  <w:tcW w:w="495" w:type="pct"/>
                  <w:noWrap w:val="0"/>
                  <w:vAlign w:val="center"/>
                </w:tcPr>
                <w:p w14:paraId="3C2383BF">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+0</w:t>
                  </w:r>
                </w:p>
              </w:tc>
              <w:tc>
                <w:tcPr>
                  <w:tcW w:w="424" w:type="pct"/>
                  <w:noWrap w:val="0"/>
                  <w:vAlign w:val="center"/>
                </w:tcPr>
                <w:p w14:paraId="577B6160">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lang w:val="en-US" w:eastAsia="zh-CN"/>
                    </w:rPr>
                  </w:pPr>
                  <w:r>
                    <w:rPr>
                      <w:rFonts w:hint="eastAsia" w:cs="Times New Roman"/>
                      <w:color w:val="auto"/>
                      <w:lang w:val="en-US" w:eastAsia="zh-CN"/>
                    </w:rPr>
                    <w:t>万kWh</w:t>
                  </w:r>
                </w:p>
              </w:tc>
              <w:tc>
                <w:tcPr>
                  <w:tcW w:w="1872" w:type="pct"/>
                  <w:noWrap w:val="0"/>
                  <w:vAlign w:val="center"/>
                </w:tcPr>
                <w:p w14:paraId="00A1468F">
                  <w:pPr>
                    <w:keepNext w:val="0"/>
                    <w:keepLines w:val="0"/>
                    <w:suppressLineNumbers w:val="0"/>
                    <w:spacing w:before="0" w:beforeAutospacing="0" w:after="0" w:afterAutospacing="0"/>
                    <w:ind w:left="0" w:leftChars="0" w:right="0" w:rightChars="0"/>
                    <w:jc w:val="center"/>
                    <w:rPr>
                      <w:rFonts w:hint="default" w:cs="Times New Roman"/>
                      <w:color w:val="auto"/>
                      <w:lang w:val="en-US" w:eastAsia="zh-CN"/>
                    </w:rPr>
                  </w:pPr>
                  <w:r>
                    <w:rPr>
                      <w:rFonts w:hint="eastAsia" w:cs="Times New Roman"/>
                      <w:color w:val="auto"/>
                      <w:lang w:val="en-US" w:eastAsia="zh-CN"/>
                    </w:rPr>
                    <w:t>由园区提供</w:t>
                  </w:r>
                </w:p>
              </w:tc>
            </w:tr>
          </w:tbl>
          <w:p w14:paraId="3605C419">
            <w:pPr>
              <w:pStyle w:val="55"/>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表2-6物料理化性质一览表</w:t>
            </w:r>
          </w:p>
          <w:tbl>
            <w:tblPr>
              <w:tblStyle w:val="25"/>
              <w:tblW w:w="4998"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14"/>
              <w:gridCol w:w="6428"/>
            </w:tblGrid>
            <w:tr w14:paraId="74E1CD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3" w:type="pct"/>
                  <w:vAlign w:val="center"/>
                </w:tcPr>
                <w:p w14:paraId="4F6C3CD4">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cs="Times New Roman"/>
                      <w:color w:val="auto"/>
                      <w:lang w:val="en-US" w:eastAsia="zh-CN"/>
                    </w:rPr>
                    <w:t>名称</w:t>
                  </w:r>
                </w:p>
              </w:tc>
              <w:tc>
                <w:tcPr>
                  <w:tcW w:w="4046" w:type="pct"/>
                  <w:vAlign w:val="center"/>
                </w:tcPr>
                <w:p w14:paraId="20187996">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cs="Times New Roman"/>
                      <w:color w:val="auto"/>
                      <w:lang w:val="en-US" w:eastAsia="zh-CN"/>
                    </w:rPr>
                    <w:t>理化性质</w:t>
                  </w:r>
                </w:p>
              </w:tc>
            </w:tr>
            <w:tr w14:paraId="4A1767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3" w:type="pct"/>
                  <w:vAlign w:val="center"/>
                </w:tcPr>
                <w:p w14:paraId="5783A1EE">
                  <w:pPr>
                    <w:keepNext w:val="0"/>
                    <w:keepLines w:val="0"/>
                    <w:suppressLineNumbers w:val="0"/>
                    <w:spacing w:before="0" w:beforeAutospacing="0" w:after="0" w:afterAutospacing="0"/>
                    <w:ind w:left="0" w:right="0"/>
                    <w:jc w:val="center"/>
                    <w:rPr>
                      <w:rFonts w:hint="default" w:cs="Times New Roman"/>
                      <w:color w:val="auto"/>
                      <w:lang w:val="en-US" w:eastAsia="zh-CN"/>
                    </w:rPr>
                  </w:pPr>
                  <w:r>
                    <w:rPr>
                      <w:rFonts w:hint="eastAsia" w:cs="Times New Roman"/>
                      <w:color w:val="auto"/>
                      <w:lang w:val="en-US" w:eastAsia="zh-CN"/>
                    </w:rPr>
                    <w:t>骨料</w:t>
                  </w:r>
                </w:p>
              </w:tc>
              <w:tc>
                <w:tcPr>
                  <w:tcW w:w="4046" w:type="pct"/>
                  <w:vAlign w:val="center"/>
                </w:tcPr>
                <w:p w14:paraId="7BF84C2B">
                  <w:pPr>
                    <w:keepNext w:val="0"/>
                    <w:keepLines w:val="0"/>
                    <w:suppressLineNumbers w:val="0"/>
                    <w:spacing w:before="0" w:beforeAutospacing="0" w:after="0" w:afterAutospacing="0"/>
                    <w:ind w:left="0" w:right="0"/>
                    <w:jc w:val="center"/>
                    <w:rPr>
                      <w:rFonts w:hint="default" w:cs="Times New Roman"/>
                      <w:color w:val="auto"/>
                      <w:lang w:val="en-US" w:eastAsia="zh-CN"/>
                    </w:rPr>
                  </w:pPr>
                  <w:r>
                    <w:rPr>
                      <w:rFonts w:hint="eastAsia" w:cs="Times New Roman"/>
                      <w:color w:val="auto"/>
                      <w:lang w:val="en-US" w:eastAsia="zh-CN"/>
                    </w:rPr>
                    <w:t>骨料主要为花岗岩碎石，花岗岩属于酸性（SiO</w:t>
                  </w:r>
                  <w:r>
                    <w:rPr>
                      <w:rFonts w:hint="default" w:cs="Times New Roman"/>
                      <w:color w:val="auto"/>
                      <w:lang w:val="en-US" w:eastAsia="zh-CN"/>
                    </w:rPr>
                    <w:t>2&gt;66%）</w:t>
                  </w:r>
                  <w:r>
                    <w:rPr>
                      <w:rFonts w:hint="default" w:cs="Times New Roman"/>
                      <w:color w:val="auto"/>
                      <w:lang w:val="en-US" w:eastAsia="zh-CN"/>
                    </w:rPr>
                    <w:fldChar w:fldCharType="begin"/>
                  </w:r>
                  <w:r>
                    <w:rPr>
                      <w:rFonts w:hint="default" w:cs="Times New Roman"/>
                      <w:color w:val="auto"/>
                      <w:lang w:val="en-US" w:eastAsia="zh-CN"/>
                    </w:rPr>
                    <w:instrText xml:space="preserve"> HYPERLINK "https://baike.baidu.com/item/%E5%B2%A9%E6%B5%86%E5%B2%A9/0?fromModule=lemma_inlink" \t "https://baike.baidu.com/item/%E8%8A%B1%E5%B2%97%E5%B2%A9/_blank" </w:instrText>
                  </w:r>
                  <w:r>
                    <w:rPr>
                      <w:rFonts w:hint="default" w:cs="Times New Roman"/>
                      <w:color w:val="auto"/>
                      <w:lang w:val="en-US" w:eastAsia="zh-CN"/>
                    </w:rPr>
                    <w:fldChar w:fldCharType="separate"/>
                  </w:r>
                  <w:r>
                    <w:rPr>
                      <w:rFonts w:hint="default" w:cs="Times New Roman"/>
                      <w:color w:val="auto"/>
                      <w:lang w:val="en-US" w:eastAsia="zh-CN"/>
                    </w:rPr>
                    <w:t>岩浆岩</w:t>
                  </w:r>
                  <w:r>
                    <w:rPr>
                      <w:rFonts w:hint="default" w:cs="Times New Roman"/>
                      <w:color w:val="auto"/>
                      <w:lang w:val="en-US" w:eastAsia="zh-CN"/>
                    </w:rPr>
                    <w:fldChar w:fldCharType="end"/>
                  </w:r>
                  <w:r>
                    <w:rPr>
                      <w:rFonts w:hint="default" w:cs="Times New Roman"/>
                      <w:color w:val="auto"/>
                      <w:lang w:val="en-US" w:eastAsia="zh-CN"/>
                    </w:rPr>
                    <w:t>中的</w:t>
                  </w:r>
                  <w:r>
                    <w:rPr>
                      <w:rFonts w:hint="default" w:cs="Times New Roman"/>
                      <w:color w:val="auto"/>
                      <w:lang w:val="en-US" w:eastAsia="zh-CN"/>
                    </w:rPr>
                    <w:fldChar w:fldCharType="begin"/>
                  </w:r>
                  <w:r>
                    <w:rPr>
                      <w:rFonts w:hint="default" w:cs="Times New Roman"/>
                      <w:color w:val="auto"/>
                      <w:lang w:val="en-US" w:eastAsia="zh-CN"/>
                    </w:rPr>
                    <w:instrText xml:space="preserve"> HYPERLINK "https://baike.baidu.com/item/%E4%BE%B5%E5%85%A5%E5%B2%A9/0?fromModule=lemma_inlink" \t "https://baike.baidu.com/item/%E8%8A%B1%E5%B2%97%E5%B2%A9/_blank" </w:instrText>
                  </w:r>
                  <w:r>
                    <w:rPr>
                      <w:rFonts w:hint="default" w:cs="Times New Roman"/>
                      <w:color w:val="auto"/>
                      <w:lang w:val="en-US" w:eastAsia="zh-CN"/>
                    </w:rPr>
                    <w:fldChar w:fldCharType="separate"/>
                  </w:r>
                  <w:r>
                    <w:rPr>
                      <w:rFonts w:hint="default" w:cs="Times New Roman"/>
                      <w:color w:val="auto"/>
                      <w:lang w:val="en-US" w:eastAsia="zh-CN"/>
                    </w:rPr>
                    <w:t>侵入岩</w:t>
                  </w:r>
                  <w:r>
                    <w:rPr>
                      <w:rFonts w:hint="default" w:cs="Times New Roman"/>
                      <w:color w:val="auto"/>
                      <w:lang w:val="en-US" w:eastAsia="zh-CN"/>
                    </w:rPr>
                    <w:fldChar w:fldCharType="end"/>
                  </w:r>
                  <w:r>
                    <w:rPr>
                      <w:rFonts w:hint="default" w:cs="Times New Roman"/>
                      <w:color w:val="auto"/>
                      <w:lang w:val="en-US" w:eastAsia="zh-CN"/>
                    </w:rPr>
                    <w:t>，这是此类中最常见的一种岩石，多为浅肉红色、浅灰色、灰白色等。中粗粒、细粒结构，</w:t>
                  </w:r>
                  <w:r>
                    <w:rPr>
                      <w:rFonts w:hint="default" w:cs="Times New Roman"/>
                      <w:color w:val="auto"/>
                      <w:lang w:val="en-US" w:eastAsia="zh-CN"/>
                    </w:rPr>
                    <w:fldChar w:fldCharType="begin"/>
                  </w:r>
                  <w:r>
                    <w:rPr>
                      <w:rFonts w:hint="default" w:cs="Times New Roman"/>
                      <w:color w:val="auto"/>
                      <w:lang w:val="en-US" w:eastAsia="zh-CN"/>
                    </w:rPr>
                    <w:instrText xml:space="preserve"> HYPERLINK "https://baike.baidu.com/item/%E5%9D%97%E7%8A%B6%E6%9E%84%E9%80%A0/10877201?fromModule=lemma_inlink" \t "https://baike.baidu.com/item/%E8%8A%B1%E5%B2%97%E5%B2%A9/_blank" </w:instrText>
                  </w:r>
                  <w:r>
                    <w:rPr>
                      <w:rFonts w:hint="default" w:cs="Times New Roman"/>
                      <w:color w:val="auto"/>
                      <w:lang w:val="en-US" w:eastAsia="zh-CN"/>
                    </w:rPr>
                    <w:fldChar w:fldCharType="separate"/>
                  </w:r>
                  <w:r>
                    <w:rPr>
                      <w:rFonts w:hint="default" w:cs="Times New Roman"/>
                      <w:color w:val="auto"/>
                      <w:lang w:val="en-US" w:eastAsia="zh-CN"/>
                    </w:rPr>
                    <w:t>块状构造</w:t>
                  </w:r>
                  <w:r>
                    <w:rPr>
                      <w:rFonts w:hint="default" w:cs="Times New Roman"/>
                      <w:color w:val="auto"/>
                      <w:lang w:val="en-US" w:eastAsia="zh-CN"/>
                    </w:rPr>
                    <w:fldChar w:fldCharType="end"/>
                  </w:r>
                  <w:r>
                    <w:rPr>
                      <w:rFonts w:hint="default" w:cs="Times New Roman"/>
                      <w:color w:val="auto"/>
                      <w:lang w:val="en-US" w:eastAsia="zh-CN"/>
                    </w:rPr>
                    <w:t>。也有一些为</w:t>
                  </w:r>
                  <w:r>
                    <w:rPr>
                      <w:rFonts w:hint="default" w:cs="Times New Roman"/>
                      <w:color w:val="auto"/>
                      <w:lang w:val="en-US" w:eastAsia="zh-CN"/>
                    </w:rPr>
                    <w:fldChar w:fldCharType="begin"/>
                  </w:r>
                  <w:r>
                    <w:rPr>
                      <w:rFonts w:hint="default" w:cs="Times New Roman"/>
                      <w:color w:val="auto"/>
                      <w:lang w:val="en-US" w:eastAsia="zh-CN"/>
                    </w:rPr>
                    <w:instrText xml:space="preserve"> HYPERLINK "https://baike.baidu.com/item/%E6%96%91%E6%9D%82%E6%9E%84%E9%80%A0/2636462?fromModule=lemma_inlink" \t "https://baike.baidu.com/item/%E8%8A%B1%E5%B2%97%E5%B2%A9/_blank" </w:instrText>
                  </w:r>
                  <w:r>
                    <w:rPr>
                      <w:rFonts w:hint="default" w:cs="Times New Roman"/>
                      <w:color w:val="auto"/>
                      <w:lang w:val="en-US" w:eastAsia="zh-CN"/>
                    </w:rPr>
                    <w:fldChar w:fldCharType="separate"/>
                  </w:r>
                  <w:r>
                    <w:rPr>
                      <w:rFonts w:hint="default" w:cs="Times New Roman"/>
                      <w:color w:val="auto"/>
                      <w:lang w:val="en-US" w:eastAsia="zh-CN"/>
                    </w:rPr>
                    <w:t>斑杂构造</w:t>
                  </w:r>
                  <w:r>
                    <w:rPr>
                      <w:rFonts w:hint="default" w:cs="Times New Roman"/>
                      <w:color w:val="auto"/>
                      <w:lang w:val="en-US" w:eastAsia="zh-CN"/>
                    </w:rPr>
                    <w:fldChar w:fldCharType="end"/>
                  </w:r>
                  <w:r>
                    <w:rPr>
                      <w:rFonts w:hint="default" w:cs="Times New Roman"/>
                      <w:color w:val="auto"/>
                      <w:lang w:val="en-US" w:eastAsia="zh-CN"/>
                    </w:rPr>
                    <w:t>、</w:t>
                  </w:r>
                  <w:r>
                    <w:rPr>
                      <w:rFonts w:hint="default" w:cs="Times New Roman"/>
                      <w:color w:val="auto"/>
                      <w:lang w:val="en-US" w:eastAsia="zh-CN"/>
                    </w:rPr>
                    <w:fldChar w:fldCharType="begin"/>
                  </w:r>
                  <w:r>
                    <w:rPr>
                      <w:rFonts w:hint="default" w:cs="Times New Roman"/>
                      <w:color w:val="auto"/>
                      <w:lang w:val="en-US" w:eastAsia="zh-CN"/>
                    </w:rPr>
                    <w:instrText xml:space="preserve"> HYPERLINK "https://baike.baidu.com/item/%E7%90%83%E7%8A%B6%E6%9E%84%E9%80%A0/5050791?fromModule=lemma_inlink" \t "https://baike.baidu.com/item/%E8%8A%B1%E5%B2%97%E5%B2%A9/_blank" </w:instrText>
                  </w:r>
                  <w:r>
                    <w:rPr>
                      <w:rFonts w:hint="default" w:cs="Times New Roman"/>
                      <w:color w:val="auto"/>
                      <w:lang w:val="en-US" w:eastAsia="zh-CN"/>
                    </w:rPr>
                    <w:fldChar w:fldCharType="separate"/>
                  </w:r>
                  <w:r>
                    <w:rPr>
                      <w:rFonts w:hint="default" w:cs="Times New Roman"/>
                      <w:color w:val="auto"/>
                      <w:lang w:val="en-US" w:eastAsia="zh-CN"/>
                    </w:rPr>
                    <w:t>球状构造</w:t>
                  </w:r>
                  <w:r>
                    <w:rPr>
                      <w:rFonts w:hint="default" w:cs="Times New Roman"/>
                      <w:color w:val="auto"/>
                      <w:lang w:val="en-US" w:eastAsia="zh-CN"/>
                    </w:rPr>
                    <w:fldChar w:fldCharType="end"/>
                  </w:r>
                  <w:r>
                    <w:rPr>
                      <w:rFonts w:hint="default" w:cs="Times New Roman"/>
                      <w:color w:val="auto"/>
                      <w:lang w:val="en-US" w:eastAsia="zh-CN"/>
                    </w:rPr>
                    <w:t>、似片麻状构造等。主要矿物为</w:t>
                  </w:r>
                  <w:r>
                    <w:rPr>
                      <w:rFonts w:hint="default" w:cs="Times New Roman"/>
                      <w:color w:val="auto"/>
                      <w:lang w:val="en-US" w:eastAsia="zh-CN"/>
                    </w:rPr>
                    <w:fldChar w:fldCharType="begin"/>
                  </w:r>
                  <w:r>
                    <w:rPr>
                      <w:rFonts w:hint="default" w:cs="Times New Roman"/>
                      <w:color w:val="auto"/>
                      <w:lang w:val="en-US" w:eastAsia="zh-CN"/>
                    </w:rPr>
                    <w:instrText xml:space="preserve"> HYPERLINK "https://baike.baidu.com/item/%E7%9F%B3%E8%8B%B1/943?fromModule=lemma_inlink" \t "https://baike.baidu.com/item/%E8%8A%B1%E5%B2%97%E5%B2%A9/_blank" </w:instrText>
                  </w:r>
                  <w:r>
                    <w:rPr>
                      <w:rFonts w:hint="default" w:cs="Times New Roman"/>
                      <w:color w:val="auto"/>
                      <w:lang w:val="en-US" w:eastAsia="zh-CN"/>
                    </w:rPr>
                    <w:fldChar w:fldCharType="separate"/>
                  </w:r>
                  <w:r>
                    <w:rPr>
                      <w:rFonts w:hint="default" w:cs="Times New Roman"/>
                      <w:color w:val="auto"/>
                      <w:lang w:val="en-US" w:eastAsia="zh-CN"/>
                    </w:rPr>
                    <w:t>石英</w:t>
                  </w:r>
                  <w:r>
                    <w:rPr>
                      <w:rFonts w:hint="default" w:cs="Times New Roman"/>
                      <w:color w:val="auto"/>
                      <w:lang w:val="en-US" w:eastAsia="zh-CN"/>
                    </w:rPr>
                    <w:fldChar w:fldCharType="end"/>
                  </w:r>
                  <w:r>
                    <w:rPr>
                      <w:rFonts w:hint="default" w:cs="Times New Roman"/>
                      <w:color w:val="auto"/>
                      <w:lang w:val="en-US" w:eastAsia="zh-CN"/>
                    </w:rPr>
                    <w:t>、</w:t>
                  </w:r>
                  <w:r>
                    <w:rPr>
                      <w:rFonts w:hint="default" w:cs="Times New Roman"/>
                      <w:color w:val="auto"/>
                      <w:lang w:val="en-US" w:eastAsia="zh-CN"/>
                    </w:rPr>
                    <w:fldChar w:fldCharType="begin"/>
                  </w:r>
                  <w:r>
                    <w:rPr>
                      <w:rFonts w:hint="default" w:cs="Times New Roman"/>
                      <w:color w:val="auto"/>
                      <w:lang w:val="en-US" w:eastAsia="zh-CN"/>
                    </w:rPr>
                    <w:instrText xml:space="preserve"> HYPERLINK "https://baike.baidu.com/item/%E9%92%BE%E9%95%BF%E7%9F%B3/866781?fromModule=lemma_inlink" \t "https://baike.baidu.com/item/%E8%8A%B1%E5%B2%97%E5%B2%A9/_blank" </w:instrText>
                  </w:r>
                  <w:r>
                    <w:rPr>
                      <w:rFonts w:hint="default" w:cs="Times New Roman"/>
                      <w:color w:val="auto"/>
                      <w:lang w:val="en-US" w:eastAsia="zh-CN"/>
                    </w:rPr>
                    <w:fldChar w:fldCharType="separate"/>
                  </w:r>
                  <w:r>
                    <w:rPr>
                      <w:rFonts w:hint="default" w:cs="Times New Roman"/>
                      <w:color w:val="auto"/>
                      <w:lang w:val="en-US" w:eastAsia="zh-CN"/>
                    </w:rPr>
                    <w:t>钾长石</w:t>
                  </w:r>
                  <w:r>
                    <w:rPr>
                      <w:rFonts w:hint="default" w:cs="Times New Roman"/>
                      <w:color w:val="auto"/>
                      <w:lang w:val="en-US" w:eastAsia="zh-CN"/>
                    </w:rPr>
                    <w:fldChar w:fldCharType="end"/>
                  </w:r>
                  <w:r>
                    <w:rPr>
                      <w:rFonts w:hint="default" w:cs="Times New Roman"/>
                      <w:color w:val="auto"/>
                      <w:lang w:val="en-US" w:eastAsia="zh-CN"/>
                    </w:rPr>
                    <w:t>和酸性</w:t>
                  </w:r>
                  <w:r>
                    <w:rPr>
                      <w:rFonts w:hint="default" w:cs="Times New Roman"/>
                      <w:color w:val="auto"/>
                      <w:lang w:val="en-US" w:eastAsia="zh-CN"/>
                    </w:rPr>
                    <w:fldChar w:fldCharType="begin"/>
                  </w:r>
                  <w:r>
                    <w:rPr>
                      <w:rFonts w:hint="default" w:cs="Times New Roman"/>
                      <w:color w:val="auto"/>
                      <w:lang w:val="en-US" w:eastAsia="zh-CN"/>
                    </w:rPr>
                    <w:instrText xml:space="preserve"> HYPERLINK "https://baike.baidu.com/item/%E6%96%9C%E9%95%BF%E7%9F%B3/2379983?fromModule=lemma_inlink" \t "https://baike.baidu.com/item/%E8%8A%B1%E5%B2%97%E5%B2%A9/_blank" </w:instrText>
                  </w:r>
                  <w:r>
                    <w:rPr>
                      <w:rFonts w:hint="default" w:cs="Times New Roman"/>
                      <w:color w:val="auto"/>
                      <w:lang w:val="en-US" w:eastAsia="zh-CN"/>
                    </w:rPr>
                    <w:fldChar w:fldCharType="separate"/>
                  </w:r>
                  <w:r>
                    <w:rPr>
                      <w:rFonts w:hint="default" w:cs="Times New Roman"/>
                      <w:color w:val="auto"/>
                      <w:lang w:val="en-US" w:eastAsia="zh-CN"/>
                    </w:rPr>
                    <w:t>斜长石</w:t>
                  </w:r>
                  <w:r>
                    <w:rPr>
                      <w:rFonts w:hint="default" w:cs="Times New Roman"/>
                      <w:color w:val="auto"/>
                      <w:lang w:val="en-US" w:eastAsia="zh-CN"/>
                    </w:rPr>
                    <w:fldChar w:fldCharType="end"/>
                  </w:r>
                  <w:r>
                    <w:rPr>
                      <w:rFonts w:hint="default" w:cs="Times New Roman"/>
                      <w:color w:val="auto"/>
                      <w:lang w:val="en-US" w:eastAsia="zh-CN"/>
                    </w:rPr>
                    <w:t>，次要矿物则为黑云母、角闪石，有时还有少量辉石。副矿物种类很多，常见的有磁铁矿、榍石、锆石、磷灰石、电气石、萤石等。石英含量是各种岩浆岩中最多的，其含量可从</w:t>
                  </w:r>
                  <w:r>
                    <w:rPr>
                      <w:rFonts w:hint="eastAsia" w:cs="Times New Roman"/>
                      <w:color w:val="auto"/>
                      <w:lang w:val="en-US" w:eastAsia="zh-CN"/>
                    </w:rPr>
                    <w:t>20%—50%</w:t>
                  </w:r>
                  <w:r>
                    <w:rPr>
                      <w:rFonts w:hint="default" w:cs="Times New Roman"/>
                      <w:color w:val="auto"/>
                      <w:lang w:val="en-US" w:eastAsia="zh-CN"/>
                    </w:rPr>
                    <w:t>，少数可达</w:t>
                  </w:r>
                  <w:r>
                    <w:rPr>
                      <w:rFonts w:hint="eastAsia" w:cs="Times New Roman"/>
                      <w:color w:val="auto"/>
                      <w:lang w:val="en-US" w:eastAsia="zh-CN"/>
                    </w:rPr>
                    <w:t>50%—60%</w:t>
                  </w:r>
                  <w:r>
                    <w:rPr>
                      <w:rFonts w:hint="default" w:cs="Times New Roman"/>
                      <w:color w:val="auto"/>
                      <w:lang w:val="en-US" w:eastAsia="zh-CN"/>
                    </w:rPr>
                    <w:t>。钾长石的含量一般比斜长石多，两者的含量比例关系常常是钾长石占长石总量的三分之二，斜长石占三分之一，钾长石在花岗岩中多呈浅肉红色，也有灰白、灰色的。灰白色的钾长石和斜长石在手标本上往往不易区分。这时我们要仔细观察这两种长石的双晶特征，因为斜长石具</w:t>
                  </w:r>
                  <w:r>
                    <w:rPr>
                      <w:rFonts w:hint="default" w:cs="Times New Roman"/>
                      <w:color w:val="auto"/>
                      <w:lang w:val="en-US" w:eastAsia="zh-CN"/>
                    </w:rPr>
                    <w:fldChar w:fldCharType="begin"/>
                  </w:r>
                  <w:r>
                    <w:rPr>
                      <w:rFonts w:hint="default" w:cs="Times New Roman"/>
                      <w:color w:val="auto"/>
                      <w:lang w:val="en-US" w:eastAsia="zh-CN"/>
                    </w:rPr>
                    <w:instrText xml:space="preserve"> HYPERLINK "https://baike.baidu.com/item/%E8%81%9A%E7%89%87%E5%8F%8C%E6%99%B6/5100778?fromModule=lemma_inlink" \t "https://baike.baidu.com/item/%E8%8A%B1%E5%B2%97%E5%B2%A9/_blank" </w:instrText>
                  </w:r>
                  <w:r>
                    <w:rPr>
                      <w:rFonts w:hint="default" w:cs="Times New Roman"/>
                      <w:color w:val="auto"/>
                      <w:lang w:val="en-US" w:eastAsia="zh-CN"/>
                    </w:rPr>
                    <w:fldChar w:fldCharType="separate"/>
                  </w:r>
                  <w:r>
                    <w:rPr>
                      <w:rFonts w:hint="default" w:cs="Times New Roman"/>
                      <w:color w:val="auto"/>
                      <w:lang w:val="en-US" w:eastAsia="zh-CN"/>
                    </w:rPr>
                    <w:t>聚片双晶</w:t>
                  </w:r>
                  <w:r>
                    <w:rPr>
                      <w:rFonts w:hint="default" w:cs="Times New Roman"/>
                      <w:color w:val="auto"/>
                      <w:lang w:val="en-US" w:eastAsia="zh-CN"/>
                    </w:rPr>
                    <w:fldChar w:fldCharType="end"/>
                  </w:r>
                  <w:r>
                    <w:rPr>
                      <w:rFonts w:hint="default" w:cs="Times New Roman"/>
                      <w:color w:val="auto"/>
                      <w:lang w:val="en-US" w:eastAsia="zh-CN"/>
                    </w:rPr>
                    <w:t>，转动手标本时可见到斜长石晶体上有规则的明暗相间的聚片，而钾长石为卡式双晶，表现为明亮程度不同的两半晶体。</w:t>
                  </w:r>
                </w:p>
              </w:tc>
            </w:tr>
            <w:tr w14:paraId="5E2C79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3" w:type="pct"/>
                  <w:vAlign w:val="center"/>
                </w:tcPr>
                <w:p w14:paraId="33BD4299">
                  <w:pPr>
                    <w:keepNext w:val="0"/>
                    <w:keepLines w:val="0"/>
                    <w:suppressLineNumbers w:val="0"/>
                    <w:spacing w:before="0" w:beforeAutospacing="0" w:after="0" w:afterAutospacing="0"/>
                    <w:ind w:left="0" w:right="0"/>
                    <w:jc w:val="center"/>
                    <w:rPr>
                      <w:rFonts w:hint="default" w:cs="Times New Roman"/>
                      <w:color w:val="auto"/>
                      <w:lang w:val="en-US" w:eastAsia="zh-CN"/>
                    </w:rPr>
                  </w:pPr>
                  <w:r>
                    <w:rPr>
                      <w:rFonts w:hint="eastAsia" w:cs="Times New Roman"/>
                      <w:color w:val="auto"/>
                      <w:lang w:val="en-US" w:eastAsia="zh-CN"/>
                    </w:rPr>
                    <w:t>石英砂</w:t>
                  </w:r>
                </w:p>
              </w:tc>
              <w:tc>
                <w:tcPr>
                  <w:tcW w:w="4046" w:type="pct"/>
                  <w:vAlign w:val="center"/>
                </w:tcPr>
                <w:p w14:paraId="3E99E828">
                  <w:pPr>
                    <w:keepNext w:val="0"/>
                    <w:keepLines w:val="0"/>
                    <w:suppressLineNumbers w:val="0"/>
                    <w:spacing w:before="0" w:beforeAutospacing="0" w:after="0" w:afterAutospacing="0"/>
                    <w:ind w:left="0" w:right="0"/>
                    <w:jc w:val="center"/>
                    <w:rPr>
                      <w:rFonts w:hint="eastAsia" w:cs="Times New Roman"/>
                      <w:color w:val="auto"/>
                      <w:lang w:val="en-US" w:eastAsia="zh-CN"/>
                    </w:rPr>
                  </w:pPr>
                  <w:r>
                    <w:rPr>
                      <w:rFonts w:hint="default" w:cs="Times New Roman"/>
                      <w:color w:val="auto"/>
                      <w:lang w:val="en-US" w:eastAsia="zh-CN"/>
                    </w:rPr>
                    <w:t>石英砂是一种坚硬、耐磨、化学性能稳定的硅酸盐矿物，其主要矿物成分是SiO2，石英砂的颜色为乳白色</w:t>
                  </w:r>
                  <w:r>
                    <w:rPr>
                      <w:rFonts w:hint="eastAsia" w:cs="Times New Roman"/>
                      <w:color w:val="auto"/>
                      <w:lang w:val="en-US" w:eastAsia="zh-CN"/>
                    </w:rPr>
                    <w:t>或</w:t>
                  </w:r>
                  <w:r>
                    <w:rPr>
                      <w:rFonts w:hint="default" w:cs="Times New Roman"/>
                      <w:color w:val="auto"/>
                      <w:lang w:val="en-US" w:eastAsia="zh-CN"/>
                    </w:rPr>
                    <w:t>无色半透明状，硬度7，性脆无解理，贝壳状断口，油脂光泽，密度为2.65，堆积密度（1-20目为1.6~1.8），20-200目为1.5，其化学、热学和机械性能具有明显的异向性，不溶于酸，微溶于KOH溶液，熔点1750°C。白色</w:t>
                  </w:r>
                  <w:r>
                    <w:rPr>
                      <w:rFonts w:hint="eastAsia" w:cs="Times New Roman"/>
                      <w:color w:val="auto"/>
                      <w:lang w:val="en-US" w:eastAsia="zh-CN"/>
                    </w:rPr>
                    <w:t>无定形</w:t>
                  </w:r>
                  <w:r>
                    <w:rPr>
                      <w:rFonts w:hint="default" w:cs="Times New Roman"/>
                      <w:color w:val="auto"/>
                      <w:lang w:val="en-US" w:eastAsia="zh-CN"/>
                    </w:rPr>
                    <w:t>粉末。相对密度2.319~2.653，熔点1750°C。一般细度在120目以下（小于120目）的产品</w:t>
                  </w:r>
                  <w:r>
                    <w:rPr>
                      <w:rFonts w:hint="eastAsia" w:cs="Times New Roman"/>
                      <w:color w:val="auto"/>
                      <w:lang w:val="en-US" w:eastAsia="zh-CN"/>
                    </w:rPr>
                    <w:t>称为</w:t>
                  </w:r>
                  <w:r>
                    <w:rPr>
                      <w:rFonts w:hint="default" w:cs="Times New Roman"/>
                      <w:color w:val="auto"/>
                      <w:lang w:val="en-US" w:eastAsia="zh-CN"/>
                    </w:rPr>
                    <w:t>石英砂，超过120目的产品称为石英粉。吸潮后形成聚合细颗粒。有很高的绝缘性。不溶于水与酸；溶于苛性钠和氢氟酸。高温不分解。有吸水性。对基质和活性成分及添加剂显示出化学惰性。</w:t>
                  </w:r>
                </w:p>
              </w:tc>
            </w:tr>
            <w:tr w14:paraId="35B050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3" w:type="pct"/>
                  <w:vAlign w:val="center"/>
                </w:tcPr>
                <w:p w14:paraId="14DC0637">
                  <w:pPr>
                    <w:keepNext w:val="0"/>
                    <w:keepLines w:val="0"/>
                    <w:suppressLineNumbers w:val="0"/>
                    <w:spacing w:before="0" w:beforeAutospacing="0" w:after="0" w:afterAutospacing="0"/>
                    <w:ind w:left="0" w:right="0"/>
                    <w:jc w:val="center"/>
                    <w:rPr>
                      <w:rFonts w:hint="default" w:cs="Times New Roman"/>
                      <w:color w:val="auto"/>
                      <w:lang w:val="en-US" w:eastAsia="zh-CN"/>
                    </w:rPr>
                  </w:pPr>
                  <w:r>
                    <w:rPr>
                      <w:rFonts w:hint="eastAsia" w:cs="Times New Roman"/>
                      <w:color w:val="auto"/>
                      <w:lang w:val="en-US" w:eastAsia="zh-CN"/>
                    </w:rPr>
                    <w:t>细粉</w:t>
                  </w:r>
                </w:p>
              </w:tc>
              <w:tc>
                <w:tcPr>
                  <w:tcW w:w="4046" w:type="pct"/>
                  <w:vAlign w:val="center"/>
                </w:tcPr>
                <w:p w14:paraId="6625E928">
                  <w:pPr>
                    <w:keepNext w:val="0"/>
                    <w:keepLines w:val="0"/>
                    <w:suppressLineNumbers w:val="0"/>
                    <w:spacing w:before="0" w:beforeAutospacing="0" w:after="0" w:afterAutospacing="0"/>
                    <w:ind w:left="0" w:right="0"/>
                    <w:jc w:val="center"/>
                    <w:rPr>
                      <w:rFonts w:hint="eastAsia" w:cs="Times New Roman"/>
                      <w:color w:val="auto"/>
                      <w:lang w:val="en-US" w:eastAsia="zh-CN"/>
                    </w:rPr>
                  </w:pPr>
                  <w:r>
                    <w:rPr>
                      <w:rFonts w:hint="eastAsia" w:cs="Times New Roman"/>
                      <w:color w:val="auto"/>
                      <w:lang w:val="en-US" w:eastAsia="zh-CN"/>
                    </w:rPr>
                    <w:t>是常用的粉状无机填料，具有化学纯度高、惰性大、不易化学反应、热稳定性好、在400℃以下不会分解、白度高、吸油率低、折光率低、质软、干燥、不含结晶水、硬度低磨耗值小、无毒、无味、无臭、分散性好等优点</w:t>
                  </w:r>
                </w:p>
              </w:tc>
            </w:tr>
            <w:tr w14:paraId="4F6073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65" w:hRule="atLeast"/>
              </w:trPr>
              <w:tc>
                <w:tcPr>
                  <w:tcW w:w="953" w:type="pct"/>
                  <w:vAlign w:val="center"/>
                </w:tcPr>
                <w:p w14:paraId="10FD7E45">
                  <w:pPr>
                    <w:keepNext w:val="0"/>
                    <w:keepLines w:val="0"/>
                    <w:suppressLineNumbers w:val="0"/>
                    <w:spacing w:before="0" w:beforeAutospacing="0" w:after="0" w:afterAutospacing="0"/>
                    <w:ind w:left="0" w:right="0"/>
                    <w:jc w:val="center"/>
                    <w:rPr>
                      <w:rFonts w:hint="default" w:cs="Times New Roman"/>
                      <w:color w:val="auto"/>
                      <w:lang w:val="en-US" w:eastAsia="zh-CN"/>
                    </w:rPr>
                  </w:pPr>
                  <w:r>
                    <w:rPr>
                      <w:rFonts w:hint="eastAsia" w:cs="Times New Roman"/>
                      <w:color w:val="auto"/>
                      <w:lang w:val="en-US" w:eastAsia="zh-CN"/>
                    </w:rPr>
                    <w:t>树脂</w:t>
                  </w:r>
                </w:p>
              </w:tc>
              <w:tc>
                <w:tcPr>
                  <w:tcW w:w="4046" w:type="pct"/>
                  <w:vAlign w:val="center"/>
                </w:tcPr>
                <w:p w14:paraId="32803413">
                  <w:pPr>
                    <w:keepNext w:val="0"/>
                    <w:keepLines w:val="0"/>
                    <w:suppressLineNumbers w:val="0"/>
                    <w:spacing w:before="0" w:beforeAutospacing="0" w:after="0" w:afterAutospacing="0"/>
                    <w:ind w:left="0" w:right="0"/>
                    <w:jc w:val="center"/>
                    <w:rPr>
                      <w:rFonts w:hint="default" w:cs="Times New Roman"/>
                      <w:color w:val="auto"/>
                      <w:lang w:val="en-US" w:eastAsia="zh-CN"/>
                    </w:rPr>
                  </w:pPr>
                  <w:r>
                    <w:rPr>
                      <w:rFonts w:hint="default" w:cs="Times New Roman"/>
                      <w:color w:val="auto"/>
                      <w:lang w:val="en-US" w:eastAsia="zh-CN"/>
                    </w:rPr>
                    <w:t>聚酯树脂是由</w:t>
                  </w:r>
                  <w:r>
                    <w:rPr>
                      <w:rFonts w:hint="default" w:cs="Times New Roman"/>
                      <w:color w:val="auto"/>
                      <w:lang w:val="en-US" w:eastAsia="zh-CN"/>
                    </w:rPr>
                    <w:fldChar w:fldCharType="begin"/>
                  </w:r>
                  <w:r>
                    <w:rPr>
                      <w:rFonts w:hint="default" w:cs="Times New Roman"/>
                      <w:color w:val="auto"/>
                      <w:lang w:val="en-US" w:eastAsia="zh-CN"/>
                    </w:rPr>
                    <w:instrText xml:space="preserve"> HYPERLINK "https://baike.baidu.com/item/%E4%BA%8C%E5%85%83%E9%86%87/8716869?fromModule=lemma_inlink" \t "https://baike.baidu.com/item/%E8%81%9A%E9%85%AF%E6%A0%91%E8%84%82/_blank" </w:instrText>
                  </w:r>
                  <w:r>
                    <w:rPr>
                      <w:rFonts w:hint="default" w:cs="Times New Roman"/>
                      <w:color w:val="auto"/>
                      <w:lang w:val="en-US" w:eastAsia="zh-CN"/>
                    </w:rPr>
                    <w:fldChar w:fldCharType="separate"/>
                  </w:r>
                  <w:r>
                    <w:rPr>
                      <w:rFonts w:hint="default" w:cs="Times New Roman"/>
                      <w:color w:val="auto"/>
                      <w:lang w:val="en-US" w:eastAsia="zh-CN"/>
                    </w:rPr>
                    <w:t>二元醇</w:t>
                  </w:r>
                  <w:r>
                    <w:rPr>
                      <w:rFonts w:hint="default" w:cs="Times New Roman"/>
                      <w:color w:val="auto"/>
                      <w:lang w:val="en-US" w:eastAsia="zh-CN"/>
                    </w:rPr>
                    <w:fldChar w:fldCharType="end"/>
                  </w:r>
                  <w:r>
                    <w:rPr>
                      <w:rFonts w:hint="default" w:cs="Times New Roman"/>
                      <w:color w:val="auto"/>
                      <w:lang w:val="en-US" w:eastAsia="zh-CN"/>
                    </w:rPr>
                    <w:t>或</w:t>
                  </w:r>
                  <w:r>
                    <w:rPr>
                      <w:rFonts w:hint="default" w:cs="Times New Roman"/>
                      <w:color w:val="auto"/>
                      <w:lang w:val="en-US" w:eastAsia="zh-CN"/>
                    </w:rPr>
                    <w:fldChar w:fldCharType="begin"/>
                  </w:r>
                  <w:r>
                    <w:rPr>
                      <w:rFonts w:hint="default" w:cs="Times New Roman"/>
                      <w:color w:val="auto"/>
                      <w:lang w:val="en-US" w:eastAsia="zh-CN"/>
                    </w:rPr>
                    <w:instrText xml:space="preserve"> HYPERLINK "https://baike.baidu.com/item/%E4%BA%8C%E5%85%83%E9%85%B8/299165?fromModule=lemma_inlink" \t "https://baike.baidu.com/item/%E8%81%9A%E9%85%AF%E6%A0%91%E8%84%82/_blank" </w:instrText>
                  </w:r>
                  <w:r>
                    <w:rPr>
                      <w:rFonts w:hint="default" w:cs="Times New Roman"/>
                      <w:color w:val="auto"/>
                      <w:lang w:val="en-US" w:eastAsia="zh-CN"/>
                    </w:rPr>
                    <w:fldChar w:fldCharType="separate"/>
                  </w:r>
                  <w:r>
                    <w:rPr>
                      <w:rFonts w:hint="default" w:cs="Times New Roman"/>
                      <w:color w:val="auto"/>
                      <w:lang w:val="en-US" w:eastAsia="zh-CN"/>
                    </w:rPr>
                    <w:t>二元酸</w:t>
                  </w:r>
                  <w:r>
                    <w:rPr>
                      <w:rFonts w:hint="default" w:cs="Times New Roman"/>
                      <w:color w:val="auto"/>
                      <w:lang w:val="en-US" w:eastAsia="zh-CN"/>
                    </w:rPr>
                    <w:fldChar w:fldCharType="end"/>
                  </w:r>
                  <w:r>
                    <w:rPr>
                      <w:rFonts w:hint="default" w:cs="Times New Roman"/>
                      <w:color w:val="auto"/>
                      <w:lang w:val="en-US" w:eastAsia="zh-CN"/>
                    </w:rPr>
                    <w:t>或</w:t>
                  </w:r>
                  <w:r>
                    <w:rPr>
                      <w:rFonts w:hint="default" w:cs="Times New Roman"/>
                      <w:color w:val="auto"/>
                      <w:lang w:val="en-US" w:eastAsia="zh-CN"/>
                    </w:rPr>
                    <w:fldChar w:fldCharType="begin"/>
                  </w:r>
                  <w:r>
                    <w:rPr>
                      <w:rFonts w:hint="default" w:cs="Times New Roman"/>
                      <w:color w:val="auto"/>
                      <w:lang w:val="en-US" w:eastAsia="zh-CN"/>
                    </w:rPr>
                    <w:instrText xml:space="preserve"> HYPERLINK "https://baike.baidu.com/item/%E5%A4%9A%E5%85%83%E9%86%87/3422404?fromModule=lemma_inlink" \t "https://baike.baidu.com/item/%E8%81%9A%E9%85%AF%E6%A0%91%E8%84%82/_blank" </w:instrText>
                  </w:r>
                  <w:r>
                    <w:rPr>
                      <w:rFonts w:hint="default" w:cs="Times New Roman"/>
                      <w:color w:val="auto"/>
                      <w:lang w:val="en-US" w:eastAsia="zh-CN"/>
                    </w:rPr>
                    <w:fldChar w:fldCharType="separate"/>
                  </w:r>
                  <w:r>
                    <w:rPr>
                      <w:rFonts w:hint="default" w:cs="Times New Roman"/>
                      <w:color w:val="auto"/>
                      <w:lang w:val="en-US" w:eastAsia="zh-CN"/>
                    </w:rPr>
                    <w:t>多元醇</w:t>
                  </w:r>
                  <w:r>
                    <w:rPr>
                      <w:rFonts w:hint="default" w:cs="Times New Roman"/>
                      <w:color w:val="auto"/>
                      <w:lang w:val="en-US" w:eastAsia="zh-CN"/>
                    </w:rPr>
                    <w:fldChar w:fldCharType="end"/>
                  </w:r>
                  <w:r>
                    <w:rPr>
                      <w:rFonts w:hint="default" w:cs="Times New Roman"/>
                      <w:color w:val="auto"/>
                      <w:lang w:val="en-US" w:eastAsia="zh-CN"/>
                    </w:rPr>
                    <w:t>和</w:t>
                  </w:r>
                  <w:r>
                    <w:rPr>
                      <w:rFonts w:hint="default" w:cs="Times New Roman"/>
                      <w:color w:val="auto"/>
                      <w:lang w:val="en-US" w:eastAsia="zh-CN"/>
                    </w:rPr>
                    <w:fldChar w:fldCharType="begin"/>
                  </w:r>
                  <w:r>
                    <w:rPr>
                      <w:rFonts w:hint="default" w:cs="Times New Roman"/>
                      <w:color w:val="auto"/>
                      <w:lang w:val="en-US" w:eastAsia="zh-CN"/>
                    </w:rPr>
                    <w:instrText xml:space="preserve"> HYPERLINK "https://baike.baidu.com/item/%E5%A4%9A%E5%85%83%E9%85%B8/7216866?fromModule=lemma_inlink" \t "https://baike.baidu.com/item/%E8%81%9A%E9%85%AF%E6%A0%91%E8%84%82/_blank" </w:instrText>
                  </w:r>
                  <w:r>
                    <w:rPr>
                      <w:rFonts w:hint="default" w:cs="Times New Roman"/>
                      <w:color w:val="auto"/>
                      <w:lang w:val="en-US" w:eastAsia="zh-CN"/>
                    </w:rPr>
                    <w:fldChar w:fldCharType="separate"/>
                  </w:r>
                  <w:r>
                    <w:rPr>
                      <w:rFonts w:hint="default" w:cs="Times New Roman"/>
                      <w:color w:val="auto"/>
                      <w:lang w:val="en-US" w:eastAsia="zh-CN"/>
                    </w:rPr>
                    <w:t>多元酸</w:t>
                  </w:r>
                  <w:r>
                    <w:rPr>
                      <w:rFonts w:hint="default" w:cs="Times New Roman"/>
                      <w:color w:val="auto"/>
                      <w:lang w:val="en-US" w:eastAsia="zh-CN"/>
                    </w:rPr>
                    <w:fldChar w:fldCharType="end"/>
                  </w:r>
                  <w:r>
                    <w:rPr>
                      <w:rFonts w:hint="default" w:cs="Times New Roman"/>
                      <w:color w:val="auto"/>
                      <w:lang w:val="en-US" w:eastAsia="zh-CN"/>
                    </w:rPr>
                    <w:t>缩聚而成的</w:t>
                  </w:r>
                  <w:r>
                    <w:rPr>
                      <w:rFonts w:hint="default" w:cs="Times New Roman"/>
                      <w:color w:val="auto"/>
                      <w:lang w:val="en-US" w:eastAsia="zh-CN"/>
                    </w:rPr>
                    <w:fldChar w:fldCharType="begin"/>
                  </w:r>
                  <w:r>
                    <w:rPr>
                      <w:rFonts w:hint="default" w:cs="Times New Roman"/>
                      <w:color w:val="auto"/>
                      <w:lang w:val="en-US" w:eastAsia="zh-CN"/>
                    </w:rPr>
                    <w:instrText xml:space="preserve"> HYPERLINK "https://baike.baidu.com/item/%E9%AB%98%E5%88%86%E5%AD%90%E5%8C%96%E5%90%88%E7%89%A9/273389?fromModule=lemma_inlink" \t "https://baike.baidu.com/item/%E8%81%9A%E9%85%AF%E6%A0%91%E8%84%82/_blank" </w:instrText>
                  </w:r>
                  <w:r>
                    <w:rPr>
                      <w:rFonts w:hint="default" w:cs="Times New Roman"/>
                      <w:color w:val="auto"/>
                      <w:lang w:val="en-US" w:eastAsia="zh-CN"/>
                    </w:rPr>
                    <w:fldChar w:fldCharType="separate"/>
                  </w:r>
                  <w:r>
                    <w:rPr>
                      <w:rFonts w:hint="default" w:cs="Times New Roman"/>
                      <w:color w:val="auto"/>
                      <w:lang w:val="en-US" w:eastAsia="zh-CN"/>
                    </w:rPr>
                    <w:t>高分子化合物</w:t>
                  </w:r>
                  <w:r>
                    <w:rPr>
                      <w:rFonts w:hint="default" w:cs="Times New Roman"/>
                      <w:color w:val="auto"/>
                      <w:lang w:val="en-US" w:eastAsia="zh-CN"/>
                    </w:rPr>
                    <w:fldChar w:fldCharType="end"/>
                  </w:r>
                  <w:r>
                    <w:rPr>
                      <w:rFonts w:hint="default" w:cs="Times New Roman"/>
                      <w:color w:val="auto"/>
                      <w:lang w:val="en-US" w:eastAsia="zh-CN"/>
                    </w:rPr>
                    <w:t>的总称。聚酯树脂分为</w:t>
                  </w:r>
                  <w:r>
                    <w:rPr>
                      <w:rFonts w:hint="default" w:cs="Times New Roman"/>
                      <w:color w:val="auto"/>
                      <w:lang w:val="en-US" w:eastAsia="zh-CN"/>
                    </w:rPr>
                    <w:fldChar w:fldCharType="begin"/>
                  </w:r>
                  <w:r>
                    <w:rPr>
                      <w:rFonts w:hint="default" w:cs="Times New Roman"/>
                      <w:color w:val="auto"/>
                      <w:lang w:val="en-US" w:eastAsia="zh-CN"/>
                    </w:rPr>
                    <w:instrText xml:space="preserve"> HYPERLINK "https://baike.baidu.com/item/%E9%A5%B1%E5%92%8C%E8%81%9A%E9%85%AF%E6%A0%91%E8%84%82/2416651?fromModule=lemma_inlink" \t "https://baike.baidu.com/item/%E8%81%9A%E9%85%AF%E6%A0%91%E8%84%82/_blank" </w:instrText>
                  </w:r>
                  <w:r>
                    <w:rPr>
                      <w:rFonts w:hint="default" w:cs="Times New Roman"/>
                      <w:color w:val="auto"/>
                      <w:lang w:val="en-US" w:eastAsia="zh-CN"/>
                    </w:rPr>
                    <w:fldChar w:fldCharType="separate"/>
                  </w:r>
                  <w:r>
                    <w:rPr>
                      <w:rFonts w:hint="default" w:cs="Times New Roman"/>
                      <w:color w:val="auto"/>
                      <w:lang w:val="en-US" w:eastAsia="zh-CN"/>
                    </w:rPr>
                    <w:t>饱和聚酯树脂</w:t>
                  </w:r>
                  <w:r>
                    <w:rPr>
                      <w:rFonts w:hint="default" w:cs="Times New Roman"/>
                      <w:color w:val="auto"/>
                      <w:lang w:val="en-US" w:eastAsia="zh-CN"/>
                    </w:rPr>
                    <w:fldChar w:fldCharType="end"/>
                  </w:r>
                  <w:r>
                    <w:rPr>
                      <w:rFonts w:hint="default" w:cs="Times New Roman"/>
                      <w:color w:val="auto"/>
                      <w:lang w:val="en-US" w:eastAsia="zh-CN"/>
                    </w:rPr>
                    <w:t>和</w:t>
                  </w:r>
                  <w:r>
                    <w:rPr>
                      <w:rFonts w:hint="default" w:cs="Times New Roman"/>
                      <w:color w:val="auto"/>
                      <w:lang w:val="en-US" w:eastAsia="zh-CN"/>
                    </w:rPr>
                    <w:fldChar w:fldCharType="begin"/>
                  </w:r>
                  <w:r>
                    <w:rPr>
                      <w:rFonts w:hint="default" w:cs="Times New Roman"/>
                      <w:color w:val="auto"/>
                      <w:lang w:val="en-US" w:eastAsia="zh-CN"/>
                    </w:rPr>
                    <w:instrText xml:space="preserve"> HYPERLINK "https://baike.baidu.com/item/%E4%B8%8D%E9%A5%B1%E5%92%8C%E8%81%9A%E9%85%AF%E6%A0%91%E8%84%82/8432514?fromModule=lemma_inlink" \t "https://baike.baidu.com/item/%E8%81%9A%E9%85%AF%E6%A0%91%E8%84%82/_blank" </w:instrText>
                  </w:r>
                  <w:r>
                    <w:rPr>
                      <w:rFonts w:hint="default" w:cs="Times New Roman"/>
                      <w:color w:val="auto"/>
                      <w:lang w:val="en-US" w:eastAsia="zh-CN"/>
                    </w:rPr>
                    <w:fldChar w:fldCharType="separate"/>
                  </w:r>
                  <w:r>
                    <w:rPr>
                      <w:rFonts w:hint="default" w:cs="Times New Roman"/>
                      <w:color w:val="auto"/>
                      <w:lang w:val="en-US" w:eastAsia="zh-CN"/>
                    </w:rPr>
                    <w:t>不饱和聚酯树脂</w:t>
                  </w:r>
                  <w:r>
                    <w:rPr>
                      <w:rFonts w:hint="default" w:cs="Times New Roman"/>
                      <w:color w:val="auto"/>
                      <w:lang w:val="en-US" w:eastAsia="zh-CN"/>
                    </w:rPr>
                    <w:fldChar w:fldCharType="end"/>
                  </w:r>
                  <w:r>
                    <w:rPr>
                      <w:rFonts w:hint="default" w:cs="Times New Roman"/>
                      <w:color w:val="auto"/>
                      <w:lang w:val="en-US" w:eastAsia="zh-CN"/>
                    </w:rPr>
                    <w:t>。</w:t>
                  </w:r>
                  <w:r>
                    <w:rPr>
                      <w:rFonts w:hint="default" w:cs="Times New Roman"/>
                      <w:color w:val="auto"/>
                      <w:lang w:val="en-US" w:eastAsia="zh-CN"/>
                    </w:rPr>
                    <w:fldChar w:fldCharType="begin"/>
                  </w:r>
                  <w:r>
                    <w:rPr>
                      <w:rFonts w:hint="default" w:cs="Times New Roman"/>
                      <w:color w:val="auto"/>
                      <w:lang w:val="en-US" w:eastAsia="zh-CN"/>
                    </w:rPr>
                    <w:instrText xml:space="preserve"> HYPERLINK "https://baike.baidu.com/item/%E4%B8%8D%E9%A5%B1%E5%92%8C%E8%81%9A%E9%85%AF/1918066?fromModule=lemma_inlink" \t "https://baike.baidu.com/item/%E8%81%9A%E9%85%AF%E6%A0%91%E8%84%82/_blank" </w:instrText>
                  </w:r>
                  <w:r>
                    <w:rPr>
                      <w:rFonts w:hint="default" w:cs="Times New Roman"/>
                      <w:color w:val="auto"/>
                      <w:lang w:val="en-US" w:eastAsia="zh-CN"/>
                    </w:rPr>
                    <w:fldChar w:fldCharType="separate"/>
                  </w:r>
                  <w:r>
                    <w:rPr>
                      <w:rFonts w:hint="default" w:cs="Times New Roman"/>
                      <w:color w:val="auto"/>
                      <w:lang w:val="en-US" w:eastAsia="zh-CN"/>
                    </w:rPr>
                    <w:t>不饱和聚酯</w:t>
                  </w:r>
                  <w:r>
                    <w:rPr>
                      <w:rFonts w:hint="eastAsia" w:cs="Times New Roman"/>
                      <w:color w:val="auto"/>
                      <w:lang w:val="en-US" w:eastAsia="zh-CN"/>
                    </w:rPr>
                    <w:t>胶黏剂</w:t>
                  </w:r>
                  <w:r>
                    <w:rPr>
                      <w:rFonts w:hint="default" w:cs="Times New Roman"/>
                      <w:color w:val="auto"/>
                      <w:lang w:val="en-US" w:eastAsia="zh-CN"/>
                    </w:rPr>
                    <w:fldChar w:fldCharType="end"/>
                  </w:r>
                  <w:r>
                    <w:rPr>
                      <w:rFonts w:hint="default" w:cs="Times New Roman"/>
                      <w:color w:val="auto"/>
                      <w:lang w:val="en-US" w:eastAsia="zh-CN"/>
                    </w:rPr>
                    <w:t>主要由不饱和聚酯树脂、颜填料、</w:t>
                  </w:r>
                  <w:r>
                    <w:rPr>
                      <w:rFonts w:hint="default" w:cs="Times New Roman"/>
                      <w:color w:val="auto"/>
                      <w:lang w:val="en-US" w:eastAsia="zh-CN"/>
                    </w:rPr>
                    <w:fldChar w:fldCharType="begin"/>
                  </w:r>
                  <w:r>
                    <w:rPr>
                      <w:rFonts w:hint="default" w:cs="Times New Roman"/>
                      <w:color w:val="auto"/>
                      <w:lang w:val="en-US" w:eastAsia="zh-CN"/>
                    </w:rPr>
                    <w:instrText xml:space="preserve"> HYPERLINK "https://baike.baidu.com/item/%E5%BC%95%E5%8F%91%E5%89%82/8427937?fromModule=lemma_inlink" \t "https://baike.baidu.com/item/%E8%81%9A%E9%85%AF%E6%A0%91%E8%84%82/_blank" </w:instrText>
                  </w:r>
                  <w:r>
                    <w:rPr>
                      <w:rFonts w:hint="default" w:cs="Times New Roman"/>
                      <w:color w:val="auto"/>
                      <w:lang w:val="en-US" w:eastAsia="zh-CN"/>
                    </w:rPr>
                    <w:fldChar w:fldCharType="separate"/>
                  </w:r>
                  <w:r>
                    <w:rPr>
                      <w:rFonts w:hint="default" w:cs="Times New Roman"/>
                      <w:color w:val="auto"/>
                      <w:lang w:val="en-US" w:eastAsia="zh-CN"/>
                    </w:rPr>
                    <w:t>引发剂</w:t>
                  </w:r>
                  <w:r>
                    <w:rPr>
                      <w:rFonts w:hint="default" w:cs="Times New Roman"/>
                      <w:color w:val="auto"/>
                      <w:lang w:val="en-US" w:eastAsia="zh-CN"/>
                    </w:rPr>
                    <w:fldChar w:fldCharType="end"/>
                  </w:r>
                  <w:r>
                    <w:rPr>
                      <w:rFonts w:hint="default" w:cs="Times New Roman"/>
                      <w:color w:val="auto"/>
                      <w:lang w:val="en-US" w:eastAsia="zh-CN"/>
                    </w:rPr>
                    <w:t>等助剂组成。</w:t>
                  </w:r>
                  <w:r>
                    <w:rPr>
                      <w:rFonts w:hint="default" w:cs="Times New Roman"/>
                      <w:color w:val="auto"/>
                      <w:lang w:val="en-US" w:eastAsia="zh-CN"/>
                    </w:rPr>
                    <w:fldChar w:fldCharType="begin"/>
                  </w:r>
                  <w:r>
                    <w:rPr>
                      <w:rFonts w:hint="default" w:cs="Times New Roman"/>
                      <w:color w:val="auto"/>
                      <w:lang w:val="en-US" w:eastAsia="zh-CN"/>
                    </w:rPr>
                    <w:instrText xml:space="preserve"> HYPERLINK "https://baike.baidu.com/item/%E8%83%B6%E7%B2%98%E5%89%82%E7%B2%98%E5%BA%A6/805803?fromModule=lemma_inlink" \t "https://baike.baidu.com/item/%E8%81%9A%E9%85%AF%E6%A0%91%E8%84%82/_blank" </w:instrText>
                  </w:r>
                  <w:r>
                    <w:rPr>
                      <w:rFonts w:hint="default" w:cs="Times New Roman"/>
                      <w:color w:val="auto"/>
                      <w:lang w:val="en-US" w:eastAsia="zh-CN"/>
                    </w:rPr>
                    <w:fldChar w:fldCharType="separate"/>
                  </w:r>
                  <w:r>
                    <w:rPr>
                      <w:rFonts w:hint="eastAsia" w:cs="Times New Roman"/>
                      <w:color w:val="auto"/>
                      <w:lang w:val="en-US" w:eastAsia="zh-CN"/>
                    </w:rPr>
                    <w:t>胶黏剂黏度</w:t>
                  </w:r>
                  <w:r>
                    <w:rPr>
                      <w:rFonts w:hint="default" w:cs="Times New Roman"/>
                      <w:color w:val="auto"/>
                      <w:lang w:val="en-US" w:eastAsia="zh-CN"/>
                    </w:rPr>
                    <w:fldChar w:fldCharType="end"/>
                  </w:r>
                  <w:r>
                    <w:rPr>
                      <w:rFonts w:hint="default" w:cs="Times New Roman"/>
                      <w:color w:val="auto"/>
                      <w:lang w:val="en-US" w:eastAsia="zh-CN"/>
                    </w:rPr>
                    <w:t>小、易润湿、</w:t>
                  </w:r>
                  <w:r>
                    <w:rPr>
                      <w:rFonts w:hint="default" w:cs="Times New Roman"/>
                      <w:color w:val="auto"/>
                      <w:lang w:val="en-US" w:eastAsia="zh-CN"/>
                    </w:rPr>
                    <w:fldChar w:fldCharType="begin"/>
                  </w:r>
                  <w:r>
                    <w:rPr>
                      <w:rFonts w:hint="default" w:cs="Times New Roman"/>
                      <w:color w:val="auto"/>
                      <w:lang w:val="en-US" w:eastAsia="zh-CN"/>
                    </w:rPr>
                    <w:instrText xml:space="preserve"> HYPERLINK "https://baike.baidu.com/item/%E5%B7%A5%E8%89%BA%E6%80%A7/54297095?fromModule=lemma_inlink" \t "https://baike.baidu.com/item/%E8%81%9A%E9%85%AF%E6%A0%91%E8%84%82/_blank" </w:instrText>
                  </w:r>
                  <w:r>
                    <w:rPr>
                      <w:rFonts w:hint="default" w:cs="Times New Roman"/>
                      <w:color w:val="auto"/>
                      <w:lang w:val="en-US" w:eastAsia="zh-CN"/>
                    </w:rPr>
                    <w:fldChar w:fldCharType="separate"/>
                  </w:r>
                  <w:r>
                    <w:rPr>
                      <w:rFonts w:hint="default" w:cs="Times New Roman"/>
                      <w:color w:val="auto"/>
                      <w:lang w:val="en-US" w:eastAsia="zh-CN"/>
                    </w:rPr>
                    <w:t>工艺性</w:t>
                  </w:r>
                  <w:r>
                    <w:rPr>
                      <w:rFonts w:hint="default" w:cs="Times New Roman"/>
                      <w:color w:val="auto"/>
                      <w:lang w:val="en-US" w:eastAsia="zh-CN"/>
                    </w:rPr>
                    <w:fldChar w:fldCharType="end"/>
                  </w:r>
                  <w:r>
                    <w:rPr>
                      <w:rFonts w:hint="default" w:cs="Times New Roman"/>
                      <w:color w:val="auto"/>
                      <w:lang w:val="en-US" w:eastAsia="zh-CN"/>
                    </w:rPr>
                    <w:t>好，固化后的</w:t>
                  </w:r>
                  <w:r>
                    <w:rPr>
                      <w:rFonts w:hint="default" w:cs="Times New Roman"/>
                      <w:color w:val="auto"/>
                      <w:lang w:val="en-US" w:eastAsia="zh-CN"/>
                    </w:rPr>
                    <w:fldChar w:fldCharType="begin"/>
                  </w:r>
                  <w:r>
                    <w:rPr>
                      <w:rFonts w:hint="default" w:cs="Times New Roman"/>
                      <w:color w:val="auto"/>
                      <w:lang w:val="en-US" w:eastAsia="zh-CN"/>
                    </w:rPr>
                    <w:instrText xml:space="preserve"> HYPERLINK "https://baike.baidu.com/item/%E8%83%B6%E5%B1%82/22610048?fromModule=lemma_inlink" \t "https://baike.baidu.com/item/%E8%81%9A%E9%85%AF%E6%A0%91%E8%84%82/_blank" </w:instrText>
                  </w:r>
                  <w:r>
                    <w:rPr>
                      <w:rFonts w:hint="default" w:cs="Times New Roman"/>
                      <w:color w:val="auto"/>
                      <w:lang w:val="en-US" w:eastAsia="zh-CN"/>
                    </w:rPr>
                    <w:fldChar w:fldCharType="separate"/>
                  </w:r>
                  <w:r>
                    <w:rPr>
                      <w:rFonts w:hint="default" w:cs="Times New Roman"/>
                      <w:color w:val="auto"/>
                      <w:lang w:val="en-US" w:eastAsia="zh-CN"/>
                    </w:rPr>
                    <w:t>胶层</w:t>
                  </w:r>
                  <w:r>
                    <w:rPr>
                      <w:rFonts w:hint="default" w:cs="Times New Roman"/>
                      <w:color w:val="auto"/>
                      <w:lang w:val="en-US" w:eastAsia="zh-CN"/>
                    </w:rPr>
                    <w:fldChar w:fldCharType="end"/>
                  </w:r>
                  <w:r>
                    <w:rPr>
                      <w:rFonts w:hint="default" w:cs="Times New Roman"/>
                      <w:color w:val="auto"/>
                      <w:lang w:val="en-US" w:eastAsia="zh-CN"/>
                    </w:rPr>
                    <w:t>硬度大、透明性好、</w:t>
                  </w:r>
                  <w:r>
                    <w:rPr>
                      <w:rFonts w:hint="default" w:cs="Times New Roman"/>
                      <w:color w:val="auto"/>
                      <w:lang w:val="en-US" w:eastAsia="zh-CN"/>
                    </w:rPr>
                    <w:fldChar w:fldCharType="begin"/>
                  </w:r>
                  <w:r>
                    <w:rPr>
                      <w:rFonts w:hint="default" w:cs="Times New Roman"/>
                      <w:color w:val="auto"/>
                      <w:lang w:val="en-US" w:eastAsia="zh-CN"/>
                    </w:rPr>
                    <w:instrText xml:space="preserve"> HYPERLINK "https://baike.baidu.com/item/%E5%85%89%E4%BA%AE%E5%BA%A6/1073510?fromModule=lemma_inlink" \t "https://baike.baidu.com/item/%E8%81%9A%E9%85%AF%E6%A0%91%E8%84%82/_blank" </w:instrText>
                  </w:r>
                  <w:r>
                    <w:rPr>
                      <w:rFonts w:hint="default" w:cs="Times New Roman"/>
                      <w:color w:val="auto"/>
                      <w:lang w:val="en-US" w:eastAsia="zh-CN"/>
                    </w:rPr>
                    <w:fldChar w:fldCharType="separate"/>
                  </w:r>
                  <w:r>
                    <w:rPr>
                      <w:rFonts w:hint="default" w:cs="Times New Roman"/>
                      <w:color w:val="auto"/>
                      <w:lang w:val="en-US" w:eastAsia="zh-CN"/>
                    </w:rPr>
                    <w:t>光亮度</w:t>
                  </w:r>
                  <w:r>
                    <w:rPr>
                      <w:rFonts w:hint="default" w:cs="Times New Roman"/>
                      <w:color w:val="auto"/>
                      <w:lang w:val="en-US" w:eastAsia="zh-CN"/>
                    </w:rPr>
                    <w:fldChar w:fldCharType="end"/>
                  </w:r>
                  <w:r>
                    <w:rPr>
                      <w:rFonts w:hint="default" w:cs="Times New Roman"/>
                      <w:color w:val="auto"/>
                      <w:lang w:val="en-US" w:eastAsia="zh-CN"/>
                    </w:rPr>
                    <w:t>高、可室温加压快速固化、</w:t>
                  </w:r>
                  <w:r>
                    <w:rPr>
                      <w:rFonts w:hint="default" w:cs="Times New Roman"/>
                      <w:color w:val="auto"/>
                      <w:lang w:val="en-US" w:eastAsia="zh-CN"/>
                    </w:rPr>
                    <w:fldChar w:fldCharType="begin"/>
                  </w:r>
                  <w:r>
                    <w:rPr>
                      <w:rFonts w:hint="default" w:cs="Times New Roman"/>
                      <w:color w:val="auto"/>
                      <w:lang w:val="en-US" w:eastAsia="zh-CN"/>
                    </w:rPr>
                    <w:instrText xml:space="preserve"> HYPERLINK "https://baike.baidu.com/item/%E8%80%90%E7%83%AD%E6%80%A7/9397486?fromModule=lemma_inlink" \t "https://baike.baidu.com/item/%E8%81%9A%E9%85%AF%E6%A0%91%E8%84%82/_blank" </w:instrText>
                  </w:r>
                  <w:r>
                    <w:rPr>
                      <w:rFonts w:hint="default" w:cs="Times New Roman"/>
                      <w:color w:val="auto"/>
                      <w:lang w:val="en-US" w:eastAsia="zh-CN"/>
                    </w:rPr>
                    <w:fldChar w:fldCharType="separate"/>
                  </w:r>
                  <w:r>
                    <w:rPr>
                      <w:rFonts w:hint="default" w:cs="Times New Roman"/>
                      <w:color w:val="auto"/>
                      <w:lang w:val="en-US" w:eastAsia="zh-CN"/>
                    </w:rPr>
                    <w:t>耐热性</w:t>
                  </w:r>
                  <w:r>
                    <w:rPr>
                      <w:rFonts w:hint="default" w:cs="Times New Roman"/>
                      <w:color w:val="auto"/>
                      <w:lang w:val="en-US" w:eastAsia="zh-CN"/>
                    </w:rPr>
                    <w:fldChar w:fldCharType="end"/>
                  </w:r>
                  <w:r>
                    <w:rPr>
                      <w:rFonts w:hint="default" w:cs="Times New Roman"/>
                      <w:color w:val="auto"/>
                      <w:lang w:val="en-US" w:eastAsia="zh-CN"/>
                    </w:rPr>
                    <w:t>较好，电性能优良。缺点是</w:t>
                  </w:r>
                  <w:r>
                    <w:rPr>
                      <w:rFonts w:hint="default" w:cs="Times New Roman"/>
                      <w:color w:val="auto"/>
                      <w:lang w:val="en-US" w:eastAsia="zh-CN"/>
                    </w:rPr>
                    <w:fldChar w:fldCharType="begin"/>
                  </w:r>
                  <w:r>
                    <w:rPr>
                      <w:rFonts w:hint="default" w:cs="Times New Roman"/>
                      <w:color w:val="auto"/>
                      <w:lang w:val="en-US" w:eastAsia="zh-CN"/>
                    </w:rPr>
                    <w:instrText xml:space="preserve"> HYPERLINK "https://baike.baidu.com/item/%E6%94%B6%E7%BC%A9%E7%8E%87/1879635?fromModule=lemma_inlink" \t "https://baike.baidu.com/item/%E8%81%9A%E9%85%AF%E6%A0%91%E8%84%82/_blank" </w:instrText>
                  </w:r>
                  <w:r>
                    <w:rPr>
                      <w:rFonts w:hint="default" w:cs="Times New Roman"/>
                      <w:color w:val="auto"/>
                      <w:lang w:val="en-US" w:eastAsia="zh-CN"/>
                    </w:rPr>
                    <w:fldChar w:fldCharType="separate"/>
                  </w:r>
                  <w:r>
                    <w:rPr>
                      <w:rFonts w:hint="default" w:cs="Times New Roman"/>
                      <w:color w:val="auto"/>
                      <w:lang w:val="en-US" w:eastAsia="zh-CN"/>
                    </w:rPr>
                    <w:t>收缩率</w:t>
                  </w:r>
                  <w:r>
                    <w:rPr>
                      <w:rFonts w:hint="default" w:cs="Times New Roman"/>
                      <w:color w:val="auto"/>
                      <w:lang w:val="en-US" w:eastAsia="zh-CN"/>
                    </w:rPr>
                    <w:fldChar w:fldCharType="end"/>
                  </w:r>
                  <w:r>
                    <w:rPr>
                      <w:rFonts w:hint="default" w:cs="Times New Roman"/>
                      <w:color w:val="auto"/>
                      <w:lang w:val="en-US" w:eastAsia="zh-CN"/>
                    </w:rPr>
                    <w:t>大、胶</w:t>
                  </w:r>
                  <w:r>
                    <w:rPr>
                      <w:rFonts w:hint="eastAsia" w:cs="Times New Roman"/>
                      <w:color w:val="auto"/>
                      <w:lang w:val="en-US" w:eastAsia="zh-CN"/>
                    </w:rPr>
                    <w:t>黏</w:t>
                  </w:r>
                  <w:r>
                    <w:rPr>
                      <w:rFonts w:hint="default" w:cs="Times New Roman"/>
                      <w:color w:val="auto"/>
                      <w:lang w:val="en-US" w:eastAsia="zh-CN"/>
                    </w:rPr>
                    <w:t>韧度不高，耐化学介质性和</w:t>
                  </w:r>
                  <w:r>
                    <w:rPr>
                      <w:rFonts w:hint="default" w:cs="Times New Roman"/>
                      <w:color w:val="auto"/>
                      <w:lang w:val="en-US" w:eastAsia="zh-CN"/>
                    </w:rPr>
                    <w:fldChar w:fldCharType="begin"/>
                  </w:r>
                  <w:r>
                    <w:rPr>
                      <w:rFonts w:hint="default" w:cs="Times New Roman"/>
                      <w:color w:val="auto"/>
                      <w:lang w:val="en-US" w:eastAsia="zh-CN"/>
                    </w:rPr>
                    <w:instrText xml:space="preserve"> HYPERLINK "https://baike.baidu.com/item/%E8%80%90%E6%B0%B4%E6%80%A7/10930899?fromModule=lemma_inlink" \t "https://baike.baidu.com/item/%E8%81%9A%E9%85%AF%E6%A0%91%E8%84%82/_blank" </w:instrText>
                  </w:r>
                  <w:r>
                    <w:rPr>
                      <w:rFonts w:hint="default" w:cs="Times New Roman"/>
                      <w:color w:val="auto"/>
                      <w:lang w:val="en-US" w:eastAsia="zh-CN"/>
                    </w:rPr>
                    <w:fldChar w:fldCharType="separate"/>
                  </w:r>
                  <w:r>
                    <w:rPr>
                      <w:rFonts w:hint="default" w:cs="Times New Roman"/>
                      <w:color w:val="auto"/>
                      <w:lang w:val="en-US" w:eastAsia="zh-CN"/>
                    </w:rPr>
                    <w:t>耐水性</w:t>
                  </w:r>
                  <w:r>
                    <w:rPr>
                      <w:rFonts w:hint="default" w:cs="Times New Roman"/>
                      <w:color w:val="auto"/>
                      <w:lang w:val="en-US" w:eastAsia="zh-CN"/>
                    </w:rPr>
                    <w:fldChar w:fldCharType="end"/>
                  </w:r>
                  <w:r>
                    <w:rPr>
                      <w:rFonts w:hint="default" w:cs="Times New Roman"/>
                      <w:color w:val="auto"/>
                      <w:lang w:val="en-US" w:eastAsia="zh-CN"/>
                    </w:rPr>
                    <w:t>较差，用于非</w:t>
                  </w:r>
                  <w:r>
                    <w:rPr>
                      <w:rFonts w:hint="default" w:cs="Times New Roman"/>
                      <w:color w:val="auto"/>
                      <w:lang w:val="en-US" w:eastAsia="zh-CN"/>
                    </w:rPr>
                    <w:fldChar w:fldCharType="begin"/>
                  </w:r>
                  <w:r>
                    <w:rPr>
                      <w:rFonts w:hint="default" w:cs="Times New Roman"/>
                      <w:color w:val="auto"/>
                      <w:lang w:val="en-US" w:eastAsia="zh-CN"/>
                    </w:rPr>
                    <w:instrText xml:space="preserve"> HYPERLINK "https://baike.baidu.com/item/%E7%BB%93%E6%9E%84%E8%83%B6%E7%B2%98%E5%89%82/11041976?fromModule=lemma_inlink" \t "https://baike.baidu.com/item/%E8%81%9A%E9%85%AF%E6%A0%91%E8%84%82/_blank" </w:instrText>
                  </w:r>
                  <w:r>
                    <w:rPr>
                      <w:rFonts w:hint="default" w:cs="Times New Roman"/>
                      <w:color w:val="auto"/>
                      <w:lang w:val="en-US" w:eastAsia="zh-CN"/>
                    </w:rPr>
                    <w:fldChar w:fldCharType="separate"/>
                  </w:r>
                  <w:r>
                    <w:rPr>
                      <w:rFonts w:hint="default" w:cs="Times New Roman"/>
                      <w:color w:val="auto"/>
                      <w:lang w:val="en-US" w:eastAsia="zh-CN"/>
                    </w:rPr>
                    <w:t>结构</w:t>
                  </w:r>
                  <w:r>
                    <w:rPr>
                      <w:rFonts w:hint="eastAsia" w:cs="Times New Roman"/>
                      <w:color w:val="auto"/>
                      <w:lang w:val="en-US" w:eastAsia="zh-CN"/>
                    </w:rPr>
                    <w:t>胶黏剂</w:t>
                  </w:r>
                  <w:r>
                    <w:rPr>
                      <w:rFonts w:hint="default" w:cs="Times New Roman"/>
                      <w:color w:val="auto"/>
                      <w:lang w:val="en-US" w:eastAsia="zh-CN"/>
                    </w:rPr>
                    <w:fldChar w:fldCharType="end"/>
                  </w:r>
                  <w:r>
                    <w:rPr>
                      <w:rFonts w:hint="default" w:cs="Times New Roman"/>
                      <w:color w:val="auto"/>
                      <w:lang w:val="en-US" w:eastAsia="zh-CN"/>
                    </w:rPr>
                    <w:t>。</w:t>
                  </w:r>
                  <w:r>
                    <w:rPr>
                      <w:rFonts w:hint="eastAsia" w:cs="Times New Roman"/>
                      <w:color w:val="auto"/>
                      <w:lang w:val="en-US" w:eastAsia="zh-CN"/>
                    </w:rPr>
                    <w:t>无色透明液体，不溶于水，溶于苯乙烯等有机溶剂，易燃，闪点23℃~61℃，遇高温、明火、氧化剂有引起燃烧危险，性质稳定。</w:t>
                  </w:r>
                </w:p>
              </w:tc>
            </w:tr>
            <w:tr w14:paraId="36A6A1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3" w:type="pct"/>
                  <w:vAlign w:val="center"/>
                </w:tcPr>
                <w:p w14:paraId="0344465D">
                  <w:pPr>
                    <w:keepNext w:val="0"/>
                    <w:keepLines w:val="0"/>
                    <w:suppressLineNumbers w:val="0"/>
                    <w:spacing w:before="0" w:beforeAutospacing="0" w:after="0" w:afterAutospacing="0"/>
                    <w:ind w:left="0" w:right="0"/>
                    <w:jc w:val="center"/>
                    <w:rPr>
                      <w:rFonts w:hint="default" w:cs="Times New Roman"/>
                      <w:color w:val="auto"/>
                      <w:lang w:val="en-US" w:eastAsia="zh-CN"/>
                    </w:rPr>
                  </w:pPr>
                  <w:r>
                    <w:rPr>
                      <w:rFonts w:hint="eastAsia" w:cs="Times New Roman"/>
                      <w:color w:val="auto"/>
                      <w:lang w:val="en-US" w:eastAsia="zh-CN"/>
                    </w:rPr>
                    <w:t>辅助材料和助剂</w:t>
                  </w:r>
                </w:p>
              </w:tc>
              <w:tc>
                <w:tcPr>
                  <w:tcW w:w="4046" w:type="pct"/>
                  <w:vAlign w:val="center"/>
                </w:tcPr>
                <w:p w14:paraId="372E11C1">
                  <w:pPr>
                    <w:keepNext w:val="0"/>
                    <w:keepLines w:val="0"/>
                    <w:suppressLineNumbers w:val="0"/>
                    <w:spacing w:before="0" w:beforeAutospacing="0" w:after="0" w:afterAutospacing="0"/>
                    <w:ind w:left="0" w:right="0"/>
                    <w:jc w:val="both"/>
                    <w:rPr>
                      <w:rFonts w:hint="default" w:cs="Times New Roman"/>
                      <w:color w:val="auto"/>
                      <w:lang w:val="en-US" w:eastAsia="zh-CN"/>
                    </w:rPr>
                  </w:pPr>
                  <w:r>
                    <w:rPr>
                      <w:rFonts w:hint="eastAsia" w:cs="Times New Roman"/>
                      <w:color w:val="auto"/>
                      <w:lang w:val="en-US" w:eastAsia="zh-CN"/>
                    </w:rPr>
                    <w:t>主要为异辛酸钴和过氧化甲乙酮，异辛酸钴又名2-乙基己酸钴，是一种有机化合物，紫色溶液，化学式为C16H30CoO4，主要用作油漆和油墨的催干剂、不饱和聚酯树脂的固化促进剂、聚氯乙烯稳定剂、聚合反应催化剂等。密度1.01g/cm</w:t>
                  </w:r>
                  <w:r>
                    <w:rPr>
                      <w:rFonts w:hint="eastAsia" w:cs="Times New Roman"/>
                      <w:color w:val="auto"/>
                      <w:vertAlign w:val="superscript"/>
                      <w:lang w:val="en-US" w:eastAsia="zh-CN"/>
                    </w:rPr>
                    <w:t>3</w:t>
                  </w:r>
                  <w:r>
                    <w:rPr>
                      <w:rFonts w:hint="eastAsia" w:cs="Times New Roman"/>
                      <w:color w:val="auto"/>
                      <w:lang w:val="en-US" w:eastAsia="zh-CN"/>
                    </w:rPr>
                    <w:t>，熔点38℃，沸点228℃，闪点116.6℃，折射率1.5748（25℃），可溶于水；过氧化甲乙酮（也称为过氧乙酮、过氧化甲基乙酮）是一种有机化合物，化学式为C3H602，结构式为CH3C(0)C(0)CH3、它是无色液体，具有特殊的芳香气味，在常温下稳定。熔点为-22℃，沸点为114-116℃。相对密度为1.133，折射率为1.417</w:t>
                  </w:r>
                </w:p>
              </w:tc>
            </w:tr>
          </w:tbl>
          <w:p w14:paraId="77210268">
            <w:pPr>
              <w:pStyle w:val="55"/>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val="en-US" w:eastAsia="zh-CN"/>
              </w:rPr>
              <w:t>表2-7人造岗石物料平衡表  单位：t/a</w:t>
            </w:r>
          </w:p>
          <w:tbl>
            <w:tblPr>
              <w:tblStyle w:val="25"/>
              <w:tblW w:w="7920"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0"/>
              <w:gridCol w:w="2216"/>
              <w:gridCol w:w="1400"/>
              <w:gridCol w:w="2284"/>
              <w:gridCol w:w="1250"/>
            </w:tblGrid>
            <w:tr w14:paraId="11021D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14:paraId="78E814C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序号</w:t>
                  </w:r>
                </w:p>
              </w:tc>
              <w:tc>
                <w:tcPr>
                  <w:tcW w:w="3616" w:type="dxa"/>
                  <w:gridSpan w:val="2"/>
                  <w:vAlign w:val="center"/>
                </w:tcPr>
                <w:p w14:paraId="1318F17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输入</w:t>
                  </w:r>
                </w:p>
              </w:tc>
              <w:tc>
                <w:tcPr>
                  <w:tcW w:w="3534" w:type="dxa"/>
                  <w:gridSpan w:val="2"/>
                  <w:vAlign w:val="center"/>
                </w:tcPr>
                <w:p w14:paraId="540FE6A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输出</w:t>
                  </w:r>
                </w:p>
              </w:tc>
            </w:tr>
            <w:tr w14:paraId="3E2B56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14:paraId="4D452AA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w:t>
                  </w:r>
                </w:p>
              </w:tc>
              <w:tc>
                <w:tcPr>
                  <w:tcW w:w="2216" w:type="dxa"/>
                  <w:vAlign w:val="center"/>
                </w:tcPr>
                <w:p w14:paraId="2CFC2A3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骨料</w:t>
                  </w:r>
                </w:p>
              </w:tc>
              <w:tc>
                <w:tcPr>
                  <w:tcW w:w="1400" w:type="dxa"/>
                  <w:vAlign w:val="center"/>
                </w:tcPr>
                <w:p w14:paraId="7EC0E14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12840</w:t>
                  </w:r>
                </w:p>
              </w:tc>
              <w:tc>
                <w:tcPr>
                  <w:tcW w:w="2284" w:type="dxa"/>
                  <w:vAlign w:val="center"/>
                </w:tcPr>
                <w:p w14:paraId="3C5AF39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人造岗石</w:t>
                  </w:r>
                </w:p>
              </w:tc>
              <w:tc>
                <w:tcPr>
                  <w:tcW w:w="1250" w:type="dxa"/>
                  <w:vAlign w:val="center"/>
                </w:tcPr>
                <w:p w14:paraId="7FFEAC4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32000</w:t>
                  </w:r>
                </w:p>
              </w:tc>
            </w:tr>
            <w:tr w14:paraId="7797CE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14:paraId="5B09645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w:t>
                  </w:r>
                </w:p>
              </w:tc>
              <w:tc>
                <w:tcPr>
                  <w:tcW w:w="2216" w:type="dxa"/>
                  <w:vAlign w:val="center"/>
                </w:tcPr>
                <w:p w14:paraId="635F565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石英砂</w:t>
                  </w:r>
                </w:p>
              </w:tc>
              <w:tc>
                <w:tcPr>
                  <w:tcW w:w="1400" w:type="dxa"/>
                  <w:vAlign w:val="center"/>
                </w:tcPr>
                <w:p w14:paraId="32BD4F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9600</w:t>
                  </w:r>
                </w:p>
              </w:tc>
              <w:tc>
                <w:tcPr>
                  <w:tcW w:w="2284" w:type="dxa"/>
                  <w:vAlign w:val="center"/>
                </w:tcPr>
                <w:p w14:paraId="4E674F9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除尘器收集除尘灰</w:t>
                  </w:r>
                </w:p>
              </w:tc>
              <w:tc>
                <w:tcPr>
                  <w:tcW w:w="1250" w:type="dxa"/>
                  <w:vAlign w:val="center"/>
                </w:tcPr>
                <w:p w14:paraId="6A6BB16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cs="Times New Roman"/>
                      <w:color w:val="auto"/>
                      <w:lang w:val="en-US" w:eastAsia="zh-CN"/>
                    </w:rPr>
                    <w:t>59.61</w:t>
                  </w:r>
                </w:p>
              </w:tc>
            </w:tr>
            <w:tr w14:paraId="4FFB36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14:paraId="35F188A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cs="Times New Roman"/>
                      <w:color w:val="auto"/>
                      <w:lang w:val="en-US" w:eastAsia="zh-CN"/>
                    </w:rPr>
                    <w:t>3</w:t>
                  </w:r>
                </w:p>
              </w:tc>
              <w:tc>
                <w:tcPr>
                  <w:tcW w:w="2216" w:type="dxa"/>
                  <w:vAlign w:val="center"/>
                </w:tcPr>
                <w:p w14:paraId="60C6E47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细粉</w:t>
                  </w:r>
                </w:p>
              </w:tc>
              <w:tc>
                <w:tcPr>
                  <w:tcW w:w="1400" w:type="dxa"/>
                  <w:vAlign w:val="center"/>
                </w:tcPr>
                <w:p w14:paraId="22D81FD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7040</w:t>
                  </w:r>
                </w:p>
              </w:tc>
              <w:tc>
                <w:tcPr>
                  <w:tcW w:w="2284" w:type="dxa"/>
                  <w:vAlign w:val="center"/>
                </w:tcPr>
                <w:p w14:paraId="12E6A95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cs="Times New Roman"/>
                      <w:color w:val="auto"/>
                      <w:lang w:val="en-US" w:eastAsia="zh-CN"/>
                    </w:rPr>
                    <w:t>非甲烷总烃</w:t>
                  </w:r>
                </w:p>
              </w:tc>
              <w:tc>
                <w:tcPr>
                  <w:tcW w:w="1250" w:type="dxa"/>
                  <w:vAlign w:val="center"/>
                </w:tcPr>
                <w:p w14:paraId="3A5BDB6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lang w:val="en-US" w:eastAsia="zh-CN"/>
                    </w:rPr>
                  </w:pPr>
                  <w:r>
                    <w:rPr>
                      <w:rFonts w:hint="eastAsia" w:cs="Times New Roman"/>
                      <w:color w:val="auto"/>
                      <w:lang w:val="en-US" w:eastAsia="zh-CN"/>
                    </w:rPr>
                    <w:t>3.87</w:t>
                  </w:r>
                </w:p>
              </w:tc>
            </w:tr>
            <w:tr w14:paraId="780CFD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14:paraId="76083B9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cs="Times New Roman"/>
                      <w:color w:val="auto"/>
                      <w:lang w:val="en-US" w:eastAsia="zh-CN"/>
                    </w:rPr>
                    <w:t>4</w:t>
                  </w:r>
                </w:p>
              </w:tc>
              <w:tc>
                <w:tcPr>
                  <w:tcW w:w="2216" w:type="dxa"/>
                  <w:vAlign w:val="center"/>
                </w:tcPr>
                <w:p w14:paraId="588E70B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树脂</w:t>
                  </w:r>
                </w:p>
              </w:tc>
              <w:tc>
                <w:tcPr>
                  <w:tcW w:w="1400" w:type="dxa"/>
                  <w:vAlign w:val="center"/>
                </w:tcPr>
                <w:p w14:paraId="606B5A9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2560</w:t>
                  </w:r>
                </w:p>
              </w:tc>
              <w:tc>
                <w:tcPr>
                  <w:tcW w:w="2284" w:type="dxa"/>
                  <w:vAlign w:val="center"/>
                </w:tcPr>
                <w:p w14:paraId="1F92F82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lang w:val="en-US" w:eastAsia="zh-CN"/>
                    </w:rPr>
                  </w:pPr>
                  <w:r>
                    <w:rPr>
                      <w:rFonts w:hint="eastAsia" w:cs="Times New Roman"/>
                      <w:color w:val="auto"/>
                      <w:lang w:val="en-US" w:eastAsia="zh-CN"/>
                    </w:rPr>
                    <w:t>粉尘</w:t>
                  </w:r>
                </w:p>
              </w:tc>
              <w:tc>
                <w:tcPr>
                  <w:tcW w:w="1250" w:type="dxa"/>
                  <w:vAlign w:val="center"/>
                </w:tcPr>
                <w:p w14:paraId="09309A5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lang w:val="en-US" w:eastAsia="zh-CN"/>
                    </w:rPr>
                  </w:pPr>
                  <w:r>
                    <w:rPr>
                      <w:rFonts w:hint="eastAsia" w:cs="Times New Roman"/>
                      <w:color w:val="auto"/>
                      <w:lang w:val="en-US" w:eastAsia="zh-CN"/>
                    </w:rPr>
                    <w:t>6.52</w:t>
                  </w:r>
                </w:p>
              </w:tc>
            </w:tr>
            <w:tr w14:paraId="0E6126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770" w:type="dxa"/>
                  <w:vAlign w:val="center"/>
                </w:tcPr>
                <w:p w14:paraId="5EAE9BA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cs="Times New Roman"/>
                      <w:color w:val="auto"/>
                      <w:lang w:val="en-US" w:eastAsia="zh-CN"/>
                    </w:rPr>
                    <w:t>5</w:t>
                  </w:r>
                </w:p>
              </w:tc>
              <w:tc>
                <w:tcPr>
                  <w:tcW w:w="2216" w:type="dxa"/>
                  <w:vAlign w:val="center"/>
                </w:tcPr>
                <w:p w14:paraId="4464D73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辅助材料和助剂</w:t>
                  </w:r>
                </w:p>
              </w:tc>
              <w:tc>
                <w:tcPr>
                  <w:tcW w:w="1400" w:type="dxa"/>
                  <w:vAlign w:val="center"/>
                </w:tcPr>
                <w:p w14:paraId="5FBF741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29.8</w:t>
                  </w:r>
                </w:p>
              </w:tc>
              <w:tc>
                <w:tcPr>
                  <w:tcW w:w="2284" w:type="dxa"/>
                  <w:vAlign w:val="center"/>
                </w:tcPr>
                <w:p w14:paraId="4C5410C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lang w:val="en-US" w:eastAsia="zh-CN"/>
                    </w:rPr>
                  </w:pPr>
                  <w:r>
                    <w:rPr>
                      <w:rFonts w:hint="eastAsia" w:cs="Times New Roman"/>
                      <w:color w:val="auto"/>
                      <w:lang w:val="en-US" w:eastAsia="zh-CN"/>
                    </w:rPr>
                    <w:t>污泥</w:t>
                  </w:r>
                </w:p>
              </w:tc>
              <w:tc>
                <w:tcPr>
                  <w:tcW w:w="1250" w:type="dxa"/>
                  <w:vAlign w:val="center"/>
                </w:tcPr>
                <w:p w14:paraId="2BBC257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lang w:val="en-US" w:eastAsia="zh-CN"/>
                    </w:rPr>
                  </w:pPr>
                  <w:r>
                    <w:rPr>
                      <w:rFonts w:hint="eastAsia" w:cs="Times New Roman"/>
                      <w:color w:val="auto"/>
                      <w:lang w:val="en-US" w:eastAsia="zh-CN"/>
                    </w:rPr>
                    <w:t>2.96</w:t>
                  </w:r>
                </w:p>
              </w:tc>
            </w:tr>
            <w:tr w14:paraId="3D77A0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770" w:type="dxa"/>
                  <w:vAlign w:val="center"/>
                </w:tcPr>
                <w:p w14:paraId="2F565D6B">
                  <w:pPr>
                    <w:keepNext w:val="0"/>
                    <w:keepLines w:val="0"/>
                    <w:suppressLineNumbers w:val="0"/>
                    <w:spacing w:before="0" w:beforeAutospacing="0" w:after="0" w:afterAutospacing="0"/>
                    <w:ind w:left="0" w:leftChars="0" w:right="0" w:rightChars="0"/>
                    <w:jc w:val="center"/>
                    <w:rPr>
                      <w:rFonts w:hint="default" w:cs="Times New Roman"/>
                      <w:color w:val="auto"/>
                      <w:lang w:val="en-US" w:eastAsia="zh-CN"/>
                    </w:rPr>
                  </w:pPr>
                  <w:r>
                    <w:rPr>
                      <w:rFonts w:hint="eastAsia" w:cs="Times New Roman"/>
                      <w:color w:val="auto"/>
                      <w:lang w:val="en-US" w:eastAsia="zh-CN"/>
                    </w:rPr>
                    <w:t>6</w:t>
                  </w:r>
                </w:p>
              </w:tc>
              <w:tc>
                <w:tcPr>
                  <w:tcW w:w="2216" w:type="dxa"/>
                  <w:vAlign w:val="center"/>
                </w:tcPr>
                <w:p w14:paraId="5F7720CE">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废边角料</w:t>
                  </w:r>
                </w:p>
              </w:tc>
              <w:tc>
                <w:tcPr>
                  <w:tcW w:w="1400" w:type="dxa"/>
                  <w:vAlign w:val="center"/>
                </w:tcPr>
                <w:p w14:paraId="5B1C851B">
                  <w:pPr>
                    <w:keepNext w:val="0"/>
                    <w:keepLines w:val="0"/>
                    <w:suppressLineNumbers w:val="0"/>
                    <w:spacing w:before="0" w:beforeAutospacing="0" w:after="0" w:afterAutospacing="0"/>
                    <w:ind w:left="0" w:leftChars="0" w:right="0" w:rightChars="0"/>
                    <w:jc w:val="center"/>
                    <w:rPr>
                      <w:rFonts w:hint="default" w:cs="Times New Roman"/>
                      <w:color w:val="auto"/>
                      <w:lang w:val="en-US" w:eastAsia="zh-CN"/>
                    </w:rPr>
                  </w:pPr>
                  <w:r>
                    <w:rPr>
                      <w:rFonts w:hint="eastAsia" w:cs="Times New Roman"/>
                      <w:color w:val="auto"/>
                      <w:lang w:val="en-US" w:eastAsia="zh-CN"/>
                    </w:rPr>
                    <w:t>4.81</w:t>
                  </w:r>
                </w:p>
              </w:tc>
              <w:tc>
                <w:tcPr>
                  <w:tcW w:w="2284" w:type="dxa"/>
                  <w:vAlign w:val="center"/>
                </w:tcPr>
                <w:p w14:paraId="527676A1">
                  <w:pPr>
                    <w:keepNext w:val="0"/>
                    <w:keepLines w:val="0"/>
                    <w:suppressLineNumbers w:val="0"/>
                    <w:spacing w:before="0" w:beforeAutospacing="0" w:after="0" w:afterAutospacing="0"/>
                    <w:ind w:left="0" w:leftChars="0" w:right="0" w:rightChars="0"/>
                    <w:jc w:val="center"/>
                    <w:rPr>
                      <w:rFonts w:hint="eastAsia" w:cs="Times New Roman"/>
                      <w:color w:val="auto"/>
                      <w:lang w:val="en-US" w:eastAsia="zh-CN"/>
                    </w:rPr>
                  </w:pPr>
                  <w:r>
                    <w:rPr>
                      <w:rFonts w:hint="eastAsia" w:cs="Times New Roman"/>
                      <w:color w:val="auto"/>
                      <w:lang w:val="en-US" w:eastAsia="zh-CN"/>
                    </w:rPr>
                    <w:t>废塑料薄膜</w:t>
                  </w:r>
                </w:p>
              </w:tc>
              <w:tc>
                <w:tcPr>
                  <w:tcW w:w="1250" w:type="dxa"/>
                  <w:vAlign w:val="center"/>
                </w:tcPr>
                <w:p w14:paraId="2F55A769">
                  <w:pPr>
                    <w:keepNext w:val="0"/>
                    <w:keepLines w:val="0"/>
                    <w:suppressLineNumbers w:val="0"/>
                    <w:spacing w:before="0" w:beforeAutospacing="0" w:after="0" w:afterAutospacing="0"/>
                    <w:ind w:left="0" w:leftChars="0" w:right="0" w:rightChars="0"/>
                    <w:jc w:val="center"/>
                    <w:rPr>
                      <w:rFonts w:hint="default" w:cs="Times New Roman"/>
                      <w:color w:val="auto"/>
                      <w:lang w:val="en-US" w:eastAsia="zh-CN"/>
                    </w:rPr>
                  </w:pPr>
                  <w:r>
                    <w:rPr>
                      <w:rFonts w:hint="eastAsia" w:cs="Times New Roman"/>
                      <w:color w:val="auto"/>
                      <w:lang w:val="en-US" w:eastAsia="zh-CN"/>
                    </w:rPr>
                    <w:t>1.66</w:t>
                  </w:r>
                </w:p>
              </w:tc>
            </w:tr>
            <w:tr w14:paraId="5DD1DE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86" w:type="dxa"/>
                  <w:gridSpan w:val="2"/>
                  <w:vAlign w:val="center"/>
                </w:tcPr>
                <w:p w14:paraId="5FA7796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合计</w:t>
                  </w:r>
                </w:p>
              </w:tc>
              <w:tc>
                <w:tcPr>
                  <w:tcW w:w="1400" w:type="dxa"/>
                  <w:vAlign w:val="center"/>
                </w:tcPr>
                <w:p w14:paraId="5FBA9D2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w:t>
                  </w:r>
                  <w:r>
                    <w:rPr>
                      <w:rFonts w:hint="eastAsia" w:cs="Times New Roman"/>
                      <w:color w:val="auto"/>
                      <w:lang w:val="en-US" w:eastAsia="zh-CN"/>
                    </w:rPr>
                    <w:t>2074.62</w:t>
                  </w:r>
                </w:p>
              </w:tc>
              <w:tc>
                <w:tcPr>
                  <w:tcW w:w="2284" w:type="dxa"/>
                  <w:vAlign w:val="center"/>
                </w:tcPr>
                <w:p w14:paraId="7721351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合计</w:t>
                  </w:r>
                </w:p>
              </w:tc>
              <w:tc>
                <w:tcPr>
                  <w:tcW w:w="1250" w:type="dxa"/>
                  <w:vAlign w:val="center"/>
                </w:tcPr>
                <w:p w14:paraId="44FFF50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32074.62</w:t>
                  </w:r>
                </w:p>
              </w:tc>
            </w:tr>
          </w:tbl>
          <w:p w14:paraId="019B02D4">
            <w:pPr>
              <w:numPr>
                <w:ilvl w:val="0"/>
                <w:numId w:val="0"/>
              </w:numPr>
              <w:spacing w:line="360" w:lineRule="auto"/>
              <w:ind w:left="0" w:leftChars="0" w:firstLine="482" w:firstLineChars="200"/>
              <w:rPr>
                <w:rFonts w:hint="eastAsia"/>
                <w:b/>
                <w:bCs/>
                <w:color w:val="auto"/>
                <w:sz w:val="24"/>
                <w:lang w:val="en-US" w:eastAsia="zh-CN"/>
              </w:rPr>
            </w:pPr>
            <w:r>
              <w:rPr>
                <w:rFonts w:hint="eastAsia" w:cs="Times New Roman"/>
                <w:b/>
                <w:bCs/>
                <w:color w:val="auto"/>
                <w:kern w:val="2"/>
                <w:sz w:val="24"/>
                <w:szCs w:val="24"/>
                <w:lang w:val="en-US" w:eastAsia="zh-CN" w:bidi="ar-SA"/>
              </w:rPr>
              <w:t>8.</w:t>
            </w:r>
            <w:r>
              <w:rPr>
                <w:rFonts w:hint="eastAsia"/>
                <w:b/>
                <w:bCs/>
                <w:color w:val="auto"/>
                <w:sz w:val="24"/>
                <w:lang w:val="en-US" w:eastAsia="zh-CN"/>
              </w:rPr>
              <w:t>项目总平面布置</w:t>
            </w:r>
          </w:p>
          <w:p w14:paraId="7E6D2D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eastAsia="宋体" w:cs="Times New Roman"/>
                <w:color w:val="auto"/>
                <w:sz w:val="24"/>
                <w:szCs w:val="24"/>
                <w:lang w:val="en-US" w:eastAsia="zh-CN"/>
              </w:rPr>
            </w:pPr>
            <w:r>
              <w:rPr>
                <w:rFonts w:hint="eastAsia" w:cs="Times New Roman"/>
                <w:color w:val="auto"/>
                <w:sz w:val="24"/>
                <w:szCs w:val="24"/>
                <w:lang w:val="en-US" w:eastAsia="zh-CN"/>
              </w:rPr>
              <w:t>厂区</w:t>
            </w:r>
            <w:r>
              <w:rPr>
                <w:rFonts w:hint="eastAsia" w:cs="Times New Roman"/>
                <w:color w:val="0000FF"/>
                <w:sz w:val="24"/>
                <w:szCs w:val="24"/>
                <w:lang w:val="en-US" w:eastAsia="zh-CN"/>
              </w:rPr>
              <w:t>平面布置</w:t>
            </w:r>
            <w:r>
              <w:rPr>
                <w:rFonts w:hint="eastAsia" w:cs="Times New Roman"/>
                <w:color w:val="auto"/>
                <w:sz w:val="24"/>
                <w:szCs w:val="24"/>
                <w:lang w:val="en-US" w:eastAsia="zh-CN"/>
              </w:rPr>
              <w:t>：项目区占地呈矩形布置，出口位于北侧，</w:t>
            </w:r>
            <w:r>
              <w:rPr>
                <w:rFonts w:hint="default" w:ascii="Times New Roman" w:hAnsi="Times New Roman" w:cs="Times New Roman"/>
                <w:color w:val="auto"/>
                <w:sz w:val="24"/>
                <w:szCs w:val="24"/>
              </w:rPr>
              <w:t>生产厂房位于厂区</w:t>
            </w:r>
            <w:r>
              <w:rPr>
                <w:rFonts w:hint="eastAsia" w:cs="Times New Roman"/>
                <w:color w:val="auto"/>
                <w:sz w:val="24"/>
                <w:szCs w:val="24"/>
                <w:lang w:val="en-US" w:eastAsia="zh-CN"/>
              </w:rPr>
              <w:t>南</w:t>
            </w:r>
            <w:r>
              <w:rPr>
                <w:rFonts w:hint="eastAsia" w:ascii="Times New Roman" w:hAnsi="Times New Roman" w:cs="Times New Roman"/>
                <w:color w:val="auto"/>
                <w:sz w:val="24"/>
                <w:szCs w:val="24"/>
              </w:rPr>
              <w:t>侧</w:t>
            </w:r>
            <w:r>
              <w:rPr>
                <w:rFonts w:hint="eastAsia" w:cs="Times New Roman"/>
                <w:color w:val="auto"/>
                <w:sz w:val="24"/>
                <w:szCs w:val="24"/>
                <w:lang w:eastAsia="zh-CN"/>
              </w:rPr>
              <w:t>、</w:t>
            </w:r>
            <w:r>
              <w:rPr>
                <w:rFonts w:hint="eastAsia" w:ascii="Times New Roman" w:hAnsi="Times New Roman" w:cs="Times New Roman"/>
                <w:color w:val="auto"/>
                <w:sz w:val="24"/>
                <w:szCs w:val="24"/>
              </w:rPr>
              <w:t>中部及</w:t>
            </w:r>
            <w:r>
              <w:rPr>
                <w:rFonts w:hint="eastAsia" w:ascii="Times New Roman" w:hAnsi="Times New Roman" w:cs="Times New Roman"/>
                <w:color w:val="auto"/>
                <w:sz w:val="24"/>
                <w:szCs w:val="24"/>
                <w:lang w:val="en-US" w:eastAsia="zh-CN"/>
              </w:rPr>
              <w:t>西</w:t>
            </w:r>
            <w:r>
              <w:rPr>
                <w:rFonts w:hint="eastAsia" w:cs="Times New Roman"/>
                <w:color w:val="auto"/>
                <w:sz w:val="24"/>
                <w:szCs w:val="24"/>
                <w:lang w:val="en-US" w:eastAsia="zh-CN"/>
              </w:rPr>
              <w:t>侧</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办公室位于厂区东南侧，</w:t>
            </w:r>
            <w:r>
              <w:rPr>
                <w:rFonts w:hint="eastAsia" w:cs="Times New Roman"/>
                <w:color w:val="auto"/>
                <w:sz w:val="24"/>
                <w:szCs w:val="24"/>
                <w:lang w:val="en-US" w:eastAsia="zh-CN"/>
              </w:rPr>
              <w:t>宿舍及食堂位于厂区北侧，厂区东侧为绿化，现阶</w:t>
            </w:r>
            <w:r>
              <w:rPr>
                <w:rFonts w:hint="eastAsia" w:cs="Times New Roman"/>
                <w:b w:val="0"/>
                <w:bCs w:val="0"/>
                <w:color w:val="auto"/>
                <w:sz w:val="24"/>
                <w:szCs w:val="24"/>
                <w:lang w:val="en-US" w:eastAsia="zh-CN"/>
              </w:rPr>
              <w:t>段厂区已建北侧宿舍及食堂；南侧3#车间；西侧1#车间、5#车间、荒料堆放区；东侧为绿化；新建破碎厂房拟建在5#侧车间南侧与5#车间相接。</w:t>
            </w:r>
            <w:r>
              <w:rPr>
                <w:rFonts w:hint="eastAsia"/>
                <w:color w:val="auto"/>
                <w:sz w:val="24"/>
                <w:szCs w:val="24"/>
                <w:highlight w:val="none"/>
                <w:lang w:val="en-US" w:eastAsia="zh-CN"/>
              </w:rPr>
              <w:t>从环保角度考虑，本项目平面布置较合理。</w:t>
            </w:r>
          </w:p>
          <w:p w14:paraId="60927EF4">
            <w:pPr>
              <w:pStyle w:val="6"/>
              <w:numPr>
                <w:ilvl w:val="0"/>
                <w:numId w:val="0"/>
              </w:numPr>
              <w:spacing w:line="360" w:lineRule="auto"/>
              <w:ind w:left="0" w:leftChars="0" w:firstLine="482" w:firstLineChars="200"/>
              <w:rPr>
                <w:rFonts w:hint="eastAsia"/>
                <w:color w:val="auto"/>
                <w:sz w:val="24"/>
                <w:highlight w:val="none"/>
              </w:rPr>
            </w:pPr>
            <w:r>
              <w:rPr>
                <w:rFonts w:hint="eastAsia" w:cs="Times New Roman"/>
                <w:b/>
                <w:bCs/>
                <w:color w:val="auto"/>
                <w:kern w:val="2"/>
                <w:sz w:val="24"/>
                <w:szCs w:val="32"/>
                <w:lang w:val="en-US" w:eastAsia="zh-CN" w:bidi="ar-SA"/>
              </w:rPr>
              <w:t>9.</w:t>
            </w:r>
            <w:r>
              <w:rPr>
                <w:rFonts w:hint="eastAsia"/>
                <w:b/>
                <w:bCs/>
                <w:color w:val="auto"/>
                <w:sz w:val="24"/>
              </w:rPr>
              <w:t>劳动定员及工作制度</w:t>
            </w:r>
          </w:p>
          <w:p w14:paraId="019709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本项目新增劳动定员</w:t>
            </w:r>
            <w:r>
              <w:rPr>
                <w:rFonts w:hint="eastAsia" w:cs="Times New Roman"/>
                <w:color w:val="auto"/>
                <w:sz w:val="24"/>
                <w:szCs w:val="24"/>
                <w:highlight w:val="none"/>
                <w:lang w:val="en-US" w:eastAsia="zh-CN"/>
              </w:rPr>
              <w:t>44</w:t>
            </w:r>
            <w:r>
              <w:rPr>
                <w:rFonts w:hint="eastAsia" w:ascii="Times New Roman" w:hAnsi="Times New Roman" w:cs="Times New Roman"/>
                <w:color w:val="auto"/>
                <w:sz w:val="24"/>
                <w:szCs w:val="24"/>
                <w:highlight w:val="none"/>
                <w:lang w:val="en-US" w:eastAsia="zh-CN"/>
              </w:rPr>
              <w:t>人，</w:t>
            </w:r>
            <w:r>
              <w:rPr>
                <w:rFonts w:hint="eastAsia" w:cs="Times New Roman"/>
                <w:color w:val="auto"/>
                <w:sz w:val="24"/>
                <w:szCs w:val="24"/>
                <w:highlight w:val="none"/>
                <w:lang w:val="en-US" w:eastAsia="zh-CN"/>
              </w:rPr>
              <w:t>实行2班制，每班工作时间8小时，年工作时间168d，年工作时间2688h。</w:t>
            </w:r>
          </w:p>
          <w:p w14:paraId="1DCF9D73">
            <w:pPr>
              <w:pStyle w:val="6"/>
              <w:numPr>
                <w:ilvl w:val="0"/>
                <w:numId w:val="0"/>
              </w:numPr>
              <w:spacing w:line="360" w:lineRule="auto"/>
              <w:ind w:left="0" w:leftChars="0" w:firstLine="482" w:firstLineChars="200"/>
              <w:rPr>
                <w:rFonts w:hint="eastAsia"/>
                <w:color w:val="auto"/>
                <w:sz w:val="24"/>
              </w:rPr>
            </w:pPr>
            <w:r>
              <w:rPr>
                <w:rFonts w:hint="eastAsia" w:cs="Times New Roman"/>
                <w:b/>
                <w:bCs/>
                <w:color w:val="auto"/>
                <w:kern w:val="2"/>
                <w:sz w:val="24"/>
                <w:szCs w:val="32"/>
                <w:lang w:val="en-US" w:eastAsia="zh-CN" w:bidi="ar-SA"/>
              </w:rPr>
              <w:t>10.</w:t>
            </w:r>
            <w:r>
              <w:rPr>
                <w:rFonts w:hint="eastAsia" w:ascii="Times New Roman" w:hAnsi="Times New Roman" w:cs="Times New Roman"/>
                <w:b/>
                <w:bCs/>
                <w:color w:val="auto"/>
                <w:sz w:val="24"/>
                <w:szCs w:val="24"/>
                <w:lang w:val="en-US" w:eastAsia="zh-CN"/>
              </w:rPr>
              <w:t>公用工程</w:t>
            </w:r>
          </w:p>
          <w:p w14:paraId="2D96A3E4">
            <w:pPr>
              <w:numPr>
                <w:ilvl w:val="0"/>
                <w:numId w:val="3"/>
              </w:numPr>
              <w:spacing w:line="360" w:lineRule="auto"/>
              <w:ind w:left="0" w:leftChars="0" w:firstLine="0" w:firstLineChars="0"/>
              <w:rPr>
                <w:rFonts w:hint="eastAsia"/>
                <w:color w:val="auto"/>
                <w:sz w:val="24"/>
                <w:szCs w:val="24"/>
                <w:lang w:val="en-US" w:eastAsia="zh-CN"/>
              </w:rPr>
            </w:pPr>
            <w:r>
              <w:rPr>
                <w:rFonts w:hint="eastAsia"/>
                <w:color w:val="auto"/>
                <w:sz w:val="24"/>
                <w:szCs w:val="24"/>
                <w:lang w:val="en-US" w:eastAsia="zh-CN"/>
              </w:rPr>
              <w:t>供水</w:t>
            </w:r>
          </w:p>
          <w:p w14:paraId="276E85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color w:val="auto"/>
                <w:sz w:val="24"/>
                <w:szCs w:val="24"/>
                <w:lang w:eastAsia="zh-CN"/>
              </w:rPr>
            </w:pPr>
            <w:r>
              <w:rPr>
                <w:rFonts w:hint="default" w:ascii="Times New Roman" w:hAnsi="Times New Roman" w:cs="Times New Roman"/>
                <w:color w:val="auto"/>
                <w:sz w:val="24"/>
                <w:szCs w:val="24"/>
              </w:rPr>
              <w:t>本项目用水</w:t>
            </w:r>
            <w:r>
              <w:rPr>
                <w:rFonts w:hint="eastAsia" w:ascii="Times New Roman" w:hAnsi="Times New Roman" w:cs="Times New Roman"/>
                <w:color w:val="auto"/>
                <w:sz w:val="24"/>
                <w:szCs w:val="24"/>
              </w:rPr>
              <w:t>主要为</w:t>
            </w:r>
            <w:r>
              <w:rPr>
                <w:rFonts w:hint="eastAsia" w:cs="Times New Roman"/>
                <w:color w:val="auto"/>
                <w:sz w:val="24"/>
                <w:szCs w:val="24"/>
                <w:lang w:val="en-US" w:eastAsia="zh-CN"/>
              </w:rPr>
              <w:t>生产用水和</w:t>
            </w:r>
            <w:r>
              <w:rPr>
                <w:rFonts w:hint="eastAsia" w:ascii="Times New Roman" w:hAnsi="Times New Roman" w:cs="Times New Roman"/>
                <w:color w:val="auto"/>
                <w:sz w:val="24"/>
                <w:szCs w:val="24"/>
              </w:rPr>
              <w:t>员工生活用水</w:t>
            </w:r>
            <w:r>
              <w:rPr>
                <w:rFonts w:hint="eastAsia" w:cs="Times New Roman"/>
                <w:color w:val="auto"/>
                <w:sz w:val="24"/>
                <w:szCs w:val="24"/>
                <w:lang w:val="en-US" w:eastAsia="zh-CN"/>
              </w:rPr>
              <w:t>。</w:t>
            </w:r>
            <w:r>
              <w:rPr>
                <w:rFonts w:hint="eastAsia" w:ascii="Times New Roman" w:hAnsi="Times New Roman" w:cs="Times New Roman"/>
                <w:color w:val="auto"/>
                <w:sz w:val="24"/>
                <w:szCs w:val="24"/>
              </w:rPr>
              <w:t>项目供水</w:t>
            </w:r>
            <w:r>
              <w:rPr>
                <w:rFonts w:hint="default" w:ascii="Times New Roman" w:hAnsi="Times New Roman" w:cs="Times New Roman"/>
                <w:color w:val="auto"/>
                <w:sz w:val="24"/>
                <w:szCs w:val="24"/>
              </w:rPr>
              <w:t>为园区供水系统提供，园区自来水管网已铺设至项目区附近，园区供水系统能够满足项目用水要求</w:t>
            </w:r>
            <w:r>
              <w:rPr>
                <w:rFonts w:hint="eastAsia" w:cs="Times New Roman"/>
                <w:color w:val="auto"/>
                <w:sz w:val="24"/>
                <w:szCs w:val="24"/>
                <w:lang w:eastAsia="zh-CN"/>
              </w:rPr>
              <w:t>。</w:t>
            </w:r>
          </w:p>
          <w:p w14:paraId="1B4DD3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w:t>
            </w:r>
            <w:r>
              <w:rPr>
                <w:rFonts w:hint="eastAsia" w:cs="Times New Roman"/>
                <w:color w:val="auto"/>
                <w:sz w:val="24"/>
                <w:szCs w:val="24"/>
                <w:lang w:val="en-US" w:eastAsia="zh-CN"/>
              </w:rPr>
              <w:t>生产用水：原料清洗用水量为2400m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/a，产生的废水拟经四级沉淀处理后循环使用，不外排。损耗系数按0.2计算（含污泥损耗），则损耗补水量为480m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w:t>
            </w:r>
          </w:p>
          <w:p w14:paraId="089D87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color w:val="auto"/>
                <w:sz w:val="24"/>
                <w:szCs w:val="24"/>
                <w:lang w:eastAsia="zh-CN"/>
              </w:rPr>
            </w:pPr>
            <w:r>
              <w:rPr>
                <w:rFonts w:hint="eastAsia" w:ascii="宋体" w:hAnsi="宋体" w:eastAsia="宋体" w:cs="宋体"/>
                <w:color w:val="auto"/>
                <w:sz w:val="24"/>
                <w:szCs w:val="24"/>
              </w:rPr>
              <w:t>②</w:t>
            </w:r>
            <w:r>
              <w:rPr>
                <w:rFonts w:hint="eastAsia" w:cs="Times New Roman"/>
                <w:color w:val="auto"/>
                <w:sz w:val="24"/>
                <w:szCs w:val="24"/>
                <w:lang w:val="en-US" w:eastAsia="zh-CN"/>
              </w:rPr>
              <w:t>生活用水：本项目</w:t>
            </w:r>
            <w:r>
              <w:rPr>
                <w:rFonts w:hint="eastAsia" w:ascii="Times New Roman" w:hAnsi="Times New Roman" w:cs="Times New Roman"/>
                <w:color w:val="auto"/>
                <w:sz w:val="24"/>
                <w:szCs w:val="24"/>
                <w:highlight w:val="none"/>
                <w:lang w:val="en-US" w:eastAsia="zh-CN"/>
              </w:rPr>
              <w:t>劳动定员</w:t>
            </w:r>
            <w:r>
              <w:rPr>
                <w:rFonts w:hint="eastAsia" w:cs="Times New Roman"/>
                <w:color w:val="auto"/>
                <w:sz w:val="24"/>
                <w:szCs w:val="24"/>
                <w:highlight w:val="none"/>
                <w:lang w:val="en-US" w:eastAsia="zh-CN"/>
              </w:rPr>
              <w:t>为44</w:t>
            </w:r>
            <w:r>
              <w:rPr>
                <w:rFonts w:hint="eastAsia" w:ascii="Times New Roman" w:hAnsi="Times New Roman" w:cs="Times New Roman"/>
                <w:color w:val="auto"/>
                <w:sz w:val="24"/>
                <w:szCs w:val="24"/>
                <w:highlight w:val="none"/>
                <w:lang w:val="en-US" w:eastAsia="zh-CN"/>
              </w:rPr>
              <w:t>人，</w:t>
            </w:r>
            <w:r>
              <w:rPr>
                <w:rFonts w:hint="eastAsia" w:cs="Times New Roman"/>
                <w:color w:val="auto"/>
                <w:sz w:val="24"/>
                <w:szCs w:val="24"/>
                <w:lang w:val="en-US" w:eastAsia="zh-CN"/>
              </w:rPr>
              <w:t>根据</w:t>
            </w:r>
            <w:r>
              <w:rPr>
                <w:rFonts w:hint="default" w:ascii="Times New Roman" w:hAnsi="Times New Roman" w:cs="Times New Roman"/>
                <w:color w:val="auto"/>
                <w:sz w:val="24"/>
                <w:szCs w:val="24"/>
                <w:lang w:val="en-US" w:eastAsia="zh-CN"/>
              </w:rPr>
              <w:t>《新疆维吾尔自治区用水定额》进行选取，本项目企业职工生活用水按</w:t>
            </w:r>
            <w:r>
              <w:rPr>
                <w:rFonts w:hint="eastAsia" w:cs="Times New Roman"/>
                <w:color w:val="auto"/>
                <w:sz w:val="24"/>
                <w:szCs w:val="24"/>
                <w:lang w:val="en-US" w:eastAsia="zh-CN"/>
              </w:rPr>
              <w:t>80</w:t>
            </w:r>
            <w:r>
              <w:rPr>
                <w:rFonts w:hint="default" w:ascii="Times New Roman" w:hAnsi="Times New Roman" w:cs="Times New Roman"/>
                <w:color w:val="auto"/>
                <w:sz w:val="24"/>
                <w:szCs w:val="24"/>
                <w:lang w:val="en-US" w:eastAsia="zh-CN"/>
              </w:rPr>
              <w:t>L/（人•天）进行计算，</w:t>
            </w:r>
            <w:r>
              <w:rPr>
                <w:rFonts w:hint="eastAsia" w:cs="Times New Roman"/>
                <w:color w:val="auto"/>
                <w:sz w:val="24"/>
                <w:szCs w:val="24"/>
                <w:lang w:val="en-US" w:eastAsia="zh-CN"/>
              </w:rPr>
              <w:t>则厂区生活用水量为3.52</w:t>
            </w:r>
            <w:r>
              <w:rPr>
                <w:rFonts w:hint="default" w:ascii="Times New Roman" w:hAnsi="Times New Roman" w:cs="Times New Roman"/>
                <w:color w:val="auto"/>
                <w:sz w:val="24"/>
                <w:szCs w:val="24"/>
              </w:rPr>
              <w:t>m³/d（</w:t>
            </w:r>
            <w:r>
              <w:rPr>
                <w:rFonts w:hint="eastAsia" w:cs="Times New Roman"/>
                <w:color w:val="auto"/>
                <w:sz w:val="24"/>
                <w:szCs w:val="24"/>
                <w:lang w:val="en-US" w:eastAsia="zh-CN"/>
              </w:rPr>
              <w:t>591</w:t>
            </w:r>
            <w:r>
              <w:rPr>
                <w:rFonts w:hint="default" w:ascii="Times New Roman" w:hAnsi="Times New Roman" w:cs="Times New Roman"/>
                <w:color w:val="auto"/>
                <w:sz w:val="24"/>
                <w:szCs w:val="24"/>
              </w:rPr>
              <w:t>m³/a）</w:t>
            </w:r>
            <w:r>
              <w:rPr>
                <w:rFonts w:hint="eastAsia" w:cs="Times New Roman"/>
                <w:color w:val="auto"/>
                <w:sz w:val="24"/>
                <w:szCs w:val="24"/>
                <w:lang w:eastAsia="zh-CN"/>
              </w:rPr>
              <w:t>。</w:t>
            </w:r>
          </w:p>
          <w:p w14:paraId="1405D8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s="Times New Roman"/>
                <w:color w:val="auto"/>
                <w:sz w:val="24"/>
                <w:szCs w:val="24"/>
                <w:lang w:val="en-US" w:eastAsia="zh-CN"/>
              </w:rPr>
            </w:pPr>
            <w:r>
              <w:rPr>
                <w:rFonts w:hint="eastAsia" w:cs="Times New Roman"/>
                <w:color w:val="auto"/>
                <w:sz w:val="24"/>
                <w:szCs w:val="24"/>
                <w:lang w:val="en-US" w:eastAsia="zh-CN"/>
              </w:rPr>
              <w:t>本项目总用水量为：1071</w:t>
            </w:r>
            <w:r>
              <w:rPr>
                <w:rFonts w:hint="default" w:ascii="Times New Roman" w:hAnsi="Times New Roman" w:cs="Times New Roman"/>
                <w:color w:val="auto"/>
                <w:sz w:val="24"/>
                <w:szCs w:val="24"/>
              </w:rPr>
              <w:t>m³/a</w:t>
            </w:r>
            <w:r>
              <w:rPr>
                <w:rFonts w:hint="eastAsia" w:cs="Times New Roman"/>
                <w:color w:val="auto"/>
                <w:sz w:val="24"/>
                <w:szCs w:val="24"/>
                <w:lang w:eastAsia="zh-CN"/>
              </w:rPr>
              <w:t>。</w:t>
            </w:r>
          </w:p>
          <w:p w14:paraId="0DBC9BB6">
            <w:pPr>
              <w:numPr>
                <w:ilvl w:val="0"/>
                <w:numId w:val="3"/>
              </w:numPr>
              <w:spacing w:line="360" w:lineRule="auto"/>
              <w:ind w:left="0" w:leftChars="0" w:firstLine="0" w:firstLineChars="0"/>
              <w:rPr>
                <w:rFonts w:hint="default"/>
                <w:color w:val="auto"/>
                <w:sz w:val="24"/>
                <w:szCs w:val="24"/>
                <w:lang w:val="en-US" w:eastAsia="zh-CN"/>
              </w:rPr>
            </w:pPr>
            <w:r>
              <w:rPr>
                <w:rFonts w:hint="eastAsia"/>
                <w:color w:val="auto"/>
                <w:sz w:val="24"/>
                <w:szCs w:val="24"/>
                <w:lang w:val="en-US" w:eastAsia="zh-CN"/>
              </w:rPr>
              <w:t>排水</w:t>
            </w:r>
          </w:p>
          <w:p w14:paraId="4D6875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s="Times New Roman"/>
                <w:color w:val="auto"/>
                <w:sz w:val="24"/>
                <w:szCs w:val="24"/>
                <w:lang w:val="en-US" w:eastAsia="zh-CN"/>
              </w:rPr>
            </w:pPr>
            <w:r>
              <w:rPr>
                <w:rFonts w:hint="eastAsia" w:cs="Times New Roman"/>
                <w:color w:val="auto"/>
                <w:sz w:val="24"/>
                <w:szCs w:val="24"/>
                <w:lang w:val="en-US" w:eastAsia="zh-CN"/>
              </w:rPr>
              <w:t>本项目</w:t>
            </w:r>
            <w:r>
              <w:rPr>
                <w:rFonts w:hint="eastAsia" w:cs="Times New Roman"/>
                <w:color w:val="FF0000"/>
                <w:sz w:val="24"/>
                <w:szCs w:val="24"/>
                <w:lang w:val="en-US" w:eastAsia="zh-CN"/>
              </w:rPr>
              <w:t>排水主要是原料清洗产生的废水经四级沉淀处理后循环使用，不外排；</w:t>
            </w:r>
            <w:r>
              <w:rPr>
                <w:rFonts w:hint="eastAsia" w:cs="Times New Roman"/>
                <w:color w:val="auto"/>
                <w:sz w:val="24"/>
                <w:szCs w:val="24"/>
                <w:lang w:val="en-US" w:eastAsia="zh-CN"/>
              </w:rPr>
              <w:t>生活污水排入项目区化粪池，定期清运至和硕县污水处理厂处理。排入量2.816m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/d（473m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w:t>
            </w:r>
          </w:p>
          <w:p w14:paraId="701C8D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具体项目水平衡见下图</w:t>
            </w:r>
            <w:r>
              <w:rPr>
                <w:rFonts w:hint="eastAsia" w:cs="Times New Roman"/>
                <w:color w:val="auto"/>
                <w:sz w:val="24"/>
                <w:szCs w:val="24"/>
                <w:lang w:val="en-US" w:eastAsia="zh-CN"/>
              </w:rPr>
              <w:t>2-1</w:t>
            </w:r>
            <w:r>
              <w:rPr>
                <w:rFonts w:hint="default" w:ascii="Times New Roman" w:hAnsi="Times New Roman" w:cs="Times New Roman"/>
                <w:color w:val="auto"/>
                <w:sz w:val="24"/>
                <w:szCs w:val="24"/>
              </w:rPr>
              <w:t>。</w:t>
            </w:r>
          </w:p>
          <w:p w14:paraId="2E8012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jc w:val="center"/>
              <w:textAlignment w:val="auto"/>
              <w:rPr>
                <w:rFonts w:hint="eastAsia" w:ascii="Times New Roman" w:hAnsi="Times New Roman" w:eastAsia="宋体" w:cs="Times New Roman"/>
                <w:color w:val="auto"/>
                <w:sz w:val="24"/>
                <w:szCs w:val="24"/>
                <w:lang w:eastAsia="zh-CN"/>
              </w:rPr>
            </w:pPr>
            <w:r>
              <w:rPr>
                <w:rFonts w:hint="eastAsia" w:cs="Times New Roman"/>
                <w:color w:val="auto"/>
                <w:sz w:val="24"/>
                <w:szCs w:val="24"/>
                <w:lang w:val="en-US" w:eastAsia="zh-CN"/>
              </w:rPr>
              <w:drawing>
                <wp:inline distT="0" distB="0" distL="114300" distR="114300">
                  <wp:extent cx="5018405" cy="2842895"/>
                  <wp:effectExtent l="0" t="0" r="10795" b="14605"/>
                  <wp:docPr id="44" name="F360BE8B-6686-4F3D-AEAF-501FE73E4058-1" descr="C:/Users/Administrator/AppData/Local/Temp/绘图1(21).png绘图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360BE8B-6686-4F3D-AEAF-501FE73E4058-1" descr="C:/Users/Administrator/AppData/Local/Temp/绘图1(21).png绘图1(21)"/>
                          <pic:cNvPicPr>
                            <a:picLocks noChangeAspect="1"/>
                          </pic:cNvPicPr>
                        </pic:nvPicPr>
                        <pic:blipFill>
                          <a:blip r:embed="rId22"/>
                          <a:stretch>
                            <a:fillRect/>
                          </a:stretch>
                        </pic:blipFill>
                        <pic:spPr>
                          <a:xfrm>
                            <a:off x="0" y="0"/>
                            <a:ext cx="5018405" cy="2842895"/>
                          </a:xfrm>
                          <a:prstGeom prst="rect">
                            <a:avLst/>
                          </a:prstGeom>
                        </pic:spPr>
                      </pic:pic>
                    </a:graphicData>
                  </a:graphic>
                </wp:inline>
              </w:drawing>
            </w:r>
          </w:p>
          <w:p w14:paraId="7044D061">
            <w:pPr>
              <w:wordWrap/>
              <w:spacing w:line="240" w:lineRule="auto"/>
              <w:ind w:firstLine="480"/>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图</w:t>
            </w:r>
            <w:r>
              <w:rPr>
                <w:rFonts w:hint="eastAsia" w:cs="Times New Roman"/>
                <w:b/>
                <w:bCs/>
                <w:color w:val="auto"/>
                <w:kern w:val="2"/>
                <w:sz w:val="21"/>
                <w:szCs w:val="21"/>
                <w:lang w:val="en-US" w:eastAsia="zh-CN" w:bidi="ar-SA"/>
              </w:rPr>
              <w:t>2-1</w:t>
            </w:r>
            <w:r>
              <w:rPr>
                <w:rFonts w:hint="eastAsia" w:ascii="Times New Roman" w:hAnsi="Times New Roman" w:eastAsia="宋体" w:cs="Times New Roman"/>
                <w:b/>
                <w:bCs/>
                <w:color w:val="auto"/>
                <w:kern w:val="2"/>
                <w:sz w:val="21"/>
                <w:szCs w:val="21"/>
                <w:lang w:val="en-US" w:eastAsia="zh-CN" w:bidi="ar-SA"/>
              </w:rPr>
              <w:t>水平衡图单位（m</w:t>
            </w:r>
            <w:r>
              <w:rPr>
                <w:rFonts w:hint="eastAsia" w:ascii="Times New Roman" w:hAnsi="Times New Roman" w:eastAsia="宋体" w:cs="Times New Roman"/>
                <w:b/>
                <w:bCs/>
                <w:color w:val="auto"/>
                <w:kern w:val="2"/>
                <w:sz w:val="21"/>
                <w:szCs w:val="21"/>
                <w:vertAlign w:val="superscript"/>
                <w:lang w:val="en-US" w:eastAsia="zh-CN" w:bidi="ar-SA"/>
              </w:rPr>
              <w:t>3</w:t>
            </w:r>
            <w:r>
              <w:rPr>
                <w:rFonts w:hint="eastAsia" w:ascii="Times New Roman" w:hAnsi="Times New Roman" w:eastAsia="宋体" w:cs="Times New Roman"/>
                <w:b/>
                <w:bCs/>
                <w:color w:val="auto"/>
                <w:kern w:val="2"/>
                <w:sz w:val="21"/>
                <w:szCs w:val="21"/>
                <w:lang w:val="en-US" w:eastAsia="zh-CN" w:bidi="ar-SA"/>
              </w:rPr>
              <w:t>/</w:t>
            </w:r>
            <w:r>
              <w:rPr>
                <w:rFonts w:hint="eastAsia" w:cs="Times New Roman"/>
                <w:b/>
                <w:bCs/>
                <w:color w:val="auto"/>
                <w:kern w:val="2"/>
                <w:sz w:val="21"/>
                <w:szCs w:val="21"/>
                <w:lang w:val="en-US" w:eastAsia="zh-CN" w:bidi="ar-SA"/>
              </w:rPr>
              <w:t>a</w:t>
            </w:r>
            <w:r>
              <w:rPr>
                <w:rFonts w:hint="eastAsia" w:ascii="Times New Roman" w:hAnsi="Times New Roman" w:eastAsia="宋体" w:cs="Times New Roman"/>
                <w:b/>
                <w:bCs/>
                <w:color w:val="auto"/>
                <w:kern w:val="2"/>
                <w:sz w:val="21"/>
                <w:szCs w:val="21"/>
                <w:lang w:val="en-US" w:eastAsia="zh-CN" w:bidi="ar-SA"/>
              </w:rPr>
              <w:t>）</w:t>
            </w:r>
          </w:p>
          <w:p w14:paraId="749FF763">
            <w:pPr>
              <w:numPr>
                <w:ilvl w:val="0"/>
                <w:numId w:val="3"/>
              </w:numPr>
              <w:spacing w:line="360" w:lineRule="auto"/>
              <w:ind w:left="0" w:leftChars="0" w:firstLine="0" w:firstLineChars="0"/>
              <w:rPr>
                <w:rFonts w:hint="default" w:ascii="Times New Roman" w:hAnsi="Times New Roman" w:cs="Times New Roman"/>
                <w:color w:val="auto"/>
                <w:sz w:val="24"/>
                <w:szCs w:val="24"/>
              </w:rPr>
            </w:pPr>
            <w:r>
              <w:rPr>
                <w:rFonts w:hint="eastAsia"/>
                <w:color w:val="auto"/>
                <w:sz w:val="24"/>
                <w:szCs w:val="24"/>
                <w:lang w:val="en-US" w:eastAsia="zh-CN"/>
              </w:rPr>
              <w:t>供电：</w:t>
            </w:r>
          </w:p>
          <w:p w14:paraId="79D0F40E">
            <w:pPr>
              <w:numPr>
                <w:ilvl w:val="0"/>
                <w:numId w:val="0"/>
              </w:num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本项目用电接入园区供电电网</w:t>
            </w:r>
            <w:r>
              <w:rPr>
                <w:rFonts w:hint="eastAsia" w:ascii="Times New Roman" w:hAnsi="Times New Roman" w:cs="Times New Roman"/>
                <w:color w:val="auto"/>
                <w:sz w:val="24"/>
                <w:szCs w:val="24"/>
              </w:rPr>
              <w:t>。</w:t>
            </w:r>
          </w:p>
          <w:p w14:paraId="52A2E02F">
            <w:pPr>
              <w:numPr>
                <w:ilvl w:val="0"/>
                <w:numId w:val="3"/>
              </w:numPr>
              <w:spacing w:line="360" w:lineRule="auto"/>
              <w:ind w:left="0" w:leftChars="0" w:firstLine="0" w:firstLineChars="0"/>
              <w:rPr>
                <w:rFonts w:hint="default" w:ascii="宋体" w:hAnsi="宋体" w:eastAsia="宋体" w:cs="宋体"/>
                <w:color w:val="auto"/>
                <w:sz w:val="24"/>
                <w:szCs w:val="24"/>
                <w:lang w:val="en-US" w:eastAsia="zh-CN"/>
              </w:rPr>
            </w:pPr>
            <w:r>
              <w:rPr>
                <w:rFonts w:hint="eastAsia"/>
                <w:color w:val="auto"/>
                <w:sz w:val="24"/>
                <w:szCs w:val="24"/>
                <w:lang w:val="en-US" w:eastAsia="zh-CN"/>
              </w:rPr>
              <w:t>供热：</w:t>
            </w:r>
          </w:p>
          <w:p w14:paraId="45979350">
            <w:pPr>
              <w:numPr>
                <w:ilvl w:val="0"/>
                <w:numId w:val="0"/>
              </w:numPr>
              <w:spacing w:line="360" w:lineRule="auto"/>
              <w:ind w:leftChars="0" w:firstLine="480" w:firstLineChars="200"/>
              <w:rPr>
                <w:rFonts w:hint="default"/>
                <w:color w:val="auto"/>
                <w:lang w:val="en-US" w:eastAsia="zh-CN"/>
              </w:rPr>
            </w:pPr>
            <w:r>
              <w:rPr>
                <w:rFonts w:hint="eastAsia" w:ascii="Times New Roman" w:hAnsi="Times New Roman" w:cs="Times New Roman"/>
                <w:color w:val="auto"/>
                <w:sz w:val="24"/>
                <w:szCs w:val="24"/>
              </w:rPr>
              <w:t>本项目</w:t>
            </w:r>
            <w:r>
              <w:rPr>
                <w:rFonts w:hint="eastAsia" w:cs="Times New Roman"/>
                <w:color w:val="auto"/>
                <w:sz w:val="24"/>
                <w:szCs w:val="24"/>
                <w:lang w:val="en-US" w:eastAsia="zh-CN"/>
              </w:rPr>
              <w:t>生产无需供热，冬季不生产，仅留守1～2人，</w:t>
            </w:r>
            <w:r>
              <w:rPr>
                <w:rFonts w:hint="eastAsia" w:ascii="Times New Roman" w:hAnsi="Times New Roman" w:cs="Times New Roman"/>
                <w:color w:val="auto"/>
                <w:sz w:val="24"/>
                <w:szCs w:val="24"/>
              </w:rPr>
              <w:t>供暖采用电采暖</w:t>
            </w:r>
            <w:r>
              <w:rPr>
                <w:rFonts w:hint="default" w:ascii="Times New Roman" w:hAnsi="Times New Roman" w:cs="Times New Roman"/>
                <w:color w:val="auto"/>
                <w:sz w:val="24"/>
                <w:szCs w:val="24"/>
              </w:rPr>
              <w:t>。</w:t>
            </w:r>
          </w:p>
        </w:tc>
      </w:tr>
      <w:tr w14:paraId="1C799A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25" w:hRule="atLeast"/>
          <w:jc w:val="center"/>
        </w:trPr>
        <w:tc>
          <w:tcPr>
            <w:tcW w:w="823" w:type="dxa"/>
            <w:noWrap w:val="0"/>
            <w:vAlign w:val="center"/>
          </w:tcPr>
          <w:p w14:paraId="140254A0">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520" w:lineRule="exact"/>
              <w:ind w:firstLine="0"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工艺流程和产排污环节</w:t>
            </w:r>
          </w:p>
        </w:tc>
        <w:tc>
          <w:tcPr>
            <w:tcW w:w="8161" w:type="dxa"/>
            <w:noWrap w:val="0"/>
            <w:vAlign w:val="top"/>
          </w:tcPr>
          <w:p w14:paraId="5B749FE9">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left"/>
              <w:textAlignment w:val="auto"/>
              <w:rPr>
                <w:rFonts w:hint="eastAsia" w:eastAsia="宋体"/>
                <w:color w:val="auto"/>
                <w:lang w:eastAsia="zh-CN"/>
              </w:rPr>
            </w:pPr>
            <w:r>
              <w:rPr>
                <w:rFonts w:hint="eastAsia" w:ascii="宋体" w:hAnsi="宋体" w:cs="宋体"/>
                <w:b/>
                <w:bCs/>
                <w:color w:val="auto"/>
                <w:sz w:val="24"/>
                <w:szCs w:val="24"/>
                <w:lang w:val="en-US" w:eastAsia="zh-CN"/>
              </w:rPr>
              <w:t>1.施工</w:t>
            </w:r>
            <w:r>
              <w:rPr>
                <w:rFonts w:hint="eastAsia" w:ascii="宋体" w:hAnsi="宋体" w:eastAsia="宋体" w:cs="宋体"/>
                <w:b/>
                <w:bCs/>
                <w:color w:val="auto"/>
                <w:sz w:val="24"/>
                <w:szCs w:val="24"/>
              </w:rPr>
              <w:t>期工艺流程及产污环节</w:t>
            </w:r>
          </w:p>
          <w:p w14:paraId="0C48BAC7">
            <w:pPr>
              <w:pStyle w:val="6"/>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drawing>
                <wp:inline distT="0" distB="0" distL="114300" distR="114300">
                  <wp:extent cx="4592320" cy="2332990"/>
                  <wp:effectExtent l="0" t="0" r="0" b="0"/>
                  <wp:docPr id="2"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2" descr="wps"/>
                          <pic:cNvPicPr>
                            <a:picLocks noChangeAspect="1"/>
                          </pic:cNvPicPr>
                        </pic:nvPicPr>
                        <pic:blipFill>
                          <a:blip r:embed="rId23"/>
                          <a:stretch>
                            <a:fillRect/>
                          </a:stretch>
                        </pic:blipFill>
                        <pic:spPr>
                          <a:xfrm>
                            <a:off x="0" y="0"/>
                            <a:ext cx="4592320" cy="2332990"/>
                          </a:xfrm>
                          <a:prstGeom prst="rect">
                            <a:avLst/>
                          </a:prstGeom>
                        </pic:spPr>
                      </pic:pic>
                    </a:graphicData>
                  </a:graphic>
                </wp:inline>
              </w:drawing>
            </w:r>
          </w:p>
          <w:p w14:paraId="2C9E2026">
            <w:pPr>
              <w:pStyle w:val="6"/>
              <w:spacing w:line="240" w:lineRule="auto"/>
              <w:ind w:firstLine="482"/>
              <w:jc w:val="center"/>
              <w:rPr>
                <w:rFonts w:hint="default" w:ascii="Times New Roman" w:hAnsi="Times New Roman" w:eastAsia="宋体" w:cs="Times New Roman"/>
                <w:b/>
                <w:bCs w:val="0"/>
                <w:color w:val="auto"/>
                <w:kern w:val="2"/>
                <w:sz w:val="21"/>
                <w:szCs w:val="21"/>
                <w:lang w:val="en-US" w:eastAsia="zh-CN" w:bidi="ar-SA"/>
              </w:rPr>
            </w:pPr>
            <w:r>
              <w:rPr>
                <w:rFonts w:hint="eastAsia" w:ascii="Times New Roman" w:hAnsi="Times New Roman" w:eastAsia="宋体" w:cs="Times New Roman"/>
                <w:b/>
                <w:bCs w:val="0"/>
                <w:color w:val="auto"/>
                <w:kern w:val="2"/>
                <w:sz w:val="21"/>
                <w:szCs w:val="21"/>
                <w:lang w:val="en-US" w:eastAsia="zh-CN" w:bidi="ar-SA"/>
              </w:rPr>
              <w:t>图2</w:t>
            </w:r>
            <w:r>
              <w:rPr>
                <w:rFonts w:hint="eastAsia" w:cs="Times New Roman"/>
                <w:b/>
                <w:bCs w:val="0"/>
                <w:color w:val="auto"/>
                <w:kern w:val="2"/>
                <w:sz w:val="21"/>
                <w:szCs w:val="21"/>
                <w:lang w:val="en-US" w:eastAsia="zh-CN" w:bidi="ar-SA"/>
              </w:rPr>
              <w:t>-2</w:t>
            </w:r>
            <w:r>
              <w:rPr>
                <w:rFonts w:hint="eastAsia" w:ascii="Times New Roman" w:hAnsi="Times New Roman" w:eastAsia="宋体" w:cs="Times New Roman"/>
                <w:b/>
                <w:bCs w:val="0"/>
                <w:color w:val="auto"/>
                <w:kern w:val="2"/>
                <w:sz w:val="21"/>
                <w:szCs w:val="21"/>
                <w:lang w:val="en-US" w:eastAsia="zh-CN" w:bidi="ar-SA"/>
              </w:rPr>
              <w:t>施工工序及污染工艺流程图</w:t>
            </w:r>
          </w:p>
          <w:p w14:paraId="5556597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bCs/>
                <w:color w:val="auto"/>
                <w:sz w:val="24"/>
                <w:szCs w:val="24"/>
              </w:rPr>
            </w:pPr>
            <w:r>
              <w:rPr>
                <w:rFonts w:hint="eastAsia" w:ascii="宋体" w:hAnsi="宋体" w:cs="宋体"/>
                <w:b/>
                <w:bCs/>
                <w:color w:val="auto"/>
                <w:kern w:val="2"/>
                <w:sz w:val="24"/>
                <w:szCs w:val="24"/>
                <w:lang w:val="en-US" w:eastAsia="zh-CN" w:bidi="ar-SA"/>
              </w:rPr>
              <w:t>2.</w:t>
            </w:r>
            <w:r>
              <w:rPr>
                <w:rFonts w:hint="eastAsia" w:ascii="宋体" w:hAnsi="宋体" w:eastAsia="宋体" w:cs="宋体"/>
                <w:b/>
                <w:bCs/>
                <w:color w:val="auto"/>
                <w:sz w:val="24"/>
                <w:szCs w:val="24"/>
              </w:rPr>
              <w:t>运营期生产工艺流程及产污环节</w:t>
            </w:r>
          </w:p>
          <w:p w14:paraId="011B60A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bCs/>
                <w:color w:val="auto"/>
                <w:sz w:val="24"/>
                <w:szCs w:val="24"/>
              </w:rPr>
            </w:pPr>
            <w:r>
              <w:rPr>
                <w:rFonts w:hint="default"/>
                <w:lang w:val="en-US" w:eastAsia="zh-CN"/>
              </w:rPr>
              <w:drawing>
                <wp:inline distT="0" distB="0" distL="114300" distR="114300">
                  <wp:extent cx="5078095" cy="4778375"/>
                  <wp:effectExtent l="0" t="0" r="8255" b="3175"/>
                  <wp:docPr id="10" name="F360BE8B-6686-4F3D-AEAF-501FE73E4058-3" descr="C:/Users/Administrator/AppData/Local/Temp/绘图1(12).png绘图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360BE8B-6686-4F3D-AEAF-501FE73E4058-3" descr="C:/Users/Administrator/AppData/Local/Temp/绘图1(12).png绘图1(12)"/>
                          <pic:cNvPicPr>
                            <a:picLocks noChangeAspect="1"/>
                          </pic:cNvPicPr>
                        </pic:nvPicPr>
                        <pic:blipFill>
                          <a:blip r:embed="rId24"/>
                          <a:stretch>
                            <a:fillRect/>
                          </a:stretch>
                        </pic:blipFill>
                        <pic:spPr>
                          <a:xfrm>
                            <a:off x="0" y="0"/>
                            <a:ext cx="5078095" cy="4778375"/>
                          </a:xfrm>
                          <a:prstGeom prst="rect">
                            <a:avLst/>
                          </a:prstGeom>
                        </pic:spPr>
                      </pic:pic>
                    </a:graphicData>
                  </a:graphic>
                </wp:inline>
              </w:drawing>
            </w:r>
          </w:p>
          <w:p w14:paraId="0C85092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imes New Roman" w:hAnsi="Times New Roman" w:cs="Times New Roman"/>
                <w:b/>
                <w:color w:val="auto"/>
                <w:sz w:val="21"/>
                <w:szCs w:val="21"/>
                <w:lang w:val="en-US" w:eastAsia="zh-CN"/>
              </w:rPr>
            </w:pPr>
            <w:r>
              <w:rPr>
                <w:rFonts w:hint="default" w:ascii="Times New Roman" w:hAnsi="Times New Roman" w:cs="Times New Roman"/>
                <w:b/>
                <w:color w:val="auto"/>
                <w:sz w:val="21"/>
                <w:szCs w:val="21"/>
              </w:rPr>
              <w:t>图</w:t>
            </w:r>
            <w:r>
              <w:rPr>
                <w:rFonts w:hint="eastAsia" w:cs="Times New Roman"/>
                <w:b/>
                <w:color w:val="auto"/>
                <w:sz w:val="21"/>
                <w:szCs w:val="21"/>
                <w:lang w:val="en-US" w:eastAsia="zh-CN"/>
              </w:rPr>
              <w:t>2-3人造岗石</w:t>
            </w:r>
            <w:r>
              <w:rPr>
                <w:rFonts w:hint="default" w:ascii="Times New Roman" w:hAnsi="Times New Roman" w:cs="Times New Roman"/>
                <w:b/>
                <w:color w:val="auto"/>
                <w:sz w:val="21"/>
                <w:szCs w:val="21"/>
              </w:rPr>
              <w:t>工艺流程及产污环节图</w:t>
            </w:r>
          </w:p>
          <w:p w14:paraId="4666897C">
            <w:pPr>
              <w:pStyle w:val="6"/>
              <w:spacing w:line="360" w:lineRule="auto"/>
              <w:rPr>
                <w:rFonts w:hint="eastAsia" w:ascii="Times New Roman" w:hAnsi="Times New Roman" w:cs="Times New Roman"/>
                <w:b/>
                <w:color w:val="auto"/>
                <w:sz w:val="24"/>
                <w:lang w:val="en-US" w:eastAsia="zh-CN"/>
              </w:rPr>
            </w:pPr>
            <w:r>
              <w:rPr>
                <w:rFonts w:hint="eastAsia" w:ascii="Times New Roman" w:hAnsi="Times New Roman" w:cs="Times New Roman"/>
                <w:b/>
                <w:color w:val="auto"/>
                <w:sz w:val="24"/>
                <w:lang w:val="en-US" w:eastAsia="zh-CN"/>
              </w:rPr>
              <w:t>人造石材生产工艺流程简述：</w:t>
            </w:r>
          </w:p>
          <w:p w14:paraId="02D232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color w:val="FF0000"/>
                <w:sz w:val="24"/>
                <w:szCs w:val="24"/>
                <w:lang w:val="en-US" w:eastAsia="zh-CN"/>
              </w:rPr>
            </w:pPr>
            <w:r>
              <w:rPr>
                <w:rFonts w:hint="eastAsia" w:cs="Times New Roman"/>
                <w:color w:val="FF0000"/>
                <w:sz w:val="24"/>
                <w:szCs w:val="24"/>
                <w:lang w:val="en-US" w:eastAsia="zh-CN"/>
              </w:rPr>
              <w:t>骨料清洗：为去除矿石表面附着的泥土等杂质，在破碎前端安装喷淋装置对购进的石料进行清洗，产生的废水经四级沉淀处理后回用于骨料清洗工序，不外排。此工序会产生清洗废水，不外排，沉淀池定期清理产生的底泥，设备运转产生噪声。</w:t>
            </w:r>
          </w:p>
          <w:p w14:paraId="08D67A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s="Times New Roman"/>
                <w:color w:val="FF0000"/>
                <w:sz w:val="24"/>
                <w:szCs w:val="24"/>
                <w:lang w:val="en-US" w:eastAsia="zh-CN"/>
              </w:rPr>
            </w:pPr>
            <w:r>
              <w:rPr>
                <w:rFonts w:hint="eastAsia" w:cs="Times New Roman"/>
                <w:color w:val="FF0000"/>
                <w:sz w:val="24"/>
                <w:szCs w:val="24"/>
                <w:lang w:val="en-US" w:eastAsia="zh-CN"/>
              </w:rPr>
              <w:t>颚式破碎机大破：清洗后的骨料由密闭的皮带输送机送至颚式破碎机进行破碎粉磨，由皮带输送机送至锤式破碎机。此工序主要污染环节为设备运营噪声和原料破碎粉尘。</w:t>
            </w:r>
          </w:p>
          <w:p w14:paraId="1850AD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color w:val="FF0000"/>
                <w:sz w:val="24"/>
                <w:szCs w:val="24"/>
                <w:lang w:val="en-US" w:eastAsia="zh-CN"/>
              </w:rPr>
            </w:pPr>
            <w:r>
              <w:rPr>
                <w:rFonts w:hint="eastAsia" w:cs="Times New Roman"/>
                <w:color w:val="FF0000"/>
                <w:sz w:val="24"/>
                <w:szCs w:val="24"/>
                <w:lang w:val="en-US" w:eastAsia="zh-CN"/>
              </w:rPr>
              <w:t>锤式破碎机二破：再由密闭的皮带输送机送至锤式破碎机二次破碎粉磨，分选出不合格骨料回运到锤式破碎机再破碎，达到相应的粒径和级配，将石料按颜色和粒度分别存放在不同粒径的计量骨料仓中，生产时再送至配料斗。此工序主要污染环节为设备运营噪声和原料破碎粉尘。</w:t>
            </w:r>
          </w:p>
          <w:p w14:paraId="129567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color w:val="FF0000"/>
                <w:sz w:val="24"/>
                <w:szCs w:val="24"/>
                <w:lang w:val="en-US" w:eastAsia="zh-CN"/>
              </w:rPr>
            </w:pPr>
            <w:r>
              <w:rPr>
                <w:rFonts w:hint="eastAsia" w:cs="Times New Roman"/>
                <w:color w:val="FF0000"/>
                <w:sz w:val="24"/>
                <w:szCs w:val="24"/>
                <w:lang w:val="en-US" w:eastAsia="zh-CN"/>
              </w:rPr>
              <w:t>计量粉料仓：石英砂、细粉由密闭的吨袋包装，由行吊吊运至计量粉料仓，此工序主要污染环节为设备运营噪声和上料粉尘。</w:t>
            </w:r>
          </w:p>
          <w:p w14:paraId="406382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s="Times New Roman"/>
                <w:color w:val="FF0000"/>
                <w:sz w:val="24"/>
                <w:szCs w:val="24"/>
                <w:lang w:val="en-US" w:eastAsia="zh-CN"/>
              </w:rPr>
            </w:pPr>
            <w:r>
              <w:rPr>
                <w:rFonts w:hint="eastAsia" w:cs="Times New Roman"/>
                <w:color w:val="FF0000"/>
                <w:sz w:val="24"/>
                <w:szCs w:val="24"/>
                <w:lang w:val="en-US" w:eastAsia="zh-CN"/>
              </w:rPr>
              <w:t>搅拌计量仓：桶装树脂、助剂，由人工运至搅拌计量仓，把树脂分别与异辛酸钻和过氧化甲乙酮分先后搅拌均匀，此工序主要污染环节为设备运营噪声、有机废气和恶臭气体。</w:t>
            </w:r>
          </w:p>
          <w:p w14:paraId="1A678E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color w:val="FF0000"/>
                <w:sz w:val="24"/>
                <w:szCs w:val="24"/>
                <w:lang w:val="en-US" w:eastAsia="zh-CN"/>
              </w:rPr>
            </w:pPr>
            <w:r>
              <w:rPr>
                <w:rFonts w:hint="eastAsia" w:cs="Times New Roman"/>
                <w:color w:val="FF0000"/>
                <w:sz w:val="24"/>
                <w:szCs w:val="24"/>
                <w:lang w:val="en-US" w:eastAsia="zh-CN"/>
              </w:rPr>
              <w:t>混合搅拌（无需加热）：搅拌计量仓、计量骨料仓和计量粉料仓中的物料，取适量投放入带密封锁合卸料门的双轴反向旋转卧式搅拌机，在搅拌机中混合搅拌，使石料与树脂黏结充分，并在真空状态下将混合物料布入模具内。此过程会产生一定的有机废气、粉尘、恶臭气体与噪声。</w:t>
            </w:r>
          </w:p>
          <w:p w14:paraId="71F7B3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s="Times New Roman"/>
                <w:color w:val="FF0000"/>
                <w:sz w:val="24"/>
                <w:szCs w:val="24"/>
                <w:lang w:val="en-US" w:eastAsia="zh-CN"/>
              </w:rPr>
            </w:pPr>
            <w:r>
              <w:rPr>
                <w:rFonts w:hint="eastAsia" w:cs="Times New Roman"/>
                <w:color w:val="FF0000"/>
                <w:sz w:val="24"/>
                <w:szCs w:val="24"/>
                <w:lang w:val="en-US" w:eastAsia="zh-CN"/>
              </w:rPr>
              <w:t>真空布料：通过二次布料系统，可将其制出可控制的图案，所布出的纹理和花色更自然，可以与天然石材相媲美。此系统为科达专有技术。由于布料过程均为密闭操作，因此，此工序无颗粒物排放，主要污染环节为布料时产生的有机废气、噪声和恶臭气体。</w:t>
            </w:r>
          </w:p>
          <w:p w14:paraId="025C67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s="Times New Roman"/>
                <w:color w:val="FF0000"/>
                <w:sz w:val="24"/>
                <w:szCs w:val="24"/>
                <w:lang w:val="en-US" w:eastAsia="zh-CN"/>
              </w:rPr>
            </w:pPr>
            <w:r>
              <w:rPr>
                <w:rFonts w:hint="eastAsia" w:cs="Times New Roman"/>
                <w:color w:val="FF0000"/>
                <w:sz w:val="24"/>
                <w:szCs w:val="24"/>
                <w:lang w:val="en-US" w:eastAsia="zh-CN"/>
              </w:rPr>
              <w:t>真空压制成型：经搅拌的物料注入模具内，由小车送入“荒料压机”的密封室内在真空的环境下，经高频振动、加压成型。该项技术的粘合剂可均匀、充分地将石料黏结在一起，最大限度地减少空隙和气泡、从而得出密实度极高的产品。此过程会产生噪声、有机废气和恶臭气体。</w:t>
            </w:r>
          </w:p>
          <w:p w14:paraId="46C38E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s="Times New Roman"/>
                <w:color w:val="FF0000"/>
                <w:sz w:val="24"/>
                <w:szCs w:val="24"/>
                <w:lang w:val="en-US" w:eastAsia="zh-CN"/>
              </w:rPr>
            </w:pPr>
            <w:r>
              <w:rPr>
                <w:rFonts w:hint="eastAsia" w:cs="Times New Roman"/>
                <w:color w:val="FF0000"/>
                <w:sz w:val="24"/>
                <w:szCs w:val="24"/>
                <w:lang w:val="en-US" w:eastAsia="zh-CN"/>
              </w:rPr>
              <w:t>固化脱模：经室温硬化约</w:t>
            </w:r>
            <w:r>
              <w:rPr>
                <w:rFonts w:hint="default" w:cs="Times New Roman"/>
                <w:color w:val="FF0000"/>
                <w:sz w:val="24"/>
                <w:szCs w:val="24"/>
                <w:lang w:val="en-US" w:eastAsia="zh-CN"/>
              </w:rPr>
              <w:t>8</w:t>
            </w:r>
            <w:r>
              <w:rPr>
                <w:rFonts w:hint="eastAsia" w:cs="Times New Roman"/>
                <w:color w:val="FF0000"/>
                <w:sz w:val="24"/>
                <w:szCs w:val="24"/>
                <w:lang w:val="en-US" w:eastAsia="zh-CN"/>
              </w:rPr>
              <w:t>左右小时后，成型的荒料便可以脱模（无需脱模剂）。荒料脱模后，需要经过五至七天时间的养护。该过程可能有少量臭气逸散。</w:t>
            </w:r>
          </w:p>
          <w:p w14:paraId="2A4730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lang w:val="en-US"/>
              </w:rPr>
            </w:pPr>
            <w:r>
              <w:rPr>
                <w:rFonts w:hint="eastAsia" w:cs="Times New Roman"/>
                <w:color w:val="FF0000"/>
                <w:sz w:val="24"/>
                <w:szCs w:val="24"/>
                <w:lang w:val="en-US" w:eastAsia="zh-CN"/>
              </w:rPr>
              <w:t>贮存：成品入库，成型脱模后的产品，存放在3#厂房内待售。此过程会产生噪声。</w:t>
            </w:r>
          </w:p>
        </w:tc>
      </w:tr>
      <w:tr w14:paraId="152E65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47" w:hRule="atLeast"/>
          <w:jc w:val="center"/>
        </w:trPr>
        <w:tc>
          <w:tcPr>
            <w:tcW w:w="823" w:type="dxa"/>
            <w:noWrap w:val="0"/>
            <w:vAlign w:val="center"/>
          </w:tcPr>
          <w:p w14:paraId="4015E51C">
            <w:pPr>
              <w:pStyle w:val="20"/>
              <w:adjustRightInd w:val="0"/>
              <w:snapToGrid w:val="0"/>
              <w:spacing w:before="0" w:beforeAutospacing="0" w:after="0" w:afterAutospacing="0"/>
              <w:jc w:val="center"/>
              <w:rPr>
                <w:rFonts w:hint="eastAsia" w:ascii="宋体" w:hAnsi="宋体" w:eastAsia="宋体" w:cs="宋体"/>
                <w:color w:val="auto"/>
                <w:sz w:val="24"/>
                <w:szCs w:val="24"/>
              </w:rPr>
            </w:pPr>
            <w:r>
              <w:rPr>
                <w:rFonts w:hint="eastAsia" w:ascii="宋体" w:hAnsi="宋体" w:eastAsia="宋体" w:cs="宋体"/>
                <w:bCs/>
                <w:color w:val="auto"/>
                <w:kern w:val="2"/>
                <w:sz w:val="24"/>
                <w:szCs w:val="24"/>
              </w:rPr>
              <w:t>与项目有关的原有环境污染问题</w:t>
            </w:r>
          </w:p>
        </w:tc>
        <w:tc>
          <w:tcPr>
            <w:tcW w:w="8161" w:type="dxa"/>
            <w:noWrap w:val="0"/>
            <w:vAlign w:val="center"/>
          </w:tcPr>
          <w:p w14:paraId="74CB07E9">
            <w:pPr>
              <w:numPr>
                <w:ilvl w:val="0"/>
                <w:numId w:val="0"/>
              </w:numPr>
              <w:spacing w:line="360" w:lineRule="auto"/>
              <w:ind w:left="0" w:leftChars="0" w:firstLine="0" w:firstLineChars="0"/>
              <w:rPr>
                <w:rFonts w:hint="eastAsia" w:ascii="Times New Roman" w:hAnsi="Times New Roman" w:eastAsia="宋体"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1.原</w:t>
            </w:r>
            <w:r>
              <w:rPr>
                <w:rFonts w:hint="eastAsia" w:ascii="Times New Roman" w:hAnsi="Times New Roman" w:eastAsia="宋体" w:cs="Times New Roman"/>
                <w:b/>
                <w:bCs/>
                <w:color w:val="auto"/>
                <w:kern w:val="2"/>
                <w:sz w:val="24"/>
                <w:szCs w:val="24"/>
                <w:lang w:val="en-US" w:eastAsia="zh-CN" w:bidi="ar-SA"/>
              </w:rPr>
              <w:t>有工程环评手续及验收情况</w:t>
            </w:r>
          </w:p>
          <w:p w14:paraId="5C531DDD">
            <w:pPr>
              <w:spacing w:line="360" w:lineRule="auto"/>
              <w:ind w:firstLine="480" w:firstLineChars="200"/>
              <w:jc w:val="left"/>
              <w:rPr>
                <w:rFonts w:hint="eastAsia"/>
                <w:color w:val="auto"/>
                <w:sz w:val="24"/>
                <w:lang w:val="en-US" w:eastAsia="zh-CN"/>
              </w:rPr>
            </w:pPr>
            <w:r>
              <w:rPr>
                <w:rFonts w:hint="eastAsia"/>
                <w:color w:val="auto"/>
                <w:sz w:val="24"/>
                <w:lang w:val="en-US" w:eastAsia="zh-CN"/>
              </w:rPr>
              <w:t>企业于2012年7月16日取得巴州生态环境局（原巴州环境保护局）“关于对新疆富邦国源矿业有限公司年生产160万平方米石板材、8万件异型石材和40万平方米花岗岩板材加工项目环境影响报告表”的批复《巴环控函〔2012〕508号》，项目规划用地200000m</w:t>
            </w:r>
            <w:r>
              <w:rPr>
                <w:rFonts w:hint="eastAsia"/>
                <w:color w:val="auto"/>
                <w:sz w:val="24"/>
                <w:vertAlign w:val="superscript"/>
                <w:lang w:val="en-US" w:eastAsia="zh-CN"/>
              </w:rPr>
              <w:t>2</w:t>
            </w:r>
            <w:r>
              <w:rPr>
                <w:rFonts w:hint="eastAsia"/>
                <w:color w:val="auto"/>
                <w:sz w:val="24"/>
                <w:lang w:val="en-US" w:eastAsia="zh-CN"/>
              </w:rPr>
              <w:t>，建设内容为生产车间、荒料堆放区、仓储区、装卸区、水处理区、办公室、职工宿舍、食堂及文化活动区，年产160万平方米石板材、8万件异型石材和40万平方米花岗岩板材。</w:t>
            </w:r>
          </w:p>
          <w:p w14:paraId="0FAC70F4">
            <w:pPr>
              <w:spacing w:line="360" w:lineRule="auto"/>
              <w:ind w:firstLine="480" w:firstLineChars="200"/>
              <w:jc w:val="left"/>
              <w:rPr>
                <w:rFonts w:hint="eastAsia"/>
                <w:color w:val="auto"/>
                <w:sz w:val="24"/>
                <w:lang w:val="en-US" w:eastAsia="zh-CN"/>
              </w:rPr>
            </w:pPr>
            <w:r>
              <w:rPr>
                <w:rFonts w:hint="eastAsia"/>
                <w:color w:val="auto"/>
                <w:sz w:val="24"/>
                <w:lang w:val="en-US" w:eastAsia="zh-CN"/>
              </w:rPr>
              <w:t>2015年6月21日取得巴州生态环境局（原巴州环境保护局）“关于新疆富邦国源矿业有限公司《新疆富邦国源矿业有限公司年生产160万平方米石板材、8万件异型石材和40万平方米花岗岩板材加工项目变更环境影响报告表的批复》”（巴环评价函〔2015〕267号）。</w:t>
            </w:r>
          </w:p>
          <w:p w14:paraId="684C9A4A">
            <w:pPr>
              <w:spacing w:line="360" w:lineRule="auto"/>
              <w:ind w:firstLine="480" w:firstLineChars="200"/>
              <w:jc w:val="left"/>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企业于2016年1月8日取得巴州环境保护局“关于《新疆富邦国源矿业有限公司年生产160万平方米石板材、8万件异型石材和40万平方米花岗岩板材加工项目》的</w:t>
            </w:r>
            <w:r>
              <w:rPr>
                <w:rFonts w:hint="eastAsia" w:cs="Times New Roman"/>
                <w:color w:val="auto"/>
                <w:sz w:val="24"/>
                <w:lang w:val="en-US" w:eastAsia="zh-CN"/>
              </w:rPr>
              <w:t>验收</w:t>
            </w:r>
            <w:r>
              <w:rPr>
                <w:rFonts w:hint="eastAsia" w:ascii="Times New Roman" w:hAnsi="Times New Roman" w:cs="Times New Roman"/>
                <w:color w:val="auto"/>
                <w:sz w:val="24"/>
                <w:lang w:val="en-US" w:eastAsia="zh-CN"/>
              </w:rPr>
              <w:t>批复”（巴环评价函〔20</w:t>
            </w:r>
            <w:r>
              <w:rPr>
                <w:rFonts w:hint="eastAsia" w:cs="Times New Roman"/>
                <w:color w:val="auto"/>
                <w:sz w:val="24"/>
                <w:lang w:val="en-US" w:eastAsia="zh-CN"/>
              </w:rPr>
              <w:t>16</w:t>
            </w:r>
            <w:r>
              <w:rPr>
                <w:rFonts w:hint="eastAsia" w:ascii="Times New Roman" w:hAnsi="Times New Roman" w:cs="Times New Roman"/>
                <w:color w:val="auto"/>
                <w:sz w:val="24"/>
                <w:lang w:val="en-US" w:eastAsia="zh-CN"/>
              </w:rPr>
              <w:t>〕</w:t>
            </w:r>
            <w:r>
              <w:rPr>
                <w:rFonts w:hint="eastAsia" w:cs="Times New Roman"/>
                <w:color w:val="auto"/>
                <w:sz w:val="24"/>
                <w:lang w:val="en-US" w:eastAsia="zh-CN"/>
              </w:rPr>
              <w:t>6</w:t>
            </w:r>
            <w:r>
              <w:rPr>
                <w:rFonts w:hint="eastAsia" w:ascii="Times New Roman" w:hAnsi="Times New Roman" w:cs="Times New Roman"/>
                <w:color w:val="auto"/>
                <w:sz w:val="24"/>
                <w:lang w:val="en-US" w:eastAsia="zh-CN"/>
              </w:rPr>
              <w:t>号）。</w:t>
            </w:r>
          </w:p>
          <w:p w14:paraId="3EC0E2C5">
            <w:pPr>
              <w:spacing w:line="360" w:lineRule="auto"/>
              <w:ind w:firstLine="480" w:firstLineChars="200"/>
              <w:jc w:val="left"/>
              <w:rPr>
                <w:rFonts w:hint="default" w:ascii="Times New Roman" w:hAnsi="Times New Roman" w:cs="Times New Roman"/>
                <w:color w:val="auto"/>
                <w:sz w:val="24"/>
                <w:lang w:val="en-US" w:eastAsia="zh-CN"/>
              </w:rPr>
            </w:pPr>
            <w:r>
              <w:rPr>
                <w:rFonts w:hint="eastAsia" w:cs="Times New Roman"/>
                <w:color w:val="auto"/>
                <w:sz w:val="24"/>
                <w:lang w:val="en-US" w:eastAsia="zh-CN"/>
              </w:rPr>
              <w:t>企业</w:t>
            </w:r>
            <w:r>
              <w:rPr>
                <w:rFonts w:hint="eastAsia"/>
                <w:b w:val="0"/>
                <w:bCs w:val="0"/>
                <w:color w:val="auto"/>
                <w:sz w:val="24"/>
                <w:lang w:val="en-US" w:eastAsia="zh-CN"/>
              </w:rPr>
              <w:t>于2025年3月6日取得新疆巴音郭楞蒙古自治州生态环境局“关于《新疆富邦国源矿业有限公司和硕石材加工厂扩建项目</w:t>
            </w:r>
            <w:r>
              <w:rPr>
                <w:rFonts w:hint="eastAsia"/>
                <w:color w:val="auto"/>
                <w:sz w:val="24"/>
                <w:lang w:val="en-US" w:eastAsia="zh-CN"/>
              </w:rPr>
              <w:t>环境影响报告表</w:t>
            </w:r>
            <w:r>
              <w:rPr>
                <w:rFonts w:hint="eastAsia"/>
                <w:b w:val="0"/>
                <w:bCs w:val="0"/>
                <w:color w:val="auto"/>
                <w:sz w:val="24"/>
                <w:lang w:val="en-US" w:eastAsia="zh-CN"/>
              </w:rPr>
              <w:t>的批复》”</w:t>
            </w:r>
            <w:r>
              <w:rPr>
                <w:rFonts w:hint="eastAsia" w:cs="Times New Roman"/>
                <w:b w:val="0"/>
                <w:bCs w:val="0"/>
                <w:color w:val="auto"/>
                <w:sz w:val="24"/>
                <w:lang w:val="en-US" w:eastAsia="zh-CN"/>
              </w:rPr>
              <w:t>（</w:t>
            </w:r>
            <w:r>
              <w:rPr>
                <w:rFonts w:hint="eastAsia"/>
                <w:b w:val="0"/>
                <w:bCs w:val="0"/>
                <w:color w:val="auto"/>
                <w:sz w:val="24"/>
                <w:lang w:val="en-US" w:eastAsia="zh-CN"/>
              </w:rPr>
              <w:t>巴环评价函</w:t>
            </w:r>
            <w:r>
              <w:rPr>
                <w:rFonts w:hint="eastAsia" w:ascii="宋体" w:hAnsi="宋体" w:eastAsia="宋体" w:cs="宋体"/>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2025〕28号</w:t>
            </w:r>
            <w:r>
              <w:rPr>
                <w:rFonts w:hint="eastAsia" w:cs="Times New Roman"/>
                <w:b w:val="0"/>
                <w:bCs w:val="0"/>
                <w:color w:val="auto"/>
                <w:sz w:val="24"/>
                <w:lang w:val="en-US" w:eastAsia="zh-CN"/>
              </w:rPr>
              <w:t>）。</w:t>
            </w:r>
          </w:p>
          <w:p w14:paraId="74167C13">
            <w:pPr>
              <w:numPr>
                <w:ilvl w:val="0"/>
                <w:numId w:val="0"/>
              </w:numPr>
              <w:spacing w:line="360" w:lineRule="auto"/>
              <w:ind w:left="0" w:leftChars="0" w:firstLine="0" w:firstLineChars="0"/>
              <w:rPr>
                <w:rFonts w:hint="eastAsia" w:ascii="Times New Roman" w:hAnsi="Times New Roman" w:eastAsia="宋体" w:cs="Times New Roman"/>
                <w:b/>
                <w:bCs/>
                <w:color w:val="auto"/>
                <w:kern w:val="2"/>
                <w:sz w:val="24"/>
                <w:szCs w:val="24"/>
                <w:lang w:val="en-US" w:eastAsia="zh-CN" w:bidi="ar-SA"/>
              </w:rPr>
            </w:pPr>
            <w:r>
              <w:rPr>
                <w:rFonts w:hint="eastAsia" w:cs="Times New Roman"/>
                <w:b/>
                <w:bCs/>
                <w:color w:val="auto"/>
                <w:kern w:val="2"/>
                <w:sz w:val="24"/>
                <w:szCs w:val="40"/>
                <w:lang w:val="en-US" w:eastAsia="zh-CN" w:bidi="ar-SA"/>
              </w:rPr>
              <w:t>2.</w:t>
            </w:r>
            <w:r>
              <w:rPr>
                <w:rFonts w:hint="default" w:ascii="Times New Roman" w:hAnsi="Times New Roman" w:eastAsia="宋体" w:cs="Times New Roman"/>
                <w:b/>
                <w:bCs/>
                <w:color w:val="auto"/>
                <w:kern w:val="2"/>
                <w:sz w:val="24"/>
                <w:szCs w:val="24"/>
                <w:lang w:val="en-US" w:eastAsia="zh-CN" w:bidi="ar-SA"/>
              </w:rPr>
              <w:t>原</w:t>
            </w:r>
            <w:r>
              <w:rPr>
                <w:rFonts w:hint="eastAsia" w:ascii="Times New Roman" w:hAnsi="Times New Roman" w:eastAsia="宋体" w:cs="Times New Roman"/>
                <w:b/>
                <w:bCs/>
                <w:color w:val="auto"/>
                <w:kern w:val="2"/>
                <w:sz w:val="24"/>
                <w:szCs w:val="24"/>
                <w:lang w:val="en-US" w:eastAsia="zh-CN" w:bidi="ar-SA"/>
              </w:rPr>
              <w:t>有工程</w:t>
            </w:r>
            <w:r>
              <w:rPr>
                <w:rFonts w:hint="eastAsia" w:cs="Times New Roman"/>
                <w:b/>
                <w:bCs/>
                <w:color w:val="auto"/>
                <w:kern w:val="2"/>
                <w:sz w:val="24"/>
                <w:szCs w:val="24"/>
                <w:lang w:val="en-US" w:eastAsia="zh-CN" w:bidi="ar-SA"/>
              </w:rPr>
              <w:t>主要污染物排放量</w:t>
            </w:r>
          </w:p>
          <w:p w14:paraId="357BF2CB">
            <w:pPr>
              <w:numPr>
                <w:ilvl w:val="0"/>
                <w:numId w:val="0"/>
              </w:numPr>
              <w:spacing w:line="360" w:lineRule="auto"/>
              <w:ind w:leftChars="0" w:firstLine="480" w:firstLineChars="200"/>
              <w:jc w:val="left"/>
              <w:rPr>
                <w:rFonts w:hint="default"/>
                <w:color w:val="auto"/>
                <w:sz w:val="24"/>
                <w:lang w:val="en-US" w:eastAsia="zh-CN"/>
              </w:rPr>
            </w:pPr>
            <w:r>
              <w:rPr>
                <w:rFonts w:hint="eastAsia"/>
                <w:color w:val="auto"/>
                <w:sz w:val="24"/>
                <w:lang w:val="en-US" w:eastAsia="zh-CN"/>
              </w:rPr>
              <w:t>（1）废气</w:t>
            </w:r>
          </w:p>
          <w:p w14:paraId="33DF08FB">
            <w:pPr>
              <w:numPr>
                <w:ilvl w:val="0"/>
                <w:numId w:val="0"/>
              </w:numPr>
              <w:spacing w:line="360" w:lineRule="auto"/>
              <w:ind w:leftChars="0" w:firstLine="480" w:firstLineChars="200"/>
              <w:jc w:val="left"/>
              <w:rPr>
                <w:rFonts w:hint="default"/>
                <w:color w:val="auto"/>
                <w:sz w:val="24"/>
                <w:lang w:val="en-US" w:eastAsia="zh-CN"/>
              </w:rPr>
            </w:pPr>
            <w:r>
              <w:rPr>
                <w:rFonts w:hint="eastAsia"/>
                <w:color w:val="auto"/>
                <w:sz w:val="24"/>
                <w:lang w:val="en-US" w:eastAsia="zh-CN"/>
              </w:rPr>
              <w:t>根据原有环评，</w:t>
            </w:r>
            <w:r>
              <w:rPr>
                <w:rFonts w:hint="eastAsia"/>
                <w:b w:val="0"/>
                <w:bCs w:val="0"/>
                <w:color w:val="auto"/>
                <w:sz w:val="24"/>
                <w:lang w:val="en-US" w:eastAsia="zh-CN"/>
              </w:rPr>
              <w:t>新疆富邦国源矿业有限公司年生产160万平方米石板材、8万件异型石材和40万平方米花岗岩板材加工项目</w:t>
            </w:r>
            <w:r>
              <w:rPr>
                <w:rFonts w:hint="eastAsia"/>
                <w:color w:val="auto"/>
                <w:sz w:val="24"/>
                <w:lang w:val="en-US" w:eastAsia="zh-CN"/>
              </w:rPr>
              <w:t>废气主要为</w:t>
            </w:r>
            <w:r>
              <w:rPr>
                <w:rFonts w:hint="eastAsia"/>
                <w:b w:val="0"/>
                <w:bCs w:val="0"/>
                <w:color w:val="auto"/>
                <w:sz w:val="24"/>
                <w:lang w:val="en-US" w:eastAsia="zh-CN"/>
              </w:rPr>
              <w:t>年生产160万平方米石板材、8万件异型石材和40万平方米花岗岩板材加工</w:t>
            </w:r>
            <w:r>
              <w:rPr>
                <w:rFonts w:hint="eastAsia"/>
                <w:color w:val="auto"/>
                <w:sz w:val="24"/>
                <w:lang w:val="en-US" w:eastAsia="zh-CN"/>
              </w:rPr>
              <w:t>过程中产生的废气污染物，锅炉房现已停用，运营期大气污染物主要有：</w:t>
            </w:r>
          </w:p>
          <w:p w14:paraId="7F51DCE7">
            <w:pPr>
              <w:numPr>
                <w:ilvl w:val="0"/>
                <w:numId w:val="0"/>
              </w:numPr>
              <w:spacing w:line="360" w:lineRule="auto"/>
              <w:ind w:leftChars="0" w:firstLine="480" w:firstLineChars="200"/>
              <w:jc w:val="left"/>
              <w:rPr>
                <w:rFonts w:hint="eastAsia"/>
                <w:color w:val="auto"/>
                <w:sz w:val="24"/>
                <w:lang w:val="en-US" w:eastAsia="zh-CN"/>
              </w:rPr>
            </w:pPr>
            <w:r>
              <w:rPr>
                <w:rFonts w:hint="eastAsia"/>
                <w:color w:val="auto"/>
                <w:sz w:val="24"/>
                <w:lang w:val="en-US" w:eastAsia="zh-CN"/>
              </w:rPr>
              <w:t>1.粉尘</w:t>
            </w:r>
          </w:p>
          <w:p w14:paraId="7F8771D0">
            <w:pPr>
              <w:numPr>
                <w:ilvl w:val="0"/>
                <w:numId w:val="0"/>
              </w:numPr>
              <w:spacing w:line="360" w:lineRule="auto"/>
              <w:ind w:leftChars="0" w:firstLine="480" w:firstLineChars="200"/>
              <w:jc w:val="left"/>
              <w:rPr>
                <w:rFonts w:hint="eastAsia"/>
                <w:color w:val="auto"/>
                <w:sz w:val="24"/>
                <w:lang w:val="en-US" w:eastAsia="zh-CN"/>
              </w:rPr>
            </w:pPr>
            <w:r>
              <w:rPr>
                <w:rFonts w:hint="eastAsia"/>
                <w:color w:val="auto"/>
                <w:sz w:val="24"/>
                <w:lang w:val="en-US" w:eastAsia="zh-CN"/>
              </w:rPr>
              <w:t>①大锯切割</w:t>
            </w:r>
          </w:p>
          <w:p w14:paraId="403E1565">
            <w:pPr>
              <w:numPr>
                <w:ilvl w:val="0"/>
                <w:numId w:val="0"/>
              </w:numPr>
              <w:spacing w:line="360" w:lineRule="auto"/>
              <w:ind w:leftChars="0" w:firstLine="480" w:firstLineChars="200"/>
              <w:jc w:val="left"/>
              <w:rPr>
                <w:rFonts w:hint="eastAsia"/>
                <w:color w:val="auto"/>
                <w:sz w:val="24"/>
                <w:lang w:val="en-US" w:eastAsia="zh-CN"/>
              </w:rPr>
            </w:pPr>
            <w:r>
              <w:rPr>
                <w:rFonts w:hint="eastAsia"/>
                <w:color w:val="auto"/>
                <w:sz w:val="24"/>
                <w:lang w:val="en-US" w:eastAsia="zh-CN"/>
              </w:rPr>
              <w:t>项目所使用的产品规格按购买方规定的尺寸进行裁切成形，在裁切的过程中会少量散逸粉尘，无组织排放。</w:t>
            </w:r>
          </w:p>
          <w:p w14:paraId="4DDB1B3E">
            <w:pPr>
              <w:numPr>
                <w:ilvl w:val="0"/>
                <w:numId w:val="0"/>
              </w:numPr>
              <w:spacing w:line="360" w:lineRule="auto"/>
              <w:ind w:leftChars="0" w:firstLine="480" w:firstLineChars="200"/>
              <w:jc w:val="left"/>
              <w:rPr>
                <w:rFonts w:hint="eastAsia"/>
                <w:color w:val="auto"/>
                <w:sz w:val="24"/>
                <w:lang w:val="en-US" w:eastAsia="zh-CN"/>
              </w:rPr>
            </w:pPr>
            <w:r>
              <w:rPr>
                <w:rFonts w:hint="eastAsia"/>
                <w:color w:val="auto"/>
                <w:sz w:val="24"/>
                <w:lang w:val="en-US" w:eastAsia="zh-CN"/>
              </w:rPr>
              <w:t>②抛光、磨削粉尘</w:t>
            </w:r>
          </w:p>
          <w:p w14:paraId="47A22D8C">
            <w:pPr>
              <w:numPr>
                <w:ilvl w:val="0"/>
                <w:numId w:val="0"/>
              </w:numPr>
              <w:spacing w:line="360" w:lineRule="auto"/>
              <w:ind w:leftChars="0" w:firstLine="480" w:firstLineChars="200"/>
              <w:jc w:val="left"/>
              <w:rPr>
                <w:rFonts w:hint="eastAsia"/>
                <w:color w:val="auto"/>
                <w:sz w:val="24"/>
                <w:lang w:val="en-US" w:eastAsia="zh-CN"/>
              </w:rPr>
            </w:pPr>
            <w:r>
              <w:rPr>
                <w:rFonts w:hint="eastAsia"/>
                <w:color w:val="auto"/>
                <w:sz w:val="24"/>
                <w:lang w:val="en-US" w:eastAsia="zh-CN"/>
              </w:rPr>
              <w:t>本项目磨削主要对成形后的板材廓形进行粗磨、细磨和精磨，在裁切的过程中会少量散逸粉尘，无组织排放。</w:t>
            </w:r>
          </w:p>
          <w:p w14:paraId="7EF26CD4">
            <w:pPr>
              <w:numPr>
                <w:ilvl w:val="0"/>
                <w:numId w:val="0"/>
              </w:numPr>
              <w:spacing w:line="360" w:lineRule="auto"/>
              <w:ind w:leftChars="0" w:firstLine="480" w:firstLineChars="200"/>
              <w:jc w:val="left"/>
              <w:rPr>
                <w:rFonts w:hint="eastAsia"/>
                <w:color w:val="auto"/>
                <w:sz w:val="24"/>
                <w:lang w:val="en-US" w:eastAsia="zh-CN"/>
              </w:rPr>
            </w:pPr>
            <w:r>
              <w:rPr>
                <w:rFonts w:hint="eastAsia"/>
                <w:color w:val="auto"/>
                <w:sz w:val="24"/>
                <w:lang w:val="en-US" w:eastAsia="zh-CN"/>
              </w:rPr>
              <w:t>产生的石粉（粉尘）随喷淋水一同进入污水处理系统进行处理（喷淋水附带粉尘率为99%）。车间内粉尘基本被去除。为保证生产车间的正常运行，企业应定期对沉淀罐中沉淀物进行排放，排入泥浆池后进行压滤，最后将沉淀物压滤成泥饼。产生的泥饼及时运送至和硕县环保部门及县经贸局指定的和硕县工业园区现有废弃大坑内进行填埋，并在泥饼上方覆盖一层戈壁砂石压实，以防止刮风时产生二次污染。未被喷淋水带走的粉尘以无组织形式排放至大气环境，无组织排放废气执行《大气污染物综合排放标准》（GB16297-1996）表2无组织排放监控浓度限值。</w:t>
            </w:r>
          </w:p>
          <w:p w14:paraId="1251E759">
            <w:pPr>
              <w:numPr>
                <w:ilvl w:val="0"/>
                <w:numId w:val="0"/>
              </w:numPr>
              <w:spacing w:line="240" w:lineRule="auto"/>
              <w:jc w:val="center"/>
              <w:rPr>
                <w:rFonts w:hint="default"/>
                <w:b/>
                <w:bCs/>
                <w:color w:val="auto"/>
                <w:sz w:val="21"/>
                <w:szCs w:val="21"/>
                <w:lang w:val="en-US" w:eastAsia="zh-CN"/>
              </w:rPr>
            </w:pPr>
            <w:r>
              <w:rPr>
                <w:rFonts w:hint="eastAsia"/>
                <w:b/>
                <w:bCs/>
                <w:color w:val="auto"/>
                <w:sz w:val="21"/>
                <w:szCs w:val="21"/>
                <w:lang w:val="en-US" w:eastAsia="zh-CN"/>
              </w:rPr>
              <w:t>表2-8废气产生情况表</w:t>
            </w:r>
          </w:p>
          <w:tbl>
            <w:tblPr>
              <w:tblStyle w:val="25"/>
              <w:tblW w:w="7953" w:type="dxa"/>
              <w:tblInd w:w="5" w:type="dxa"/>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2"/>
              <w:gridCol w:w="1336"/>
              <w:gridCol w:w="1672"/>
              <w:gridCol w:w="1366"/>
              <w:gridCol w:w="1417"/>
            </w:tblGrid>
            <w:tr w14:paraId="283C68AD">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2" w:type="dxa"/>
                  <w:vAlign w:val="center"/>
                </w:tcPr>
                <w:p w14:paraId="4DA2A25C">
                  <w:pPr>
                    <w:spacing w:line="240" w:lineRule="auto"/>
                    <w:jc w:val="center"/>
                    <w:rPr>
                      <w:rFonts w:hint="default"/>
                      <w:color w:val="auto"/>
                      <w:vertAlign w:val="baseline"/>
                      <w:lang w:val="en-US" w:eastAsia="zh-CN"/>
                    </w:rPr>
                  </w:pPr>
                  <w:r>
                    <w:rPr>
                      <w:rFonts w:hint="eastAsia"/>
                      <w:color w:val="auto"/>
                      <w:vertAlign w:val="baseline"/>
                      <w:lang w:val="en-US" w:eastAsia="zh-CN"/>
                    </w:rPr>
                    <w:t>排放口</w:t>
                  </w:r>
                </w:p>
              </w:tc>
              <w:tc>
                <w:tcPr>
                  <w:tcW w:w="1336" w:type="dxa"/>
                  <w:vAlign w:val="center"/>
                </w:tcPr>
                <w:p w14:paraId="039F1468">
                  <w:pPr>
                    <w:spacing w:line="240" w:lineRule="auto"/>
                    <w:jc w:val="center"/>
                    <w:rPr>
                      <w:rFonts w:hint="default"/>
                      <w:color w:val="auto"/>
                      <w:vertAlign w:val="baseline"/>
                      <w:lang w:val="en-US" w:eastAsia="zh-CN"/>
                    </w:rPr>
                  </w:pPr>
                  <w:r>
                    <w:rPr>
                      <w:rFonts w:hint="eastAsia"/>
                      <w:color w:val="auto"/>
                      <w:vertAlign w:val="baseline"/>
                      <w:lang w:val="en-US" w:eastAsia="zh-CN"/>
                    </w:rPr>
                    <w:t>污染物</w:t>
                  </w:r>
                </w:p>
              </w:tc>
              <w:tc>
                <w:tcPr>
                  <w:tcW w:w="1672" w:type="dxa"/>
                  <w:vAlign w:val="center"/>
                </w:tcPr>
                <w:p w14:paraId="492BB70B">
                  <w:pPr>
                    <w:spacing w:line="240" w:lineRule="auto"/>
                    <w:jc w:val="center"/>
                    <w:rPr>
                      <w:rFonts w:hint="default"/>
                      <w:color w:val="auto"/>
                      <w:vertAlign w:val="baseline"/>
                      <w:lang w:val="en-US" w:eastAsia="zh-CN"/>
                    </w:rPr>
                  </w:pPr>
                  <w:r>
                    <w:rPr>
                      <w:rFonts w:hint="eastAsia"/>
                      <w:color w:val="auto"/>
                      <w:vertAlign w:val="baseline"/>
                      <w:lang w:val="en-US" w:eastAsia="zh-CN"/>
                    </w:rPr>
                    <w:t>排放浓度（mg/m</w:t>
                  </w:r>
                  <w:r>
                    <w:rPr>
                      <w:rFonts w:hint="eastAsia"/>
                      <w:color w:val="auto"/>
                      <w:vertAlign w:val="superscript"/>
                      <w:lang w:val="en-US" w:eastAsia="zh-CN"/>
                    </w:rPr>
                    <w:t>3</w:t>
                  </w:r>
                  <w:r>
                    <w:rPr>
                      <w:rFonts w:hint="eastAsia"/>
                      <w:color w:val="auto"/>
                      <w:vertAlign w:val="baseline"/>
                      <w:lang w:val="en-US" w:eastAsia="zh-CN"/>
                    </w:rPr>
                    <w:t>）</w:t>
                  </w:r>
                </w:p>
              </w:tc>
              <w:tc>
                <w:tcPr>
                  <w:tcW w:w="1366" w:type="dxa"/>
                  <w:vAlign w:val="center"/>
                </w:tcPr>
                <w:p w14:paraId="07AF3261">
                  <w:pPr>
                    <w:spacing w:line="240" w:lineRule="auto"/>
                    <w:jc w:val="center"/>
                    <w:rPr>
                      <w:rFonts w:hint="eastAsia"/>
                      <w:color w:val="auto"/>
                      <w:vertAlign w:val="baseline"/>
                      <w:lang w:val="en-US" w:eastAsia="zh-CN"/>
                    </w:rPr>
                  </w:pPr>
                  <w:r>
                    <w:rPr>
                      <w:rFonts w:hint="eastAsia"/>
                      <w:color w:val="auto"/>
                      <w:vertAlign w:val="baseline"/>
                      <w:lang w:val="en-US" w:eastAsia="zh-CN"/>
                    </w:rPr>
                    <w:t>排放速率</w:t>
                  </w:r>
                </w:p>
                <w:p w14:paraId="67F18E1D">
                  <w:pPr>
                    <w:spacing w:line="240" w:lineRule="auto"/>
                    <w:jc w:val="center"/>
                    <w:rPr>
                      <w:rFonts w:hint="default"/>
                      <w:color w:val="auto"/>
                      <w:vertAlign w:val="baseline"/>
                      <w:lang w:val="en-US" w:eastAsia="zh-CN"/>
                    </w:rPr>
                  </w:pPr>
                  <w:r>
                    <w:rPr>
                      <w:rFonts w:hint="eastAsia"/>
                      <w:color w:val="auto"/>
                      <w:vertAlign w:val="baseline"/>
                      <w:lang w:val="en-US" w:eastAsia="zh-CN"/>
                    </w:rPr>
                    <w:t>（kg/h）</w:t>
                  </w:r>
                </w:p>
              </w:tc>
              <w:tc>
                <w:tcPr>
                  <w:tcW w:w="1417" w:type="dxa"/>
                  <w:vAlign w:val="center"/>
                </w:tcPr>
                <w:p w14:paraId="6876830D">
                  <w:pPr>
                    <w:spacing w:line="240" w:lineRule="auto"/>
                    <w:jc w:val="center"/>
                    <w:rPr>
                      <w:rFonts w:hint="eastAsia"/>
                      <w:color w:val="auto"/>
                      <w:vertAlign w:val="baseline"/>
                      <w:lang w:val="en-US" w:eastAsia="zh-CN"/>
                    </w:rPr>
                  </w:pPr>
                  <w:r>
                    <w:rPr>
                      <w:rFonts w:hint="eastAsia"/>
                      <w:color w:val="auto"/>
                      <w:vertAlign w:val="baseline"/>
                      <w:lang w:val="en-US" w:eastAsia="zh-CN"/>
                    </w:rPr>
                    <w:t>排放量</w:t>
                  </w:r>
                </w:p>
                <w:p w14:paraId="47518BE5">
                  <w:pPr>
                    <w:spacing w:line="240" w:lineRule="auto"/>
                    <w:jc w:val="center"/>
                    <w:rPr>
                      <w:rFonts w:hint="eastAsia"/>
                      <w:color w:val="auto"/>
                      <w:vertAlign w:val="baseline"/>
                      <w:lang w:val="en-US" w:eastAsia="zh-CN"/>
                    </w:rPr>
                  </w:pPr>
                  <w:r>
                    <w:rPr>
                      <w:rFonts w:hint="eastAsia"/>
                      <w:color w:val="auto"/>
                      <w:vertAlign w:val="baseline"/>
                      <w:lang w:val="en-US" w:eastAsia="zh-CN"/>
                    </w:rPr>
                    <w:t>（t/a）</w:t>
                  </w:r>
                </w:p>
              </w:tc>
            </w:tr>
            <w:tr w14:paraId="2E91F6C5">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2" w:type="dxa"/>
                  <w:vAlign w:val="center"/>
                </w:tcPr>
                <w:p w14:paraId="04033A54">
                  <w:pPr>
                    <w:spacing w:line="240" w:lineRule="auto"/>
                    <w:jc w:val="center"/>
                    <w:rPr>
                      <w:rFonts w:hint="default"/>
                      <w:color w:val="auto"/>
                      <w:vertAlign w:val="baseline"/>
                      <w:lang w:val="en-US" w:eastAsia="zh-CN"/>
                    </w:rPr>
                  </w:pPr>
                  <w:r>
                    <w:rPr>
                      <w:rFonts w:hint="eastAsia"/>
                      <w:color w:val="auto"/>
                      <w:vertAlign w:val="baseline"/>
                      <w:lang w:val="en-US" w:eastAsia="zh-CN"/>
                    </w:rPr>
                    <w:t>无组织粉尘</w:t>
                  </w:r>
                </w:p>
              </w:tc>
              <w:tc>
                <w:tcPr>
                  <w:tcW w:w="1336" w:type="dxa"/>
                  <w:vAlign w:val="center"/>
                </w:tcPr>
                <w:p w14:paraId="0B88EF41">
                  <w:pPr>
                    <w:spacing w:line="240" w:lineRule="auto"/>
                    <w:jc w:val="center"/>
                    <w:rPr>
                      <w:rFonts w:hint="default"/>
                      <w:color w:val="auto"/>
                      <w:vertAlign w:val="baseline"/>
                      <w:lang w:val="en-US" w:eastAsia="zh-CN"/>
                    </w:rPr>
                  </w:pPr>
                  <w:r>
                    <w:rPr>
                      <w:rFonts w:hint="eastAsia"/>
                      <w:color w:val="auto"/>
                      <w:vertAlign w:val="baseline"/>
                      <w:lang w:val="en-US" w:eastAsia="zh-CN"/>
                    </w:rPr>
                    <w:t>颗粒物</w:t>
                  </w:r>
                </w:p>
              </w:tc>
              <w:tc>
                <w:tcPr>
                  <w:tcW w:w="1672" w:type="dxa"/>
                  <w:vAlign w:val="center"/>
                </w:tcPr>
                <w:p w14:paraId="62BE7830">
                  <w:pPr>
                    <w:spacing w:line="240" w:lineRule="auto"/>
                    <w:jc w:val="center"/>
                    <w:rPr>
                      <w:rFonts w:hint="default"/>
                      <w:color w:val="auto"/>
                      <w:vertAlign w:val="baseline"/>
                      <w:lang w:val="en-US" w:eastAsia="zh-CN"/>
                    </w:rPr>
                  </w:pPr>
                  <w:r>
                    <w:rPr>
                      <w:rFonts w:hint="eastAsia"/>
                      <w:color w:val="auto"/>
                      <w:vertAlign w:val="baseline"/>
                      <w:lang w:val="en-US" w:eastAsia="zh-CN"/>
                    </w:rPr>
                    <w:t>/</w:t>
                  </w:r>
                </w:p>
              </w:tc>
              <w:tc>
                <w:tcPr>
                  <w:tcW w:w="1366" w:type="dxa"/>
                  <w:vAlign w:val="center"/>
                </w:tcPr>
                <w:p w14:paraId="7426A5E8">
                  <w:pPr>
                    <w:spacing w:line="240" w:lineRule="auto"/>
                    <w:jc w:val="center"/>
                    <w:rPr>
                      <w:rFonts w:hint="default"/>
                      <w:color w:val="auto"/>
                      <w:vertAlign w:val="baseline"/>
                      <w:lang w:val="en-US" w:eastAsia="zh-CN"/>
                    </w:rPr>
                  </w:pPr>
                  <w:r>
                    <w:rPr>
                      <w:rFonts w:hint="eastAsia"/>
                      <w:color w:val="auto"/>
                      <w:vertAlign w:val="baseline"/>
                      <w:lang w:val="en-US" w:eastAsia="zh-CN"/>
                    </w:rPr>
                    <w:t>0.17</w:t>
                  </w:r>
                </w:p>
              </w:tc>
              <w:tc>
                <w:tcPr>
                  <w:tcW w:w="1417" w:type="dxa"/>
                  <w:vAlign w:val="center"/>
                </w:tcPr>
                <w:p w14:paraId="119911F5">
                  <w:pPr>
                    <w:spacing w:line="240" w:lineRule="auto"/>
                    <w:jc w:val="center"/>
                    <w:rPr>
                      <w:rFonts w:hint="default"/>
                      <w:color w:val="auto"/>
                      <w:vertAlign w:val="baseline"/>
                      <w:lang w:val="en-US" w:eastAsia="zh-CN"/>
                    </w:rPr>
                  </w:pPr>
                  <w:r>
                    <w:rPr>
                      <w:rFonts w:hint="eastAsia" w:ascii="Times New Roman" w:cs="Times New Roman"/>
                      <w:snapToGrid w:val="0"/>
                      <w:color w:val="auto"/>
                      <w:kern w:val="21"/>
                      <w:szCs w:val="21"/>
                      <w:lang w:val="en-US" w:eastAsia="zh-CN"/>
                    </w:rPr>
                    <w:t>0.64</w:t>
                  </w:r>
                </w:p>
              </w:tc>
            </w:tr>
          </w:tbl>
          <w:p w14:paraId="365F439F">
            <w:pPr>
              <w:numPr>
                <w:ilvl w:val="0"/>
                <w:numId w:val="0"/>
              </w:numPr>
              <w:spacing w:line="360" w:lineRule="auto"/>
              <w:ind w:leftChars="0" w:firstLine="480" w:firstLineChars="200"/>
              <w:jc w:val="left"/>
              <w:rPr>
                <w:rFonts w:hint="eastAsia"/>
                <w:color w:val="auto"/>
                <w:sz w:val="24"/>
                <w:lang w:val="en-US" w:eastAsia="zh-CN"/>
              </w:rPr>
            </w:pPr>
            <w:r>
              <w:rPr>
                <w:rFonts w:hint="eastAsia"/>
                <w:color w:val="auto"/>
                <w:sz w:val="24"/>
                <w:lang w:val="en-US" w:eastAsia="zh-CN"/>
              </w:rPr>
              <w:t>（2）废水</w:t>
            </w:r>
          </w:p>
          <w:p w14:paraId="44972734">
            <w:pPr>
              <w:numPr>
                <w:ilvl w:val="0"/>
                <w:numId w:val="0"/>
              </w:numPr>
              <w:spacing w:line="360" w:lineRule="auto"/>
              <w:ind w:leftChars="0" w:firstLine="480" w:firstLineChars="200"/>
              <w:jc w:val="left"/>
              <w:rPr>
                <w:rFonts w:hint="default" w:ascii="Times New Roman" w:hAnsi="Times New Roman" w:cs="Times New Roman"/>
                <w:color w:val="auto"/>
                <w:sz w:val="24"/>
                <w:lang w:val="en-US" w:eastAsia="zh-CN"/>
              </w:rPr>
            </w:pPr>
            <w:r>
              <w:rPr>
                <w:rFonts w:hint="eastAsia"/>
                <w:color w:val="auto"/>
                <w:sz w:val="24"/>
                <w:lang w:val="en-US" w:eastAsia="zh-CN"/>
              </w:rPr>
              <w:t>项目现状生产废水经污水处理系统处理后循环使用，不外排，生活污水来源于职工生活污水，现有职工300人，现有新鲜</w:t>
            </w:r>
            <w:r>
              <w:rPr>
                <w:rFonts w:hint="default"/>
                <w:color w:val="auto"/>
                <w:sz w:val="24"/>
                <w:lang w:val="en-US" w:eastAsia="zh-CN"/>
              </w:rPr>
              <w:t>用水量</w:t>
            </w:r>
            <w:r>
              <w:rPr>
                <w:rFonts w:hint="default" w:ascii="Times New Roman" w:hAnsi="Times New Roman" w:cs="Times New Roman"/>
                <w:color w:val="auto"/>
                <w:sz w:val="24"/>
                <w:lang w:val="en-US" w:eastAsia="zh-CN"/>
              </w:rPr>
              <w:t>为</w:t>
            </w:r>
            <w:r>
              <w:rPr>
                <w:rFonts w:hint="eastAsia" w:cs="Times New Roman"/>
                <w:color w:val="auto"/>
                <w:sz w:val="24"/>
                <w:lang w:val="en-US" w:eastAsia="zh-CN"/>
              </w:rPr>
              <w:t>43.6</w:t>
            </w:r>
            <w:r>
              <w:rPr>
                <w:rFonts w:hint="default" w:ascii="Times New Roman" w:hAnsi="Times New Roman" w:cs="Times New Roman"/>
                <w:color w:val="auto"/>
                <w:sz w:val="24"/>
                <w:lang w:val="en-US" w:eastAsia="zh-CN"/>
              </w:rPr>
              <w:t>m³/d（</w:t>
            </w:r>
            <w:r>
              <w:rPr>
                <w:rFonts w:hint="eastAsia" w:cs="Times New Roman"/>
                <w:color w:val="auto"/>
                <w:sz w:val="24"/>
                <w:lang w:val="en-US" w:eastAsia="zh-CN"/>
              </w:rPr>
              <w:t>10464</w:t>
            </w:r>
            <w:r>
              <w:rPr>
                <w:rFonts w:hint="default" w:ascii="Times New Roman" w:hAnsi="Times New Roman" w:cs="Times New Roman"/>
                <w:color w:val="auto"/>
                <w:sz w:val="24"/>
                <w:lang w:val="en-US" w:eastAsia="zh-CN"/>
              </w:rPr>
              <w:t>m³/a），本项目排水量为</w:t>
            </w:r>
            <w:r>
              <w:rPr>
                <w:rFonts w:hint="eastAsia" w:eastAsia="宋体" w:cs="Times New Roman"/>
                <w:spacing w:val="-3"/>
                <w:sz w:val="24"/>
                <w:szCs w:val="24"/>
                <w:lang w:val="en-US" w:eastAsia="zh-CN"/>
              </w:rPr>
              <w:t>24.48</w:t>
            </w:r>
            <w:r>
              <w:rPr>
                <w:rFonts w:hint="default" w:ascii="Times New Roman" w:hAnsi="Times New Roman" w:eastAsia="Calibri" w:cs="Times New Roman"/>
                <w:spacing w:val="-3"/>
                <w:sz w:val="24"/>
                <w:szCs w:val="24"/>
              </w:rPr>
              <w:t>m</w:t>
            </w:r>
            <w:r>
              <w:rPr>
                <w:rFonts w:hint="default" w:ascii="Times New Roman" w:hAnsi="Times New Roman" w:eastAsia="Calibri" w:cs="Times New Roman"/>
                <w:spacing w:val="-3"/>
                <w:position w:val="8"/>
                <w:sz w:val="15"/>
                <w:szCs w:val="15"/>
              </w:rPr>
              <w:t>3</w:t>
            </w:r>
            <w:r>
              <w:rPr>
                <w:rFonts w:hint="default" w:ascii="Times New Roman" w:hAnsi="Times New Roman" w:eastAsia="Calibri" w:cs="Times New Roman"/>
                <w:spacing w:val="-3"/>
                <w:sz w:val="24"/>
                <w:szCs w:val="24"/>
              </w:rPr>
              <w:t>/d</w:t>
            </w:r>
            <w:r>
              <w:rPr>
                <w:rFonts w:hint="default" w:ascii="Times New Roman" w:hAnsi="Times New Roman" w:eastAsia="宋体" w:cs="Times New Roman"/>
                <w:spacing w:val="-3"/>
                <w:sz w:val="24"/>
                <w:szCs w:val="24"/>
                <w:lang w:eastAsia="zh-CN"/>
              </w:rPr>
              <w:t>（</w:t>
            </w:r>
            <w:r>
              <w:rPr>
                <w:rFonts w:hint="eastAsia" w:cs="Times New Roman"/>
                <w:color w:val="auto"/>
                <w:sz w:val="24"/>
                <w:lang w:val="en-US" w:eastAsia="zh-CN"/>
              </w:rPr>
              <w:t>5875.2</w:t>
            </w:r>
            <w:r>
              <w:rPr>
                <w:rFonts w:hint="default" w:ascii="Times New Roman" w:hAnsi="Times New Roman" w:cs="Times New Roman"/>
                <w:color w:val="auto"/>
                <w:sz w:val="24"/>
                <w:lang w:val="en-US" w:eastAsia="zh-CN"/>
              </w:rPr>
              <w:t>m³/a</w:t>
            </w:r>
            <w:r>
              <w:rPr>
                <w:rFonts w:hint="default" w:ascii="Times New Roman" w:hAnsi="Times New Roman" w:eastAsia="宋体" w:cs="Times New Roman"/>
                <w:spacing w:val="-3"/>
                <w:sz w:val="24"/>
                <w:szCs w:val="24"/>
                <w:lang w:eastAsia="zh-CN"/>
              </w:rPr>
              <w:t>）</w:t>
            </w:r>
            <w:r>
              <w:rPr>
                <w:rFonts w:hint="default" w:ascii="Times New Roman" w:hAnsi="Times New Roman" w:cs="Times New Roman"/>
                <w:color w:val="auto"/>
                <w:sz w:val="24"/>
                <w:lang w:val="en-US" w:eastAsia="zh-CN"/>
              </w:rPr>
              <w:t>。</w:t>
            </w:r>
          </w:p>
          <w:p w14:paraId="63CD6005">
            <w:pPr>
              <w:numPr>
                <w:ilvl w:val="0"/>
                <w:numId w:val="0"/>
              </w:numPr>
              <w:spacing w:line="360" w:lineRule="auto"/>
              <w:ind w:leftChars="0" w:firstLine="480" w:firstLineChars="200"/>
              <w:jc w:val="left"/>
              <w:rPr>
                <w:rFonts w:hint="eastAsia"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主要污染物为COD、BOD、SS等。本项目生活污水</w:t>
            </w:r>
            <w:r>
              <w:rPr>
                <w:rFonts w:hint="eastAsia" w:eastAsia="宋体" w:cs="Times New Roman"/>
                <w:spacing w:val="-3"/>
                <w:sz w:val="24"/>
                <w:szCs w:val="24"/>
                <w:lang w:val="en-US" w:eastAsia="zh-CN"/>
              </w:rPr>
              <w:t>24.48</w:t>
            </w:r>
            <w:r>
              <w:rPr>
                <w:rFonts w:hint="default" w:ascii="Times New Roman" w:hAnsi="Times New Roman" w:eastAsia="Calibri" w:cs="Times New Roman"/>
                <w:spacing w:val="-3"/>
                <w:sz w:val="24"/>
                <w:szCs w:val="24"/>
              </w:rPr>
              <w:t>m</w:t>
            </w:r>
            <w:r>
              <w:rPr>
                <w:rFonts w:hint="default" w:ascii="Times New Roman" w:hAnsi="Times New Roman" w:eastAsia="Calibri" w:cs="Times New Roman"/>
                <w:spacing w:val="-3"/>
                <w:position w:val="8"/>
                <w:sz w:val="15"/>
                <w:szCs w:val="15"/>
              </w:rPr>
              <w:t>3</w:t>
            </w:r>
            <w:r>
              <w:rPr>
                <w:rFonts w:hint="default" w:ascii="Times New Roman" w:hAnsi="Times New Roman" w:eastAsia="Calibri" w:cs="Times New Roman"/>
                <w:spacing w:val="-3"/>
                <w:sz w:val="24"/>
                <w:szCs w:val="24"/>
              </w:rPr>
              <w:t>/d</w:t>
            </w:r>
            <w:r>
              <w:rPr>
                <w:rFonts w:hint="default" w:ascii="Times New Roman" w:hAnsi="Times New Roman" w:eastAsia="宋体" w:cs="Times New Roman"/>
                <w:spacing w:val="-3"/>
                <w:sz w:val="24"/>
                <w:szCs w:val="24"/>
                <w:lang w:eastAsia="zh-CN"/>
              </w:rPr>
              <w:t>（</w:t>
            </w:r>
            <w:r>
              <w:rPr>
                <w:rFonts w:hint="eastAsia" w:cs="Times New Roman"/>
                <w:color w:val="auto"/>
                <w:sz w:val="24"/>
                <w:lang w:val="en-US" w:eastAsia="zh-CN"/>
              </w:rPr>
              <w:t>5875.2</w:t>
            </w:r>
            <w:r>
              <w:rPr>
                <w:rFonts w:hint="default" w:ascii="Times New Roman" w:hAnsi="Times New Roman" w:cs="Times New Roman"/>
                <w:color w:val="auto"/>
                <w:sz w:val="24"/>
                <w:lang w:val="en-US" w:eastAsia="zh-CN"/>
              </w:rPr>
              <w:t>m³/a</w:t>
            </w:r>
            <w:r>
              <w:rPr>
                <w:rFonts w:hint="default" w:ascii="Times New Roman" w:hAnsi="Times New Roman" w:eastAsia="宋体" w:cs="Times New Roman"/>
                <w:spacing w:val="-3"/>
                <w:sz w:val="24"/>
                <w:szCs w:val="24"/>
                <w:lang w:eastAsia="zh-CN"/>
              </w:rPr>
              <w:t>）</w:t>
            </w:r>
            <w:r>
              <w:rPr>
                <w:rFonts w:hint="eastAsia" w:ascii="Times New Roman" w:hAnsi="Times New Roman" w:cs="Times New Roman"/>
                <w:color w:val="auto"/>
                <w:sz w:val="24"/>
                <w:lang w:val="en-US" w:eastAsia="zh-CN"/>
              </w:rPr>
              <w:t>排入项目区防渗旱厕，旱厕中的粪便定期由周边农户清掏，用于堆肥。</w:t>
            </w:r>
          </w:p>
          <w:p w14:paraId="43EEDC08">
            <w:pPr>
              <w:numPr>
                <w:ilvl w:val="0"/>
                <w:numId w:val="0"/>
              </w:numPr>
              <w:spacing w:line="240" w:lineRule="auto"/>
              <w:jc w:val="center"/>
              <w:rPr>
                <w:position w:val="-23"/>
              </w:rPr>
            </w:pPr>
            <w:r>
              <w:rPr>
                <w:rFonts w:hint="eastAsia" w:cs="Times New Roman"/>
                <w:color w:val="auto"/>
                <w:sz w:val="24"/>
                <w:szCs w:val="24"/>
                <w:lang w:val="en-US" w:eastAsia="zh-CN"/>
              </w:rPr>
              <w:drawing>
                <wp:inline distT="0" distB="0" distL="114300" distR="114300">
                  <wp:extent cx="4912360" cy="2222500"/>
                  <wp:effectExtent l="0" t="0" r="2540" b="6350"/>
                  <wp:docPr id="8" name="F360BE8B-6686-4F3D-AEAF-501FE73E4058-4" descr="C:/Users/Administrator/AppData/Local/Temp/绘图1(23).png绘图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360BE8B-6686-4F3D-AEAF-501FE73E4058-4" descr="C:/Users/Administrator/AppData/Local/Temp/绘图1(23).png绘图1(23)"/>
                          <pic:cNvPicPr>
                            <a:picLocks noChangeAspect="1"/>
                          </pic:cNvPicPr>
                        </pic:nvPicPr>
                        <pic:blipFill>
                          <a:blip r:embed="rId25"/>
                          <a:stretch>
                            <a:fillRect/>
                          </a:stretch>
                        </pic:blipFill>
                        <pic:spPr>
                          <a:xfrm>
                            <a:off x="0" y="0"/>
                            <a:ext cx="4912360" cy="2222500"/>
                          </a:xfrm>
                          <a:prstGeom prst="rect">
                            <a:avLst/>
                          </a:prstGeom>
                        </pic:spPr>
                      </pic:pic>
                    </a:graphicData>
                  </a:graphic>
                </wp:inline>
              </w:drawing>
            </w:r>
          </w:p>
          <w:p w14:paraId="61A1609A">
            <w:pPr>
              <w:numPr>
                <w:ilvl w:val="0"/>
                <w:numId w:val="0"/>
              </w:numPr>
              <w:spacing w:line="240" w:lineRule="auto"/>
              <w:jc w:val="center"/>
              <w:rPr>
                <w:rFonts w:hint="default"/>
                <w:b/>
                <w:bCs/>
                <w:color w:val="auto"/>
                <w:sz w:val="21"/>
                <w:szCs w:val="21"/>
                <w:lang w:val="en-US" w:eastAsia="zh-CN"/>
              </w:rPr>
            </w:pPr>
            <w:r>
              <w:rPr>
                <w:rFonts w:hint="eastAsia"/>
                <w:b/>
                <w:bCs/>
                <w:color w:val="auto"/>
                <w:sz w:val="21"/>
                <w:szCs w:val="21"/>
                <w:lang w:val="en-US" w:eastAsia="zh-CN"/>
              </w:rPr>
              <w:t>图2-4水平衡图单位（m</w:t>
            </w:r>
            <w:r>
              <w:rPr>
                <w:rFonts w:hint="eastAsia"/>
                <w:b/>
                <w:bCs/>
                <w:color w:val="auto"/>
                <w:sz w:val="21"/>
                <w:szCs w:val="21"/>
                <w:vertAlign w:val="superscript"/>
                <w:lang w:val="en-US" w:eastAsia="zh-CN"/>
              </w:rPr>
              <w:t>3</w:t>
            </w:r>
            <w:r>
              <w:rPr>
                <w:rFonts w:hint="eastAsia"/>
                <w:b/>
                <w:bCs/>
                <w:color w:val="auto"/>
                <w:sz w:val="21"/>
                <w:szCs w:val="21"/>
                <w:lang w:val="en-US" w:eastAsia="zh-CN"/>
              </w:rPr>
              <w:t>/d）</w:t>
            </w:r>
          </w:p>
          <w:p w14:paraId="1AC273CB">
            <w:pPr>
              <w:spacing w:line="360" w:lineRule="auto"/>
              <w:ind w:firstLine="480" w:firstLineChars="200"/>
              <w:jc w:val="left"/>
              <w:rPr>
                <w:rFonts w:hint="eastAsia"/>
                <w:color w:val="auto"/>
                <w:sz w:val="24"/>
                <w:lang w:val="en-US" w:eastAsia="zh-CN"/>
              </w:rPr>
            </w:pPr>
            <w:r>
              <w:rPr>
                <w:rFonts w:hint="eastAsia"/>
                <w:color w:val="auto"/>
                <w:sz w:val="24"/>
                <w:lang w:val="en-US" w:eastAsia="zh-CN"/>
              </w:rPr>
              <w:t>（3）固废</w:t>
            </w:r>
          </w:p>
          <w:p w14:paraId="59F82AD3">
            <w:pPr>
              <w:spacing w:line="360" w:lineRule="auto"/>
              <w:ind w:firstLine="480" w:firstLineChars="200"/>
              <w:jc w:val="left"/>
              <w:rPr>
                <w:rFonts w:hint="eastAsia"/>
                <w:color w:val="auto"/>
                <w:sz w:val="24"/>
                <w:lang w:val="en-US" w:eastAsia="zh-CN"/>
              </w:rPr>
            </w:pPr>
            <w:r>
              <w:rPr>
                <w:rFonts w:hint="eastAsia"/>
                <w:color w:val="auto"/>
                <w:sz w:val="24"/>
                <w:lang w:val="en-US" w:eastAsia="zh-CN"/>
              </w:rPr>
              <w:t>项目产生的固体废物主要为边角料及石粉、生活垃圾和废机油。详见下表。生产固废部分回用于生产，剩余固废拉运至指定的地点进行填埋，生活垃圾分类收集，工作人员300人，职工现有生活垃圾产生量为72t/a，由环卫部门统一收集后送垃圾场处理。</w:t>
            </w:r>
          </w:p>
          <w:p w14:paraId="7A614394">
            <w:pPr>
              <w:pStyle w:val="6"/>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表2-9固体废物一览表</w:t>
            </w:r>
          </w:p>
          <w:tbl>
            <w:tblPr>
              <w:tblStyle w:val="25"/>
              <w:tblW w:w="0" w:type="auto"/>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136"/>
              <w:gridCol w:w="707"/>
              <w:gridCol w:w="964"/>
              <w:gridCol w:w="4443"/>
            </w:tblGrid>
            <w:tr w14:paraId="0CB052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14:paraId="1B385CEF">
                  <w:pPr>
                    <w:spacing w:line="240" w:lineRule="auto"/>
                    <w:jc w:val="center"/>
                    <w:rPr>
                      <w:rFonts w:hint="default"/>
                      <w:color w:val="auto"/>
                      <w:highlight w:val="none"/>
                      <w:vertAlign w:val="baseline"/>
                      <w:lang w:val="en-US" w:eastAsia="zh-CN"/>
                    </w:rPr>
                  </w:pPr>
                  <w:r>
                    <w:rPr>
                      <w:rFonts w:hint="eastAsia"/>
                      <w:color w:val="auto"/>
                      <w:highlight w:val="none"/>
                      <w:vertAlign w:val="baseline"/>
                      <w:lang w:val="en-US" w:eastAsia="zh-CN"/>
                    </w:rPr>
                    <w:t>序号</w:t>
                  </w:r>
                </w:p>
              </w:tc>
              <w:tc>
                <w:tcPr>
                  <w:tcW w:w="1136" w:type="dxa"/>
                  <w:vAlign w:val="center"/>
                </w:tcPr>
                <w:p w14:paraId="3FD5977A">
                  <w:pPr>
                    <w:spacing w:line="240" w:lineRule="auto"/>
                    <w:jc w:val="center"/>
                    <w:rPr>
                      <w:rFonts w:hint="default"/>
                      <w:color w:val="auto"/>
                      <w:highlight w:val="none"/>
                      <w:vertAlign w:val="baseline"/>
                      <w:lang w:val="en-US" w:eastAsia="zh-CN"/>
                    </w:rPr>
                  </w:pPr>
                  <w:r>
                    <w:rPr>
                      <w:rFonts w:hint="eastAsia"/>
                      <w:color w:val="auto"/>
                      <w:highlight w:val="none"/>
                      <w:vertAlign w:val="baseline"/>
                      <w:lang w:val="en-US" w:eastAsia="zh-CN"/>
                    </w:rPr>
                    <w:t>名称</w:t>
                  </w:r>
                </w:p>
              </w:tc>
              <w:tc>
                <w:tcPr>
                  <w:tcW w:w="707" w:type="dxa"/>
                  <w:vAlign w:val="center"/>
                </w:tcPr>
                <w:p w14:paraId="311C5D98">
                  <w:pPr>
                    <w:spacing w:line="240" w:lineRule="auto"/>
                    <w:jc w:val="center"/>
                    <w:rPr>
                      <w:rFonts w:hint="default"/>
                      <w:color w:val="auto"/>
                      <w:highlight w:val="none"/>
                      <w:vertAlign w:val="baseline"/>
                      <w:lang w:val="en-US" w:eastAsia="zh-CN"/>
                    </w:rPr>
                  </w:pPr>
                  <w:r>
                    <w:rPr>
                      <w:rFonts w:hint="eastAsia"/>
                      <w:color w:val="auto"/>
                      <w:highlight w:val="none"/>
                      <w:vertAlign w:val="baseline"/>
                      <w:lang w:val="en-US" w:eastAsia="zh-CN"/>
                    </w:rPr>
                    <w:t>性状</w:t>
                  </w:r>
                </w:p>
              </w:tc>
              <w:tc>
                <w:tcPr>
                  <w:tcW w:w="964" w:type="dxa"/>
                  <w:vAlign w:val="center"/>
                </w:tcPr>
                <w:p w14:paraId="26E0DA4C">
                  <w:pPr>
                    <w:spacing w:line="240" w:lineRule="auto"/>
                    <w:jc w:val="center"/>
                    <w:rPr>
                      <w:rFonts w:hint="default"/>
                      <w:color w:val="auto"/>
                      <w:highlight w:val="none"/>
                      <w:vertAlign w:val="baseline"/>
                      <w:lang w:val="en-US" w:eastAsia="zh-CN"/>
                    </w:rPr>
                  </w:pPr>
                  <w:r>
                    <w:rPr>
                      <w:rFonts w:hint="eastAsia"/>
                      <w:color w:val="auto"/>
                      <w:highlight w:val="none"/>
                      <w:vertAlign w:val="baseline"/>
                      <w:lang w:val="en-US" w:eastAsia="zh-CN"/>
                    </w:rPr>
                    <w:t>产生量</w:t>
                  </w:r>
                </w:p>
              </w:tc>
              <w:tc>
                <w:tcPr>
                  <w:tcW w:w="4443" w:type="dxa"/>
                  <w:vAlign w:val="center"/>
                </w:tcPr>
                <w:p w14:paraId="40706B1B">
                  <w:pPr>
                    <w:spacing w:line="240" w:lineRule="auto"/>
                    <w:jc w:val="center"/>
                    <w:rPr>
                      <w:rFonts w:hint="eastAsia"/>
                      <w:color w:val="auto"/>
                      <w:highlight w:val="none"/>
                      <w:vertAlign w:val="baseline"/>
                      <w:lang w:val="en-US" w:eastAsia="zh-CN"/>
                    </w:rPr>
                  </w:pPr>
                  <w:r>
                    <w:rPr>
                      <w:rFonts w:hint="eastAsia"/>
                      <w:color w:val="auto"/>
                      <w:highlight w:val="none"/>
                      <w:vertAlign w:val="baseline"/>
                      <w:lang w:val="en-US" w:eastAsia="zh-CN"/>
                    </w:rPr>
                    <w:t>处置方式</w:t>
                  </w:r>
                </w:p>
              </w:tc>
            </w:tr>
            <w:tr w14:paraId="00F622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685" w:type="dxa"/>
                  <w:vAlign w:val="center"/>
                </w:tcPr>
                <w:p w14:paraId="2B3B893A">
                  <w:pPr>
                    <w:spacing w:line="240" w:lineRule="auto"/>
                    <w:jc w:val="center"/>
                    <w:rPr>
                      <w:rFonts w:hint="default"/>
                      <w:color w:val="auto"/>
                      <w:highlight w:val="none"/>
                      <w:vertAlign w:val="baseline"/>
                      <w:lang w:val="en-US" w:eastAsia="zh-CN"/>
                    </w:rPr>
                  </w:pPr>
                  <w:r>
                    <w:rPr>
                      <w:rFonts w:hint="eastAsia"/>
                      <w:color w:val="auto"/>
                      <w:highlight w:val="none"/>
                      <w:vertAlign w:val="baseline"/>
                      <w:lang w:val="en-US" w:eastAsia="zh-CN"/>
                    </w:rPr>
                    <w:t>1</w:t>
                  </w:r>
                </w:p>
              </w:tc>
              <w:tc>
                <w:tcPr>
                  <w:tcW w:w="1136" w:type="dxa"/>
                  <w:vAlign w:val="center"/>
                </w:tcPr>
                <w:p w14:paraId="540547A9">
                  <w:pPr>
                    <w:spacing w:line="240" w:lineRule="auto"/>
                    <w:jc w:val="center"/>
                    <w:rPr>
                      <w:rFonts w:hint="default"/>
                      <w:color w:val="auto"/>
                      <w:highlight w:val="none"/>
                      <w:vertAlign w:val="baseline"/>
                      <w:lang w:val="en-US" w:eastAsia="zh-CN"/>
                    </w:rPr>
                  </w:pPr>
                  <w:r>
                    <w:rPr>
                      <w:rFonts w:hint="default"/>
                      <w:color w:val="auto"/>
                      <w:highlight w:val="none"/>
                      <w:vertAlign w:val="baseline"/>
                      <w:lang w:val="en-US" w:eastAsia="zh-CN"/>
                    </w:rPr>
                    <w:t>边角料</w:t>
                  </w:r>
                </w:p>
              </w:tc>
              <w:tc>
                <w:tcPr>
                  <w:tcW w:w="707" w:type="dxa"/>
                  <w:vAlign w:val="center"/>
                </w:tcPr>
                <w:p w14:paraId="5F85DBA9">
                  <w:pPr>
                    <w:spacing w:line="240" w:lineRule="auto"/>
                    <w:jc w:val="center"/>
                    <w:rPr>
                      <w:rFonts w:hint="default"/>
                      <w:color w:val="auto"/>
                      <w:highlight w:val="none"/>
                      <w:vertAlign w:val="baseline"/>
                      <w:lang w:val="en-US" w:eastAsia="zh-CN"/>
                    </w:rPr>
                  </w:pPr>
                  <w:r>
                    <w:rPr>
                      <w:rFonts w:hint="eastAsia"/>
                      <w:color w:val="auto"/>
                      <w:highlight w:val="none"/>
                      <w:vertAlign w:val="baseline"/>
                      <w:lang w:val="en-US" w:eastAsia="zh-CN"/>
                    </w:rPr>
                    <w:t>固体</w:t>
                  </w:r>
                </w:p>
              </w:tc>
              <w:tc>
                <w:tcPr>
                  <w:tcW w:w="964" w:type="dxa"/>
                  <w:vAlign w:val="center"/>
                </w:tcPr>
                <w:p w14:paraId="192ABC6F">
                  <w:pPr>
                    <w:jc w:val="center"/>
                    <w:rPr>
                      <w:rFonts w:hint="default"/>
                      <w:color w:val="auto"/>
                      <w:highlight w:val="none"/>
                      <w:vertAlign w:val="baseline"/>
                      <w:lang w:val="en-US" w:eastAsia="zh-CN"/>
                    </w:rPr>
                  </w:pPr>
                  <w:r>
                    <w:rPr>
                      <w:rFonts w:hint="eastAsia"/>
                      <w:color w:val="auto"/>
                      <w:highlight w:val="none"/>
                      <w:vertAlign w:val="baseline"/>
                      <w:lang w:val="en-US" w:eastAsia="zh-CN"/>
                    </w:rPr>
                    <w:t>3360m</w:t>
                  </w:r>
                  <w:r>
                    <w:rPr>
                      <w:rFonts w:hint="eastAsia"/>
                      <w:color w:val="auto"/>
                      <w:highlight w:val="none"/>
                      <w:vertAlign w:val="superscript"/>
                      <w:lang w:val="en-US" w:eastAsia="zh-CN"/>
                    </w:rPr>
                    <w:t>3</w:t>
                  </w:r>
                  <w:r>
                    <w:rPr>
                      <w:rFonts w:hint="eastAsia"/>
                      <w:color w:val="auto"/>
                      <w:highlight w:val="none"/>
                      <w:vertAlign w:val="baseline"/>
                      <w:lang w:val="en-US" w:eastAsia="zh-CN"/>
                    </w:rPr>
                    <w:t>/a</w:t>
                  </w:r>
                </w:p>
              </w:tc>
              <w:tc>
                <w:tcPr>
                  <w:tcW w:w="4443" w:type="dxa"/>
                  <w:vAlign w:val="center"/>
                </w:tcPr>
                <w:p w14:paraId="7A14E592">
                  <w:pPr>
                    <w:jc w:val="center"/>
                    <w:rPr>
                      <w:rFonts w:hint="eastAsia"/>
                      <w:color w:val="auto"/>
                      <w:highlight w:val="none"/>
                      <w:vertAlign w:val="baseline"/>
                      <w:lang w:val="en-US" w:eastAsia="zh-CN"/>
                    </w:rPr>
                  </w:pPr>
                  <w:r>
                    <w:rPr>
                      <w:rFonts w:hint="eastAsia"/>
                      <w:color w:val="auto"/>
                      <w:highlight w:val="none"/>
                      <w:vertAlign w:val="baseline"/>
                      <w:lang w:val="en-US" w:eastAsia="zh-CN"/>
                    </w:rPr>
                    <w:t>边角料可利用率达90%，剩余废边角料收集后运到和硕县环保部门及县经贸局指定的地点进行填埋</w:t>
                  </w:r>
                </w:p>
              </w:tc>
            </w:tr>
            <w:tr w14:paraId="2177E8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685" w:type="dxa"/>
                  <w:vAlign w:val="center"/>
                </w:tcPr>
                <w:p w14:paraId="3B088270">
                  <w:pPr>
                    <w:spacing w:line="240" w:lineRule="auto"/>
                    <w:jc w:val="center"/>
                    <w:rPr>
                      <w:rFonts w:hint="default"/>
                      <w:color w:val="auto"/>
                      <w:highlight w:val="none"/>
                      <w:vertAlign w:val="baseline"/>
                      <w:lang w:val="en-US" w:eastAsia="zh-CN"/>
                    </w:rPr>
                  </w:pPr>
                  <w:r>
                    <w:rPr>
                      <w:rFonts w:hint="eastAsia"/>
                      <w:color w:val="auto"/>
                      <w:highlight w:val="none"/>
                      <w:vertAlign w:val="baseline"/>
                      <w:lang w:val="en-US" w:eastAsia="zh-CN"/>
                    </w:rPr>
                    <w:t>2</w:t>
                  </w:r>
                </w:p>
              </w:tc>
              <w:tc>
                <w:tcPr>
                  <w:tcW w:w="1136" w:type="dxa"/>
                  <w:vAlign w:val="center"/>
                </w:tcPr>
                <w:p w14:paraId="34C2F590">
                  <w:pPr>
                    <w:spacing w:line="240" w:lineRule="auto"/>
                    <w:jc w:val="center"/>
                    <w:rPr>
                      <w:rFonts w:hint="eastAsia"/>
                      <w:color w:val="auto"/>
                      <w:highlight w:val="none"/>
                      <w:vertAlign w:val="baseline"/>
                      <w:lang w:val="en-US" w:eastAsia="zh-CN"/>
                    </w:rPr>
                  </w:pPr>
                  <w:r>
                    <w:rPr>
                      <w:rFonts w:hint="eastAsia"/>
                      <w:color w:val="auto"/>
                      <w:highlight w:val="none"/>
                      <w:vertAlign w:val="baseline"/>
                      <w:lang w:val="en-US" w:eastAsia="zh-CN"/>
                    </w:rPr>
                    <w:t>泥饼</w:t>
                  </w:r>
                </w:p>
              </w:tc>
              <w:tc>
                <w:tcPr>
                  <w:tcW w:w="707" w:type="dxa"/>
                  <w:vAlign w:val="center"/>
                </w:tcPr>
                <w:p w14:paraId="3CD00A16">
                  <w:pPr>
                    <w:spacing w:line="240" w:lineRule="auto"/>
                    <w:jc w:val="center"/>
                    <w:rPr>
                      <w:rFonts w:hint="eastAsia"/>
                      <w:color w:val="auto"/>
                      <w:highlight w:val="none"/>
                      <w:vertAlign w:val="baseline"/>
                      <w:lang w:val="en-US" w:eastAsia="zh-CN"/>
                    </w:rPr>
                  </w:pPr>
                  <w:r>
                    <w:rPr>
                      <w:rFonts w:hint="eastAsia"/>
                      <w:color w:val="auto"/>
                      <w:highlight w:val="none"/>
                      <w:vertAlign w:val="baseline"/>
                      <w:lang w:val="en-US" w:eastAsia="zh-CN"/>
                    </w:rPr>
                    <w:t>固体</w:t>
                  </w:r>
                </w:p>
              </w:tc>
              <w:tc>
                <w:tcPr>
                  <w:tcW w:w="964" w:type="dxa"/>
                  <w:vAlign w:val="center"/>
                </w:tcPr>
                <w:p w14:paraId="604401ED">
                  <w:pPr>
                    <w:jc w:val="center"/>
                    <w:rPr>
                      <w:rFonts w:hint="eastAsia"/>
                      <w:color w:val="auto"/>
                      <w:highlight w:val="none"/>
                      <w:vertAlign w:val="baseline"/>
                      <w:lang w:val="en-US" w:eastAsia="zh-CN"/>
                    </w:rPr>
                  </w:pPr>
                  <w:r>
                    <w:rPr>
                      <w:rFonts w:hint="eastAsia"/>
                      <w:color w:val="auto"/>
                      <w:highlight w:val="none"/>
                      <w:vertAlign w:val="baseline"/>
                      <w:lang w:val="en-US" w:eastAsia="zh-CN"/>
                    </w:rPr>
                    <w:t>7840m</w:t>
                  </w:r>
                  <w:r>
                    <w:rPr>
                      <w:rFonts w:hint="eastAsia"/>
                      <w:color w:val="auto"/>
                      <w:highlight w:val="none"/>
                      <w:vertAlign w:val="superscript"/>
                      <w:lang w:val="en-US" w:eastAsia="zh-CN"/>
                    </w:rPr>
                    <w:t>3</w:t>
                  </w:r>
                  <w:r>
                    <w:rPr>
                      <w:rFonts w:hint="eastAsia"/>
                      <w:color w:val="auto"/>
                      <w:highlight w:val="none"/>
                      <w:vertAlign w:val="baseline"/>
                      <w:lang w:val="en-US" w:eastAsia="zh-CN"/>
                    </w:rPr>
                    <w:t>/a</w:t>
                  </w:r>
                </w:p>
              </w:tc>
              <w:tc>
                <w:tcPr>
                  <w:tcW w:w="4443" w:type="dxa"/>
                  <w:vAlign w:val="center"/>
                </w:tcPr>
                <w:p w14:paraId="606768C7">
                  <w:pPr>
                    <w:jc w:val="center"/>
                    <w:rPr>
                      <w:rFonts w:hint="eastAsia"/>
                      <w:color w:val="auto"/>
                      <w:highlight w:val="none"/>
                      <w:vertAlign w:val="baseline"/>
                      <w:lang w:val="en-US" w:eastAsia="zh-CN"/>
                    </w:rPr>
                  </w:pPr>
                  <w:r>
                    <w:rPr>
                      <w:rFonts w:hint="eastAsia"/>
                      <w:color w:val="auto"/>
                      <w:highlight w:val="none"/>
                      <w:vertAlign w:val="baseline"/>
                      <w:lang w:val="en-US" w:eastAsia="zh-CN"/>
                    </w:rPr>
                    <w:t>对泥饼及时清运至和硕县环保部门及县经贸局指定的和硕县工业园区原有石粉收集区进行填埋，并在每次倾倒后的泥饼上方覆盖一层戈壁砂石压实。</w:t>
                  </w:r>
                </w:p>
              </w:tc>
            </w:tr>
            <w:tr w14:paraId="71E515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685" w:type="dxa"/>
                  <w:vAlign w:val="center"/>
                </w:tcPr>
                <w:p w14:paraId="54EDD5C1">
                  <w:pPr>
                    <w:spacing w:line="240" w:lineRule="auto"/>
                    <w:jc w:val="center"/>
                    <w:rPr>
                      <w:rFonts w:hint="default"/>
                      <w:color w:val="auto"/>
                      <w:highlight w:val="none"/>
                      <w:vertAlign w:val="baseline"/>
                      <w:lang w:val="en-US" w:eastAsia="zh-CN"/>
                    </w:rPr>
                  </w:pPr>
                  <w:r>
                    <w:rPr>
                      <w:rFonts w:hint="eastAsia"/>
                      <w:color w:val="auto"/>
                      <w:highlight w:val="none"/>
                      <w:vertAlign w:val="baseline"/>
                      <w:lang w:val="en-US" w:eastAsia="zh-CN"/>
                    </w:rPr>
                    <w:t>3</w:t>
                  </w:r>
                </w:p>
              </w:tc>
              <w:tc>
                <w:tcPr>
                  <w:tcW w:w="1136" w:type="dxa"/>
                  <w:vAlign w:val="center"/>
                </w:tcPr>
                <w:p w14:paraId="0127C658">
                  <w:pPr>
                    <w:spacing w:line="240" w:lineRule="auto"/>
                    <w:jc w:val="center"/>
                    <w:rPr>
                      <w:rFonts w:hint="default"/>
                      <w:color w:val="auto"/>
                      <w:highlight w:val="none"/>
                      <w:vertAlign w:val="baseline"/>
                      <w:lang w:val="en-US" w:eastAsia="zh-CN"/>
                    </w:rPr>
                  </w:pPr>
                  <w:r>
                    <w:rPr>
                      <w:rFonts w:hint="eastAsia"/>
                      <w:color w:val="auto"/>
                      <w:highlight w:val="none"/>
                      <w:vertAlign w:val="baseline"/>
                      <w:lang w:val="en-US" w:eastAsia="zh-CN"/>
                    </w:rPr>
                    <w:t>生活垃圾</w:t>
                  </w:r>
                </w:p>
              </w:tc>
              <w:tc>
                <w:tcPr>
                  <w:tcW w:w="707" w:type="dxa"/>
                  <w:vAlign w:val="center"/>
                </w:tcPr>
                <w:p w14:paraId="5A142D22">
                  <w:pPr>
                    <w:spacing w:line="240" w:lineRule="auto"/>
                    <w:jc w:val="center"/>
                    <w:rPr>
                      <w:rFonts w:hint="default"/>
                      <w:color w:val="auto"/>
                      <w:highlight w:val="none"/>
                      <w:vertAlign w:val="baseline"/>
                      <w:lang w:val="en-US" w:eastAsia="zh-CN"/>
                    </w:rPr>
                  </w:pPr>
                  <w:r>
                    <w:rPr>
                      <w:rFonts w:hint="eastAsia"/>
                      <w:color w:val="auto"/>
                      <w:highlight w:val="none"/>
                      <w:vertAlign w:val="baseline"/>
                      <w:lang w:val="en-US" w:eastAsia="zh-CN"/>
                    </w:rPr>
                    <w:t>固体</w:t>
                  </w:r>
                </w:p>
              </w:tc>
              <w:tc>
                <w:tcPr>
                  <w:tcW w:w="964" w:type="dxa"/>
                  <w:vAlign w:val="center"/>
                </w:tcPr>
                <w:p w14:paraId="71857D5D">
                  <w:pPr>
                    <w:spacing w:line="240" w:lineRule="auto"/>
                    <w:jc w:val="center"/>
                    <w:rPr>
                      <w:rFonts w:hint="default"/>
                      <w:color w:val="auto"/>
                      <w:highlight w:val="none"/>
                      <w:vertAlign w:val="baseline"/>
                      <w:lang w:val="en-US" w:eastAsia="zh-CN"/>
                    </w:rPr>
                  </w:pPr>
                  <w:r>
                    <w:rPr>
                      <w:rFonts w:hint="eastAsia"/>
                      <w:color w:val="auto"/>
                      <w:highlight w:val="none"/>
                      <w:vertAlign w:val="baseline"/>
                      <w:lang w:val="en-US" w:eastAsia="zh-CN"/>
                    </w:rPr>
                    <w:t>72t/a</w:t>
                  </w:r>
                </w:p>
              </w:tc>
              <w:tc>
                <w:tcPr>
                  <w:tcW w:w="4443" w:type="dxa"/>
                  <w:vAlign w:val="center"/>
                </w:tcPr>
                <w:p w14:paraId="73EA1BE4">
                  <w:pPr>
                    <w:spacing w:line="240" w:lineRule="auto"/>
                    <w:jc w:val="center"/>
                    <w:rPr>
                      <w:rFonts w:hint="eastAsia"/>
                      <w:color w:val="auto"/>
                      <w:highlight w:val="none"/>
                      <w:vertAlign w:val="baseline"/>
                      <w:lang w:val="en-US" w:eastAsia="zh-CN"/>
                    </w:rPr>
                  </w:pPr>
                  <w:r>
                    <w:rPr>
                      <w:rFonts w:hint="eastAsia"/>
                      <w:color w:val="auto"/>
                      <w:highlight w:val="none"/>
                      <w:vertAlign w:val="baseline"/>
                      <w:lang w:val="en-US" w:eastAsia="zh-CN"/>
                    </w:rPr>
                    <w:t>收集后由环卫部门送往垃圾场处理</w:t>
                  </w:r>
                </w:p>
              </w:tc>
            </w:tr>
            <w:tr w14:paraId="57CDD6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685" w:type="dxa"/>
                  <w:vAlign w:val="center"/>
                </w:tcPr>
                <w:p w14:paraId="105E0605">
                  <w:pPr>
                    <w:spacing w:line="240" w:lineRule="auto"/>
                    <w:jc w:val="center"/>
                    <w:rPr>
                      <w:rFonts w:hint="default"/>
                      <w:color w:val="auto"/>
                      <w:highlight w:val="none"/>
                      <w:vertAlign w:val="baseline"/>
                      <w:lang w:val="en-US" w:eastAsia="zh-CN"/>
                    </w:rPr>
                  </w:pPr>
                  <w:r>
                    <w:rPr>
                      <w:rFonts w:hint="eastAsia"/>
                      <w:color w:val="auto"/>
                      <w:highlight w:val="none"/>
                      <w:vertAlign w:val="baseline"/>
                      <w:lang w:val="en-US" w:eastAsia="zh-CN"/>
                    </w:rPr>
                    <w:t>4</w:t>
                  </w:r>
                </w:p>
              </w:tc>
              <w:tc>
                <w:tcPr>
                  <w:tcW w:w="1136" w:type="dxa"/>
                  <w:vAlign w:val="center"/>
                </w:tcPr>
                <w:p w14:paraId="7D9EB30F">
                  <w:pPr>
                    <w:spacing w:line="240" w:lineRule="auto"/>
                    <w:jc w:val="center"/>
                    <w:rPr>
                      <w:rFonts w:hint="default"/>
                      <w:color w:val="auto"/>
                      <w:highlight w:val="none"/>
                      <w:vertAlign w:val="baseline"/>
                      <w:lang w:val="en-US" w:eastAsia="zh-CN"/>
                    </w:rPr>
                  </w:pPr>
                  <w:r>
                    <w:rPr>
                      <w:rFonts w:hint="eastAsia"/>
                      <w:color w:val="auto"/>
                      <w:highlight w:val="none"/>
                      <w:vertAlign w:val="baseline"/>
                      <w:lang w:val="en-US" w:eastAsia="zh-CN"/>
                    </w:rPr>
                    <w:t>废机油</w:t>
                  </w:r>
                </w:p>
              </w:tc>
              <w:tc>
                <w:tcPr>
                  <w:tcW w:w="707" w:type="dxa"/>
                  <w:vAlign w:val="center"/>
                </w:tcPr>
                <w:p w14:paraId="1A34B9EB">
                  <w:pPr>
                    <w:spacing w:line="240" w:lineRule="auto"/>
                    <w:jc w:val="center"/>
                    <w:rPr>
                      <w:rFonts w:hint="default"/>
                      <w:color w:val="auto"/>
                      <w:highlight w:val="none"/>
                      <w:vertAlign w:val="baseline"/>
                      <w:lang w:val="en-US" w:eastAsia="zh-CN"/>
                    </w:rPr>
                  </w:pPr>
                  <w:r>
                    <w:rPr>
                      <w:rFonts w:hint="eastAsia"/>
                      <w:color w:val="auto"/>
                      <w:highlight w:val="none"/>
                      <w:vertAlign w:val="baseline"/>
                      <w:lang w:val="en-US" w:eastAsia="zh-CN"/>
                    </w:rPr>
                    <w:t>液态</w:t>
                  </w:r>
                </w:p>
              </w:tc>
              <w:tc>
                <w:tcPr>
                  <w:tcW w:w="964" w:type="dxa"/>
                  <w:vAlign w:val="center"/>
                </w:tcPr>
                <w:p w14:paraId="5EEC59F8">
                  <w:pPr>
                    <w:spacing w:line="240" w:lineRule="auto"/>
                    <w:jc w:val="center"/>
                    <w:rPr>
                      <w:rFonts w:hint="default"/>
                      <w:color w:val="auto"/>
                      <w:highlight w:val="none"/>
                      <w:vertAlign w:val="baseline"/>
                      <w:lang w:val="en-US" w:eastAsia="zh-CN"/>
                    </w:rPr>
                  </w:pPr>
                  <w:r>
                    <w:rPr>
                      <w:rFonts w:hint="eastAsia"/>
                      <w:color w:val="auto"/>
                      <w:highlight w:val="none"/>
                      <w:vertAlign w:val="baseline"/>
                      <w:lang w:val="en-US" w:eastAsia="zh-CN"/>
                    </w:rPr>
                    <w:t>0.3t/a</w:t>
                  </w:r>
                </w:p>
              </w:tc>
              <w:tc>
                <w:tcPr>
                  <w:tcW w:w="4443" w:type="dxa"/>
                  <w:vAlign w:val="center"/>
                </w:tcPr>
                <w:p w14:paraId="034A8D6F">
                  <w:pPr>
                    <w:spacing w:line="240" w:lineRule="auto"/>
                    <w:jc w:val="center"/>
                    <w:rPr>
                      <w:rFonts w:hint="eastAsia"/>
                      <w:color w:val="auto"/>
                      <w:highlight w:val="none"/>
                      <w:vertAlign w:val="baseline"/>
                      <w:lang w:val="en-US" w:eastAsia="zh-CN"/>
                    </w:rPr>
                  </w:pPr>
                  <w:r>
                    <w:rPr>
                      <w:rFonts w:hint="eastAsia"/>
                      <w:color w:val="auto"/>
                      <w:highlight w:val="none"/>
                      <w:vertAlign w:val="baseline"/>
                      <w:lang w:val="en-US" w:eastAsia="zh-CN"/>
                    </w:rPr>
                    <w:t>危险废物贮存点暂存，定期交由资质单位处理</w:t>
                  </w:r>
                </w:p>
              </w:tc>
            </w:tr>
          </w:tbl>
          <w:p w14:paraId="5C19CF1C">
            <w:pPr>
              <w:spacing w:line="360" w:lineRule="auto"/>
              <w:ind w:firstLine="480" w:firstLineChars="200"/>
              <w:jc w:val="left"/>
              <w:rPr>
                <w:rFonts w:hint="default"/>
                <w:color w:val="auto"/>
                <w:sz w:val="24"/>
                <w:lang w:val="en-US" w:eastAsia="zh-CN"/>
              </w:rPr>
            </w:pPr>
            <w:r>
              <w:rPr>
                <w:rFonts w:hint="eastAsia"/>
                <w:color w:val="auto"/>
                <w:sz w:val="24"/>
                <w:lang w:val="en-US" w:eastAsia="zh-CN"/>
              </w:rPr>
              <w:t>（4）噪声</w:t>
            </w:r>
          </w:p>
          <w:p w14:paraId="7CC8A038">
            <w:pPr>
              <w:spacing w:line="360" w:lineRule="auto"/>
              <w:ind w:firstLine="480" w:firstLineChars="200"/>
              <w:jc w:val="left"/>
              <w:rPr>
                <w:rFonts w:hint="eastAsia"/>
                <w:color w:val="auto"/>
                <w:sz w:val="24"/>
                <w:lang w:val="en-US" w:eastAsia="zh-CN"/>
              </w:rPr>
            </w:pPr>
            <w:r>
              <w:rPr>
                <w:rFonts w:hint="eastAsia"/>
                <w:color w:val="auto"/>
                <w:sz w:val="24"/>
                <w:lang w:val="en-US" w:eastAsia="zh-CN"/>
              </w:rPr>
              <w:t>采取减振、降噪、管理和规范化操作等措施，显著降低了厂界噪声贡献值，满足《工业企业厂界环境噪声排放标准》（GB12348-2008）中3类标准，即昼间≦65dB（A），夜间≦55dB（A），对该地区声环境质量影响较小，表2-11为新疆中测测试有限公司2024年10月17日—19日对项目一期年产160万平方米石板材、8万件异型石材和40万平方米花岗岩板材加工项目监测数据。</w:t>
            </w:r>
          </w:p>
          <w:p w14:paraId="08760003">
            <w:pPr>
              <w:pStyle w:val="6"/>
              <w:spacing w:line="240" w:lineRule="auto"/>
              <w:jc w:val="center"/>
              <w:rPr>
                <w:rFonts w:hint="default"/>
                <w:color w:val="auto"/>
                <w:sz w:val="21"/>
                <w:szCs w:val="21"/>
                <w:lang w:val="en-US" w:eastAsia="zh-CN"/>
              </w:rPr>
            </w:pPr>
            <w:r>
              <w:rPr>
                <w:rFonts w:hint="eastAsia"/>
                <w:color w:val="auto"/>
                <w:sz w:val="21"/>
                <w:szCs w:val="21"/>
                <w:lang w:val="en-US" w:eastAsia="zh-CN"/>
              </w:rPr>
              <w:t>表2-10噪声产生情况表</w:t>
            </w:r>
          </w:p>
          <w:tbl>
            <w:tblPr>
              <w:tblStyle w:val="25"/>
              <w:tblW w:w="771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88"/>
              <w:gridCol w:w="1464"/>
              <w:gridCol w:w="1422"/>
              <w:gridCol w:w="1481"/>
              <w:gridCol w:w="1455"/>
            </w:tblGrid>
            <w:tr w14:paraId="47C863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88" w:type="dxa"/>
                  <w:vAlign w:val="center"/>
                </w:tcPr>
                <w:p w14:paraId="3DD09027">
                  <w:pPr>
                    <w:spacing w:line="240" w:lineRule="auto"/>
                    <w:jc w:val="center"/>
                    <w:rPr>
                      <w:rFonts w:hint="default"/>
                      <w:color w:val="auto"/>
                      <w:sz w:val="24"/>
                      <w:szCs w:val="24"/>
                      <w:vertAlign w:val="baseline"/>
                      <w:lang w:val="en-US" w:eastAsia="zh-CN"/>
                    </w:rPr>
                  </w:pPr>
                  <w:r>
                    <w:rPr>
                      <w:rFonts w:hint="eastAsia"/>
                      <w:color w:val="auto"/>
                      <w:sz w:val="24"/>
                      <w:szCs w:val="24"/>
                      <w:vertAlign w:val="baseline"/>
                      <w:lang w:val="en-US" w:eastAsia="zh-CN"/>
                    </w:rPr>
                    <w:t>测点位置</w:t>
                  </w:r>
                </w:p>
              </w:tc>
              <w:tc>
                <w:tcPr>
                  <w:tcW w:w="1464" w:type="dxa"/>
                  <w:vAlign w:val="center"/>
                </w:tcPr>
                <w:p w14:paraId="290B85C3">
                  <w:pPr>
                    <w:spacing w:line="240" w:lineRule="auto"/>
                    <w:jc w:val="center"/>
                    <w:rPr>
                      <w:rFonts w:hint="default"/>
                      <w:color w:val="auto"/>
                      <w:sz w:val="24"/>
                      <w:szCs w:val="24"/>
                      <w:vertAlign w:val="baseline"/>
                      <w:lang w:val="en-US" w:eastAsia="zh-CN"/>
                    </w:rPr>
                  </w:pPr>
                  <w:r>
                    <w:rPr>
                      <w:rFonts w:hint="eastAsia"/>
                      <w:color w:val="auto"/>
                      <w:sz w:val="24"/>
                      <w:szCs w:val="24"/>
                      <w:vertAlign w:val="baseline"/>
                      <w:lang w:val="en-US" w:eastAsia="zh-CN"/>
                    </w:rPr>
                    <w:t>昼间</w:t>
                  </w:r>
                </w:p>
              </w:tc>
              <w:tc>
                <w:tcPr>
                  <w:tcW w:w="1422" w:type="dxa"/>
                  <w:vAlign w:val="center"/>
                </w:tcPr>
                <w:p w14:paraId="7B60446C">
                  <w:pPr>
                    <w:spacing w:line="240" w:lineRule="auto"/>
                    <w:jc w:val="center"/>
                    <w:rPr>
                      <w:rFonts w:hint="default"/>
                      <w:color w:val="auto"/>
                      <w:sz w:val="24"/>
                      <w:szCs w:val="24"/>
                      <w:vertAlign w:val="baseline"/>
                      <w:lang w:val="en-US" w:eastAsia="zh-CN"/>
                    </w:rPr>
                  </w:pPr>
                  <w:r>
                    <w:rPr>
                      <w:rFonts w:hint="eastAsia"/>
                      <w:color w:val="auto"/>
                      <w:sz w:val="24"/>
                      <w:szCs w:val="24"/>
                      <w:vertAlign w:val="baseline"/>
                      <w:lang w:val="en-US" w:eastAsia="zh-CN"/>
                    </w:rPr>
                    <w:t>夜间</w:t>
                  </w:r>
                </w:p>
              </w:tc>
              <w:tc>
                <w:tcPr>
                  <w:tcW w:w="1481" w:type="dxa"/>
                  <w:vAlign w:val="center"/>
                </w:tcPr>
                <w:p w14:paraId="705353F7">
                  <w:pPr>
                    <w:spacing w:line="240" w:lineRule="auto"/>
                    <w:jc w:val="center"/>
                    <w:rPr>
                      <w:rFonts w:hint="default"/>
                      <w:color w:val="auto"/>
                      <w:sz w:val="24"/>
                      <w:szCs w:val="24"/>
                      <w:vertAlign w:val="baseline"/>
                      <w:lang w:val="en-US" w:eastAsia="zh-CN"/>
                    </w:rPr>
                  </w:pPr>
                  <w:r>
                    <w:rPr>
                      <w:rFonts w:hint="eastAsia"/>
                      <w:color w:val="auto"/>
                      <w:sz w:val="24"/>
                      <w:szCs w:val="24"/>
                      <w:vertAlign w:val="baseline"/>
                      <w:lang w:val="en-US" w:eastAsia="zh-CN"/>
                    </w:rPr>
                    <w:t>昼间</w:t>
                  </w:r>
                </w:p>
              </w:tc>
              <w:tc>
                <w:tcPr>
                  <w:tcW w:w="1455" w:type="dxa"/>
                  <w:vAlign w:val="center"/>
                </w:tcPr>
                <w:p w14:paraId="6C173F7E">
                  <w:pPr>
                    <w:spacing w:line="240" w:lineRule="auto"/>
                    <w:jc w:val="center"/>
                    <w:rPr>
                      <w:rFonts w:hint="eastAsia"/>
                      <w:color w:val="auto"/>
                      <w:sz w:val="24"/>
                      <w:szCs w:val="24"/>
                      <w:vertAlign w:val="baseline"/>
                      <w:lang w:val="en-US" w:eastAsia="zh-CN"/>
                    </w:rPr>
                  </w:pPr>
                  <w:r>
                    <w:rPr>
                      <w:rFonts w:hint="eastAsia"/>
                      <w:color w:val="auto"/>
                      <w:sz w:val="24"/>
                      <w:szCs w:val="24"/>
                      <w:vertAlign w:val="baseline"/>
                      <w:lang w:val="en-US" w:eastAsia="zh-CN"/>
                    </w:rPr>
                    <w:t>夜间</w:t>
                  </w:r>
                </w:p>
              </w:tc>
            </w:tr>
            <w:tr w14:paraId="6F7475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88" w:type="dxa"/>
                  <w:vAlign w:val="center"/>
                </w:tcPr>
                <w:p w14:paraId="4CC4E121">
                  <w:pPr>
                    <w:spacing w:line="240" w:lineRule="auto"/>
                    <w:jc w:val="center"/>
                    <w:rPr>
                      <w:rFonts w:hint="default"/>
                      <w:color w:val="auto"/>
                      <w:sz w:val="24"/>
                      <w:szCs w:val="24"/>
                      <w:vertAlign w:val="baseline"/>
                      <w:lang w:val="en-US" w:eastAsia="zh-CN"/>
                    </w:rPr>
                  </w:pPr>
                  <w:r>
                    <w:rPr>
                      <w:rFonts w:hint="eastAsia"/>
                      <w:color w:val="auto"/>
                      <w:sz w:val="24"/>
                      <w:szCs w:val="24"/>
                      <w:vertAlign w:val="baseline"/>
                      <w:lang w:val="en-US" w:eastAsia="zh-CN"/>
                    </w:rPr>
                    <w:t>东侧厂界外1米</w:t>
                  </w:r>
                </w:p>
              </w:tc>
              <w:tc>
                <w:tcPr>
                  <w:tcW w:w="1464" w:type="dxa"/>
                  <w:vAlign w:val="center"/>
                </w:tcPr>
                <w:p w14:paraId="1EEFFA0F">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51</w:t>
                  </w:r>
                </w:p>
              </w:tc>
              <w:tc>
                <w:tcPr>
                  <w:tcW w:w="1422" w:type="dxa"/>
                  <w:vAlign w:val="center"/>
                </w:tcPr>
                <w:p w14:paraId="1C861FEA">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46</w:t>
                  </w:r>
                </w:p>
              </w:tc>
              <w:tc>
                <w:tcPr>
                  <w:tcW w:w="1481" w:type="dxa"/>
                  <w:vAlign w:val="center"/>
                </w:tcPr>
                <w:p w14:paraId="1E3487F7">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53</w:t>
                  </w:r>
                </w:p>
              </w:tc>
              <w:tc>
                <w:tcPr>
                  <w:tcW w:w="1455" w:type="dxa"/>
                  <w:vAlign w:val="center"/>
                </w:tcPr>
                <w:p w14:paraId="05D1D1E2">
                  <w:pPr>
                    <w:spacing w:line="240" w:lineRule="auto"/>
                    <w:jc w:val="center"/>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47</w:t>
                  </w:r>
                </w:p>
              </w:tc>
            </w:tr>
            <w:tr w14:paraId="0B4478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1888" w:type="dxa"/>
                  <w:vAlign w:val="center"/>
                </w:tcPr>
                <w:p w14:paraId="074E1DAC">
                  <w:pPr>
                    <w:spacing w:line="240" w:lineRule="auto"/>
                    <w:jc w:val="center"/>
                    <w:rPr>
                      <w:rFonts w:hint="eastAsia"/>
                      <w:color w:val="auto"/>
                      <w:sz w:val="24"/>
                      <w:szCs w:val="24"/>
                      <w:vertAlign w:val="baseline"/>
                      <w:lang w:val="en-US" w:eastAsia="zh-CN"/>
                    </w:rPr>
                  </w:pPr>
                  <w:r>
                    <w:rPr>
                      <w:rFonts w:hint="eastAsia"/>
                      <w:color w:val="auto"/>
                      <w:sz w:val="24"/>
                      <w:szCs w:val="24"/>
                      <w:vertAlign w:val="baseline"/>
                      <w:lang w:val="en-US" w:eastAsia="zh-CN"/>
                    </w:rPr>
                    <w:t>南侧厂界外1米</w:t>
                  </w:r>
                </w:p>
              </w:tc>
              <w:tc>
                <w:tcPr>
                  <w:tcW w:w="1464" w:type="dxa"/>
                  <w:vAlign w:val="center"/>
                </w:tcPr>
                <w:p w14:paraId="42511481">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48</w:t>
                  </w:r>
                </w:p>
              </w:tc>
              <w:tc>
                <w:tcPr>
                  <w:tcW w:w="1422" w:type="dxa"/>
                  <w:vAlign w:val="center"/>
                </w:tcPr>
                <w:p w14:paraId="39C28EF3">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44</w:t>
                  </w:r>
                </w:p>
              </w:tc>
              <w:tc>
                <w:tcPr>
                  <w:tcW w:w="1481" w:type="dxa"/>
                  <w:vAlign w:val="center"/>
                </w:tcPr>
                <w:p w14:paraId="32EBB68A">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47</w:t>
                  </w:r>
                </w:p>
              </w:tc>
              <w:tc>
                <w:tcPr>
                  <w:tcW w:w="1455" w:type="dxa"/>
                  <w:vAlign w:val="center"/>
                </w:tcPr>
                <w:p w14:paraId="51788611">
                  <w:pPr>
                    <w:spacing w:line="240" w:lineRule="auto"/>
                    <w:jc w:val="center"/>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45</w:t>
                  </w:r>
                </w:p>
              </w:tc>
            </w:tr>
            <w:tr w14:paraId="16B600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1888" w:type="dxa"/>
                  <w:vAlign w:val="center"/>
                </w:tcPr>
                <w:p w14:paraId="1532DCA2">
                  <w:pPr>
                    <w:spacing w:line="240" w:lineRule="auto"/>
                    <w:jc w:val="center"/>
                    <w:rPr>
                      <w:rFonts w:hint="eastAsia"/>
                      <w:color w:val="auto"/>
                      <w:sz w:val="24"/>
                      <w:szCs w:val="24"/>
                      <w:vertAlign w:val="baseline"/>
                      <w:lang w:val="en-US" w:eastAsia="zh-CN"/>
                    </w:rPr>
                  </w:pPr>
                  <w:r>
                    <w:rPr>
                      <w:rFonts w:hint="eastAsia"/>
                      <w:color w:val="auto"/>
                      <w:sz w:val="24"/>
                      <w:szCs w:val="24"/>
                      <w:vertAlign w:val="baseline"/>
                      <w:lang w:val="en-US" w:eastAsia="zh-CN"/>
                    </w:rPr>
                    <w:t>西侧厂界外1米</w:t>
                  </w:r>
                </w:p>
              </w:tc>
              <w:tc>
                <w:tcPr>
                  <w:tcW w:w="1464" w:type="dxa"/>
                  <w:vAlign w:val="center"/>
                </w:tcPr>
                <w:p w14:paraId="0AF5F694">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50</w:t>
                  </w:r>
                </w:p>
              </w:tc>
              <w:tc>
                <w:tcPr>
                  <w:tcW w:w="1422" w:type="dxa"/>
                  <w:vAlign w:val="center"/>
                </w:tcPr>
                <w:p w14:paraId="69E78DA7">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47</w:t>
                  </w:r>
                </w:p>
              </w:tc>
              <w:tc>
                <w:tcPr>
                  <w:tcW w:w="1481" w:type="dxa"/>
                  <w:vAlign w:val="center"/>
                </w:tcPr>
                <w:p w14:paraId="747EDBC3">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51</w:t>
                  </w:r>
                </w:p>
              </w:tc>
              <w:tc>
                <w:tcPr>
                  <w:tcW w:w="1455" w:type="dxa"/>
                  <w:vAlign w:val="center"/>
                </w:tcPr>
                <w:p w14:paraId="48A70DB6">
                  <w:pPr>
                    <w:spacing w:line="240" w:lineRule="auto"/>
                    <w:jc w:val="center"/>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46</w:t>
                  </w:r>
                </w:p>
              </w:tc>
            </w:tr>
            <w:tr w14:paraId="23A5A2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1888" w:type="dxa"/>
                  <w:vAlign w:val="center"/>
                </w:tcPr>
                <w:p w14:paraId="72575185">
                  <w:pPr>
                    <w:spacing w:line="240" w:lineRule="auto"/>
                    <w:jc w:val="center"/>
                    <w:rPr>
                      <w:rFonts w:hint="eastAsia"/>
                      <w:color w:val="auto"/>
                      <w:sz w:val="24"/>
                      <w:szCs w:val="24"/>
                      <w:vertAlign w:val="baseline"/>
                      <w:lang w:val="en-US" w:eastAsia="zh-CN"/>
                    </w:rPr>
                  </w:pPr>
                  <w:r>
                    <w:rPr>
                      <w:rFonts w:hint="eastAsia"/>
                      <w:color w:val="auto"/>
                      <w:sz w:val="24"/>
                      <w:szCs w:val="24"/>
                      <w:vertAlign w:val="baseline"/>
                      <w:lang w:val="en-US" w:eastAsia="zh-CN"/>
                    </w:rPr>
                    <w:t>北侧厂界外1米</w:t>
                  </w:r>
                </w:p>
              </w:tc>
              <w:tc>
                <w:tcPr>
                  <w:tcW w:w="1464" w:type="dxa"/>
                  <w:vAlign w:val="center"/>
                </w:tcPr>
                <w:p w14:paraId="397CD450">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49</w:t>
                  </w:r>
                </w:p>
              </w:tc>
              <w:tc>
                <w:tcPr>
                  <w:tcW w:w="1422" w:type="dxa"/>
                  <w:vAlign w:val="center"/>
                </w:tcPr>
                <w:p w14:paraId="19A23BBA">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45</w:t>
                  </w:r>
                </w:p>
              </w:tc>
              <w:tc>
                <w:tcPr>
                  <w:tcW w:w="1481" w:type="dxa"/>
                  <w:vAlign w:val="center"/>
                </w:tcPr>
                <w:p w14:paraId="7D606D28">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48</w:t>
                  </w:r>
                </w:p>
              </w:tc>
              <w:tc>
                <w:tcPr>
                  <w:tcW w:w="1455" w:type="dxa"/>
                  <w:vAlign w:val="center"/>
                </w:tcPr>
                <w:p w14:paraId="68369108">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eastAsia" w:cs="Times New Roman"/>
                      <w:color w:val="auto"/>
                      <w:sz w:val="24"/>
                      <w:szCs w:val="24"/>
                      <w:vertAlign w:val="baseline"/>
                      <w:lang w:val="en-US" w:eastAsia="zh-CN"/>
                    </w:rPr>
                    <w:t>43</w:t>
                  </w:r>
                </w:p>
              </w:tc>
            </w:tr>
          </w:tbl>
          <w:p w14:paraId="58D13A66">
            <w:pPr>
              <w:pStyle w:val="6"/>
              <w:numPr>
                <w:ilvl w:val="0"/>
                <w:numId w:val="0"/>
              </w:numPr>
              <w:spacing w:line="360" w:lineRule="auto"/>
              <w:ind w:left="0" w:leftChars="0" w:firstLine="0" w:firstLineChars="0"/>
              <w:rPr>
                <w:rFonts w:hint="eastAsia"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3.污染物防治措施现状调查</w:t>
            </w:r>
          </w:p>
          <w:p w14:paraId="4471A076">
            <w:pPr>
              <w:pStyle w:val="6"/>
              <w:spacing w:line="240" w:lineRule="auto"/>
              <w:jc w:val="center"/>
              <w:rPr>
                <w:rFonts w:hint="eastAsia"/>
                <w:color w:val="auto"/>
                <w:sz w:val="21"/>
                <w:szCs w:val="21"/>
                <w:lang w:val="en-US" w:eastAsia="zh-CN"/>
              </w:rPr>
            </w:pPr>
            <w:r>
              <w:rPr>
                <w:rFonts w:hint="eastAsia"/>
                <w:color w:val="auto"/>
                <w:sz w:val="21"/>
                <w:szCs w:val="21"/>
                <w:lang w:val="en-US" w:eastAsia="zh-CN"/>
              </w:rPr>
              <w:t>表2-11污染物防治措施现状调查表</w:t>
            </w:r>
          </w:p>
          <w:tbl>
            <w:tblPr>
              <w:tblStyle w:val="25"/>
              <w:tblW w:w="7920"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6"/>
              <w:gridCol w:w="1450"/>
              <w:gridCol w:w="1034"/>
              <w:gridCol w:w="1450"/>
              <w:gridCol w:w="2100"/>
              <w:gridCol w:w="1450"/>
            </w:tblGrid>
            <w:tr w14:paraId="6D75B2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6" w:type="dxa"/>
                  <w:vAlign w:val="center"/>
                </w:tcPr>
                <w:p w14:paraId="1AAF5B03">
                  <w:pPr>
                    <w:spacing w:line="240" w:lineRule="auto"/>
                    <w:jc w:val="center"/>
                    <w:rPr>
                      <w:rFonts w:hint="default"/>
                      <w:color w:val="auto"/>
                      <w:vertAlign w:val="baseline"/>
                      <w:lang w:val="en-US" w:eastAsia="zh-CN"/>
                    </w:rPr>
                  </w:pPr>
                  <w:r>
                    <w:rPr>
                      <w:rFonts w:hint="eastAsia"/>
                      <w:color w:val="auto"/>
                      <w:vertAlign w:val="baseline"/>
                      <w:lang w:val="en-US" w:eastAsia="zh-CN"/>
                    </w:rPr>
                    <w:t>类别</w:t>
                  </w:r>
                </w:p>
              </w:tc>
              <w:tc>
                <w:tcPr>
                  <w:tcW w:w="1450" w:type="dxa"/>
                  <w:vAlign w:val="center"/>
                </w:tcPr>
                <w:p w14:paraId="6C030CB1">
                  <w:pPr>
                    <w:spacing w:line="240" w:lineRule="auto"/>
                    <w:jc w:val="center"/>
                    <w:rPr>
                      <w:rFonts w:hint="default"/>
                      <w:color w:val="auto"/>
                      <w:vertAlign w:val="baseline"/>
                      <w:lang w:val="en-US" w:eastAsia="zh-CN"/>
                    </w:rPr>
                  </w:pPr>
                  <w:r>
                    <w:rPr>
                      <w:rFonts w:hint="eastAsia"/>
                      <w:color w:val="auto"/>
                      <w:vertAlign w:val="baseline"/>
                      <w:lang w:val="en-US" w:eastAsia="zh-CN"/>
                    </w:rPr>
                    <w:t>产污环节</w:t>
                  </w:r>
                </w:p>
              </w:tc>
              <w:tc>
                <w:tcPr>
                  <w:tcW w:w="1034" w:type="dxa"/>
                  <w:vAlign w:val="center"/>
                </w:tcPr>
                <w:p w14:paraId="0C28CA87">
                  <w:pPr>
                    <w:spacing w:line="240" w:lineRule="auto"/>
                    <w:jc w:val="center"/>
                    <w:rPr>
                      <w:rFonts w:hint="default"/>
                      <w:color w:val="auto"/>
                      <w:vertAlign w:val="baseline"/>
                      <w:lang w:val="en-US" w:eastAsia="zh-CN"/>
                    </w:rPr>
                  </w:pPr>
                  <w:r>
                    <w:rPr>
                      <w:rFonts w:hint="eastAsia"/>
                      <w:color w:val="auto"/>
                      <w:vertAlign w:val="baseline"/>
                      <w:lang w:val="en-US" w:eastAsia="zh-CN"/>
                    </w:rPr>
                    <w:t>污染源名称</w:t>
                  </w:r>
                </w:p>
              </w:tc>
              <w:tc>
                <w:tcPr>
                  <w:tcW w:w="1450" w:type="dxa"/>
                  <w:vAlign w:val="center"/>
                </w:tcPr>
                <w:p w14:paraId="03FAE3AE">
                  <w:pPr>
                    <w:spacing w:line="240" w:lineRule="auto"/>
                    <w:jc w:val="center"/>
                    <w:rPr>
                      <w:rFonts w:hint="default"/>
                      <w:color w:val="auto"/>
                      <w:vertAlign w:val="baseline"/>
                      <w:lang w:val="en-US" w:eastAsia="zh-CN"/>
                    </w:rPr>
                  </w:pPr>
                  <w:r>
                    <w:rPr>
                      <w:rFonts w:hint="eastAsia"/>
                      <w:color w:val="auto"/>
                      <w:vertAlign w:val="baseline"/>
                      <w:lang w:val="en-US" w:eastAsia="zh-CN"/>
                    </w:rPr>
                    <w:t>主要污染物</w:t>
                  </w:r>
                </w:p>
              </w:tc>
              <w:tc>
                <w:tcPr>
                  <w:tcW w:w="2100" w:type="dxa"/>
                  <w:vAlign w:val="center"/>
                </w:tcPr>
                <w:p w14:paraId="66F694A7">
                  <w:pPr>
                    <w:spacing w:line="240" w:lineRule="auto"/>
                    <w:jc w:val="center"/>
                    <w:rPr>
                      <w:rFonts w:hint="default"/>
                      <w:color w:val="auto"/>
                      <w:vertAlign w:val="baseline"/>
                      <w:lang w:val="en-US" w:eastAsia="zh-CN"/>
                    </w:rPr>
                  </w:pPr>
                  <w:r>
                    <w:rPr>
                      <w:rFonts w:hint="eastAsia"/>
                      <w:color w:val="auto"/>
                      <w:vertAlign w:val="baseline"/>
                      <w:lang w:val="en-US" w:eastAsia="zh-CN"/>
                    </w:rPr>
                    <w:t>治理措施</w:t>
                  </w:r>
                </w:p>
              </w:tc>
              <w:tc>
                <w:tcPr>
                  <w:tcW w:w="1450" w:type="dxa"/>
                  <w:shd w:val="clear" w:color="auto" w:fill="auto"/>
                  <w:vAlign w:val="center"/>
                </w:tcPr>
                <w:p w14:paraId="22DD4534">
                  <w:pPr>
                    <w:spacing w:line="240" w:lineRule="auto"/>
                    <w:jc w:val="center"/>
                    <w:rPr>
                      <w:rFonts w:hint="eastAsia" w:ascii="Times New Roman" w:hAnsi="Times New Roman" w:eastAsia="宋体" w:cs="Times New Roman"/>
                      <w:color w:val="auto"/>
                      <w:kern w:val="2"/>
                      <w:sz w:val="21"/>
                      <w:szCs w:val="24"/>
                      <w:vertAlign w:val="baseline"/>
                      <w:lang w:val="en-US" w:eastAsia="zh-CN" w:bidi="ar-SA"/>
                    </w:rPr>
                  </w:pPr>
                  <w:r>
                    <w:rPr>
                      <w:rFonts w:hint="eastAsia"/>
                      <w:color w:val="auto"/>
                      <w:vertAlign w:val="baseline"/>
                      <w:lang w:val="en-US" w:eastAsia="zh-CN"/>
                    </w:rPr>
                    <w:t>现状运营情况</w:t>
                  </w:r>
                </w:p>
              </w:tc>
            </w:tr>
            <w:tr w14:paraId="12BF02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6" w:type="dxa"/>
                  <w:vAlign w:val="center"/>
                </w:tcPr>
                <w:p w14:paraId="0F124F22">
                  <w:pPr>
                    <w:spacing w:line="240" w:lineRule="auto"/>
                    <w:jc w:val="center"/>
                    <w:rPr>
                      <w:rFonts w:hint="default"/>
                      <w:color w:val="auto"/>
                      <w:vertAlign w:val="baseline"/>
                      <w:lang w:val="en-US" w:eastAsia="zh-CN"/>
                    </w:rPr>
                  </w:pPr>
                  <w:r>
                    <w:rPr>
                      <w:rFonts w:hint="eastAsia"/>
                      <w:color w:val="auto"/>
                      <w:vertAlign w:val="baseline"/>
                      <w:lang w:val="en-US" w:eastAsia="zh-CN"/>
                    </w:rPr>
                    <w:t>废气</w:t>
                  </w:r>
                </w:p>
              </w:tc>
              <w:tc>
                <w:tcPr>
                  <w:tcW w:w="1450" w:type="dxa"/>
                  <w:vAlign w:val="center"/>
                </w:tcPr>
                <w:p w14:paraId="4273556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olor w:val="auto"/>
                      <w:vertAlign w:val="baseline"/>
                      <w:lang w:val="en-US" w:eastAsia="zh-CN"/>
                    </w:rPr>
                  </w:pPr>
                  <w:r>
                    <w:rPr>
                      <w:rFonts w:hint="default"/>
                      <w:color w:val="auto"/>
                      <w:vertAlign w:val="baseline"/>
                      <w:lang w:val="en-US" w:eastAsia="zh-CN"/>
                    </w:rPr>
                    <w:t>切割工段、磨削和抛光工段</w:t>
                  </w:r>
                </w:p>
              </w:tc>
              <w:tc>
                <w:tcPr>
                  <w:tcW w:w="1034" w:type="dxa"/>
                  <w:vAlign w:val="center"/>
                </w:tcPr>
                <w:p w14:paraId="42538C6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olor w:val="auto"/>
                      <w:vertAlign w:val="baseline"/>
                      <w:lang w:val="en-US" w:eastAsia="zh-CN"/>
                    </w:rPr>
                  </w:pPr>
                  <w:r>
                    <w:rPr>
                      <w:rFonts w:hint="eastAsia"/>
                      <w:color w:val="auto"/>
                      <w:vertAlign w:val="baseline"/>
                      <w:lang w:val="en-US" w:eastAsia="zh-CN"/>
                    </w:rPr>
                    <w:t>粉尘</w:t>
                  </w:r>
                </w:p>
              </w:tc>
              <w:tc>
                <w:tcPr>
                  <w:tcW w:w="1450" w:type="dxa"/>
                  <w:vAlign w:val="center"/>
                </w:tcPr>
                <w:p w14:paraId="2FDA5DC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olor w:val="auto"/>
                      <w:vertAlign w:val="baseline"/>
                      <w:lang w:val="en-US" w:eastAsia="zh-CN"/>
                    </w:rPr>
                  </w:pPr>
                  <w:r>
                    <w:rPr>
                      <w:rFonts w:hint="eastAsia"/>
                      <w:color w:val="auto"/>
                      <w:vertAlign w:val="baseline"/>
                      <w:lang w:val="en-US" w:eastAsia="zh-CN"/>
                    </w:rPr>
                    <w:t>颗粒物</w:t>
                  </w:r>
                </w:p>
              </w:tc>
              <w:tc>
                <w:tcPr>
                  <w:tcW w:w="2100" w:type="dxa"/>
                  <w:vAlign w:val="center"/>
                </w:tcPr>
                <w:p w14:paraId="5FEF71C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olor w:val="auto"/>
                      <w:vertAlign w:val="baseline"/>
                      <w:lang w:val="en-US" w:eastAsia="zh-CN"/>
                    </w:rPr>
                  </w:pPr>
                  <w:r>
                    <w:rPr>
                      <w:rFonts w:hint="default"/>
                      <w:color w:val="auto"/>
                      <w:vertAlign w:val="baseline"/>
                      <w:lang w:val="en-US" w:eastAsia="zh-CN"/>
                    </w:rPr>
                    <w:t>随喷淋水一同进入污水处理系统进行处理</w:t>
                  </w:r>
                  <w:r>
                    <w:rPr>
                      <w:rFonts w:hint="eastAsia"/>
                      <w:color w:val="auto"/>
                      <w:vertAlign w:val="baseline"/>
                      <w:lang w:val="en-US" w:eastAsia="zh-CN"/>
                    </w:rPr>
                    <w:t>（喷淋水附带粉尘率为99%）</w:t>
                  </w:r>
                </w:p>
              </w:tc>
              <w:tc>
                <w:tcPr>
                  <w:tcW w:w="1450" w:type="dxa"/>
                  <w:shd w:val="clear" w:color="auto" w:fill="auto"/>
                  <w:vAlign w:val="center"/>
                </w:tcPr>
                <w:p w14:paraId="009395DF">
                  <w:pPr>
                    <w:spacing w:line="240" w:lineRule="auto"/>
                    <w:jc w:val="center"/>
                    <w:rPr>
                      <w:rFonts w:hint="eastAsia" w:ascii="Times New Roman" w:hAnsi="Times New Roman" w:eastAsia="宋体" w:cs="Times New Roman"/>
                      <w:color w:val="auto"/>
                      <w:kern w:val="2"/>
                      <w:sz w:val="21"/>
                      <w:szCs w:val="24"/>
                      <w:vertAlign w:val="baseline"/>
                      <w:lang w:val="en-US" w:eastAsia="zh-CN" w:bidi="ar-SA"/>
                    </w:rPr>
                  </w:pPr>
                  <w:r>
                    <w:rPr>
                      <w:rFonts w:hint="eastAsia"/>
                      <w:color w:val="auto"/>
                      <w:vertAlign w:val="baseline"/>
                      <w:lang w:val="en-US" w:eastAsia="zh-CN"/>
                    </w:rPr>
                    <w:t>运行状况良好</w:t>
                  </w:r>
                </w:p>
              </w:tc>
            </w:tr>
            <w:tr w14:paraId="0290AD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6" w:type="dxa"/>
                  <w:vAlign w:val="center"/>
                </w:tcPr>
                <w:p w14:paraId="56A27AA2">
                  <w:pPr>
                    <w:spacing w:line="240" w:lineRule="auto"/>
                    <w:jc w:val="center"/>
                    <w:rPr>
                      <w:rFonts w:hint="default"/>
                      <w:color w:val="auto"/>
                      <w:vertAlign w:val="baseline"/>
                      <w:lang w:val="en-US" w:eastAsia="zh-CN"/>
                    </w:rPr>
                  </w:pPr>
                  <w:r>
                    <w:rPr>
                      <w:rFonts w:hint="eastAsia"/>
                      <w:color w:val="auto"/>
                      <w:vertAlign w:val="baseline"/>
                      <w:lang w:val="en-US" w:eastAsia="zh-CN"/>
                    </w:rPr>
                    <w:t>废水</w:t>
                  </w:r>
                </w:p>
              </w:tc>
              <w:tc>
                <w:tcPr>
                  <w:tcW w:w="1450" w:type="dxa"/>
                  <w:vAlign w:val="center"/>
                </w:tcPr>
                <w:p w14:paraId="4D829AF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olor w:val="auto"/>
                      <w:vertAlign w:val="baseline"/>
                      <w:lang w:val="en-US" w:eastAsia="zh-CN"/>
                    </w:rPr>
                  </w:pPr>
                  <w:r>
                    <w:rPr>
                      <w:rFonts w:hint="eastAsia"/>
                      <w:color w:val="auto"/>
                      <w:vertAlign w:val="baseline"/>
                      <w:lang w:val="en-US" w:eastAsia="zh-CN"/>
                    </w:rPr>
                    <w:t>员工生活</w:t>
                  </w:r>
                </w:p>
              </w:tc>
              <w:tc>
                <w:tcPr>
                  <w:tcW w:w="1034" w:type="dxa"/>
                  <w:vAlign w:val="center"/>
                </w:tcPr>
                <w:p w14:paraId="3A555A85">
                  <w:pPr>
                    <w:spacing w:line="240" w:lineRule="auto"/>
                    <w:jc w:val="center"/>
                    <w:rPr>
                      <w:rFonts w:hint="default"/>
                      <w:color w:val="auto"/>
                      <w:vertAlign w:val="baseline"/>
                      <w:lang w:val="en-US" w:eastAsia="zh-CN"/>
                    </w:rPr>
                  </w:pPr>
                  <w:r>
                    <w:rPr>
                      <w:rFonts w:hint="eastAsia"/>
                      <w:color w:val="auto"/>
                      <w:vertAlign w:val="baseline"/>
                      <w:lang w:val="en-US" w:eastAsia="zh-CN"/>
                    </w:rPr>
                    <w:t>生活污水</w:t>
                  </w:r>
                </w:p>
              </w:tc>
              <w:tc>
                <w:tcPr>
                  <w:tcW w:w="1450" w:type="dxa"/>
                  <w:vAlign w:val="center"/>
                </w:tcPr>
                <w:p w14:paraId="4DF9A4A7">
                  <w:pPr>
                    <w:spacing w:line="240" w:lineRule="auto"/>
                    <w:jc w:val="center"/>
                    <w:rPr>
                      <w:rFonts w:hint="eastAsia"/>
                      <w:color w:val="auto"/>
                      <w:vertAlign w:val="baseline"/>
                      <w:lang w:val="en-US" w:eastAsia="zh-CN"/>
                    </w:rPr>
                  </w:pPr>
                  <w:r>
                    <w:rPr>
                      <w:rFonts w:hint="eastAsia"/>
                      <w:color w:val="auto"/>
                      <w:vertAlign w:val="baseline"/>
                      <w:lang w:val="en-US" w:eastAsia="zh-CN"/>
                    </w:rPr>
                    <w:t>COD、BOD、SS、氨氮</w:t>
                  </w:r>
                </w:p>
              </w:tc>
              <w:tc>
                <w:tcPr>
                  <w:tcW w:w="2100" w:type="dxa"/>
                  <w:vAlign w:val="center"/>
                </w:tcPr>
                <w:p w14:paraId="7C76D52C">
                  <w:pPr>
                    <w:spacing w:line="240" w:lineRule="auto"/>
                    <w:jc w:val="center"/>
                    <w:rPr>
                      <w:rFonts w:hint="eastAsia"/>
                      <w:color w:val="auto"/>
                      <w:vertAlign w:val="baseline"/>
                      <w:lang w:val="en-US" w:eastAsia="zh-CN"/>
                    </w:rPr>
                  </w:pPr>
                  <w:r>
                    <w:rPr>
                      <w:rFonts w:hint="eastAsia"/>
                      <w:color w:val="auto"/>
                      <w:vertAlign w:val="baseline"/>
                      <w:lang w:val="en-US" w:eastAsia="zh-CN"/>
                    </w:rPr>
                    <w:t>生活污水排入防渗旱厕，防渗旱厕中的粪便定期由周边农户清运</w:t>
                  </w:r>
                </w:p>
              </w:tc>
              <w:tc>
                <w:tcPr>
                  <w:tcW w:w="1450" w:type="dxa"/>
                  <w:shd w:val="clear" w:color="auto" w:fill="auto"/>
                  <w:vAlign w:val="center"/>
                </w:tcPr>
                <w:p w14:paraId="19442177">
                  <w:pPr>
                    <w:spacing w:line="240" w:lineRule="auto"/>
                    <w:jc w:val="center"/>
                    <w:rPr>
                      <w:rFonts w:hint="eastAsia" w:ascii="Times New Roman" w:hAnsi="Times New Roman" w:eastAsia="宋体" w:cs="Times New Roman"/>
                      <w:color w:val="auto"/>
                      <w:kern w:val="2"/>
                      <w:sz w:val="21"/>
                      <w:szCs w:val="24"/>
                      <w:vertAlign w:val="baseline"/>
                      <w:lang w:val="en-US" w:eastAsia="zh-CN" w:bidi="ar-SA"/>
                    </w:rPr>
                  </w:pPr>
                  <w:r>
                    <w:rPr>
                      <w:rFonts w:hint="eastAsia"/>
                      <w:color w:val="auto"/>
                      <w:vertAlign w:val="baseline"/>
                      <w:lang w:val="en-US" w:eastAsia="zh-CN"/>
                    </w:rPr>
                    <w:t>运行状况良好</w:t>
                  </w:r>
                </w:p>
              </w:tc>
            </w:tr>
            <w:tr w14:paraId="659422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6" w:type="dxa"/>
                  <w:vMerge w:val="restart"/>
                  <w:vAlign w:val="center"/>
                </w:tcPr>
                <w:p w14:paraId="7A429849">
                  <w:pPr>
                    <w:spacing w:line="240" w:lineRule="auto"/>
                    <w:jc w:val="center"/>
                    <w:rPr>
                      <w:rFonts w:hint="default"/>
                      <w:color w:val="auto"/>
                      <w:vertAlign w:val="baseline"/>
                      <w:lang w:val="en-US" w:eastAsia="zh-CN"/>
                    </w:rPr>
                  </w:pPr>
                  <w:r>
                    <w:rPr>
                      <w:rFonts w:hint="eastAsia"/>
                      <w:color w:val="auto"/>
                      <w:vertAlign w:val="baseline"/>
                      <w:lang w:val="en-US" w:eastAsia="zh-CN"/>
                    </w:rPr>
                    <w:t>固废</w:t>
                  </w:r>
                </w:p>
              </w:tc>
              <w:tc>
                <w:tcPr>
                  <w:tcW w:w="1450" w:type="dxa"/>
                  <w:vAlign w:val="center"/>
                </w:tcPr>
                <w:p w14:paraId="71A9251C">
                  <w:pPr>
                    <w:spacing w:line="240" w:lineRule="auto"/>
                    <w:jc w:val="center"/>
                    <w:rPr>
                      <w:rFonts w:hint="eastAsia"/>
                      <w:color w:val="auto"/>
                      <w:vertAlign w:val="baseline"/>
                      <w:lang w:val="en-US" w:eastAsia="zh-CN"/>
                    </w:rPr>
                  </w:pPr>
                  <w:r>
                    <w:rPr>
                      <w:rFonts w:hint="eastAsia"/>
                      <w:color w:val="auto"/>
                      <w:vertAlign w:val="baseline"/>
                      <w:lang w:val="en-US" w:eastAsia="zh-CN"/>
                    </w:rPr>
                    <w:t>切割工段、磨削和抛光工段、裁边和切边工段</w:t>
                  </w:r>
                </w:p>
              </w:tc>
              <w:tc>
                <w:tcPr>
                  <w:tcW w:w="1034" w:type="dxa"/>
                  <w:vAlign w:val="center"/>
                </w:tcPr>
                <w:p w14:paraId="1EC6269A">
                  <w:pPr>
                    <w:spacing w:line="240" w:lineRule="auto"/>
                    <w:jc w:val="center"/>
                    <w:rPr>
                      <w:rFonts w:hint="default"/>
                      <w:color w:val="auto"/>
                      <w:vertAlign w:val="baseline"/>
                      <w:lang w:val="en-US" w:eastAsia="zh-CN"/>
                    </w:rPr>
                  </w:pPr>
                  <w:r>
                    <w:rPr>
                      <w:rFonts w:hint="eastAsia"/>
                      <w:color w:val="auto"/>
                      <w:vertAlign w:val="baseline"/>
                      <w:lang w:val="en-US" w:eastAsia="zh-CN"/>
                    </w:rPr>
                    <w:t>边角料</w:t>
                  </w:r>
                </w:p>
              </w:tc>
              <w:tc>
                <w:tcPr>
                  <w:tcW w:w="1450" w:type="dxa"/>
                  <w:vAlign w:val="center"/>
                </w:tcPr>
                <w:p w14:paraId="2A760781">
                  <w:pPr>
                    <w:spacing w:line="240" w:lineRule="auto"/>
                    <w:jc w:val="center"/>
                    <w:rPr>
                      <w:rFonts w:hint="default"/>
                      <w:color w:val="auto"/>
                      <w:vertAlign w:val="baseline"/>
                      <w:lang w:val="en-US" w:eastAsia="zh-CN"/>
                    </w:rPr>
                  </w:pPr>
                  <w:r>
                    <w:rPr>
                      <w:rFonts w:hint="eastAsia"/>
                      <w:color w:val="auto"/>
                      <w:vertAlign w:val="baseline"/>
                      <w:lang w:val="en-US" w:eastAsia="zh-CN"/>
                    </w:rPr>
                    <w:t>废石料</w:t>
                  </w:r>
                </w:p>
              </w:tc>
              <w:tc>
                <w:tcPr>
                  <w:tcW w:w="2100" w:type="dxa"/>
                  <w:vMerge w:val="restart"/>
                  <w:vAlign w:val="center"/>
                </w:tcPr>
                <w:p w14:paraId="21A92CE4">
                  <w:pPr>
                    <w:spacing w:line="240" w:lineRule="auto"/>
                    <w:jc w:val="center"/>
                    <w:rPr>
                      <w:rFonts w:hint="eastAsia"/>
                      <w:color w:val="auto"/>
                      <w:vertAlign w:val="baseline"/>
                      <w:lang w:val="en-US" w:eastAsia="zh-CN"/>
                    </w:rPr>
                  </w:pPr>
                  <w:r>
                    <w:rPr>
                      <w:rFonts w:hint="eastAsia"/>
                      <w:color w:val="auto"/>
                    </w:rPr>
                    <w:t>使用密闭式车辆运往和硕县环保部门及县经贸局指定的和硕县工业园区石粉收集区进行填埋，</w:t>
                  </w:r>
                </w:p>
              </w:tc>
              <w:tc>
                <w:tcPr>
                  <w:tcW w:w="1450" w:type="dxa"/>
                  <w:vMerge w:val="restart"/>
                  <w:shd w:val="clear" w:color="auto" w:fill="auto"/>
                  <w:vAlign w:val="center"/>
                </w:tcPr>
                <w:p w14:paraId="619330CC">
                  <w:pPr>
                    <w:spacing w:line="240" w:lineRule="auto"/>
                    <w:jc w:val="center"/>
                    <w:rPr>
                      <w:rFonts w:hint="eastAsia" w:ascii="Times New Roman" w:hAnsi="Times New Roman" w:eastAsia="宋体" w:cs="Times New Roman"/>
                      <w:color w:val="auto"/>
                      <w:kern w:val="2"/>
                      <w:sz w:val="21"/>
                      <w:szCs w:val="24"/>
                      <w:vertAlign w:val="baseline"/>
                      <w:lang w:val="en-US" w:eastAsia="zh-CN" w:bidi="ar-SA"/>
                    </w:rPr>
                  </w:pPr>
                  <w:r>
                    <w:rPr>
                      <w:rFonts w:hint="eastAsia"/>
                      <w:color w:val="auto"/>
                      <w:vertAlign w:val="baseline"/>
                      <w:lang w:val="en-US" w:eastAsia="zh-CN"/>
                    </w:rPr>
                    <w:t>泥浆罐泥饼需及时清理</w:t>
                  </w:r>
                </w:p>
              </w:tc>
            </w:tr>
            <w:tr w14:paraId="31A039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6" w:type="dxa"/>
                  <w:vMerge w:val="continue"/>
                  <w:vAlign w:val="center"/>
                </w:tcPr>
                <w:p w14:paraId="407E9AB6">
                  <w:pPr>
                    <w:spacing w:line="240" w:lineRule="auto"/>
                    <w:jc w:val="center"/>
                    <w:rPr>
                      <w:rFonts w:hint="eastAsia"/>
                      <w:color w:val="auto"/>
                      <w:vertAlign w:val="baseline"/>
                      <w:lang w:val="en-US" w:eastAsia="zh-CN"/>
                    </w:rPr>
                  </w:pPr>
                </w:p>
              </w:tc>
              <w:tc>
                <w:tcPr>
                  <w:tcW w:w="1450" w:type="dxa"/>
                  <w:vAlign w:val="center"/>
                </w:tcPr>
                <w:p w14:paraId="71CE3E0E">
                  <w:pPr>
                    <w:spacing w:line="240" w:lineRule="auto"/>
                    <w:jc w:val="center"/>
                    <w:rPr>
                      <w:rFonts w:hint="eastAsia"/>
                      <w:color w:val="auto"/>
                      <w:vertAlign w:val="baseline"/>
                      <w:lang w:val="en-US" w:eastAsia="zh-CN"/>
                    </w:rPr>
                  </w:pPr>
                  <w:r>
                    <w:rPr>
                      <w:rFonts w:hint="eastAsia"/>
                      <w:color w:val="auto"/>
                      <w:vertAlign w:val="baseline"/>
                      <w:lang w:val="en-US" w:eastAsia="zh-CN"/>
                    </w:rPr>
                    <w:t>泥浆罐</w:t>
                  </w:r>
                </w:p>
              </w:tc>
              <w:tc>
                <w:tcPr>
                  <w:tcW w:w="1034" w:type="dxa"/>
                  <w:vAlign w:val="center"/>
                </w:tcPr>
                <w:p w14:paraId="50C67365">
                  <w:pPr>
                    <w:spacing w:line="240" w:lineRule="auto"/>
                    <w:jc w:val="center"/>
                    <w:rPr>
                      <w:rFonts w:hint="default"/>
                      <w:color w:val="auto"/>
                      <w:vertAlign w:val="baseline"/>
                      <w:lang w:val="en-US" w:eastAsia="zh-CN"/>
                    </w:rPr>
                  </w:pPr>
                  <w:r>
                    <w:rPr>
                      <w:rFonts w:hint="eastAsia"/>
                      <w:color w:val="auto"/>
                      <w:vertAlign w:val="baseline"/>
                      <w:lang w:val="en-US" w:eastAsia="zh-CN"/>
                    </w:rPr>
                    <w:t>泥饼</w:t>
                  </w:r>
                </w:p>
              </w:tc>
              <w:tc>
                <w:tcPr>
                  <w:tcW w:w="1450" w:type="dxa"/>
                  <w:vAlign w:val="center"/>
                </w:tcPr>
                <w:p w14:paraId="10FD17FC">
                  <w:pPr>
                    <w:spacing w:line="240" w:lineRule="auto"/>
                    <w:jc w:val="center"/>
                    <w:rPr>
                      <w:rFonts w:hint="default"/>
                      <w:color w:val="auto"/>
                      <w:vertAlign w:val="baseline"/>
                      <w:lang w:val="en-US" w:eastAsia="zh-CN"/>
                    </w:rPr>
                  </w:pPr>
                  <w:r>
                    <w:rPr>
                      <w:rFonts w:hint="eastAsia"/>
                      <w:color w:val="auto"/>
                      <w:vertAlign w:val="baseline"/>
                      <w:lang w:val="en-US" w:eastAsia="zh-CN"/>
                    </w:rPr>
                    <w:t>石粉</w:t>
                  </w:r>
                </w:p>
              </w:tc>
              <w:tc>
                <w:tcPr>
                  <w:tcW w:w="2100" w:type="dxa"/>
                  <w:vMerge w:val="continue"/>
                  <w:vAlign w:val="center"/>
                </w:tcPr>
                <w:p w14:paraId="41789069">
                  <w:pPr>
                    <w:spacing w:line="240" w:lineRule="auto"/>
                    <w:jc w:val="center"/>
                    <w:rPr>
                      <w:rFonts w:hint="eastAsia"/>
                      <w:color w:val="auto"/>
                      <w:vertAlign w:val="baseline"/>
                      <w:lang w:val="en-US" w:eastAsia="zh-CN"/>
                    </w:rPr>
                  </w:pPr>
                </w:p>
              </w:tc>
              <w:tc>
                <w:tcPr>
                  <w:tcW w:w="1450" w:type="dxa"/>
                  <w:vMerge w:val="continue"/>
                  <w:shd w:val="clear" w:color="auto" w:fill="auto"/>
                  <w:vAlign w:val="center"/>
                </w:tcPr>
                <w:p w14:paraId="0FF569DE">
                  <w:pPr>
                    <w:spacing w:line="240" w:lineRule="auto"/>
                    <w:jc w:val="center"/>
                    <w:rPr>
                      <w:rFonts w:hint="eastAsia" w:ascii="Times New Roman" w:hAnsi="Times New Roman" w:eastAsia="宋体" w:cs="Times New Roman"/>
                      <w:color w:val="auto"/>
                      <w:kern w:val="2"/>
                      <w:sz w:val="21"/>
                      <w:szCs w:val="24"/>
                      <w:vertAlign w:val="baseline"/>
                      <w:lang w:val="en-US" w:eastAsia="zh-CN" w:bidi="ar-SA"/>
                    </w:rPr>
                  </w:pPr>
                </w:p>
              </w:tc>
            </w:tr>
            <w:tr w14:paraId="73DE9B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436" w:type="dxa"/>
                  <w:vMerge w:val="continue"/>
                  <w:vAlign w:val="center"/>
                </w:tcPr>
                <w:p w14:paraId="1EAA5FE7">
                  <w:pPr>
                    <w:spacing w:line="240" w:lineRule="auto"/>
                    <w:jc w:val="center"/>
                    <w:rPr>
                      <w:rFonts w:hint="eastAsia"/>
                      <w:color w:val="auto"/>
                      <w:vertAlign w:val="baseline"/>
                      <w:lang w:val="en-US" w:eastAsia="zh-CN"/>
                    </w:rPr>
                  </w:pPr>
                </w:p>
              </w:tc>
              <w:tc>
                <w:tcPr>
                  <w:tcW w:w="1450" w:type="dxa"/>
                  <w:vAlign w:val="center"/>
                </w:tcPr>
                <w:p w14:paraId="545C935E">
                  <w:pPr>
                    <w:spacing w:line="240" w:lineRule="auto"/>
                    <w:jc w:val="center"/>
                    <w:rPr>
                      <w:rFonts w:hint="eastAsia"/>
                      <w:color w:val="auto"/>
                      <w:vertAlign w:val="baseline"/>
                      <w:lang w:val="en-US" w:eastAsia="zh-CN"/>
                    </w:rPr>
                  </w:pPr>
                  <w:r>
                    <w:rPr>
                      <w:rFonts w:hint="eastAsia"/>
                      <w:color w:val="auto"/>
                      <w:vertAlign w:val="baseline"/>
                      <w:lang w:val="en-US" w:eastAsia="zh-CN"/>
                    </w:rPr>
                    <w:t>员工生活</w:t>
                  </w:r>
                </w:p>
              </w:tc>
              <w:tc>
                <w:tcPr>
                  <w:tcW w:w="1034" w:type="dxa"/>
                  <w:vAlign w:val="center"/>
                </w:tcPr>
                <w:p w14:paraId="1A5FDBAE">
                  <w:pPr>
                    <w:spacing w:line="240" w:lineRule="auto"/>
                    <w:jc w:val="center"/>
                    <w:rPr>
                      <w:rFonts w:hint="default"/>
                      <w:color w:val="auto"/>
                      <w:vertAlign w:val="baseline"/>
                      <w:lang w:val="en-US" w:eastAsia="zh-CN"/>
                    </w:rPr>
                  </w:pPr>
                  <w:r>
                    <w:rPr>
                      <w:rFonts w:hint="eastAsia"/>
                      <w:color w:val="auto"/>
                      <w:vertAlign w:val="baseline"/>
                      <w:lang w:val="en-US" w:eastAsia="zh-CN"/>
                    </w:rPr>
                    <w:t>生活垃圾</w:t>
                  </w:r>
                </w:p>
              </w:tc>
              <w:tc>
                <w:tcPr>
                  <w:tcW w:w="1450" w:type="dxa"/>
                  <w:vAlign w:val="center"/>
                </w:tcPr>
                <w:p w14:paraId="7E945A5E">
                  <w:pPr>
                    <w:spacing w:line="240" w:lineRule="auto"/>
                    <w:jc w:val="center"/>
                    <w:rPr>
                      <w:rFonts w:hint="default"/>
                      <w:color w:val="auto"/>
                      <w:vertAlign w:val="baseline"/>
                      <w:lang w:val="en-US" w:eastAsia="zh-CN"/>
                    </w:rPr>
                  </w:pPr>
                  <w:r>
                    <w:rPr>
                      <w:rFonts w:hint="eastAsia"/>
                      <w:color w:val="auto"/>
                      <w:vertAlign w:val="baseline"/>
                      <w:lang w:val="en-US" w:eastAsia="zh-CN"/>
                    </w:rPr>
                    <w:t>生活垃圾</w:t>
                  </w:r>
                </w:p>
              </w:tc>
              <w:tc>
                <w:tcPr>
                  <w:tcW w:w="2100" w:type="dxa"/>
                  <w:vAlign w:val="center"/>
                </w:tcPr>
                <w:p w14:paraId="7755159B">
                  <w:pPr>
                    <w:spacing w:line="240" w:lineRule="auto"/>
                    <w:jc w:val="center"/>
                    <w:rPr>
                      <w:rFonts w:hint="eastAsia"/>
                      <w:color w:val="auto"/>
                      <w:vertAlign w:val="baseline"/>
                      <w:lang w:val="en-US" w:eastAsia="zh-CN"/>
                    </w:rPr>
                  </w:pPr>
                  <w:r>
                    <w:rPr>
                      <w:rFonts w:hint="eastAsia"/>
                      <w:color w:val="auto"/>
                      <w:vertAlign w:val="baseline"/>
                      <w:lang w:val="en-US" w:eastAsia="zh-CN"/>
                    </w:rPr>
                    <w:t>统一收集后，定期拉运至和硕县生活垃圾填埋场</w:t>
                  </w:r>
                </w:p>
              </w:tc>
              <w:tc>
                <w:tcPr>
                  <w:tcW w:w="1450" w:type="dxa"/>
                  <w:shd w:val="clear" w:color="auto" w:fill="auto"/>
                  <w:vAlign w:val="center"/>
                </w:tcPr>
                <w:p w14:paraId="73C6A56C">
                  <w:pPr>
                    <w:spacing w:line="240" w:lineRule="auto"/>
                    <w:jc w:val="center"/>
                    <w:rPr>
                      <w:rFonts w:hint="eastAsia" w:ascii="Times New Roman" w:hAnsi="Times New Roman" w:eastAsia="宋体" w:cs="Times New Roman"/>
                      <w:color w:val="auto"/>
                      <w:kern w:val="2"/>
                      <w:sz w:val="21"/>
                      <w:szCs w:val="24"/>
                      <w:vertAlign w:val="baseline"/>
                      <w:lang w:val="en-US" w:eastAsia="zh-CN" w:bidi="ar-SA"/>
                    </w:rPr>
                  </w:pPr>
                  <w:r>
                    <w:rPr>
                      <w:rFonts w:hint="eastAsia"/>
                      <w:color w:val="auto"/>
                      <w:vertAlign w:val="baseline"/>
                      <w:lang w:val="en-US" w:eastAsia="zh-CN"/>
                    </w:rPr>
                    <w:t>运行状况良好</w:t>
                  </w:r>
                </w:p>
              </w:tc>
            </w:tr>
            <w:tr w14:paraId="3B114E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6" w:type="dxa"/>
                  <w:vMerge w:val="continue"/>
                  <w:vAlign w:val="center"/>
                </w:tcPr>
                <w:p w14:paraId="0A2E08DC">
                  <w:pPr>
                    <w:spacing w:line="240" w:lineRule="auto"/>
                    <w:jc w:val="center"/>
                    <w:rPr>
                      <w:rFonts w:hint="eastAsia"/>
                      <w:color w:val="auto"/>
                      <w:vertAlign w:val="baseline"/>
                      <w:lang w:val="en-US" w:eastAsia="zh-CN"/>
                    </w:rPr>
                  </w:pPr>
                </w:p>
              </w:tc>
              <w:tc>
                <w:tcPr>
                  <w:tcW w:w="1450" w:type="dxa"/>
                  <w:vAlign w:val="center"/>
                </w:tcPr>
                <w:p w14:paraId="6556B115">
                  <w:pPr>
                    <w:spacing w:line="240" w:lineRule="auto"/>
                    <w:jc w:val="center"/>
                    <w:rPr>
                      <w:rFonts w:hint="default"/>
                      <w:color w:val="auto"/>
                      <w:vertAlign w:val="baseline"/>
                      <w:lang w:val="en-US" w:eastAsia="zh-CN"/>
                    </w:rPr>
                  </w:pPr>
                  <w:r>
                    <w:rPr>
                      <w:rFonts w:hint="eastAsia"/>
                      <w:color w:val="auto"/>
                      <w:vertAlign w:val="baseline"/>
                      <w:lang w:val="en-US" w:eastAsia="zh-CN"/>
                    </w:rPr>
                    <w:t>设备保养</w:t>
                  </w:r>
                </w:p>
              </w:tc>
              <w:tc>
                <w:tcPr>
                  <w:tcW w:w="1034" w:type="dxa"/>
                  <w:vAlign w:val="center"/>
                </w:tcPr>
                <w:p w14:paraId="5283C868">
                  <w:pPr>
                    <w:spacing w:line="240" w:lineRule="auto"/>
                    <w:jc w:val="center"/>
                    <w:rPr>
                      <w:rFonts w:hint="default"/>
                      <w:color w:val="auto"/>
                      <w:vertAlign w:val="baseline"/>
                      <w:lang w:val="en-US" w:eastAsia="zh-CN"/>
                    </w:rPr>
                  </w:pPr>
                  <w:r>
                    <w:rPr>
                      <w:rFonts w:hint="eastAsia"/>
                      <w:color w:val="auto"/>
                      <w:highlight w:val="none"/>
                      <w:vertAlign w:val="baseline"/>
                      <w:lang w:val="en-US" w:eastAsia="zh-CN"/>
                    </w:rPr>
                    <w:t>废机油</w:t>
                  </w:r>
                </w:p>
              </w:tc>
              <w:tc>
                <w:tcPr>
                  <w:tcW w:w="1450" w:type="dxa"/>
                  <w:vAlign w:val="center"/>
                </w:tcPr>
                <w:p w14:paraId="38237C82">
                  <w:pPr>
                    <w:spacing w:line="240" w:lineRule="auto"/>
                    <w:jc w:val="center"/>
                    <w:rPr>
                      <w:rFonts w:hint="default"/>
                      <w:color w:val="auto"/>
                      <w:vertAlign w:val="baseline"/>
                      <w:lang w:val="en-US" w:eastAsia="zh-CN"/>
                    </w:rPr>
                  </w:pPr>
                  <w:r>
                    <w:rPr>
                      <w:rFonts w:hint="eastAsia"/>
                      <w:color w:val="auto"/>
                      <w:highlight w:val="none"/>
                      <w:vertAlign w:val="baseline"/>
                      <w:lang w:val="en-US" w:eastAsia="zh-CN"/>
                    </w:rPr>
                    <w:t>废机油</w:t>
                  </w:r>
                </w:p>
              </w:tc>
              <w:tc>
                <w:tcPr>
                  <w:tcW w:w="2100" w:type="dxa"/>
                  <w:vAlign w:val="center"/>
                </w:tcPr>
                <w:p w14:paraId="5E32A779">
                  <w:pPr>
                    <w:spacing w:line="240" w:lineRule="auto"/>
                    <w:jc w:val="center"/>
                    <w:rPr>
                      <w:rFonts w:hint="eastAsia"/>
                      <w:color w:val="auto"/>
                      <w:vertAlign w:val="baseline"/>
                      <w:lang w:val="en-US" w:eastAsia="zh-CN"/>
                    </w:rPr>
                  </w:pPr>
                  <w:r>
                    <w:rPr>
                      <w:rFonts w:hint="eastAsia"/>
                      <w:color w:val="auto"/>
                      <w:vertAlign w:val="baseline"/>
                      <w:lang w:val="en-US" w:eastAsia="zh-CN"/>
                    </w:rPr>
                    <w:t>建设专用危险废弃物专用临时贮存设施统一收集，定期送往具有相关处理资质的单位处理。</w:t>
                  </w:r>
                </w:p>
              </w:tc>
              <w:tc>
                <w:tcPr>
                  <w:tcW w:w="1450" w:type="dxa"/>
                  <w:shd w:val="clear" w:color="auto" w:fill="auto"/>
                  <w:vAlign w:val="center"/>
                </w:tcPr>
                <w:p w14:paraId="61788B9B">
                  <w:pPr>
                    <w:spacing w:line="240" w:lineRule="auto"/>
                    <w:jc w:val="center"/>
                    <w:rPr>
                      <w:rFonts w:hint="eastAsia" w:ascii="Times New Roman" w:hAnsi="Times New Roman" w:eastAsia="宋体" w:cs="Times New Roman"/>
                      <w:color w:val="auto"/>
                      <w:kern w:val="2"/>
                      <w:sz w:val="21"/>
                      <w:szCs w:val="24"/>
                      <w:vertAlign w:val="baseline"/>
                      <w:lang w:val="en-US" w:eastAsia="zh-CN" w:bidi="ar-SA"/>
                    </w:rPr>
                  </w:pPr>
                  <w:r>
                    <w:rPr>
                      <w:rFonts w:hint="eastAsia"/>
                      <w:color w:val="auto"/>
                      <w:vertAlign w:val="baseline"/>
                      <w:lang w:val="en-US" w:eastAsia="zh-CN"/>
                    </w:rPr>
                    <w:t>危险废物贮存点已建设</w:t>
                  </w:r>
                </w:p>
              </w:tc>
            </w:tr>
            <w:tr w14:paraId="28F150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6" w:type="dxa"/>
                  <w:vAlign w:val="center"/>
                </w:tcPr>
                <w:p w14:paraId="15F19D16">
                  <w:pPr>
                    <w:spacing w:line="240" w:lineRule="auto"/>
                    <w:jc w:val="center"/>
                    <w:rPr>
                      <w:rFonts w:hint="default"/>
                      <w:color w:val="auto"/>
                      <w:vertAlign w:val="baseline"/>
                      <w:lang w:val="en-US" w:eastAsia="zh-CN"/>
                    </w:rPr>
                  </w:pPr>
                  <w:r>
                    <w:rPr>
                      <w:rFonts w:hint="eastAsia"/>
                      <w:color w:val="auto"/>
                      <w:vertAlign w:val="baseline"/>
                      <w:lang w:val="en-US" w:eastAsia="zh-CN"/>
                    </w:rPr>
                    <w:t>噪声</w:t>
                  </w:r>
                </w:p>
              </w:tc>
              <w:tc>
                <w:tcPr>
                  <w:tcW w:w="1450" w:type="dxa"/>
                  <w:vAlign w:val="center"/>
                </w:tcPr>
                <w:p w14:paraId="2BFE6405">
                  <w:pPr>
                    <w:spacing w:line="240" w:lineRule="auto"/>
                    <w:jc w:val="center"/>
                    <w:rPr>
                      <w:rFonts w:hint="default"/>
                      <w:color w:val="auto"/>
                      <w:vertAlign w:val="baseline"/>
                      <w:lang w:val="en-US" w:eastAsia="zh-CN"/>
                    </w:rPr>
                  </w:pPr>
                  <w:r>
                    <w:rPr>
                      <w:rFonts w:hint="eastAsia"/>
                      <w:color w:val="auto"/>
                      <w:vertAlign w:val="baseline"/>
                      <w:lang w:val="en-US" w:eastAsia="zh-CN"/>
                    </w:rPr>
                    <w:t>设备噪声</w:t>
                  </w:r>
                </w:p>
              </w:tc>
              <w:tc>
                <w:tcPr>
                  <w:tcW w:w="1034" w:type="dxa"/>
                  <w:vAlign w:val="center"/>
                </w:tcPr>
                <w:p w14:paraId="5939AB83">
                  <w:pPr>
                    <w:spacing w:line="240" w:lineRule="auto"/>
                    <w:jc w:val="center"/>
                    <w:rPr>
                      <w:rFonts w:hint="default"/>
                      <w:color w:val="auto"/>
                      <w:vertAlign w:val="baseline"/>
                      <w:lang w:val="en-US" w:eastAsia="zh-CN"/>
                    </w:rPr>
                  </w:pPr>
                  <w:r>
                    <w:rPr>
                      <w:rFonts w:hint="eastAsia"/>
                      <w:color w:val="auto"/>
                      <w:vertAlign w:val="baseline"/>
                      <w:lang w:val="en-US" w:eastAsia="zh-CN"/>
                    </w:rPr>
                    <w:t>-</w:t>
                  </w:r>
                </w:p>
              </w:tc>
              <w:tc>
                <w:tcPr>
                  <w:tcW w:w="1450" w:type="dxa"/>
                  <w:vAlign w:val="center"/>
                </w:tcPr>
                <w:p w14:paraId="3942B524">
                  <w:pPr>
                    <w:spacing w:line="240" w:lineRule="auto"/>
                    <w:jc w:val="center"/>
                    <w:rPr>
                      <w:rFonts w:hint="default"/>
                      <w:color w:val="auto"/>
                      <w:vertAlign w:val="baseline"/>
                      <w:lang w:val="en-US" w:eastAsia="zh-CN"/>
                    </w:rPr>
                  </w:pPr>
                  <w:r>
                    <w:rPr>
                      <w:rFonts w:hint="eastAsia"/>
                      <w:color w:val="auto"/>
                      <w:vertAlign w:val="baseline"/>
                      <w:lang w:val="en-US" w:eastAsia="zh-CN"/>
                    </w:rPr>
                    <w:t>噪声</w:t>
                  </w:r>
                </w:p>
              </w:tc>
              <w:tc>
                <w:tcPr>
                  <w:tcW w:w="2100" w:type="dxa"/>
                  <w:vAlign w:val="center"/>
                </w:tcPr>
                <w:p w14:paraId="68319F5B">
                  <w:pPr>
                    <w:spacing w:line="240" w:lineRule="auto"/>
                    <w:jc w:val="center"/>
                    <w:rPr>
                      <w:rFonts w:hint="eastAsia"/>
                      <w:color w:val="auto"/>
                      <w:vertAlign w:val="baseline"/>
                      <w:lang w:val="en-US" w:eastAsia="zh-CN"/>
                    </w:rPr>
                  </w:pPr>
                  <w:r>
                    <w:rPr>
                      <w:rFonts w:hint="eastAsia" w:ascii="Times New Roman" w:hAnsi="Times New Roman" w:cs="Times New Roman"/>
                      <w:color w:val="auto"/>
                    </w:rPr>
                    <w:t>设备设置减震垫、进行减震基础</w:t>
                  </w:r>
                </w:p>
              </w:tc>
              <w:tc>
                <w:tcPr>
                  <w:tcW w:w="1450" w:type="dxa"/>
                  <w:shd w:val="clear" w:color="auto" w:fill="auto"/>
                  <w:vAlign w:val="center"/>
                </w:tcPr>
                <w:p w14:paraId="5E5C71F0">
                  <w:pPr>
                    <w:spacing w:line="240" w:lineRule="auto"/>
                    <w:jc w:val="center"/>
                    <w:rPr>
                      <w:rFonts w:hint="eastAsia" w:ascii="Times New Roman" w:hAnsi="Times New Roman" w:eastAsia="宋体" w:cs="Times New Roman"/>
                      <w:color w:val="auto"/>
                      <w:kern w:val="2"/>
                      <w:sz w:val="21"/>
                      <w:szCs w:val="24"/>
                      <w:vertAlign w:val="baseline"/>
                      <w:lang w:val="en-US" w:eastAsia="zh-CN" w:bidi="ar-SA"/>
                    </w:rPr>
                  </w:pPr>
                  <w:r>
                    <w:rPr>
                      <w:rFonts w:hint="eastAsia"/>
                      <w:color w:val="auto"/>
                      <w:vertAlign w:val="baseline"/>
                      <w:lang w:val="en-US" w:eastAsia="zh-CN"/>
                    </w:rPr>
                    <w:t>运行状况良好</w:t>
                  </w:r>
                </w:p>
              </w:tc>
            </w:tr>
          </w:tbl>
          <w:p w14:paraId="604350D8">
            <w:pPr>
              <w:pStyle w:val="6"/>
              <w:numPr>
                <w:ilvl w:val="0"/>
                <w:numId w:val="0"/>
              </w:numPr>
              <w:spacing w:line="360" w:lineRule="auto"/>
              <w:ind w:left="0" w:leftChars="0" w:firstLine="0" w:firstLineChars="0"/>
              <w:rPr>
                <w:rFonts w:hint="eastAsia" w:ascii="Times New Roman" w:hAnsi="Times New Roman" w:eastAsia="宋体"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4.原</w:t>
            </w:r>
            <w:r>
              <w:rPr>
                <w:rFonts w:hint="eastAsia" w:ascii="Times New Roman" w:hAnsi="Times New Roman" w:eastAsia="宋体" w:cs="Times New Roman"/>
                <w:b/>
                <w:bCs/>
                <w:color w:val="auto"/>
                <w:kern w:val="2"/>
                <w:sz w:val="24"/>
                <w:szCs w:val="24"/>
                <w:lang w:val="en-US" w:eastAsia="zh-CN" w:bidi="ar-SA"/>
              </w:rPr>
              <w:t>有工程主要环境问题</w:t>
            </w:r>
          </w:p>
          <w:p w14:paraId="2A2C231A">
            <w:pPr>
              <w:numPr>
                <w:ilvl w:val="0"/>
                <w:numId w:val="0"/>
              </w:numPr>
              <w:spacing w:line="360" w:lineRule="auto"/>
              <w:ind w:left="0" w:leftChars="0" w:firstLine="480" w:firstLineChars="200"/>
              <w:rPr>
                <w:rFonts w:hint="eastAsia" w:eastAsia="宋体"/>
                <w:color w:val="auto"/>
                <w:sz w:val="24"/>
                <w:lang w:val="en-US" w:eastAsia="zh-CN"/>
              </w:rPr>
            </w:pPr>
            <w:r>
              <w:rPr>
                <w:rFonts w:hint="default" w:eastAsia="宋体"/>
                <w:color w:val="auto"/>
                <w:sz w:val="24"/>
                <w:lang w:val="en-US" w:eastAsia="zh-CN"/>
              </w:rPr>
              <w:t>根据《排污许可管理条例》和《固定源排污许可分类管理名录</w:t>
            </w:r>
            <w:r>
              <w:rPr>
                <w:rFonts w:hint="eastAsia" w:eastAsia="宋体"/>
                <w:color w:val="auto"/>
                <w:sz w:val="24"/>
                <w:lang w:val="en-US" w:eastAsia="zh-CN"/>
              </w:rPr>
              <w:t>（</w:t>
            </w:r>
            <w:r>
              <w:rPr>
                <w:rFonts w:hint="default" w:eastAsia="宋体"/>
                <w:color w:val="auto"/>
                <w:sz w:val="24"/>
                <w:lang w:val="en-US" w:eastAsia="zh-CN"/>
              </w:rPr>
              <w:t>2019 年版</w:t>
            </w:r>
            <w:r>
              <w:rPr>
                <w:rFonts w:hint="eastAsia" w:eastAsia="宋体"/>
                <w:color w:val="auto"/>
                <w:sz w:val="24"/>
                <w:lang w:val="en-US" w:eastAsia="zh-CN"/>
              </w:rPr>
              <w:t>）</w:t>
            </w:r>
            <w:r>
              <w:rPr>
                <w:rFonts w:hint="default" w:eastAsia="宋体"/>
                <w:color w:val="auto"/>
                <w:sz w:val="24"/>
                <w:lang w:val="en-US" w:eastAsia="zh-CN"/>
              </w:rPr>
              <w:t>》</w:t>
            </w:r>
            <w:r>
              <w:rPr>
                <w:rFonts w:hint="eastAsia"/>
                <w:color w:val="auto"/>
                <w:sz w:val="24"/>
                <w:lang w:val="en-US" w:eastAsia="zh-CN"/>
              </w:rPr>
              <w:t>原</w:t>
            </w:r>
            <w:r>
              <w:rPr>
                <w:rFonts w:hint="eastAsia" w:eastAsia="宋体"/>
                <w:color w:val="auto"/>
                <w:sz w:val="24"/>
                <w:lang w:val="en-US" w:eastAsia="zh-CN"/>
              </w:rPr>
              <w:t>有工程</w:t>
            </w:r>
            <w:r>
              <w:rPr>
                <w:rFonts w:hint="default" w:eastAsia="宋体"/>
                <w:color w:val="auto"/>
                <w:sz w:val="24"/>
                <w:lang w:val="en-US" w:eastAsia="zh-CN"/>
              </w:rPr>
              <w:t>属于</w:t>
            </w:r>
            <w:r>
              <w:rPr>
                <w:rFonts w:hint="eastAsia" w:eastAsia="宋体"/>
                <w:color w:val="auto"/>
                <w:sz w:val="24"/>
                <w:lang w:val="en-US" w:eastAsia="zh-CN"/>
              </w:rPr>
              <w:t>“</w:t>
            </w:r>
            <w:r>
              <w:rPr>
                <w:rFonts w:hint="default" w:eastAsia="宋体"/>
                <w:color w:val="auto"/>
                <w:sz w:val="24"/>
                <w:lang w:val="en-US" w:eastAsia="zh-CN"/>
              </w:rPr>
              <w:t>二十五、非金属矿物制品业</w:t>
            </w:r>
            <w:r>
              <w:rPr>
                <w:rFonts w:hint="eastAsia" w:eastAsia="宋体"/>
                <w:color w:val="auto"/>
                <w:sz w:val="24"/>
                <w:lang w:val="en-US" w:eastAsia="zh-CN"/>
              </w:rPr>
              <w:t>”</w:t>
            </w:r>
            <w:r>
              <w:rPr>
                <w:rFonts w:hint="default" w:eastAsia="宋体"/>
                <w:color w:val="auto"/>
                <w:sz w:val="24"/>
                <w:lang w:val="en-US" w:eastAsia="zh-CN"/>
              </w:rPr>
              <w:t>中</w:t>
            </w:r>
            <w:r>
              <w:rPr>
                <w:rFonts w:hint="eastAsia" w:eastAsia="宋体"/>
                <w:color w:val="auto"/>
                <w:sz w:val="24"/>
                <w:lang w:val="en-US" w:eastAsia="zh-CN"/>
              </w:rPr>
              <w:t>“64.砖瓦、石材等建筑材料制造303</w:t>
            </w:r>
            <w:r>
              <w:rPr>
                <w:rFonts w:hint="eastAsia"/>
                <w:color w:val="auto"/>
                <w:sz w:val="24"/>
                <w:lang w:val="en-US" w:eastAsia="zh-CN"/>
              </w:rPr>
              <w:t>－</w:t>
            </w:r>
            <w:r>
              <w:rPr>
                <w:rFonts w:hint="eastAsia" w:eastAsia="宋体"/>
                <w:color w:val="auto"/>
                <w:sz w:val="24"/>
                <w:lang w:val="en-US" w:eastAsia="zh-CN"/>
              </w:rPr>
              <w:t>建筑用石加工3032”</w:t>
            </w:r>
            <w:r>
              <w:rPr>
                <w:rFonts w:hint="default" w:eastAsia="宋体"/>
                <w:color w:val="auto"/>
                <w:sz w:val="24"/>
                <w:lang w:val="en-US" w:eastAsia="zh-CN"/>
              </w:rPr>
              <w:t>，</w:t>
            </w:r>
            <w:r>
              <w:rPr>
                <w:rFonts w:hint="eastAsia" w:eastAsia="宋体"/>
                <w:color w:val="auto"/>
                <w:sz w:val="24"/>
                <w:lang w:val="en-US" w:eastAsia="zh-CN"/>
              </w:rPr>
              <w:t>属于简化管理，</w:t>
            </w:r>
            <w:r>
              <w:rPr>
                <w:rFonts w:hint="eastAsia"/>
                <w:color w:val="auto"/>
                <w:sz w:val="24"/>
                <w:lang w:val="en-US" w:eastAsia="zh-CN"/>
              </w:rPr>
              <w:t>原</w:t>
            </w:r>
            <w:r>
              <w:rPr>
                <w:rFonts w:hint="eastAsia" w:eastAsia="宋体"/>
                <w:color w:val="auto"/>
                <w:sz w:val="24"/>
                <w:lang w:val="en-US" w:eastAsia="zh-CN"/>
              </w:rPr>
              <w:t>有工程暂未取得排污许可证。</w:t>
            </w:r>
          </w:p>
          <w:p w14:paraId="3EB55140">
            <w:pPr>
              <w:pStyle w:val="6"/>
              <w:numPr>
                <w:ilvl w:val="0"/>
                <w:numId w:val="0"/>
              </w:numPr>
              <w:spacing w:line="360" w:lineRule="auto"/>
              <w:ind w:left="0" w:leftChars="0" w:firstLine="0" w:firstLineChars="0"/>
              <w:rPr>
                <w:rFonts w:hint="default"/>
                <w:color w:val="auto"/>
                <w:lang w:val="en-US" w:eastAsia="zh-CN"/>
              </w:rPr>
            </w:pPr>
            <w:r>
              <w:rPr>
                <w:rFonts w:hint="eastAsia" w:cs="Times New Roman"/>
                <w:b/>
                <w:bCs/>
                <w:color w:val="auto"/>
                <w:kern w:val="2"/>
                <w:sz w:val="24"/>
                <w:szCs w:val="24"/>
                <w:lang w:val="en-US" w:eastAsia="zh-CN" w:bidi="ar-SA"/>
              </w:rPr>
              <w:t>5.</w:t>
            </w:r>
            <w:r>
              <w:rPr>
                <w:rFonts w:hint="eastAsia"/>
                <w:color w:val="auto"/>
                <w:sz w:val="24"/>
                <w:szCs w:val="40"/>
                <w:lang w:val="en-US" w:eastAsia="zh-CN"/>
              </w:rPr>
              <w:t>整改措施</w:t>
            </w:r>
          </w:p>
          <w:p w14:paraId="55BB67E0">
            <w:pPr>
              <w:numPr>
                <w:ilvl w:val="0"/>
                <w:numId w:val="0"/>
              </w:numPr>
              <w:spacing w:line="360" w:lineRule="auto"/>
              <w:ind w:left="0" w:leftChars="0" w:firstLine="480" w:firstLineChars="200"/>
              <w:rPr>
                <w:rFonts w:hint="default" w:eastAsia="宋体"/>
                <w:color w:val="auto"/>
                <w:sz w:val="24"/>
                <w:lang w:val="en-US" w:eastAsia="zh-CN"/>
              </w:rPr>
            </w:pPr>
            <w:r>
              <w:rPr>
                <w:rFonts w:hint="eastAsia" w:cs="Times New Roman"/>
                <w:b w:val="0"/>
                <w:bCs w:val="0"/>
                <w:color w:val="auto"/>
                <w:kern w:val="2"/>
                <w:sz w:val="24"/>
                <w:szCs w:val="24"/>
                <w:lang w:val="en-US" w:eastAsia="zh-CN" w:bidi="ar-SA"/>
              </w:rPr>
              <w:t>按照相关要求取得排污许可证并按证排放。</w:t>
            </w:r>
          </w:p>
        </w:tc>
      </w:tr>
    </w:tbl>
    <w:p w14:paraId="4B3794F4">
      <w:pPr>
        <w:rPr>
          <w:rFonts w:hint="eastAsia" w:ascii="黑体" w:hAnsi="黑体" w:eastAsia="黑体"/>
          <w:snapToGrid w:val="0"/>
          <w:color w:val="auto"/>
          <w:sz w:val="30"/>
          <w:szCs w:val="30"/>
        </w:rPr>
      </w:pPr>
      <w:r>
        <w:rPr>
          <w:rFonts w:hint="eastAsia" w:ascii="黑体" w:hAnsi="黑体" w:eastAsia="黑体"/>
          <w:snapToGrid w:val="0"/>
          <w:color w:val="auto"/>
          <w:sz w:val="30"/>
          <w:szCs w:val="30"/>
        </w:rPr>
        <w:br w:type="page"/>
      </w:r>
    </w:p>
    <w:p w14:paraId="0F9E34C9">
      <w:pPr>
        <w:pStyle w:val="20"/>
        <w:numPr>
          <w:ilvl w:val="0"/>
          <w:numId w:val="4"/>
        </w:numPr>
        <w:jc w:val="center"/>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rPr>
        <w:t>区域环境质量现状、环境保护目标及评价标准</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7A6EC6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800" w:type="dxa"/>
            <w:noWrap w:val="0"/>
            <w:vAlign w:val="center"/>
          </w:tcPr>
          <w:p w14:paraId="02D9216F">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区</w:t>
            </w:r>
          </w:p>
          <w:p w14:paraId="2700FBDF">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域</w:t>
            </w:r>
          </w:p>
          <w:p w14:paraId="5436273E">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w:t>
            </w:r>
          </w:p>
          <w:p w14:paraId="22CF4CA6">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境</w:t>
            </w:r>
          </w:p>
          <w:p w14:paraId="67063CC4">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质</w:t>
            </w:r>
          </w:p>
          <w:p w14:paraId="3CDD33CF">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量</w:t>
            </w:r>
          </w:p>
          <w:p w14:paraId="432FBBC9">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现</w:t>
            </w:r>
          </w:p>
          <w:p w14:paraId="2DE1448F">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状</w:t>
            </w:r>
          </w:p>
        </w:tc>
        <w:tc>
          <w:tcPr>
            <w:tcW w:w="8190" w:type="dxa"/>
            <w:noWrap w:val="0"/>
            <w:vAlign w:val="center"/>
          </w:tcPr>
          <w:p w14:paraId="5677EF6A">
            <w:pPr>
              <w:pStyle w:val="5"/>
              <w:spacing w:line="360" w:lineRule="auto"/>
              <w:rPr>
                <w:rFonts w:hint="default" w:ascii="Times New Roman" w:hAnsi="Times New Roman" w:cs="Times New Roman"/>
                <w:color w:val="auto"/>
              </w:rPr>
            </w:pPr>
            <w:r>
              <w:rPr>
                <w:rFonts w:hint="default" w:ascii="Times New Roman" w:hAnsi="Times New Roman" w:cs="Times New Roman"/>
                <w:color w:val="auto"/>
              </w:rPr>
              <w:t>一、大气环境质量现状</w:t>
            </w:r>
          </w:p>
          <w:p w14:paraId="4882B82E">
            <w:pPr>
              <w:spacing w:line="360" w:lineRule="auto"/>
              <w:ind w:firstLine="482" w:firstLineChars="200"/>
              <w:rPr>
                <w:rFonts w:hint="default" w:ascii="Times New Roman" w:hAnsi="Times New Roman" w:eastAsia="宋体" w:cs="Times New Roman"/>
                <w:color w:val="auto"/>
                <w:sz w:val="24"/>
                <w:lang w:eastAsia="zh-CN"/>
              </w:rPr>
            </w:pPr>
            <w:r>
              <w:rPr>
                <w:rFonts w:hint="default" w:ascii="Times New Roman" w:hAnsi="Times New Roman" w:cs="Times New Roman"/>
                <w:b/>
                <w:bCs/>
                <w:color w:val="auto"/>
                <w:sz w:val="24"/>
              </w:rPr>
              <w:t>1.1区域大气环境达标判定</w:t>
            </w:r>
          </w:p>
          <w:p w14:paraId="04D1630A">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根据《环境影响评价技术导则</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大气环境》（HJ2.2-2018）要求，</w:t>
            </w:r>
            <w:r>
              <w:rPr>
                <w:rFonts w:hint="eastAsia" w:cs="Times New Roman"/>
                <w:color w:val="auto"/>
                <w:sz w:val="24"/>
                <w:szCs w:val="24"/>
                <w:lang w:val="en-US" w:eastAsia="zh-CN"/>
              </w:rPr>
              <w:t>与</w:t>
            </w:r>
            <w:r>
              <w:rPr>
                <w:rFonts w:hint="default" w:ascii="Times New Roman" w:hAnsi="Times New Roman" w:eastAsia="宋体" w:cs="Times New Roman"/>
                <w:color w:val="auto"/>
                <w:sz w:val="24"/>
                <w:szCs w:val="24"/>
                <w:lang w:val="en-US" w:eastAsia="zh-CN"/>
              </w:rPr>
              <w:t>国家或地方生态环境主管部门公开发布的城市环境空气质量达标情况，判断项目所在区域是否为达标区。</w:t>
            </w:r>
          </w:p>
          <w:p w14:paraId="13F9E552">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本项目位于新疆维吾尔自治区巴音郭楞蒙古自治州和硕县经济开发区清水河综合园区富邦国源厂区内，项目所在区域大气环境达标判定参照和硕县的达标情况。</w:t>
            </w:r>
          </w:p>
          <w:p w14:paraId="44325F8B">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根据新疆维吾尔自治区生态环境厅发布的《新疆维吾尔自治区2024年生态环境状况公报》，和硕县属于不达标区，超标因子为PM</w:t>
            </w:r>
            <w:r>
              <w:rPr>
                <w:rFonts w:hint="default" w:ascii="Times New Roman" w:hAnsi="Times New Roman" w:eastAsia="宋体" w:cs="Times New Roman"/>
                <w:color w:val="auto"/>
                <w:sz w:val="24"/>
                <w:szCs w:val="24"/>
                <w:vertAlign w:val="subscript"/>
                <w:lang w:val="en-US" w:eastAsia="zh-CN"/>
              </w:rPr>
              <w:t>2.5</w:t>
            </w:r>
            <w:r>
              <w:rPr>
                <w:rFonts w:hint="default" w:ascii="Times New Roman" w:hAnsi="Times New Roman" w:eastAsia="宋体" w:cs="Times New Roman"/>
                <w:color w:val="auto"/>
                <w:sz w:val="24"/>
                <w:szCs w:val="24"/>
                <w:lang w:val="en-US" w:eastAsia="zh-CN"/>
              </w:rPr>
              <w:t>和PM</w:t>
            </w:r>
            <w:r>
              <w:rPr>
                <w:rFonts w:hint="default" w:ascii="Times New Roman" w:hAnsi="Times New Roman" w:eastAsia="宋体" w:cs="Times New Roman"/>
                <w:color w:val="auto"/>
                <w:sz w:val="24"/>
                <w:szCs w:val="24"/>
                <w:vertAlign w:val="subscript"/>
                <w:lang w:val="en-US" w:eastAsia="zh-CN"/>
              </w:rPr>
              <w:t>10</w:t>
            </w:r>
            <w:r>
              <w:rPr>
                <w:rFonts w:hint="default" w:ascii="Times New Roman" w:hAnsi="Times New Roman" w:eastAsia="宋体" w:cs="Times New Roman"/>
                <w:color w:val="auto"/>
                <w:sz w:val="24"/>
                <w:szCs w:val="24"/>
                <w:lang w:val="en-US" w:eastAsia="zh-CN"/>
              </w:rPr>
              <w:t>。</w:t>
            </w:r>
          </w:p>
          <w:p w14:paraId="0F927FB2">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s="Times New Roman"/>
                <w:bCs/>
                <w:color w:val="auto"/>
                <w:kern w:val="0"/>
                <w:sz w:val="24"/>
                <w:szCs w:val="20"/>
                <w:lang w:val="en-US" w:eastAsia="zh-CN" w:bidi="ar-SA"/>
              </w:rPr>
            </w:pPr>
            <w:r>
              <w:rPr>
                <w:rFonts w:hint="default" w:ascii="Times New Roman" w:hAnsi="Times New Roman" w:eastAsia="宋体" w:cs="Times New Roman"/>
                <w:bCs/>
                <w:color w:val="auto"/>
                <w:kern w:val="0"/>
                <w:sz w:val="24"/>
                <w:szCs w:val="20"/>
                <w:lang w:val="en-US" w:eastAsia="zh-CN" w:bidi="ar-SA"/>
              </w:rPr>
              <w:t>202</w:t>
            </w:r>
            <w:r>
              <w:rPr>
                <w:rFonts w:hint="eastAsia" w:cs="Times New Roman"/>
                <w:bCs/>
                <w:color w:val="auto"/>
                <w:kern w:val="0"/>
                <w:sz w:val="24"/>
                <w:szCs w:val="20"/>
                <w:lang w:val="en-US" w:eastAsia="zh-CN" w:bidi="ar-SA"/>
              </w:rPr>
              <w:t>4</w:t>
            </w:r>
            <w:r>
              <w:rPr>
                <w:rFonts w:hint="default" w:ascii="Times New Roman" w:hAnsi="Times New Roman" w:eastAsia="宋体" w:cs="Times New Roman"/>
                <w:bCs/>
                <w:color w:val="auto"/>
                <w:kern w:val="0"/>
                <w:sz w:val="24"/>
                <w:szCs w:val="20"/>
                <w:lang w:val="en-US" w:eastAsia="zh-CN" w:bidi="ar-SA"/>
              </w:rPr>
              <w:t>年，</w:t>
            </w:r>
            <w:r>
              <w:rPr>
                <w:rFonts w:hint="eastAsia" w:ascii="Times New Roman" w:hAnsi="Times New Roman" w:eastAsia="宋体" w:cs="Times New Roman"/>
                <w:bCs/>
                <w:color w:val="auto"/>
                <w:kern w:val="0"/>
                <w:sz w:val="24"/>
                <w:szCs w:val="20"/>
                <w:lang w:val="en-US" w:eastAsia="zh-CN" w:bidi="ar-SA"/>
              </w:rPr>
              <w:t>和硕县</w:t>
            </w:r>
            <w:r>
              <w:rPr>
                <w:rFonts w:hint="default" w:ascii="Times New Roman" w:hAnsi="Times New Roman" w:eastAsia="宋体" w:cs="Times New Roman"/>
                <w:bCs/>
                <w:color w:val="auto"/>
                <w:kern w:val="0"/>
                <w:sz w:val="24"/>
                <w:szCs w:val="20"/>
                <w:lang w:val="en-US" w:eastAsia="zh-CN" w:bidi="ar-SA"/>
              </w:rPr>
              <w:t>空气质量监测总天数为3</w:t>
            </w:r>
            <w:r>
              <w:rPr>
                <w:rFonts w:hint="eastAsia" w:cs="Times New Roman"/>
                <w:bCs/>
                <w:color w:val="auto"/>
                <w:kern w:val="0"/>
                <w:sz w:val="24"/>
                <w:szCs w:val="20"/>
                <w:lang w:val="en-US" w:eastAsia="zh-CN" w:bidi="ar-SA"/>
              </w:rPr>
              <w:t>65</w:t>
            </w:r>
            <w:r>
              <w:rPr>
                <w:rFonts w:hint="default" w:ascii="Times New Roman" w:hAnsi="Times New Roman" w:eastAsia="宋体" w:cs="Times New Roman"/>
                <w:bCs/>
                <w:color w:val="auto"/>
                <w:kern w:val="0"/>
                <w:sz w:val="24"/>
                <w:szCs w:val="20"/>
                <w:lang w:val="en-US" w:eastAsia="zh-CN" w:bidi="ar-SA"/>
              </w:rPr>
              <w:t>天</w:t>
            </w:r>
            <w:r>
              <w:rPr>
                <w:rFonts w:hint="eastAsia" w:cs="Times New Roman"/>
                <w:bCs/>
                <w:color w:val="auto"/>
                <w:kern w:val="0"/>
                <w:sz w:val="24"/>
                <w:szCs w:val="20"/>
                <w:lang w:val="en-US" w:eastAsia="zh-CN" w:bidi="ar-SA"/>
              </w:rPr>
              <w:t>，优良天数比例83.9%</w:t>
            </w:r>
            <w:r>
              <w:rPr>
                <w:rFonts w:hint="default" w:ascii="Times New Roman" w:hAnsi="Times New Roman" w:eastAsia="宋体" w:cs="Times New Roman"/>
                <w:bCs/>
                <w:color w:val="auto"/>
                <w:kern w:val="0"/>
                <w:sz w:val="24"/>
                <w:szCs w:val="20"/>
                <w:lang w:val="en-US" w:eastAsia="zh-CN" w:bidi="ar-SA"/>
              </w:rPr>
              <w:t>，与去年同期相比减少了2.6个百分点</w:t>
            </w:r>
            <w:r>
              <w:rPr>
                <w:rFonts w:hint="eastAsia" w:cs="Times New Roman"/>
                <w:bCs/>
                <w:color w:val="auto"/>
                <w:kern w:val="0"/>
                <w:sz w:val="24"/>
                <w:szCs w:val="20"/>
                <w:lang w:val="en-US" w:eastAsia="zh-CN" w:bidi="ar-SA"/>
              </w:rPr>
              <w:t>；空气质量综合指数4.23，PM10平均浓度为132mg/m</w:t>
            </w:r>
            <w:r>
              <w:rPr>
                <w:rFonts w:hint="eastAsia" w:cs="Times New Roman"/>
                <w:bCs/>
                <w:color w:val="auto"/>
                <w:kern w:val="0"/>
                <w:sz w:val="24"/>
                <w:szCs w:val="20"/>
                <w:vertAlign w:val="superscript"/>
                <w:lang w:val="en-US" w:eastAsia="zh-CN" w:bidi="ar-SA"/>
              </w:rPr>
              <w:t>3</w:t>
            </w:r>
            <w:r>
              <w:rPr>
                <w:rFonts w:hint="eastAsia" w:cs="Times New Roman"/>
                <w:bCs/>
                <w:color w:val="auto"/>
                <w:kern w:val="0"/>
                <w:sz w:val="24"/>
                <w:szCs w:val="20"/>
                <w:lang w:val="en-US" w:eastAsia="zh-CN" w:bidi="ar-SA"/>
              </w:rPr>
              <w:t>，与去年同期相比上升18.1%；PM</w:t>
            </w:r>
            <w:r>
              <w:rPr>
                <w:rFonts w:hint="eastAsia" w:cs="Times New Roman"/>
                <w:bCs/>
                <w:color w:val="auto"/>
                <w:kern w:val="0"/>
                <w:sz w:val="24"/>
                <w:szCs w:val="20"/>
                <w:vertAlign w:val="subscript"/>
                <w:lang w:val="en-US" w:eastAsia="zh-CN" w:bidi="ar-SA"/>
              </w:rPr>
              <w:t>2.5</w:t>
            </w:r>
            <w:r>
              <w:rPr>
                <w:rFonts w:hint="eastAsia" w:cs="Times New Roman"/>
                <w:bCs/>
                <w:color w:val="auto"/>
                <w:kern w:val="0"/>
                <w:sz w:val="24"/>
                <w:szCs w:val="20"/>
                <w:lang w:val="en-US" w:eastAsia="zh-CN" w:bidi="ar-SA"/>
              </w:rPr>
              <w:t>平均浓度为35mg/m</w:t>
            </w:r>
            <w:r>
              <w:rPr>
                <w:rFonts w:hint="eastAsia" w:cs="Times New Roman"/>
                <w:bCs/>
                <w:color w:val="auto"/>
                <w:kern w:val="0"/>
                <w:sz w:val="24"/>
                <w:szCs w:val="20"/>
                <w:vertAlign w:val="superscript"/>
                <w:lang w:val="en-US" w:eastAsia="zh-CN" w:bidi="ar-SA"/>
              </w:rPr>
              <w:t>3</w:t>
            </w:r>
            <w:r>
              <w:rPr>
                <w:rFonts w:hint="eastAsia" w:cs="Times New Roman"/>
                <w:bCs/>
                <w:color w:val="auto"/>
                <w:kern w:val="0"/>
                <w:sz w:val="24"/>
                <w:szCs w:val="20"/>
                <w:lang w:val="en-US" w:eastAsia="zh-CN" w:bidi="ar-SA"/>
              </w:rPr>
              <w:t>，与去年同期相比上升6.1%；未出现O</w:t>
            </w:r>
            <w:r>
              <w:rPr>
                <w:rFonts w:hint="eastAsia" w:cs="Times New Roman"/>
                <w:bCs/>
                <w:color w:val="auto"/>
                <w:kern w:val="0"/>
                <w:sz w:val="24"/>
                <w:szCs w:val="20"/>
                <w:vertAlign w:val="subscript"/>
                <w:lang w:val="en-US" w:eastAsia="zh-CN" w:bidi="ar-SA"/>
              </w:rPr>
              <w:t>3</w:t>
            </w:r>
            <w:r>
              <w:rPr>
                <w:rFonts w:hint="eastAsia" w:cs="Times New Roman"/>
                <w:bCs/>
                <w:color w:val="auto"/>
                <w:kern w:val="0"/>
                <w:sz w:val="24"/>
                <w:szCs w:val="20"/>
                <w:lang w:val="en-US" w:eastAsia="zh-CN" w:bidi="ar-SA"/>
              </w:rPr>
              <w:t>-8H、SO</w:t>
            </w:r>
            <w:r>
              <w:rPr>
                <w:rFonts w:hint="eastAsia" w:cs="Times New Roman"/>
                <w:bCs/>
                <w:color w:val="auto"/>
                <w:kern w:val="0"/>
                <w:sz w:val="24"/>
                <w:szCs w:val="20"/>
                <w:vertAlign w:val="subscript"/>
                <w:lang w:val="en-US" w:eastAsia="zh-CN" w:bidi="ar-SA"/>
              </w:rPr>
              <w:t>2</w:t>
            </w:r>
            <w:r>
              <w:rPr>
                <w:rFonts w:hint="eastAsia" w:cs="Times New Roman"/>
                <w:bCs/>
                <w:color w:val="auto"/>
                <w:kern w:val="0"/>
                <w:sz w:val="24"/>
                <w:szCs w:val="20"/>
                <w:lang w:val="en-US" w:eastAsia="zh-CN" w:bidi="ar-SA"/>
              </w:rPr>
              <w:t>、NO</w:t>
            </w:r>
            <w:r>
              <w:rPr>
                <w:rFonts w:hint="eastAsia" w:cs="Times New Roman"/>
                <w:bCs/>
                <w:color w:val="auto"/>
                <w:kern w:val="0"/>
                <w:sz w:val="24"/>
                <w:szCs w:val="20"/>
                <w:vertAlign w:val="subscript"/>
                <w:lang w:val="en-US" w:eastAsia="zh-CN" w:bidi="ar-SA"/>
              </w:rPr>
              <w:t>2</w:t>
            </w:r>
            <w:r>
              <w:rPr>
                <w:rFonts w:hint="eastAsia" w:cs="Times New Roman"/>
                <w:bCs/>
                <w:color w:val="auto"/>
                <w:kern w:val="0"/>
                <w:sz w:val="24"/>
                <w:szCs w:val="20"/>
                <w:lang w:val="en-US" w:eastAsia="zh-CN" w:bidi="ar-SA"/>
              </w:rPr>
              <w:t>、CO为首要污染物的超标天。</w:t>
            </w:r>
            <w:r>
              <w:rPr>
                <w:rFonts w:hint="default" w:ascii="Times New Roman" w:hAnsi="Times New Roman" w:eastAsia="宋体" w:cs="Times New Roman"/>
                <w:bCs/>
                <w:color w:val="auto"/>
                <w:kern w:val="0"/>
                <w:sz w:val="24"/>
                <w:szCs w:val="20"/>
                <w:lang w:val="en-US" w:eastAsia="zh-CN" w:bidi="ar-SA"/>
              </w:rPr>
              <w:t>受沙尘天气影响</w:t>
            </w:r>
            <w:r>
              <w:rPr>
                <w:rFonts w:hint="eastAsia" w:cs="Times New Roman"/>
                <w:bCs/>
                <w:color w:val="auto"/>
                <w:kern w:val="0"/>
                <w:sz w:val="24"/>
                <w:szCs w:val="20"/>
                <w:lang w:val="en-US" w:eastAsia="zh-CN" w:bidi="ar-SA"/>
              </w:rPr>
              <w:t>66天，降尘量为16t/km</w:t>
            </w:r>
            <w:r>
              <w:rPr>
                <w:rFonts w:hint="eastAsia" w:cs="Times New Roman"/>
                <w:bCs/>
                <w:color w:val="auto"/>
                <w:kern w:val="0"/>
                <w:sz w:val="24"/>
                <w:szCs w:val="20"/>
                <w:vertAlign w:val="superscript"/>
                <w:lang w:val="en-US" w:eastAsia="zh-CN" w:bidi="ar-SA"/>
              </w:rPr>
              <w:t>2</w:t>
            </w:r>
            <w:r>
              <w:rPr>
                <w:rFonts w:hint="eastAsia" w:cs="Times New Roman"/>
                <w:bCs/>
                <w:color w:val="auto"/>
                <w:kern w:val="0"/>
                <w:sz w:val="24"/>
                <w:szCs w:val="20"/>
                <w:lang w:val="en-US" w:eastAsia="zh-CN" w:bidi="ar-SA"/>
              </w:rPr>
              <w:t>·月。</w:t>
            </w:r>
          </w:p>
          <w:p w14:paraId="709EDA09">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表</w:t>
            </w:r>
            <w:r>
              <w:rPr>
                <w:rFonts w:hint="default" w:ascii="Times New Roman" w:hAnsi="Times New Roman" w:eastAsia="宋体" w:cs="Times New Roman"/>
                <w:sz w:val="21"/>
                <w:szCs w:val="21"/>
                <w:lang w:val="en-US" w:eastAsia="zh-CN"/>
              </w:rPr>
              <w:t>3-</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和硕县</w:t>
            </w:r>
            <w:r>
              <w:rPr>
                <w:rFonts w:hint="default" w:ascii="Times New Roman" w:hAnsi="Times New Roman" w:eastAsia="宋体" w:cs="Times New Roman"/>
                <w:sz w:val="21"/>
                <w:szCs w:val="21"/>
              </w:rPr>
              <w:t>202</w:t>
            </w:r>
            <w:r>
              <w:rPr>
                <w:rFonts w:hint="default"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rPr>
              <w:t>年环境空气质量数据量达标判定结果表</w:t>
            </w:r>
          </w:p>
          <w:tbl>
            <w:tblPr>
              <w:tblStyle w:val="25"/>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2494"/>
              <w:gridCol w:w="1275"/>
              <w:gridCol w:w="1368"/>
              <w:gridCol w:w="882"/>
              <w:gridCol w:w="753"/>
            </w:tblGrid>
            <w:tr w14:paraId="3E16CF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751" w:type="pct"/>
                  <w:tcBorders>
                    <w:tl2br w:val="nil"/>
                    <w:tr2bl w:val="nil"/>
                  </w:tcBorders>
                  <w:noWrap w:val="0"/>
                  <w:vAlign w:val="center"/>
                </w:tcPr>
                <w:p w14:paraId="49D5646F">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污染物</w:t>
                  </w:r>
                </w:p>
              </w:tc>
              <w:tc>
                <w:tcPr>
                  <w:tcW w:w="1564" w:type="pct"/>
                  <w:tcBorders>
                    <w:tl2br w:val="nil"/>
                    <w:tr2bl w:val="nil"/>
                  </w:tcBorders>
                  <w:noWrap w:val="0"/>
                  <w:vAlign w:val="center"/>
                </w:tcPr>
                <w:p w14:paraId="04CEFBB7">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评价项目</w:t>
                  </w:r>
                </w:p>
              </w:tc>
              <w:tc>
                <w:tcPr>
                  <w:tcW w:w="799" w:type="pct"/>
                  <w:tcBorders>
                    <w:tl2br w:val="nil"/>
                    <w:tr2bl w:val="nil"/>
                  </w:tcBorders>
                  <w:noWrap w:val="0"/>
                  <w:vAlign w:val="center"/>
                </w:tcPr>
                <w:p w14:paraId="2CBBE248">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浓度（μ</w:t>
                  </w:r>
                  <w:r>
                    <w:rPr>
                      <w:rFonts w:hint="default" w:ascii="Times New Roman" w:hAnsi="Times New Roman" w:eastAsia="宋体" w:cs="Times New Roman"/>
                      <w:b w:val="0"/>
                      <w:bCs w:val="0"/>
                      <w:sz w:val="21"/>
                      <w:szCs w:val="21"/>
                      <w:lang w:val="en-US" w:eastAsia="zh-CN"/>
                    </w:rPr>
                    <w:t>g</w:t>
                  </w:r>
                  <w:r>
                    <w:rPr>
                      <w:rFonts w:hint="default" w:ascii="Times New Roman" w:hAnsi="Times New Roman" w:eastAsia="宋体" w:cs="Times New Roman"/>
                      <w:b w:val="0"/>
                      <w:bCs w:val="0"/>
                      <w:sz w:val="21"/>
                      <w:szCs w:val="21"/>
                    </w:rPr>
                    <w:t>/m</w:t>
                  </w:r>
                  <w:r>
                    <w:rPr>
                      <w:rFonts w:hint="default" w:ascii="Times New Roman" w:hAnsi="Times New Roman" w:eastAsia="宋体" w:cs="Times New Roman"/>
                      <w:b w:val="0"/>
                      <w:bCs w:val="0"/>
                      <w:sz w:val="21"/>
                      <w:szCs w:val="21"/>
                      <w:vertAlign w:val="superscript"/>
                    </w:rPr>
                    <w:t>3</w:t>
                  </w:r>
                  <w:r>
                    <w:rPr>
                      <w:rFonts w:hint="default" w:ascii="Times New Roman" w:hAnsi="Times New Roman" w:eastAsia="宋体" w:cs="Times New Roman"/>
                      <w:b w:val="0"/>
                      <w:bCs w:val="0"/>
                      <w:sz w:val="21"/>
                      <w:szCs w:val="21"/>
                    </w:rPr>
                    <w:t>）</w:t>
                  </w:r>
                </w:p>
              </w:tc>
              <w:tc>
                <w:tcPr>
                  <w:tcW w:w="858" w:type="pct"/>
                  <w:tcBorders>
                    <w:tl2br w:val="nil"/>
                    <w:tr2bl w:val="nil"/>
                  </w:tcBorders>
                  <w:noWrap w:val="0"/>
                  <w:vAlign w:val="center"/>
                </w:tcPr>
                <w:p w14:paraId="2E5FC692">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标准（二级）（μ</w:t>
                  </w:r>
                  <w:r>
                    <w:rPr>
                      <w:rFonts w:hint="default" w:ascii="Times New Roman" w:hAnsi="Times New Roman" w:eastAsia="宋体" w:cs="Times New Roman"/>
                      <w:b w:val="0"/>
                      <w:bCs w:val="0"/>
                      <w:sz w:val="21"/>
                      <w:szCs w:val="21"/>
                      <w:lang w:val="en-US" w:eastAsia="zh-CN"/>
                    </w:rPr>
                    <w:t>g</w:t>
                  </w:r>
                  <w:r>
                    <w:rPr>
                      <w:rFonts w:hint="default" w:ascii="Times New Roman" w:hAnsi="Times New Roman" w:eastAsia="宋体" w:cs="Times New Roman"/>
                      <w:b w:val="0"/>
                      <w:bCs w:val="0"/>
                      <w:sz w:val="21"/>
                      <w:szCs w:val="21"/>
                    </w:rPr>
                    <w:t>/m</w:t>
                  </w:r>
                  <w:r>
                    <w:rPr>
                      <w:rFonts w:hint="default" w:ascii="Times New Roman" w:hAnsi="Times New Roman" w:eastAsia="宋体" w:cs="Times New Roman"/>
                      <w:b w:val="0"/>
                      <w:bCs w:val="0"/>
                      <w:sz w:val="21"/>
                      <w:szCs w:val="21"/>
                      <w:vertAlign w:val="superscript"/>
                    </w:rPr>
                    <w:t>3</w:t>
                  </w:r>
                  <w:r>
                    <w:rPr>
                      <w:rFonts w:hint="default" w:ascii="Times New Roman" w:hAnsi="Times New Roman" w:eastAsia="宋体" w:cs="Times New Roman"/>
                      <w:b w:val="0"/>
                      <w:bCs w:val="0"/>
                      <w:sz w:val="21"/>
                      <w:szCs w:val="21"/>
                    </w:rPr>
                    <w:t>）</w:t>
                  </w:r>
                </w:p>
              </w:tc>
              <w:tc>
                <w:tcPr>
                  <w:tcW w:w="553" w:type="pct"/>
                  <w:tcBorders>
                    <w:tl2br w:val="nil"/>
                    <w:tr2bl w:val="nil"/>
                  </w:tcBorders>
                  <w:noWrap w:val="0"/>
                  <w:vAlign w:val="center"/>
                </w:tcPr>
                <w:p w14:paraId="1CAEBD34">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eastAsia="zh-CN"/>
                    </w:rPr>
                    <w:t>占标率</w:t>
                  </w:r>
                  <w:r>
                    <w:rPr>
                      <w:rFonts w:hint="default" w:ascii="Times New Roman" w:hAnsi="Times New Roman" w:eastAsia="宋体" w:cs="Times New Roman"/>
                      <w:b w:val="0"/>
                      <w:bCs w:val="0"/>
                      <w:sz w:val="21"/>
                      <w:szCs w:val="21"/>
                      <w:lang w:val="en-US" w:eastAsia="zh-CN"/>
                    </w:rPr>
                    <w:t>%</w:t>
                  </w:r>
                </w:p>
              </w:tc>
              <w:tc>
                <w:tcPr>
                  <w:tcW w:w="472" w:type="pct"/>
                  <w:tcBorders>
                    <w:tl2br w:val="nil"/>
                    <w:tr2bl w:val="nil"/>
                  </w:tcBorders>
                  <w:noWrap w:val="0"/>
                  <w:vAlign w:val="center"/>
                </w:tcPr>
                <w:p w14:paraId="0764E9CB">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达标情况</w:t>
                  </w:r>
                </w:p>
              </w:tc>
            </w:tr>
            <w:tr w14:paraId="53658B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pct"/>
                  <w:vMerge w:val="restart"/>
                  <w:tcBorders>
                    <w:tl2br w:val="nil"/>
                    <w:tr2bl w:val="nil"/>
                  </w:tcBorders>
                  <w:noWrap w:val="0"/>
                  <w:vAlign w:val="center"/>
                </w:tcPr>
                <w:p w14:paraId="344B06C7">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SO</w:t>
                  </w:r>
                  <w:r>
                    <w:rPr>
                      <w:rFonts w:hint="default" w:ascii="Times New Roman" w:hAnsi="Times New Roman" w:eastAsia="宋体" w:cs="Times New Roman"/>
                      <w:b w:val="0"/>
                      <w:bCs w:val="0"/>
                      <w:sz w:val="21"/>
                      <w:szCs w:val="21"/>
                      <w:vertAlign w:val="subscript"/>
                    </w:rPr>
                    <w:t>2</w:t>
                  </w:r>
                </w:p>
              </w:tc>
              <w:tc>
                <w:tcPr>
                  <w:tcW w:w="1564" w:type="pct"/>
                  <w:tcBorders>
                    <w:tl2br w:val="nil"/>
                    <w:tr2bl w:val="nil"/>
                  </w:tcBorders>
                  <w:noWrap w:val="0"/>
                  <w:vAlign w:val="center"/>
                </w:tcPr>
                <w:p w14:paraId="221D59F5">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年平均</w:t>
                  </w:r>
                </w:p>
              </w:tc>
              <w:tc>
                <w:tcPr>
                  <w:tcW w:w="799" w:type="pct"/>
                  <w:tcBorders>
                    <w:tl2br w:val="nil"/>
                    <w:tr2bl w:val="nil"/>
                  </w:tcBorders>
                  <w:noWrap w:val="0"/>
                  <w:vAlign w:val="center"/>
                </w:tcPr>
                <w:p w14:paraId="0113D1D5">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5</w:t>
                  </w:r>
                </w:p>
              </w:tc>
              <w:tc>
                <w:tcPr>
                  <w:tcW w:w="858" w:type="pct"/>
                  <w:tcBorders>
                    <w:tl2br w:val="nil"/>
                    <w:tr2bl w:val="nil"/>
                  </w:tcBorders>
                  <w:noWrap w:val="0"/>
                  <w:vAlign w:val="center"/>
                </w:tcPr>
                <w:p w14:paraId="28E6D5F3">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60</w:t>
                  </w:r>
                </w:p>
              </w:tc>
              <w:tc>
                <w:tcPr>
                  <w:tcW w:w="553" w:type="pct"/>
                  <w:tcBorders>
                    <w:tl2br w:val="nil"/>
                    <w:tr2bl w:val="nil"/>
                  </w:tcBorders>
                  <w:noWrap w:val="0"/>
                  <w:vAlign w:val="center"/>
                </w:tcPr>
                <w:p w14:paraId="3EBFBFBF">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8</w:t>
                  </w:r>
                </w:p>
              </w:tc>
              <w:tc>
                <w:tcPr>
                  <w:tcW w:w="472" w:type="pct"/>
                  <w:tcBorders>
                    <w:tl2br w:val="nil"/>
                    <w:tr2bl w:val="nil"/>
                  </w:tcBorders>
                  <w:noWrap w:val="0"/>
                  <w:vAlign w:val="center"/>
                </w:tcPr>
                <w:p w14:paraId="172D68B5">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达标</w:t>
                  </w:r>
                </w:p>
              </w:tc>
            </w:tr>
            <w:tr w14:paraId="1FC289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pct"/>
                  <w:vMerge w:val="continue"/>
                  <w:tcBorders>
                    <w:tl2br w:val="nil"/>
                    <w:tr2bl w:val="nil"/>
                  </w:tcBorders>
                  <w:noWrap w:val="0"/>
                  <w:vAlign w:val="center"/>
                </w:tcPr>
                <w:p w14:paraId="2950327D">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rPr>
                  </w:pPr>
                </w:p>
              </w:tc>
              <w:tc>
                <w:tcPr>
                  <w:tcW w:w="1564" w:type="pct"/>
                  <w:tcBorders>
                    <w:tl2br w:val="nil"/>
                    <w:tr2bl w:val="nil"/>
                  </w:tcBorders>
                  <w:noWrap w:val="0"/>
                  <w:vAlign w:val="center"/>
                </w:tcPr>
                <w:p w14:paraId="4AC2495E">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24h平均第98百分位数</w:t>
                  </w:r>
                </w:p>
              </w:tc>
              <w:tc>
                <w:tcPr>
                  <w:tcW w:w="799" w:type="pct"/>
                  <w:tcBorders>
                    <w:tl2br w:val="nil"/>
                    <w:tr2bl w:val="nil"/>
                  </w:tcBorders>
                  <w:noWrap w:val="0"/>
                  <w:vAlign w:val="center"/>
                </w:tcPr>
                <w:p w14:paraId="2127EBFF">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10</w:t>
                  </w:r>
                </w:p>
              </w:tc>
              <w:tc>
                <w:tcPr>
                  <w:tcW w:w="858" w:type="pct"/>
                  <w:tcBorders>
                    <w:tl2br w:val="nil"/>
                    <w:tr2bl w:val="nil"/>
                  </w:tcBorders>
                  <w:noWrap w:val="0"/>
                  <w:vAlign w:val="center"/>
                </w:tcPr>
                <w:p w14:paraId="43639549">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150</w:t>
                  </w:r>
                </w:p>
              </w:tc>
              <w:tc>
                <w:tcPr>
                  <w:tcW w:w="553" w:type="pct"/>
                  <w:tcBorders>
                    <w:tl2br w:val="nil"/>
                    <w:tr2bl w:val="nil"/>
                  </w:tcBorders>
                  <w:noWrap w:val="0"/>
                  <w:vAlign w:val="center"/>
                </w:tcPr>
                <w:p w14:paraId="253E6DC0">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7</w:t>
                  </w:r>
                </w:p>
              </w:tc>
              <w:tc>
                <w:tcPr>
                  <w:tcW w:w="472" w:type="pct"/>
                  <w:tcBorders>
                    <w:tl2br w:val="nil"/>
                    <w:tr2bl w:val="nil"/>
                  </w:tcBorders>
                  <w:noWrap w:val="0"/>
                  <w:vAlign w:val="center"/>
                </w:tcPr>
                <w:p w14:paraId="5F9756A7">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eastAsia="zh-CN"/>
                    </w:rPr>
                    <w:t>达标</w:t>
                  </w:r>
                </w:p>
              </w:tc>
            </w:tr>
            <w:tr w14:paraId="6C35D9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pct"/>
                  <w:vMerge w:val="restart"/>
                  <w:tcBorders>
                    <w:tl2br w:val="nil"/>
                    <w:tr2bl w:val="nil"/>
                  </w:tcBorders>
                  <w:noWrap w:val="0"/>
                  <w:vAlign w:val="center"/>
                </w:tcPr>
                <w:p w14:paraId="43C9F26D">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NO</w:t>
                  </w:r>
                  <w:r>
                    <w:rPr>
                      <w:rFonts w:hint="default" w:ascii="Times New Roman" w:hAnsi="Times New Roman" w:eastAsia="宋体" w:cs="Times New Roman"/>
                      <w:b w:val="0"/>
                      <w:bCs w:val="0"/>
                      <w:sz w:val="21"/>
                      <w:szCs w:val="21"/>
                      <w:vertAlign w:val="subscript"/>
                    </w:rPr>
                    <w:t>2</w:t>
                  </w:r>
                </w:p>
              </w:tc>
              <w:tc>
                <w:tcPr>
                  <w:tcW w:w="1564" w:type="pct"/>
                  <w:tcBorders>
                    <w:tl2br w:val="nil"/>
                    <w:tr2bl w:val="nil"/>
                  </w:tcBorders>
                  <w:noWrap w:val="0"/>
                  <w:vAlign w:val="center"/>
                </w:tcPr>
                <w:p w14:paraId="339E664C">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年平均</w:t>
                  </w:r>
                </w:p>
              </w:tc>
              <w:tc>
                <w:tcPr>
                  <w:tcW w:w="799" w:type="pct"/>
                  <w:tcBorders>
                    <w:tl2br w:val="nil"/>
                    <w:tr2bl w:val="nil"/>
                  </w:tcBorders>
                  <w:noWrap w:val="0"/>
                  <w:vAlign w:val="center"/>
                </w:tcPr>
                <w:p w14:paraId="701BC930">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20</w:t>
                  </w:r>
                </w:p>
              </w:tc>
              <w:tc>
                <w:tcPr>
                  <w:tcW w:w="858" w:type="pct"/>
                  <w:tcBorders>
                    <w:tl2br w:val="nil"/>
                    <w:tr2bl w:val="nil"/>
                  </w:tcBorders>
                  <w:noWrap w:val="0"/>
                  <w:vAlign w:val="center"/>
                </w:tcPr>
                <w:p w14:paraId="0543A4F3">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40</w:t>
                  </w:r>
                </w:p>
              </w:tc>
              <w:tc>
                <w:tcPr>
                  <w:tcW w:w="553" w:type="pct"/>
                  <w:tcBorders>
                    <w:tl2br w:val="nil"/>
                    <w:tr2bl w:val="nil"/>
                  </w:tcBorders>
                  <w:noWrap w:val="0"/>
                  <w:vAlign w:val="center"/>
                </w:tcPr>
                <w:p w14:paraId="7FFF629D">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50</w:t>
                  </w:r>
                </w:p>
              </w:tc>
              <w:tc>
                <w:tcPr>
                  <w:tcW w:w="472" w:type="pct"/>
                  <w:tcBorders>
                    <w:tl2br w:val="nil"/>
                    <w:tr2bl w:val="nil"/>
                  </w:tcBorders>
                  <w:noWrap w:val="0"/>
                  <w:vAlign w:val="center"/>
                </w:tcPr>
                <w:p w14:paraId="4A5751EF">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eastAsia="zh-CN"/>
                    </w:rPr>
                    <w:t>达标</w:t>
                  </w:r>
                </w:p>
              </w:tc>
            </w:tr>
            <w:tr w14:paraId="14B885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pct"/>
                  <w:vMerge w:val="continue"/>
                  <w:tcBorders>
                    <w:tl2br w:val="nil"/>
                    <w:tr2bl w:val="nil"/>
                  </w:tcBorders>
                  <w:noWrap w:val="0"/>
                  <w:vAlign w:val="center"/>
                </w:tcPr>
                <w:p w14:paraId="1DCDA76E">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rPr>
                  </w:pPr>
                </w:p>
              </w:tc>
              <w:tc>
                <w:tcPr>
                  <w:tcW w:w="1564" w:type="pct"/>
                  <w:tcBorders>
                    <w:tl2br w:val="nil"/>
                    <w:tr2bl w:val="nil"/>
                  </w:tcBorders>
                  <w:noWrap w:val="0"/>
                  <w:vAlign w:val="center"/>
                </w:tcPr>
                <w:p w14:paraId="050C5957">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24h平均第98百分位数</w:t>
                  </w:r>
                </w:p>
              </w:tc>
              <w:tc>
                <w:tcPr>
                  <w:tcW w:w="799" w:type="pct"/>
                  <w:tcBorders>
                    <w:tl2br w:val="nil"/>
                    <w:tr2bl w:val="nil"/>
                  </w:tcBorders>
                  <w:noWrap w:val="0"/>
                  <w:vAlign w:val="center"/>
                </w:tcPr>
                <w:p w14:paraId="4D50CE52">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53</w:t>
                  </w:r>
                </w:p>
              </w:tc>
              <w:tc>
                <w:tcPr>
                  <w:tcW w:w="858" w:type="pct"/>
                  <w:tcBorders>
                    <w:tl2br w:val="nil"/>
                    <w:tr2bl w:val="nil"/>
                  </w:tcBorders>
                  <w:noWrap w:val="0"/>
                  <w:vAlign w:val="center"/>
                </w:tcPr>
                <w:p w14:paraId="5A5D9582">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80</w:t>
                  </w:r>
                </w:p>
              </w:tc>
              <w:tc>
                <w:tcPr>
                  <w:tcW w:w="553" w:type="pct"/>
                  <w:tcBorders>
                    <w:tl2br w:val="nil"/>
                    <w:tr2bl w:val="nil"/>
                  </w:tcBorders>
                  <w:noWrap w:val="0"/>
                  <w:vAlign w:val="center"/>
                </w:tcPr>
                <w:p w14:paraId="7795A6A6">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66</w:t>
                  </w:r>
                </w:p>
              </w:tc>
              <w:tc>
                <w:tcPr>
                  <w:tcW w:w="472" w:type="pct"/>
                  <w:tcBorders>
                    <w:tl2br w:val="nil"/>
                    <w:tr2bl w:val="nil"/>
                  </w:tcBorders>
                  <w:noWrap w:val="0"/>
                  <w:vAlign w:val="center"/>
                </w:tcPr>
                <w:p w14:paraId="25DF8953">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eastAsia="zh-CN"/>
                    </w:rPr>
                    <w:t>达标</w:t>
                  </w:r>
                </w:p>
              </w:tc>
            </w:tr>
            <w:tr w14:paraId="4EB345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pct"/>
                  <w:tcBorders>
                    <w:tl2br w:val="nil"/>
                    <w:tr2bl w:val="nil"/>
                  </w:tcBorders>
                  <w:noWrap w:val="0"/>
                  <w:vAlign w:val="center"/>
                </w:tcPr>
                <w:p w14:paraId="7BF2C13F">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CO（mg/m</w:t>
                  </w:r>
                  <w:r>
                    <w:rPr>
                      <w:rFonts w:hint="default" w:ascii="Times New Roman" w:hAnsi="Times New Roman" w:eastAsia="宋体" w:cs="Times New Roman"/>
                      <w:b w:val="0"/>
                      <w:bCs w:val="0"/>
                      <w:sz w:val="21"/>
                      <w:szCs w:val="21"/>
                      <w:vertAlign w:val="superscript"/>
                    </w:rPr>
                    <w:t>3</w:t>
                  </w:r>
                  <w:r>
                    <w:rPr>
                      <w:rFonts w:hint="default" w:ascii="Times New Roman" w:hAnsi="Times New Roman" w:eastAsia="宋体" w:cs="Times New Roman"/>
                      <w:b w:val="0"/>
                      <w:bCs w:val="0"/>
                      <w:sz w:val="21"/>
                      <w:szCs w:val="21"/>
                    </w:rPr>
                    <w:t>）</w:t>
                  </w:r>
                </w:p>
              </w:tc>
              <w:tc>
                <w:tcPr>
                  <w:tcW w:w="1564" w:type="pct"/>
                  <w:tcBorders>
                    <w:tl2br w:val="nil"/>
                    <w:tr2bl w:val="nil"/>
                  </w:tcBorders>
                  <w:noWrap w:val="0"/>
                  <w:vAlign w:val="center"/>
                </w:tcPr>
                <w:p w14:paraId="59AC201D">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24h平均第95百分位数</w:t>
                  </w:r>
                </w:p>
              </w:tc>
              <w:tc>
                <w:tcPr>
                  <w:tcW w:w="799" w:type="pct"/>
                  <w:tcBorders>
                    <w:tl2br w:val="nil"/>
                    <w:tr2bl w:val="nil"/>
                  </w:tcBorders>
                  <w:noWrap w:val="0"/>
                  <w:vAlign w:val="center"/>
                </w:tcPr>
                <w:p w14:paraId="2BF0DA09">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w:t>
                  </w:r>
                </w:p>
              </w:tc>
              <w:tc>
                <w:tcPr>
                  <w:tcW w:w="858" w:type="pct"/>
                  <w:tcBorders>
                    <w:tl2br w:val="nil"/>
                    <w:tr2bl w:val="nil"/>
                  </w:tcBorders>
                  <w:noWrap w:val="0"/>
                  <w:vAlign w:val="center"/>
                </w:tcPr>
                <w:p w14:paraId="32CAB891">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4</w:t>
                  </w:r>
                </w:p>
              </w:tc>
              <w:tc>
                <w:tcPr>
                  <w:tcW w:w="553" w:type="pct"/>
                  <w:tcBorders>
                    <w:tl2br w:val="nil"/>
                    <w:tr2bl w:val="nil"/>
                  </w:tcBorders>
                  <w:noWrap w:val="0"/>
                  <w:vAlign w:val="center"/>
                </w:tcPr>
                <w:p w14:paraId="3A051BD1">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25</w:t>
                  </w:r>
                </w:p>
              </w:tc>
              <w:tc>
                <w:tcPr>
                  <w:tcW w:w="472" w:type="pct"/>
                  <w:tcBorders>
                    <w:tl2br w:val="nil"/>
                    <w:tr2bl w:val="nil"/>
                  </w:tcBorders>
                  <w:noWrap w:val="0"/>
                  <w:vAlign w:val="center"/>
                </w:tcPr>
                <w:p w14:paraId="3226E90B">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eastAsia="zh-CN"/>
                    </w:rPr>
                    <w:t>达标</w:t>
                  </w:r>
                </w:p>
              </w:tc>
            </w:tr>
            <w:tr w14:paraId="788DF8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pct"/>
                  <w:tcBorders>
                    <w:tl2br w:val="nil"/>
                    <w:tr2bl w:val="nil"/>
                  </w:tcBorders>
                  <w:noWrap w:val="0"/>
                  <w:vAlign w:val="center"/>
                </w:tcPr>
                <w:p w14:paraId="2C16D9A8">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O</w:t>
                  </w:r>
                  <w:r>
                    <w:rPr>
                      <w:rFonts w:hint="default" w:ascii="Times New Roman" w:hAnsi="Times New Roman" w:eastAsia="宋体" w:cs="Times New Roman"/>
                      <w:b w:val="0"/>
                      <w:bCs w:val="0"/>
                      <w:sz w:val="21"/>
                      <w:szCs w:val="21"/>
                      <w:vertAlign w:val="subscript"/>
                    </w:rPr>
                    <w:t>3</w:t>
                  </w:r>
                </w:p>
              </w:tc>
              <w:tc>
                <w:tcPr>
                  <w:tcW w:w="1564" w:type="pct"/>
                  <w:tcBorders>
                    <w:tl2br w:val="nil"/>
                    <w:tr2bl w:val="nil"/>
                  </w:tcBorders>
                  <w:noWrap w:val="0"/>
                  <w:vAlign w:val="center"/>
                </w:tcPr>
                <w:p w14:paraId="2D2C6C9F">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最大8小时滑动平均值的第90百分位数</w:t>
                  </w:r>
                </w:p>
              </w:tc>
              <w:tc>
                <w:tcPr>
                  <w:tcW w:w="799" w:type="pct"/>
                  <w:tcBorders>
                    <w:tl2br w:val="nil"/>
                    <w:tr2bl w:val="nil"/>
                  </w:tcBorders>
                  <w:noWrap w:val="0"/>
                  <w:vAlign w:val="center"/>
                </w:tcPr>
                <w:p w14:paraId="7BA15FE8">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139</w:t>
                  </w:r>
                </w:p>
              </w:tc>
              <w:tc>
                <w:tcPr>
                  <w:tcW w:w="858" w:type="pct"/>
                  <w:tcBorders>
                    <w:tl2br w:val="nil"/>
                    <w:tr2bl w:val="nil"/>
                  </w:tcBorders>
                  <w:noWrap w:val="0"/>
                  <w:vAlign w:val="center"/>
                </w:tcPr>
                <w:p w14:paraId="3505B430">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160</w:t>
                  </w:r>
                </w:p>
              </w:tc>
              <w:tc>
                <w:tcPr>
                  <w:tcW w:w="553" w:type="pct"/>
                  <w:tcBorders>
                    <w:tl2br w:val="nil"/>
                    <w:tr2bl w:val="nil"/>
                  </w:tcBorders>
                  <w:noWrap w:val="0"/>
                  <w:vAlign w:val="center"/>
                </w:tcPr>
                <w:p w14:paraId="19D99142">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87</w:t>
                  </w:r>
                </w:p>
              </w:tc>
              <w:tc>
                <w:tcPr>
                  <w:tcW w:w="472" w:type="pct"/>
                  <w:tcBorders>
                    <w:tl2br w:val="nil"/>
                    <w:tr2bl w:val="nil"/>
                  </w:tcBorders>
                  <w:noWrap w:val="0"/>
                  <w:vAlign w:val="center"/>
                </w:tcPr>
                <w:p w14:paraId="4D76E6F2">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eastAsia="zh-CN"/>
                    </w:rPr>
                    <w:t>达标</w:t>
                  </w:r>
                </w:p>
              </w:tc>
            </w:tr>
            <w:tr w14:paraId="1631E5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751" w:type="pct"/>
                  <w:vMerge w:val="restart"/>
                  <w:tcBorders>
                    <w:tl2br w:val="nil"/>
                    <w:tr2bl w:val="nil"/>
                  </w:tcBorders>
                  <w:noWrap w:val="0"/>
                  <w:vAlign w:val="center"/>
                </w:tcPr>
                <w:p w14:paraId="503A2176">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PM</w:t>
                  </w:r>
                  <w:r>
                    <w:rPr>
                      <w:rFonts w:hint="default" w:ascii="Times New Roman" w:hAnsi="Times New Roman" w:eastAsia="宋体" w:cs="Times New Roman"/>
                      <w:b w:val="0"/>
                      <w:bCs w:val="0"/>
                      <w:sz w:val="21"/>
                      <w:szCs w:val="21"/>
                      <w:vertAlign w:val="subscript"/>
                    </w:rPr>
                    <w:t>10</w:t>
                  </w:r>
                </w:p>
              </w:tc>
              <w:tc>
                <w:tcPr>
                  <w:tcW w:w="1564" w:type="pct"/>
                  <w:tcBorders>
                    <w:tl2br w:val="nil"/>
                    <w:tr2bl w:val="nil"/>
                  </w:tcBorders>
                  <w:noWrap w:val="0"/>
                  <w:vAlign w:val="center"/>
                </w:tcPr>
                <w:p w14:paraId="432DB2AA">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年平均</w:t>
                  </w:r>
                </w:p>
              </w:tc>
              <w:tc>
                <w:tcPr>
                  <w:tcW w:w="799" w:type="pct"/>
                  <w:tcBorders>
                    <w:tl2br w:val="nil"/>
                    <w:tr2bl w:val="nil"/>
                  </w:tcBorders>
                  <w:noWrap w:val="0"/>
                  <w:vAlign w:val="center"/>
                </w:tcPr>
                <w:p w14:paraId="704C14B0">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132</w:t>
                  </w:r>
                </w:p>
              </w:tc>
              <w:tc>
                <w:tcPr>
                  <w:tcW w:w="858" w:type="pct"/>
                  <w:tcBorders>
                    <w:tl2br w:val="nil"/>
                    <w:tr2bl w:val="nil"/>
                  </w:tcBorders>
                  <w:noWrap w:val="0"/>
                  <w:vAlign w:val="center"/>
                </w:tcPr>
                <w:p w14:paraId="049C91E9">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70</w:t>
                  </w:r>
                </w:p>
              </w:tc>
              <w:tc>
                <w:tcPr>
                  <w:tcW w:w="553" w:type="pct"/>
                  <w:tcBorders>
                    <w:tl2br w:val="nil"/>
                    <w:tr2bl w:val="nil"/>
                  </w:tcBorders>
                  <w:noWrap w:val="0"/>
                  <w:vAlign w:val="center"/>
                </w:tcPr>
                <w:p w14:paraId="4ECAAD8A">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189</w:t>
                  </w:r>
                </w:p>
              </w:tc>
              <w:tc>
                <w:tcPr>
                  <w:tcW w:w="472" w:type="pct"/>
                  <w:tcBorders>
                    <w:tl2br w:val="nil"/>
                    <w:tr2bl w:val="nil"/>
                  </w:tcBorders>
                  <w:noWrap w:val="0"/>
                  <w:vAlign w:val="center"/>
                </w:tcPr>
                <w:p w14:paraId="255FE1D7">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超标</w:t>
                  </w:r>
                </w:p>
              </w:tc>
            </w:tr>
            <w:tr w14:paraId="7A30AE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pct"/>
                  <w:vMerge w:val="continue"/>
                  <w:tcBorders>
                    <w:tl2br w:val="nil"/>
                    <w:tr2bl w:val="nil"/>
                  </w:tcBorders>
                  <w:noWrap w:val="0"/>
                  <w:vAlign w:val="center"/>
                </w:tcPr>
                <w:p w14:paraId="06ED97E5">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rPr>
                  </w:pPr>
                </w:p>
              </w:tc>
              <w:tc>
                <w:tcPr>
                  <w:tcW w:w="1564" w:type="pct"/>
                  <w:tcBorders>
                    <w:tl2br w:val="nil"/>
                    <w:tr2bl w:val="nil"/>
                  </w:tcBorders>
                  <w:noWrap w:val="0"/>
                  <w:vAlign w:val="center"/>
                </w:tcPr>
                <w:p w14:paraId="5DF28553">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24h平均第95百分位数</w:t>
                  </w:r>
                </w:p>
              </w:tc>
              <w:tc>
                <w:tcPr>
                  <w:tcW w:w="799" w:type="pct"/>
                  <w:tcBorders>
                    <w:tl2br w:val="nil"/>
                    <w:tr2bl w:val="nil"/>
                  </w:tcBorders>
                  <w:noWrap w:val="0"/>
                  <w:vAlign w:val="center"/>
                </w:tcPr>
                <w:p w14:paraId="259970D0">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397</w:t>
                  </w:r>
                </w:p>
              </w:tc>
              <w:tc>
                <w:tcPr>
                  <w:tcW w:w="858" w:type="pct"/>
                  <w:tcBorders>
                    <w:tl2br w:val="nil"/>
                    <w:tr2bl w:val="nil"/>
                  </w:tcBorders>
                  <w:noWrap w:val="0"/>
                  <w:vAlign w:val="center"/>
                </w:tcPr>
                <w:p w14:paraId="4D4BBAEA">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150</w:t>
                  </w:r>
                </w:p>
              </w:tc>
              <w:tc>
                <w:tcPr>
                  <w:tcW w:w="553" w:type="pct"/>
                  <w:tcBorders>
                    <w:tl2br w:val="nil"/>
                    <w:tr2bl w:val="nil"/>
                  </w:tcBorders>
                  <w:noWrap w:val="0"/>
                  <w:vAlign w:val="center"/>
                </w:tcPr>
                <w:p w14:paraId="51391C21">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265</w:t>
                  </w:r>
                </w:p>
              </w:tc>
              <w:tc>
                <w:tcPr>
                  <w:tcW w:w="472" w:type="pct"/>
                  <w:tcBorders>
                    <w:tl2br w:val="nil"/>
                    <w:tr2bl w:val="nil"/>
                  </w:tcBorders>
                  <w:noWrap w:val="0"/>
                  <w:vAlign w:val="center"/>
                </w:tcPr>
                <w:p w14:paraId="234E4CD2">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超标</w:t>
                  </w:r>
                </w:p>
              </w:tc>
            </w:tr>
            <w:tr w14:paraId="402D6B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pct"/>
                  <w:vMerge w:val="restart"/>
                  <w:tcBorders>
                    <w:tl2br w:val="nil"/>
                    <w:tr2bl w:val="nil"/>
                  </w:tcBorders>
                  <w:noWrap w:val="0"/>
                  <w:vAlign w:val="center"/>
                </w:tcPr>
                <w:p w14:paraId="31309C08">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PM</w:t>
                  </w:r>
                  <w:r>
                    <w:rPr>
                      <w:rFonts w:hint="default" w:ascii="Times New Roman" w:hAnsi="Times New Roman" w:eastAsia="宋体" w:cs="Times New Roman"/>
                      <w:b w:val="0"/>
                      <w:bCs w:val="0"/>
                      <w:sz w:val="21"/>
                      <w:szCs w:val="21"/>
                      <w:vertAlign w:val="subscript"/>
                    </w:rPr>
                    <w:t>2.5</w:t>
                  </w:r>
                </w:p>
              </w:tc>
              <w:tc>
                <w:tcPr>
                  <w:tcW w:w="1564" w:type="pct"/>
                  <w:tcBorders>
                    <w:tl2br w:val="nil"/>
                    <w:tr2bl w:val="nil"/>
                  </w:tcBorders>
                  <w:noWrap w:val="0"/>
                  <w:vAlign w:val="center"/>
                </w:tcPr>
                <w:p w14:paraId="4057C546">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年平均</w:t>
                  </w:r>
                </w:p>
              </w:tc>
              <w:tc>
                <w:tcPr>
                  <w:tcW w:w="799" w:type="pct"/>
                  <w:tcBorders>
                    <w:tl2br w:val="nil"/>
                    <w:tr2bl w:val="nil"/>
                  </w:tcBorders>
                  <w:noWrap w:val="0"/>
                  <w:vAlign w:val="center"/>
                </w:tcPr>
                <w:p w14:paraId="578C33F2">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42</w:t>
                  </w:r>
                </w:p>
              </w:tc>
              <w:tc>
                <w:tcPr>
                  <w:tcW w:w="858" w:type="pct"/>
                  <w:tcBorders>
                    <w:tl2br w:val="nil"/>
                    <w:tr2bl w:val="nil"/>
                  </w:tcBorders>
                  <w:noWrap w:val="0"/>
                  <w:vAlign w:val="center"/>
                </w:tcPr>
                <w:p w14:paraId="7D72B3FE">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35</w:t>
                  </w:r>
                </w:p>
              </w:tc>
              <w:tc>
                <w:tcPr>
                  <w:tcW w:w="553" w:type="pct"/>
                  <w:tcBorders>
                    <w:tl2br w:val="nil"/>
                    <w:tr2bl w:val="nil"/>
                  </w:tcBorders>
                  <w:noWrap w:val="0"/>
                  <w:vAlign w:val="center"/>
                </w:tcPr>
                <w:p w14:paraId="6C5E9BA2">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120</w:t>
                  </w:r>
                </w:p>
              </w:tc>
              <w:tc>
                <w:tcPr>
                  <w:tcW w:w="472" w:type="pct"/>
                  <w:tcBorders>
                    <w:tl2br w:val="nil"/>
                    <w:tr2bl w:val="nil"/>
                  </w:tcBorders>
                  <w:noWrap w:val="0"/>
                  <w:vAlign w:val="center"/>
                </w:tcPr>
                <w:p w14:paraId="12938D93">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超标</w:t>
                  </w:r>
                </w:p>
              </w:tc>
            </w:tr>
            <w:tr w14:paraId="08C8B5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pct"/>
                  <w:vMerge w:val="continue"/>
                  <w:tcBorders>
                    <w:tl2br w:val="nil"/>
                    <w:tr2bl w:val="nil"/>
                  </w:tcBorders>
                  <w:noWrap w:val="0"/>
                  <w:vAlign w:val="center"/>
                </w:tcPr>
                <w:p w14:paraId="4EB60F2B">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rPr>
                  </w:pPr>
                </w:p>
              </w:tc>
              <w:tc>
                <w:tcPr>
                  <w:tcW w:w="1564" w:type="pct"/>
                  <w:tcBorders>
                    <w:tl2br w:val="nil"/>
                    <w:tr2bl w:val="nil"/>
                  </w:tcBorders>
                  <w:noWrap w:val="0"/>
                  <w:vAlign w:val="center"/>
                </w:tcPr>
                <w:p w14:paraId="7E81788D">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24h平均第95百分位数</w:t>
                  </w:r>
                </w:p>
              </w:tc>
              <w:tc>
                <w:tcPr>
                  <w:tcW w:w="799" w:type="pct"/>
                  <w:tcBorders>
                    <w:tl2br w:val="nil"/>
                    <w:tr2bl w:val="nil"/>
                  </w:tcBorders>
                  <w:noWrap w:val="0"/>
                  <w:vAlign w:val="center"/>
                </w:tcPr>
                <w:p w14:paraId="5A66D2D5">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83</w:t>
                  </w:r>
                </w:p>
              </w:tc>
              <w:tc>
                <w:tcPr>
                  <w:tcW w:w="858" w:type="pct"/>
                  <w:tcBorders>
                    <w:tl2br w:val="nil"/>
                    <w:tr2bl w:val="nil"/>
                  </w:tcBorders>
                  <w:noWrap w:val="0"/>
                  <w:vAlign w:val="center"/>
                </w:tcPr>
                <w:p w14:paraId="4022106C">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75</w:t>
                  </w:r>
                </w:p>
              </w:tc>
              <w:tc>
                <w:tcPr>
                  <w:tcW w:w="553" w:type="pct"/>
                  <w:tcBorders>
                    <w:tl2br w:val="nil"/>
                    <w:tr2bl w:val="nil"/>
                  </w:tcBorders>
                  <w:noWrap w:val="0"/>
                  <w:vAlign w:val="center"/>
                </w:tcPr>
                <w:p w14:paraId="397F34FB">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111</w:t>
                  </w:r>
                </w:p>
              </w:tc>
              <w:tc>
                <w:tcPr>
                  <w:tcW w:w="472" w:type="pct"/>
                  <w:tcBorders>
                    <w:tl2br w:val="nil"/>
                    <w:tr2bl w:val="nil"/>
                  </w:tcBorders>
                  <w:noWrap w:val="0"/>
                  <w:vAlign w:val="center"/>
                </w:tcPr>
                <w:p w14:paraId="555C99AA">
                  <w:pPr>
                    <w:pStyle w:val="7"/>
                    <w:keepNext/>
                    <w:keepLines/>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超标</w:t>
                  </w:r>
                </w:p>
              </w:tc>
            </w:tr>
          </w:tbl>
          <w:p w14:paraId="77C9D469">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bCs/>
                <w:color w:val="auto"/>
                <w:kern w:val="0"/>
                <w:sz w:val="24"/>
                <w:szCs w:val="20"/>
                <w:lang w:val="en-US" w:eastAsia="zh-CN" w:bidi="ar-SA"/>
              </w:rPr>
              <w:t>综上，</w:t>
            </w:r>
            <w:r>
              <w:rPr>
                <w:rFonts w:hint="default" w:ascii="Times New Roman" w:hAnsi="Times New Roman" w:eastAsia="宋体" w:cs="Times New Roman"/>
                <w:bCs/>
                <w:color w:val="auto"/>
                <w:kern w:val="0"/>
                <w:sz w:val="24"/>
                <w:szCs w:val="20"/>
                <w:lang w:val="en-US" w:eastAsia="zh-CN" w:bidi="ar-SA"/>
              </w:rPr>
              <w:t>PM</w:t>
            </w:r>
            <w:r>
              <w:rPr>
                <w:rFonts w:hint="default" w:ascii="Times New Roman" w:hAnsi="Times New Roman" w:eastAsia="宋体" w:cs="Times New Roman"/>
                <w:bCs/>
                <w:color w:val="auto"/>
                <w:kern w:val="0"/>
                <w:sz w:val="24"/>
                <w:szCs w:val="20"/>
                <w:vertAlign w:val="subscript"/>
                <w:lang w:val="en-US" w:eastAsia="zh-CN" w:bidi="ar-SA"/>
              </w:rPr>
              <w:t>10</w:t>
            </w:r>
            <w:r>
              <w:rPr>
                <w:rFonts w:hint="default" w:ascii="Times New Roman" w:hAnsi="Times New Roman" w:eastAsia="宋体" w:cs="Times New Roman"/>
                <w:bCs/>
                <w:color w:val="auto"/>
                <w:kern w:val="0"/>
                <w:sz w:val="24"/>
                <w:szCs w:val="20"/>
                <w:lang w:val="en-US" w:eastAsia="zh-CN" w:bidi="ar-SA"/>
              </w:rPr>
              <w:t>、PM</w:t>
            </w:r>
            <w:r>
              <w:rPr>
                <w:rFonts w:hint="default" w:ascii="Times New Roman" w:hAnsi="Times New Roman" w:eastAsia="宋体" w:cs="Times New Roman"/>
                <w:bCs/>
                <w:color w:val="auto"/>
                <w:kern w:val="0"/>
                <w:sz w:val="24"/>
                <w:szCs w:val="20"/>
                <w:vertAlign w:val="subscript"/>
                <w:lang w:val="en-US" w:eastAsia="zh-CN" w:bidi="ar-SA"/>
              </w:rPr>
              <w:t>2.5</w:t>
            </w:r>
            <w:r>
              <w:rPr>
                <w:rFonts w:hint="default" w:ascii="Times New Roman" w:hAnsi="Times New Roman" w:eastAsia="宋体" w:cs="Times New Roman"/>
                <w:bCs/>
                <w:color w:val="auto"/>
                <w:kern w:val="0"/>
                <w:sz w:val="24"/>
                <w:szCs w:val="20"/>
                <w:lang w:val="en-US" w:eastAsia="zh-CN" w:bidi="ar-SA"/>
              </w:rPr>
              <w:t>年均值浓度超过《</w:t>
            </w:r>
            <w:r>
              <w:rPr>
                <w:rFonts w:hint="default" w:ascii="Times New Roman" w:hAnsi="Times New Roman" w:eastAsia="宋体" w:cs="Times New Roman"/>
                <w:bCs/>
                <w:color w:val="FF0000"/>
                <w:kern w:val="0"/>
                <w:sz w:val="24"/>
                <w:szCs w:val="20"/>
                <w:lang w:val="en-US" w:eastAsia="zh-CN" w:bidi="ar-SA"/>
              </w:rPr>
              <w:t>环境空气质量标准（GB3095-20</w:t>
            </w:r>
            <w:r>
              <w:rPr>
                <w:rFonts w:hint="eastAsia" w:cs="Times New Roman"/>
                <w:bCs/>
                <w:color w:val="FF0000"/>
                <w:kern w:val="0"/>
                <w:sz w:val="24"/>
                <w:szCs w:val="20"/>
                <w:lang w:val="en-US" w:eastAsia="zh-CN" w:bidi="ar-SA"/>
              </w:rPr>
              <w:t>26</w:t>
            </w:r>
            <w:r>
              <w:rPr>
                <w:rFonts w:hint="default" w:ascii="Times New Roman" w:hAnsi="Times New Roman" w:eastAsia="宋体" w:cs="Times New Roman"/>
                <w:bCs/>
                <w:color w:val="FF0000"/>
                <w:kern w:val="0"/>
                <w:sz w:val="24"/>
                <w:szCs w:val="20"/>
                <w:lang w:val="en-US" w:eastAsia="zh-CN" w:bidi="ar-SA"/>
              </w:rPr>
              <w:t>）</w:t>
            </w:r>
            <w:r>
              <w:rPr>
                <w:rFonts w:hint="default" w:ascii="Times New Roman" w:hAnsi="Times New Roman" w:eastAsia="宋体" w:cs="Times New Roman"/>
                <w:bCs/>
                <w:color w:val="auto"/>
                <w:kern w:val="0"/>
                <w:sz w:val="24"/>
                <w:szCs w:val="20"/>
                <w:lang w:val="en-US" w:eastAsia="zh-CN" w:bidi="ar-SA"/>
              </w:rPr>
              <w:t>》二级标准，SO</w:t>
            </w:r>
            <w:r>
              <w:rPr>
                <w:rFonts w:hint="default" w:ascii="Times New Roman" w:hAnsi="Times New Roman" w:eastAsia="宋体" w:cs="Times New Roman"/>
                <w:bCs/>
                <w:color w:val="auto"/>
                <w:kern w:val="0"/>
                <w:sz w:val="24"/>
                <w:szCs w:val="20"/>
                <w:vertAlign w:val="subscript"/>
                <w:lang w:val="en-US" w:eastAsia="zh-CN" w:bidi="ar-SA"/>
              </w:rPr>
              <w:t>2</w:t>
            </w:r>
            <w:r>
              <w:rPr>
                <w:rFonts w:hint="default" w:ascii="Times New Roman" w:hAnsi="Times New Roman" w:eastAsia="宋体" w:cs="Times New Roman"/>
                <w:bCs/>
                <w:color w:val="auto"/>
                <w:kern w:val="0"/>
                <w:sz w:val="24"/>
                <w:szCs w:val="20"/>
                <w:lang w:val="en-US" w:eastAsia="zh-CN" w:bidi="ar-SA"/>
              </w:rPr>
              <w:t>、</w:t>
            </w:r>
            <w:r>
              <w:rPr>
                <w:rFonts w:hint="eastAsia" w:cs="Times New Roman"/>
                <w:bCs/>
                <w:color w:val="auto"/>
                <w:kern w:val="0"/>
                <w:sz w:val="24"/>
                <w:szCs w:val="20"/>
                <w:lang w:val="en-US" w:eastAsia="zh-CN" w:bidi="ar-SA"/>
              </w:rPr>
              <w:t>NO</w:t>
            </w:r>
            <w:r>
              <w:rPr>
                <w:rFonts w:hint="eastAsia" w:cs="Times New Roman"/>
                <w:bCs/>
                <w:color w:val="auto"/>
                <w:kern w:val="0"/>
                <w:sz w:val="24"/>
                <w:szCs w:val="20"/>
                <w:vertAlign w:val="subscript"/>
                <w:lang w:val="en-US" w:eastAsia="zh-CN" w:bidi="ar-SA"/>
              </w:rPr>
              <w:t>2</w:t>
            </w:r>
            <w:r>
              <w:rPr>
                <w:rFonts w:hint="default" w:ascii="Times New Roman" w:hAnsi="Times New Roman" w:eastAsia="宋体" w:cs="Times New Roman"/>
                <w:bCs/>
                <w:color w:val="auto"/>
                <w:kern w:val="0"/>
                <w:sz w:val="24"/>
                <w:szCs w:val="20"/>
                <w:lang w:val="en-US" w:eastAsia="zh-CN" w:bidi="ar-SA"/>
              </w:rPr>
              <w:t>、CO、O</w:t>
            </w:r>
            <w:r>
              <w:rPr>
                <w:rFonts w:hint="default" w:ascii="Times New Roman" w:hAnsi="Times New Roman" w:eastAsia="宋体" w:cs="Times New Roman"/>
                <w:bCs/>
                <w:color w:val="auto"/>
                <w:kern w:val="0"/>
                <w:sz w:val="24"/>
                <w:szCs w:val="20"/>
                <w:vertAlign w:val="subscript"/>
                <w:lang w:val="en-US" w:eastAsia="zh-CN" w:bidi="ar-SA"/>
              </w:rPr>
              <w:t>3</w:t>
            </w:r>
            <w:r>
              <w:rPr>
                <w:rFonts w:hint="default" w:ascii="Times New Roman" w:hAnsi="Times New Roman" w:eastAsia="宋体" w:cs="Times New Roman"/>
                <w:bCs/>
                <w:color w:val="auto"/>
                <w:kern w:val="0"/>
                <w:sz w:val="24"/>
                <w:szCs w:val="20"/>
                <w:lang w:val="en-US" w:eastAsia="zh-CN" w:bidi="ar-SA"/>
              </w:rPr>
              <w:t>等其他监测指标均满足二级标准，</w:t>
            </w:r>
            <w:r>
              <w:rPr>
                <w:rFonts w:hint="eastAsia" w:ascii="Times New Roman" w:hAnsi="Times New Roman" w:eastAsia="宋体" w:cs="Times New Roman"/>
                <w:bCs/>
                <w:color w:val="auto"/>
                <w:kern w:val="0"/>
                <w:sz w:val="24"/>
                <w:szCs w:val="20"/>
                <w:lang w:val="en-US" w:eastAsia="zh-CN" w:bidi="ar-SA"/>
              </w:rPr>
              <w:t>因此判断</w:t>
            </w:r>
            <w:r>
              <w:rPr>
                <w:rFonts w:hint="default" w:ascii="Times New Roman" w:hAnsi="Times New Roman" w:eastAsia="宋体" w:cs="Times New Roman"/>
                <w:bCs/>
                <w:color w:val="auto"/>
                <w:kern w:val="0"/>
                <w:sz w:val="24"/>
                <w:szCs w:val="20"/>
                <w:lang w:val="en-US" w:eastAsia="zh-CN" w:bidi="ar-SA"/>
              </w:rPr>
              <w:t>本项目所在区域为</w:t>
            </w:r>
            <w:r>
              <w:rPr>
                <w:rFonts w:hint="eastAsia" w:cs="Times New Roman"/>
                <w:bCs/>
                <w:color w:val="auto"/>
                <w:kern w:val="0"/>
                <w:sz w:val="24"/>
                <w:szCs w:val="20"/>
                <w:lang w:val="en-US" w:eastAsia="zh-CN" w:bidi="ar-SA"/>
              </w:rPr>
              <w:t>不</w:t>
            </w:r>
            <w:r>
              <w:rPr>
                <w:rFonts w:hint="default" w:ascii="Times New Roman" w:hAnsi="Times New Roman" w:eastAsia="宋体" w:cs="Times New Roman"/>
                <w:bCs/>
                <w:color w:val="auto"/>
                <w:kern w:val="0"/>
                <w:sz w:val="24"/>
                <w:szCs w:val="20"/>
                <w:lang w:val="en-US" w:eastAsia="zh-CN" w:bidi="ar-SA"/>
              </w:rPr>
              <w:t>达标区域。</w:t>
            </w:r>
          </w:p>
          <w:p w14:paraId="556F5151">
            <w:pPr>
              <w:pStyle w:val="5"/>
              <w:spacing w:line="360" w:lineRule="auto"/>
              <w:ind w:firstLine="482" w:firstLineChars="200"/>
              <w:rPr>
                <w:rFonts w:hint="default" w:ascii="Times New Roman" w:hAnsi="Times New Roman" w:cs="Times New Roman"/>
                <w:color w:val="auto"/>
              </w:rPr>
            </w:pPr>
            <w:r>
              <w:rPr>
                <w:rFonts w:hint="default" w:ascii="Times New Roman" w:hAnsi="Times New Roman" w:cs="Times New Roman"/>
                <w:color w:val="auto"/>
              </w:rPr>
              <w:t>1.</w:t>
            </w:r>
            <w:r>
              <w:rPr>
                <w:rFonts w:hint="eastAsia" w:ascii="Times New Roman" w:hAnsi="Times New Roman" w:cs="Times New Roman"/>
                <w:color w:val="auto"/>
                <w:lang w:val="en-US" w:eastAsia="zh-CN"/>
              </w:rPr>
              <w:t>2</w:t>
            </w:r>
            <w:r>
              <w:rPr>
                <w:rFonts w:hint="default" w:ascii="Times New Roman" w:hAnsi="Times New Roman" w:cs="Times New Roman"/>
                <w:color w:val="auto"/>
              </w:rPr>
              <w:t>特征污染物监测结果及评价</w:t>
            </w:r>
          </w:p>
          <w:p w14:paraId="4D3191F6">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本项目特征污染物</w:t>
            </w:r>
            <w:r>
              <w:rPr>
                <w:rFonts w:hint="default" w:ascii="Times New Roman" w:hAnsi="Times New Roman" w:cs="Times New Roman"/>
                <w:color w:val="auto"/>
                <w:sz w:val="24"/>
                <w:lang w:val="en-US" w:eastAsia="zh-CN"/>
              </w:rPr>
              <w:t>包括TSP</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根据《建设项目环境影响报告表编制技术指南（污染影响类）（试行）》要求，委托新疆中测测试有限责任公司进行一期监测</w:t>
            </w:r>
            <w:r>
              <w:rPr>
                <w:rFonts w:hint="eastAsia" w:cs="Times New Roman"/>
                <w:color w:val="auto"/>
                <w:sz w:val="24"/>
                <w:lang w:val="en-US" w:eastAsia="zh-CN"/>
              </w:rPr>
              <w:t>。</w:t>
            </w:r>
          </w:p>
          <w:p w14:paraId="0AFD1E81">
            <w:pPr>
              <w:spacing w:line="360" w:lineRule="auto"/>
              <w:ind w:firstLine="480" w:firstLineChars="200"/>
              <w:jc w:val="left"/>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①监测点位</w:t>
            </w:r>
            <w:r>
              <w:rPr>
                <w:rFonts w:hint="eastAsia" w:cs="Times New Roman"/>
                <w:color w:val="auto"/>
                <w:sz w:val="24"/>
                <w:lang w:eastAsia="zh-CN"/>
              </w:rPr>
              <w:t>：</w:t>
            </w:r>
            <w:r>
              <w:rPr>
                <w:rFonts w:hint="eastAsia" w:cs="Times New Roman"/>
                <w:color w:val="auto"/>
                <w:sz w:val="24"/>
                <w:lang w:val="en-US" w:eastAsia="zh-CN"/>
              </w:rPr>
              <w:t>厂址1个监测点、当季主导下风向1个监测点。</w:t>
            </w:r>
          </w:p>
          <w:p w14:paraId="72C39417">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②监测项目：</w:t>
            </w:r>
            <w:r>
              <w:rPr>
                <w:rFonts w:hint="default" w:ascii="Times New Roman" w:hAnsi="Times New Roman" w:cs="Times New Roman"/>
                <w:color w:val="auto"/>
                <w:sz w:val="24"/>
                <w:lang w:val="en-US" w:eastAsia="zh-CN"/>
              </w:rPr>
              <w:t>TSP</w:t>
            </w:r>
            <w:r>
              <w:rPr>
                <w:rFonts w:hint="default" w:ascii="Times New Roman" w:hAnsi="Times New Roman" w:cs="Times New Roman"/>
                <w:color w:val="auto"/>
                <w:sz w:val="24"/>
              </w:rPr>
              <w:t>。</w:t>
            </w:r>
          </w:p>
          <w:p w14:paraId="60EA9EE9">
            <w:pPr>
              <w:spacing w:line="360" w:lineRule="auto"/>
              <w:ind w:firstLine="480" w:firstLineChars="200"/>
              <w:jc w:val="left"/>
              <w:rPr>
                <w:rFonts w:hint="default" w:ascii="Times New Roman" w:hAnsi="Times New Roman" w:cs="Times New Roman"/>
                <w:color w:val="auto"/>
                <w:sz w:val="24"/>
                <w:lang w:val="en-US" w:eastAsia="zh-CN"/>
              </w:rPr>
            </w:pPr>
            <w:r>
              <w:rPr>
                <w:rFonts w:hint="default" w:ascii="Times New Roman" w:hAnsi="Times New Roman" w:cs="Times New Roman"/>
                <w:color w:val="auto"/>
                <w:sz w:val="24"/>
              </w:rPr>
              <w:t>③</w:t>
            </w:r>
            <w:r>
              <w:rPr>
                <w:rFonts w:hint="eastAsia" w:ascii="Times New Roman" w:hAnsi="Times New Roman" w:cs="Times New Roman"/>
                <w:color w:val="auto"/>
                <w:sz w:val="24"/>
                <w:lang w:val="en-US" w:eastAsia="zh-CN"/>
              </w:rPr>
              <w:t>监测时间：</w:t>
            </w:r>
            <w:r>
              <w:rPr>
                <w:rFonts w:hint="default" w:ascii="Times New Roman" w:hAnsi="Times New Roman" w:cs="Times New Roman"/>
                <w:color w:val="auto"/>
                <w:sz w:val="24"/>
                <w:lang w:val="en-US" w:eastAsia="zh-CN"/>
              </w:rPr>
              <w:t>20</w:t>
            </w:r>
            <w:r>
              <w:rPr>
                <w:rFonts w:hint="eastAsia" w:ascii="Times New Roman" w:hAnsi="Times New Roman" w:cs="Times New Roman"/>
                <w:color w:val="auto"/>
                <w:sz w:val="24"/>
                <w:lang w:val="en-US" w:eastAsia="zh-CN"/>
              </w:rPr>
              <w:t>24</w:t>
            </w:r>
            <w:r>
              <w:rPr>
                <w:rFonts w:hint="default" w:ascii="Times New Roman" w:hAnsi="Times New Roman" w:cs="Times New Roman"/>
                <w:color w:val="auto"/>
                <w:sz w:val="24"/>
                <w:lang w:val="en-US" w:eastAsia="zh-CN"/>
              </w:rPr>
              <w:t>年</w:t>
            </w:r>
            <w:r>
              <w:rPr>
                <w:rFonts w:hint="eastAsia" w:ascii="Times New Roman" w:hAnsi="Times New Roman" w:cs="Times New Roman"/>
                <w:color w:val="auto"/>
                <w:sz w:val="24"/>
                <w:lang w:val="en-US" w:eastAsia="zh-CN"/>
              </w:rPr>
              <w:t>10</w:t>
            </w:r>
            <w:r>
              <w:rPr>
                <w:rFonts w:hint="default" w:ascii="Times New Roman" w:hAnsi="Times New Roman" w:cs="Times New Roman"/>
                <w:color w:val="auto"/>
                <w:sz w:val="24"/>
                <w:lang w:val="en-US" w:eastAsia="zh-CN"/>
              </w:rPr>
              <w:t>月</w:t>
            </w:r>
            <w:r>
              <w:rPr>
                <w:rFonts w:hint="eastAsia" w:ascii="Times New Roman" w:hAnsi="Times New Roman" w:cs="Times New Roman"/>
                <w:color w:val="auto"/>
                <w:sz w:val="24"/>
                <w:lang w:val="en-US" w:eastAsia="zh-CN"/>
              </w:rPr>
              <w:t>16</w:t>
            </w:r>
            <w:r>
              <w:rPr>
                <w:rFonts w:hint="default" w:ascii="Times New Roman" w:hAnsi="Times New Roman" w:cs="Times New Roman"/>
                <w:color w:val="auto"/>
                <w:sz w:val="24"/>
                <w:lang w:val="en-US" w:eastAsia="zh-CN"/>
              </w:rPr>
              <w:t>日</w:t>
            </w:r>
            <w:r>
              <w:rPr>
                <w:rFonts w:hint="eastAsia" w:cs="Times New Roman"/>
                <w:color w:val="auto"/>
                <w:sz w:val="24"/>
                <w:lang w:val="en-US" w:eastAsia="zh-CN"/>
              </w:rPr>
              <w:t>—</w:t>
            </w:r>
            <w:r>
              <w:rPr>
                <w:rFonts w:hint="default" w:ascii="Times New Roman" w:hAnsi="Times New Roman" w:cs="Times New Roman"/>
                <w:color w:val="auto"/>
                <w:sz w:val="24"/>
                <w:lang w:val="en-US" w:eastAsia="zh-CN"/>
              </w:rPr>
              <w:t>3月</w:t>
            </w:r>
            <w:r>
              <w:rPr>
                <w:rFonts w:hint="eastAsia" w:ascii="Times New Roman" w:hAnsi="Times New Roman" w:cs="Times New Roman"/>
                <w:color w:val="auto"/>
                <w:sz w:val="24"/>
                <w:lang w:val="en-US" w:eastAsia="zh-CN"/>
              </w:rPr>
              <w:t>18</w:t>
            </w:r>
            <w:r>
              <w:rPr>
                <w:rFonts w:hint="default" w:ascii="Times New Roman" w:hAnsi="Times New Roman" w:cs="Times New Roman"/>
                <w:color w:val="auto"/>
                <w:sz w:val="24"/>
                <w:lang w:val="en-US" w:eastAsia="zh-CN"/>
              </w:rPr>
              <w:t>日，连续监测3天。</w:t>
            </w:r>
          </w:p>
          <w:p w14:paraId="0434F0E1">
            <w:pPr>
              <w:spacing w:line="360" w:lineRule="auto"/>
              <w:ind w:firstLine="480" w:firstLineChars="200"/>
              <w:jc w:val="left"/>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rPr>
              <w:t>④采样及分析方法</w:t>
            </w:r>
            <w:r>
              <w:rPr>
                <w:rFonts w:hint="default" w:ascii="Times New Roman" w:hAnsi="Times New Roman" w:cs="Times New Roman"/>
                <w:color w:val="auto"/>
                <w:sz w:val="24"/>
                <w:lang w:eastAsia="zh-CN"/>
              </w:rPr>
              <w:t>：</w:t>
            </w:r>
          </w:p>
          <w:p w14:paraId="1CC65F8B">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采样方法和分析方法均执行《空气和废气监测分析方法》和《环境监测技术规范》（大气部分）中有关规定。</w:t>
            </w:r>
          </w:p>
          <w:p w14:paraId="4A292E60">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⑤监测结果及评价</w:t>
            </w:r>
          </w:p>
          <w:p w14:paraId="1F81836F">
            <w:pPr>
              <w:spacing w:line="240" w:lineRule="auto"/>
              <w:jc w:val="center"/>
              <w:rPr>
                <w:rFonts w:hint="default" w:ascii="Times New Roman" w:hAnsi="Times New Roman" w:cs="Times New Roman"/>
                <w:b/>
                <w:bCs/>
                <w:color w:val="auto"/>
                <w:sz w:val="21"/>
                <w:szCs w:val="21"/>
                <w:lang w:val="en-US"/>
              </w:rPr>
            </w:pPr>
            <w:r>
              <w:rPr>
                <w:rFonts w:hint="default" w:ascii="Times New Roman" w:hAnsi="Times New Roman" w:cs="Times New Roman"/>
                <w:b/>
                <w:bCs/>
                <w:color w:val="auto"/>
                <w:sz w:val="21"/>
                <w:szCs w:val="21"/>
              </w:rPr>
              <w:t>表3-</w:t>
            </w:r>
            <w:r>
              <w:rPr>
                <w:rFonts w:hint="eastAsia" w:cs="Times New Roman"/>
                <w:b/>
                <w:bCs/>
                <w:color w:val="auto"/>
                <w:sz w:val="21"/>
                <w:szCs w:val="21"/>
                <w:lang w:val="en-US" w:eastAsia="zh-CN"/>
              </w:rPr>
              <w:t>2</w:t>
            </w:r>
            <w:r>
              <w:rPr>
                <w:rFonts w:hint="default" w:ascii="Times New Roman" w:hAnsi="Times New Roman" w:cs="Times New Roman"/>
                <w:b/>
                <w:bCs/>
                <w:color w:val="auto"/>
                <w:sz w:val="21"/>
                <w:szCs w:val="21"/>
                <w:lang w:val="en-US"/>
              </w:rPr>
              <w:t>监测内容</w:t>
            </w:r>
          </w:p>
          <w:tbl>
            <w:tblPr>
              <w:tblStyle w:val="25"/>
              <w:tblW w:w="5000" w:type="pct"/>
              <w:tblInd w:w="5"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495"/>
              <w:gridCol w:w="1770"/>
              <w:gridCol w:w="1686"/>
              <w:gridCol w:w="2024"/>
            </w:tblGrid>
            <w:tr w14:paraId="613D575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564" w:type="pct"/>
                  <w:tcBorders>
                    <w:top w:val="single" w:color="auto" w:sz="4" w:space="0"/>
                    <w:bottom w:val="single" w:color="auto" w:sz="4" w:space="0"/>
                    <w:right w:val="single" w:color="auto" w:sz="4" w:space="0"/>
                  </w:tcBorders>
                  <w:vAlign w:val="center"/>
                </w:tcPr>
                <w:p w14:paraId="3C46D80F">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监测位置</w:t>
                  </w:r>
                </w:p>
              </w:tc>
              <w:tc>
                <w:tcPr>
                  <w:tcW w:w="1109" w:type="pct"/>
                  <w:tcBorders>
                    <w:top w:val="single" w:color="auto" w:sz="4" w:space="0"/>
                    <w:left w:val="single" w:color="auto" w:sz="4" w:space="0"/>
                    <w:bottom w:val="single" w:color="auto" w:sz="4" w:space="0"/>
                    <w:right w:val="single" w:color="auto" w:sz="4" w:space="0"/>
                  </w:tcBorders>
                  <w:vAlign w:val="center"/>
                </w:tcPr>
                <w:p w14:paraId="54C34DB7">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采样</w:t>
                  </w:r>
                  <w:r>
                    <w:rPr>
                      <w:rFonts w:hint="default" w:ascii="Times New Roman" w:hAnsi="Times New Roman" w:eastAsia="宋体" w:cs="Times New Roman"/>
                      <w:color w:val="auto"/>
                      <w:sz w:val="21"/>
                      <w:szCs w:val="21"/>
                      <w:lang w:eastAsia="zh-CN"/>
                    </w:rPr>
                    <w:t>点位</w:t>
                  </w:r>
                </w:p>
              </w:tc>
              <w:tc>
                <w:tcPr>
                  <w:tcW w:w="1057" w:type="pct"/>
                  <w:tcBorders>
                    <w:top w:val="single" w:color="auto" w:sz="4" w:space="0"/>
                    <w:left w:val="single" w:color="auto" w:sz="4" w:space="0"/>
                    <w:bottom w:val="single" w:color="auto" w:sz="4" w:space="0"/>
                    <w:right w:val="single" w:color="auto" w:sz="4" w:space="0"/>
                  </w:tcBorders>
                  <w:vAlign w:val="center"/>
                </w:tcPr>
                <w:p w14:paraId="313E5259">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监测因子</w:t>
                  </w:r>
                </w:p>
              </w:tc>
              <w:tc>
                <w:tcPr>
                  <w:tcW w:w="1268" w:type="pct"/>
                  <w:tcBorders>
                    <w:top w:val="single" w:color="auto" w:sz="4" w:space="0"/>
                    <w:left w:val="single" w:color="auto" w:sz="4" w:space="0"/>
                    <w:bottom w:val="single" w:color="auto" w:sz="4" w:space="0"/>
                  </w:tcBorders>
                  <w:vAlign w:val="center"/>
                </w:tcPr>
                <w:p w14:paraId="3243A620">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监测频次</w:t>
                  </w:r>
                </w:p>
              </w:tc>
            </w:tr>
            <w:tr w14:paraId="75DEA6E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564" w:type="pct"/>
                  <w:tcBorders>
                    <w:top w:val="single" w:color="auto" w:sz="4" w:space="0"/>
                    <w:bottom w:val="single" w:color="auto" w:sz="4" w:space="0"/>
                    <w:right w:val="single" w:color="auto" w:sz="4" w:space="0"/>
                  </w:tcBorders>
                  <w:vAlign w:val="center"/>
                </w:tcPr>
                <w:p w14:paraId="22C4FBF9">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厂址</w:t>
                  </w:r>
                  <w:r>
                    <w:rPr>
                      <w:rFonts w:hint="eastAsia" w:cs="Times New Roman"/>
                      <w:color w:val="auto"/>
                      <w:sz w:val="21"/>
                      <w:szCs w:val="21"/>
                      <w:lang w:val="en-US" w:eastAsia="zh-CN"/>
                    </w:rPr>
                    <w:t>设置1个监测点</w:t>
                  </w:r>
                </w:p>
              </w:tc>
              <w:tc>
                <w:tcPr>
                  <w:tcW w:w="1109" w:type="pct"/>
                  <w:tcBorders>
                    <w:top w:val="single" w:color="auto" w:sz="4" w:space="0"/>
                    <w:left w:val="single" w:color="auto" w:sz="4" w:space="0"/>
                    <w:bottom w:val="single" w:color="auto" w:sz="4" w:space="0"/>
                    <w:right w:val="single" w:color="auto" w:sz="4" w:space="0"/>
                  </w:tcBorders>
                  <w:vAlign w:val="center"/>
                </w:tcPr>
                <w:p w14:paraId="44A26E25">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E：86.919799</w:t>
                  </w:r>
                </w:p>
                <w:p w14:paraId="10A0B754">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N：42.282221</w:t>
                  </w:r>
                </w:p>
              </w:tc>
              <w:tc>
                <w:tcPr>
                  <w:tcW w:w="1057" w:type="pct"/>
                  <w:tcBorders>
                    <w:top w:val="single" w:color="auto" w:sz="4" w:space="0"/>
                    <w:left w:val="single" w:color="auto" w:sz="4" w:space="0"/>
                    <w:bottom w:val="single" w:color="auto" w:sz="4" w:space="0"/>
                    <w:right w:val="single" w:color="auto" w:sz="4" w:space="0"/>
                  </w:tcBorders>
                  <w:vAlign w:val="center"/>
                </w:tcPr>
                <w:p w14:paraId="3ADDC529">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TSP</w:t>
                  </w:r>
                </w:p>
              </w:tc>
              <w:tc>
                <w:tcPr>
                  <w:tcW w:w="1268" w:type="pct"/>
                  <w:tcBorders>
                    <w:top w:val="single" w:color="auto" w:sz="4" w:space="0"/>
                    <w:left w:val="single" w:color="auto" w:sz="4" w:space="0"/>
                    <w:bottom w:val="single" w:color="auto" w:sz="4" w:space="0"/>
                  </w:tcBorders>
                  <w:vAlign w:val="center"/>
                </w:tcPr>
                <w:p w14:paraId="0F88395D">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连续监测</w:t>
                  </w:r>
                  <w:r>
                    <w:rPr>
                      <w:rFonts w:hint="default" w:ascii="Times New Roman" w:hAnsi="Times New Roman" w:eastAsia="宋体" w:cs="Times New Roman"/>
                      <w:color w:val="auto"/>
                      <w:sz w:val="21"/>
                      <w:szCs w:val="21"/>
                      <w:lang w:val="en-US" w:eastAsia="zh-CN"/>
                    </w:rPr>
                    <w:t>3天，监测日均值。</w:t>
                  </w:r>
                </w:p>
              </w:tc>
            </w:tr>
            <w:tr w14:paraId="3CB02EF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564" w:type="pct"/>
                  <w:tcBorders>
                    <w:top w:val="single" w:color="auto" w:sz="4" w:space="0"/>
                    <w:bottom w:val="single" w:color="auto" w:sz="4" w:space="0"/>
                    <w:right w:val="single" w:color="auto" w:sz="4" w:space="0"/>
                  </w:tcBorders>
                  <w:vAlign w:val="center"/>
                </w:tcPr>
                <w:p w14:paraId="581CBFC6">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项目区当季主导风向下风向设置1个监测点。</w:t>
                  </w:r>
                </w:p>
              </w:tc>
              <w:tc>
                <w:tcPr>
                  <w:tcW w:w="1109" w:type="pct"/>
                  <w:tcBorders>
                    <w:top w:val="single" w:color="auto" w:sz="4" w:space="0"/>
                    <w:left w:val="single" w:color="auto" w:sz="4" w:space="0"/>
                    <w:bottom w:val="single" w:color="auto" w:sz="4" w:space="0"/>
                    <w:right w:val="single" w:color="auto" w:sz="4" w:space="0"/>
                  </w:tcBorders>
                  <w:vAlign w:val="center"/>
                </w:tcPr>
                <w:p w14:paraId="7CFF665C">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E：86.921537</w:t>
                  </w:r>
                </w:p>
                <w:p w14:paraId="26C50E77">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N：42.282468</w:t>
                  </w:r>
                </w:p>
              </w:tc>
              <w:tc>
                <w:tcPr>
                  <w:tcW w:w="1057" w:type="pct"/>
                  <w:tcBorders>
                    <w:top w:val="single" w:color="auto" w:sz="4" w:space="0"/>
                    <w:left w:val="single" w:color="auto" w:sz="4" w:space="0"/>
                    <w:bottom w:val="single" w:color="auto" w:sz="4" w:space="0"/>
                    <w:right w:val="single" w:color="auto" w:sz="4" w:space="0"/>
                  </w:tcBorders>
                  <w:vAlign w:val="center"/>
                </w:tcPr>
                <w:p w14:paraId="72AE795B">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TSP</w:t>
                  </w:r>
                </w:p>
              </w:tc>
              <w:tc>
                <w:tcPr>
                  <w:tcW w:w="1268" w:type="pct"/>
                  <w:tcBorders>
                    <w:top w:val="single" w:color="auto" w:sz="4" w:space="0"/>
                    <w:left w:val="single" w:color="auto" w:sz="4" w:space="0"/>
                    <w:bottom w:val="single" w:color="auto" w:sz="4" w:space="0"/>
                  </w:tcBorders>
                  <w:vAlign w:val="center"/>
                </w:tcPr>
                <w:p w14:paraId="31325273">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连续监测</w:t>
                  </w:r>
                  <w:r>
                    <w:rPr>
                      <w:rFonts w:hint="default" w:ascii="Times New Roman" w:hAnsi="Times New Roman" w:eastAsia="宋体" w:cs="Times New Roman"/>
                      <w:color w:val="auto"/>
                      <w:sz w:val="21"/>
                      <w:szCs w:val="21"/>
                      <w:lang w:val="en-US" w:eastAsia="zh-CN"/>
                    </w:rPr>
                    <w:t>3天，监测日均值。</w:t>
                  </w:r>
                </w:p>
              </w:tc>
            </w:tr>
          </w:tbl>
          <w:p w14:paraId="77FA5A1B">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表3-</w:t>
            </w:r>
            <w:r>
              <w:rPr>
                <w:rFonts w:hint="eastAsia" w:cs="Times New Roman"/>
                <w:b/>
                <w:bCs/>
                <w:color w:val="auto"/>
                <w:sz w:val="21"/>
                <w:szCs w:val="21"/>
                <w:lang w:val="en-US" w:eastAsia="zh-CN"/>
              </w:rPr>
              <w:t>3</w:t>
            </w:r>
            <w:r>
              <w:rPr>
                <w:rFonts w:hint="default" w:ascii="Times New Roman" w:hAnsi="Times New Roman" w:eastAsia="宋体" w:cs="Times New Roman"/>
                <w:b/>
                <w:bCs/>
                <w:color w:val="auto"/>
                <w:sz w:val="21"/>
                <w:szCs w:val="21"/>
              </w:rPr>
              <w:t>监测报告数值单位：mg/m</w:t>
            </w:r>
            <w:r>
              <w:rPr>
                <w:rFonts w:hint="default" w:ascii="Times New Roman" w:hAnsi="Times New Roman" w:eastAsia="宋体" w:cs="Times New Roman"/>
                <w:b/>
                <w:bCs/>
                <w:color w:val="auto"/>
                <w:sz w:val="21"/>
                <w:szCs w:val="21"/>
                <w:vertAlign w:val="superscript"/>
              </w:rPr>
              <w:t>3</w:t>
            </w:r>
          </w:p>
          <w:tbl>
            <w:tblPr>
              <w:tblStyle w:val="25"/>
              <w:tblW w:w="796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36"/>
              <w:gridCol w:w="1221"/>
              <w:gridCol w:w="690"/>
              <w:gridCol w:w="796"/>
              <w:gridCol w:w="844"/>
              <w:gridCol w:w="709"/>
              <w:gridCol w:w="833"/>
              <w:gridCol w:w="1238"/>
            </w:tblGrid>
            <w:tr w14:paraId="05F010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4" w:hRule="atLeast"/>
                <w:jc w:val="center"/>
              </w:trPr>
              <w:tc>
                <w:tcPr>
                  <w:tcW w:w="1026" w:type="pct"/>
                  <w:vAlign w:val="center"/>
                </w:tcPr>
                <w:p w14:paraId="034F20C5">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采样点位</w:t>
                  </w:r>
                </w:p>
              </w:tc>
              <w:tc>
                <w:tcPr>
                  <w:tcW w:w="766" w:type="pct"/>
                  <w:vAlign w:val="center"/>
                </w:tcPr>
                <w:p w14:paraId="6A013E7C">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采样日期</w:t>
                  </w:r>
                </w:p>
              </w:tc>
              <w:tc>
                <w:tcPr>
                  <w:tcW w:w="433" w:type="pct"/>
                  <w:vAlign w:val="center"/>
                </w:tcPr>
                <w:p w14:paraId="2B06108F">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检测项目</w:t>
                  </w:r>
                </w:p>
              </w:tc>
              <w:tc>
                <w:tcPr>
                  <w:tcW w:w="499" w:type="pct"/>
                  <w:vAlign w:val="center"/>
                </w:tcPr>
                <w:p w14:paraId="7A608263">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单位</w:t>
                  </w:r>
                </w:p>
              </w:tc>
              <w:tc>
                <w:tcPr>
                  <w:tcW w:w="529" w:type="pct"/>
                  <w:vAlign w:val="center"/>
                </w:tcPr>
                <w:p w14:paraId="3AE61AE0">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检测结果</w:t>
                  </w:r>
                </w:p>
              </w:tc>
              <w:tc>
                <w:tcPr>
                  <w:tcW w:w="444" w:type="pct"/>
                  <w:vAlign w:val="center"/>
                </w:tcPr>
                <w:p w14:paraId="6A84E561">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评价限值</w:t>
                  </w:r>
                </w:p>
              </w:tc>
              <w:tc>
                <w:tcPr>
                  <w:tcW w:w="522" w:type="pct"/>
                  <w:vAlign w:val="center"/>
                </w:tcPr>
                <w:p w14:paraId="5F8A0608">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占标率</w:t>
                  </w:r>
                </w:p>
              </w:tc>
              <w:tc>
                <w:tcPr>
                  <w:tcW w:w="776" w:type="pct"/>
                  <w:vAlign w:val="center"/>
                </w:tcPr>
                <w:p w14:paraId="5EC2F708">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达标情况</w:t>
                  </w:r>
                </w:p>
              </w:tc>
            </w:tr>
            <w:tr w14:paraId="2C340E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026" w:type="pct"/>
                  <w:vMerge w:val="restart"/>
                  <w:vAlign w:val="center"/>
                </w:tcPr>
                <w:p w14:paraId="0FEB02E4">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eastAsia="zh-CN"/>
                    </w:rPr>
                  </w:pPr>
                  <w:r>
                    <w:rPr>
                      <w:rFonts w:hint="eastAsia" w:ascii="宋体" w:hAnsi="宋体" w:eastAsia="宋体" w:cs="宋体"/>
                      <w:color w:val="auto"/>
                      <w:sz w:val="21"/>
                      <w:szCs w:val="21"/>
                      <w:lang w:val="en-US" w:eastAsia="zh-CN"/>
                    </w:rPr>
                    <w:t>厂址项目区</w:t>
                  </w:r>
                </w:p>
              </w:tc>
              <w:tc>
                <w:tcPr>
                  <w:tcW w:w="766" w:type="pct"/>
                  <w:vAlign w:val="center"/>
                </w:tcPr>
                <w:p w14:paraId="093809D2">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202</w:t>
                  </w:r>
                  <w:r>
                    <w:rPr>
                      <w:rFonts w:hint="eastAsia" w:cs="Times New Roman"/>
                      <w:color w:val="auto"/>
                      <w:sz w:val="21"/>
                      <w:szCs w:val="21"/>
                      <w:lang w:val="en-US" w:eastAsia="zh-CN"/>
                    </w:rPr>
                    <w:t>4</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10</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16</w:t>
                  </w:r>
                </w:p>
              </w:tc>
              <w:tc>
                <w:tcPr>
                  <w:tcW w:w="433" w:type="pct"/>
                  <w:vMerge w:val="restart"/>
                  <w:vAlign w:val="center"/>
                </w:tcPr>
                <w:p w14:paraId="30A651FB">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TSP</w:t>
                  </w:r>
                </w:p>
              </w:tc>
              <w:tc>
                <w:tcPr>
                  <w:tcW w:w="499" w:type="pct"/>
                  <w:vMerge w:val="restart"/>
                  <w:vAlign w:val="center"/>
                </w:tcPr>
                <w:p w14:paraId="4DB6974D">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mg/m</w:t>
                  </w:r>
                  <w:r>
                    <w:rPr>
                      <w:rFonts w:hint="default" w:ascii="Times New Roman" w:hAnsi="Times New Roman" w:cs="Times New Roman"/>
                      <w:color w:val="auto"/>
                      <w:sz w:val="21"/>
                      <w:szCs w:val="21"/>
                      <w:vertAlign w:val="superscript"/>
                      <w:lang w:val="en-US" w:eastAsia="zh-CN"/>
                    </w:rPr>
                    <w:t>3</w:t>
                  </w:r>
                </w:p>
              </w:tc>
              <w:tc>
                <w:tcPr>
                  <w:tcW w:w="529" w:type="pct"/>
                  <w:vAlign w:val="center"/>
                </w:tcPr>
                <w:p w14:paraId="38FCA8DF">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0.216</w:t>
                  </w:r>
                </w:p>
              </w:tc>
              <w:tc>
                <w:tcPr>
                  <w:tcW w:w="444" w:type="pct"/>
                  <w:vMerge w:val="restart"/>
                  <w:vAlign w:val="center"/>
                </w:tcPr>
                <w:p w14:paraId="7D3E78C5">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0.3</w:t>
                  </w:r>
                </w:p>
              </w:tc>
              <w:tc>
                <w:tcPr>
                  <w:tcW w:w="522" w:type="pct"/>
                  <w:vAlign w:val="center"/>
                </w:tcPr>
                <w:p w14:paraId="5B69A171">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72.0</w:t>
                  </w:r>
                </w:p>
              </w:tc>
              <w:tc>
                <w:tcPr>
                  <w:tcW w:w="1238" w:type="dxa"/>
                  <w:vAlign w:val="center"/>
                </w:tcPr>
                <w:p w14:paraId="4B368F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Cs/>
                      <w:caps w:val="0"/>
                      <w:color w:val="auto"/>
                      <w:kern w:val="21"/>
                      <w:sz w:val="21"/>
                      <w:szCs w:val="21"/>
                      <w:highlight w:val="none"/>
                      <w:vertAlign w:val="baseline"/>
                      <w:lang w:val="en-US" w:eastAsia="zh-CN"/>
                    </w:rPr>
                    <w:t>达标</w:t>
                  </w:r>
                </w:p>
              </w:tc>
            </w:tr>
            <w:tr w14:paraId="787D6E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026" w:type="pct"/>
                  <w:vMerge w:val="continue"/>
                  <w:vAlign w:val="center"/>
                </w:tcPr>
                <w:p w14:paraId="392E07E4">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eastAsia="zh-CN"/>
                    </w:rPr>
                  </w:pPr>
                </w:p>
              </w:tc>
              <w:tc>
                <w:tcPr>
                  <w:tcW w:w="766" w:type="pct"/>
                  <w:vAlign w:val="center"/>
                </w:tcPr>
                <w:p w14:paraId="33746D45">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202</w:t>
                  </w:r>
                  <w:r>
                    <w:rPr>
                      <w:rFonts w:hint="eastAsia" w:cs="Times New Roman"/>
                      <w:color w:val="auto"/>
                      <w:sz w:val="21"/>
                      <w:szCs w:val="21"/>
                      <w:lang w:val="en-US" w:eastAsia="zh-CN"/>
                    </w:rPr>
                    <w:t>4</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10</w:t>
                  </w:r>
                  <w:r>
                    <w:rPr>
                      <w:rFonts w:hint="default" w:ascii="Times New Roman" w:hAnsi="Times New Roman" w:cs="Times New Roman"/>
                      <w:color w:val="auto"/>
                      <w:sz w:val="21"/>
                      <w:szCs w:val="21"/>
                      <w:lang w:val="en-US" w:eastAsia="zh-CN"/>
                    </w:rPr>
                    <w:t>.1</w:t>
                  </w:r>
                  <w:r>
                    <w:rPr>
                      <w:rFonts w:hint="eastAsia" w:cs="Times New Roman"/>
                      <w:color w:val="auto"/>
                      <w:sz w:val="21"/>
                      <w:szCs w:val="21"/>
                      <w:lang w:val="en-US" w:eastAsia="zh-CN"/>
                    </w:rPr>
                    <w:t>7</w:t>
                  </w:r>
                </w:p>
              </w:tc>
              <w:tc>
                <w:tcPr>
                  <w:tcW w:w="433" w:type="pct"/>
                  <w:vMerge w:val="continue"/>
                  <w:vAlign w:val="center"/>
                </w:tcPr>
                <w:p w14:paraId="46E9E101">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eastAsia="zh-CN"/>
                    </w:rPr>
                  </w:pPr>
                </w:p>
              </w:tc>
              <w:tc>
                <w:tcPr>
                  <w:tcW w:w="499" w:type="pct"/>
                  <w:vMerge w:val="continue"/>
                  <w:vAlign w:val="center"/>
                </w:tcPr>
                <w:p w14:paraId="4CBB8D3F">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eastAsia="zh-CN"/>
                    </w:rPr>
                  </w:pPr>
                </w:p>
              </w:tc>
              <w:tc>
                <w:tcPr>
                  <w:tcW w:w="529" w:type="pct"/>
                  <w:vAlign w:val="center"/>
                </w:tcPr>
                <w:p w14:paraId="5D93ACB0">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0.223</w:t>
                  </w:r>
                </w:p>
              </w:tc>
              <w:tc>
                <w:tcPr>
                  <w:tcW w:w="444" w:type="pct"/>
                  <w:vMerge w:val="continue"/>
                  <w:vAlign w:val="center"/>
                </w:tcPr>
                <w:p w14:paraId="44BFAFE1">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eastAsia="zh-CN"/>
                    </w:rPr>
                  </w:pPr>
                </w:p>
              </w:tc>
              <w:tc>
                <w:tcPr>
                  <w:tcW w:w="522" w:type="pct"/>
                  <w:vAlign w:val="center"/>
                </w:tcPr>
                <w:p w14:paraId="6F49FF67">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74.3</w:t>
                  </w:r>
                </w:p>
              </w:tc>
              <w:tc>
                <w:tcPr>
                  <w:tcW w:w="1238" w:type="dxa"/>
                  <w:vAlign w:val="center"/>
                </w:tcPr>
                <w:p w14:paraId="104EF4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Cs/>
                      <w:caps w:val="0"/>
                      <w:color w:val="auto"/>
                      <w:kern w:val="21"/>
                      <w:sz w:val="21"/>
                      <w:szCs w:val="21"/>
                      <w:highlight w:val="none"/>
                      <w:vertAlign w:val="baseline"/>
                      <w:lang w:val="en-US" w:eastAsia="zh-CN"/>
                    </w:rPr>
                    <w:t>达标</w:t>
                  </w:r>
                </w:p>
              </w:tc>
            </w:tr>
            <w:tr w14:paraId="52A07B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026" w:type="pct"/>
                  <w:vMerge w:val="continue"/>
                  <w:vAlign w:val="center"/>
                </w:tcPr>
                <w:p w14:paraId="78518B8D">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eastAsia="zh-CN"/>
                    </w:rPr>
                  </w:pPr>
                </w:p>
              </w:tc>
              <w:tc>
                <w:tcPr>
                  <w:tcW w:w="766" w:type="pct"/>
                  <w:vAlign w:val="center"/>
                </w:tcPr>
                <w:p w14:paraId="64253DA8">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202</w:t>
                  </w:r>
                  <w:r>
                    <w:rPr>
                      <w:rFonts w:hint="eastAsia" w:cs="Times New Roman"/>
                      <w:color w:val="auto"/>
                      <w:sz w:val="21"/>
                      <w:szCs w:val="21"/>
                      <w:lang w:val="en-US" w:eastAsia="zh-CN"/>
                    </w:rPr>
                    <w:t>4</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10</w:t>
                  </w:r>
                  <w:r>
                    <w:rPr>
                      <w:rFonts w:hint="default" w:ascii="Times New Roman" w:hAnsi="Times New Roman" w:cs="Times New Roman"/>
                      <w:color w:val="auto"/>
                      <w:sz w:val="21"/>
                      <w:szCs w:val="21"/>
                      <w:lang w:val="en-US" w:eastAsia="zh-CN"/>
                    </w:rPr>
                    <w:t>.1</w:t>
                  </w:r>
                  <w:r>
                    <w:rPr>
                      <w:rFonts w:hint="eastAsia" w:cs="Times New Roman"/>
                      <w:color w:val="auto"/>
                      <w:sz w:val="21"/>
                      <w:szCs w:val="21"/>
                      <w:lang w:val="en-US" w:eastAsia="zh-CN"/>
                    </w:rPr>
                    <w:t>8</w:t>
                  </w:r>
                </w:p>
              </w:tc>
              <w:tc>
                <w:tcPr>
                  <w:tcW w:w="433" w:type="pct"/>
                  <w:vMerge w:val="continue"/>
                  <w:vAlign w:val="center"/>
                </w:tcPr>
                <w:p w14:paraId="61CB3CC7">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eastAsia="zh-CN"/>
                    </w:rPr>
                  </w:pPr>
                </w:p>
              </w:tc>
              <w:tc>
                <w:tcPr>
                  <w:tcW w:w="499" w:type="pct"/>
                  <w:vMerge w:val="continue"/>
                  <w:vAlign w:val="center"/>
                </w:tcPr>
                <w:p w14:paraId="787B04B0">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eastAsia="zh-CN"/>
                    </w:rPr>
                  </w:pPr>
                </w:p>
              </w:tc>
              <w:tc>
                <w:tcPr>
                  <w:tcW w:w="529" w:type="pct"/>
                  <w:vAlign w:val="center"/>
                </w:tcPr>
                <w:p w14:paraId="51E04881">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0.211</w:t>
                  </w:r>
                </w:p>
              </w:tc>
              <w:tc>
                <w:tcPr>
                  <w:tcW w:w="444" w:type="pct"/>
                  <w:vMerge w:val="continue"/>
                  <w:vAlign w:val="center"/>
                </w:tcPr>
                <w:p w14:paraId="062DE432">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eastAsia="zh-CN"/>
                    </w:rPr>
                  </w:pPr>
                </w:p>
              </w:tc>
              <w:tc>
                <w:tcPr>
                  <w:tcW w:w="522" w:type="pct"/>
                  <w:vAlign w:val="center"/>
                </w:tcPr>
                <w:p w14:paraId="5913A63B">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70.3</w:t>
                  </w:r>
                </w:p>
              </w:tc>
              <w:tc>
                <w:tcPr>
                  <w:tcW w:w="1238" w:type="dxa"/>
                  <w:vAlign w:val="center"/>
                </w:tcPr>
                <w:p w14:paraId="57F691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Cs/>
                      <w:caps w:val="0"/>
                      <w:color w:val="auto"/>
                      <w:kern w:val="21"/>
                      <w:sz w:val="21"/>
                      <w:szCs w:val="21"/>
                      <w:highlight w:val="none"/>
                      <w:vertAlign w:val="baseline"/>
                      <w:lang w:val="en-US" w:eastAsia="zh-CN"/>
                    </w:rPr>
                    <w:t>达标</w:t>
                  </w:r>
                </w:p>
              </w:tc>
            </w:tr>
            <w:tr w14:paraId="34B8C8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026" w:type="pct"/>
                  <w:vMerge w:val="restart"/>
                  <w:vAlign w:val="center"/>
                </w:tcPr>
                <w:p w14:paraId="6893279C">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eastAsia="zh-CN"/>
                    </w:rPr>
                  </w:pPr>
                  <w:r>
                    <w:rPr>
                      <w:rFonts w:hint="eastAsia" w:ascii="宋体" w:hAnsi="宋体" w:eastAsia="宋体" w:cs="宋体"/>
                      <w:color w:val="auto"/>
                      <w:sz w:val="21"/>
                      <w:szCs w:val="21"/>
                      <w:lang w:val="en-US" w:eastAsia="zh-CN"/>
                    </w:rPr>
                    <w:t>项目区下风向</w:t>
                  </w:r>
                </w:p>
              </w:tc>
              <w:tc>
                <w:tcPr>
                  <w:tcW w:w="766" w:type="pct"/>
                  <w:vAlign w:val="center"/>
                </w:tcPr>
                <w:p w14:paraId="2F5B419D">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w:t>
                  </w:r>
                  <w:r>
                    <w:rPr>
                      <w:rFonts w:hint="eastAsia" w:cs="Times New Roman"/>
                      <w:color w:val="auto"/>
                      <w:sz w:val="21"/>
                      <w:szCs w:val="21"/>
                      <w:lang w:val="en-US" w:eastAsia="zh-CN"/>
                    </w:rPr>
                    <w:t>4</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10</w:t>
                  </w:r>
                  <w:r>
                    <w:rPr>
                      <w:rFonts w:hint="default" w:ascii="Times New Roman" w:hAnsi="Times New Roman" w:cs="Times New Roman"/>
                      <w:color w:val="auto"/>
                      <w:sz w:val="21"/>
                      <w:szCs w:val="21"/>
                      <w:lang w:val="en-US" w:eastAsia="zh-CN"/>
                    </w:rPr>
                    <w:t>.1</w:t>
                  </w:r>
                  <w:r>
                    <w:rPr>
                      <w:rFonts w:hint="eastAsia" w:cs="Times New Roman"/>
                      <w:color w:val="auto"/>
                      <w:sz w:val="21"/>
                      <w:szCs w:val="21"/>
                      <w:lang w:val="en-US" w:eastAsia="zh-CN"/>
                    </w:rPr>
                    <w:t>6</w:t>
                  </w:r>
                </w:p>
              </w:tc>
              <w:tc>
                <w:tcPr>
                  <w:tcW w:w="433" w:type="pct"/>
                  <w:vMerge w:val="restart"/>
                  <w:vAlign w:val="center"/>
                </w:tcPr>
                <w:p w14:paraId="1D576D6F">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TSP</w:t>
                  </w:r>
                </w:p>
              </w:tc>
              <w:tc>
                <w:tcPr>
                  <w:tcW w:w="499" w:type="pct"/>
                  <w:vMerge w:val="restart"/>
                  <w:vAlign w:val="center"/>
                </w:tcPr>
                <w:p w14:paraId="5B86BB54">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mg/m</w:t>
                  </w:r>
                  <w:r>
                    <w:rPr>
                      <w:rFonts w:hint="default" w:ascii="Times New Roman" w:hAnsi="Times New Roman" w:cs="Times New Roman"/>
                      <w:color w:val="auto"/>
                      <w:sz w:val="21"/>
                      <w:szCs w:val="21"/>
                      <w:vertAlign w:val="superscript"/>
                      <w:lang w:val="en-US" w:eastAsia="zh-CN"/>
                    </w:rPr>
                    <w:t>3</w:t>
                  </w:r>
                </w:p>
              </w:tc>
              <w:tc>
                <w:tcPr>
                  <w:tcW w:w="529" w:type="pct"/>
                  <w:vAlign w:val="center"/>
                </w:tcPr>
                <w:p w14:paraId="57E2E0BD">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0.215</w:t>
                  </w:r>
                </w:p>
              </w:tc>
              <w:tc>
                <w:tcPr>
                  <w:tcW w:w="444" w:type="pct"/>
                  <w:vMerge w:val="restart"/>
                  <w:vAlign w:val="center"/>
                </w:tcPr>
                <w:p w14:paraId="79DF25B3">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0.3</w:t>
                  </w:r>
                </w:p>
              </w:tc>
              <w:tc>
                <w:tcPr>
                  <w:tcW w:w="522" w:type="pct"/>
                  <w:vAlign w:val="center"/>
                </w:tcPr>
                <w:p w14:paraId="486810E6">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71.7</w:t>
                  </w:r>
                </w:p>
              </w:tc>
              <w:tc>
                <w:tcPr>
                  <w:tcW w:w="1238" w:type="dxa"/>
                  <w:vAlign w:val="center"/>
                </w:tcPr>
                <w:p w14:paraId="20F219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eastAsia="宋体" w:cs="Times New Roman"/>
                      <w:bCs/>
                      <w:caps w:val="0"/>
                      <w:color w:val="auto"/>
                      <w:kern w:val="21"/>
                      <w:sz w:val="21"/>
                      <w:szCs w:val="21"/>
                      <w:highlight w:val="none"/>
                      <w:vertAlign w:val="baseline"/>
                      <w:lang w:val="en-US" w:eastAsia="zh-CN"/>
                    </w:rPr>
                    <w:t>达标</w:t>
                  </w:r>
                </w:p>
              </w:tc>
            </w:tr>
            <w:tr w14:paraId="1DF682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026" w:type="pct"/>
                  <w:vMerge w:val="continue"/>
                  <w:vAlign w:val="center"/>
                </w:tcPr>
                <w:p w14:paraId="3B7BAF8F">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eastAsia="zh-CN"/>
                    </w:rPr>
                  </w:pPr>
                </w:p>
              </w:tc>
              <w:tc>
                <w:tcPr>
                  <w:tcW w:w="766" w:type="pct"/>
                  <w:vAlign w:val="center"/>
                </w:tcPr>
                <w:p w14:paraId="3AEFE784">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w:t>
                  </w:r>
                  <w:r>
                    <w:rPr>
                      <w:rFonts w:hint="eastAsia" w:cs="Times New Roman"/>
                      <w:color w:val="auto"/>
                      <w:sz w:val="21"/>
                      <w:szCs w:val="21"/>
                      <w:lang w:val="en-US" w:eastAsia="zh-CN"/>
                    </w:rPr>
                    <w:t>4</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10</w:t>
                  </w:r>
                  <w:r>
                    <w:rPr>
                      <w:rFonts w:hint="default" w:ascii="Times New Roman" w:hAnsi="Times New Roman" w:cs="Times New Roman"/>
                      <w:color w:val="auto"/>
                      <w:sz w:val="21"/>
                      <w:szCs w:val="21"/>
                      <w:lang w:val="en-US" w:eastAsia="zh-CN"/>
                    </w:rPr>
                    <w:t>.1</w:t>
                  </w:r>
                  <w:r>
                    <w:rPr>
                      <w:rFonts w:hint="eastAsia" w:cs="Times New Roman"/>
                      <w:color w:val="auto"/>
                      <w:sz w:val="21"/>
                      <w:szCs w:val="21"/>
                      <w:lang w:val="en-US" w:eastAsia="zh-CN"/>
                    </w:rPr>
                    <w:t>7</w:t>
                  </w:r>
                </w:p>
              </w:tc>
              <w:tc>
                <w:tcPr>
                  <w:tcW w:w="433" w:type="pct"/>
                  <w:vMerge w:val="continue"/>
                  <w:vAlign w:val="center"/>
                </w:tcPr>
                <w:p w14:paraId="265B46A0">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eastAsia="zh-CN"/>
                    </w:rPr>
                  </w:pPr>
                </w:p>
              </w:tc>
              <w:tc>
                <w:tcPr>
                  <w:tcW w:w="499" w:type="pct"/>
                  <w:vMerge w:val="continue"/>
                  <w:vAlign w:val="center"/>
                </w:tcPr>
                <w:p w14:paraId="40E3C4BF">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eastAsia="zh-CN"/>
                    </w:rPr>
                  </w:pPr>
                </w:p>
              </w:tc>
              <w:tc>
                <w:tcPr>
                  <w:tcW w:w="529" w:type="pct"/>
                  <w:vAlign w:val="center"/>
                </w:tcPr>
                <w:p w14:paraId="6ADA2D6D">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0.206</w:t>
                  </w:r>
                </w:p>
              </w:tc>
              <w:tc>
                <w:tcPr>
                  <w:tcW w:w="444" w:type="pct"/>
                  <w:vMerge w:val="continue"/>
                  <w:vAlign w:val="center"/>
                </w:tcPr>
                <w:p w14:paraId="531C0CA1">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eastAsia="zh-CN"/>
                    </w:rPr>
                  </w:pPr>
                </w:p>
              </w:tc>
              <w:tc>
                <w:tcPr>
                  <w:tcW w:w="522" w:type="pct"/>
                  <w:vAlign w:val="center"/>
                </w:tcPr>
                <w:p w14:paraId="6539D012">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68.7</w:t>
                  </w:r>
                </w:p>
              </w:tc>
              <w:tc>
                <w:tcPr>
                  <w:tcW w:w="1238" w:type="dxa"/>
                  <w:vAlign w:val="center"/>
                </w:tcPr>
                <w:p w14:paraId="20A7EE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eastAsia="宋体" w:cs="Times New Roman"/>
                      <w:bCs/>
                      <w:caps w:val="0"/>
                      <w:color w:val="auto"/>
                      <w:kern w:val="21"/>
                      <w:sz w:val="21"/>
                      <w:szCs w:val="21"/>
                      <w:highlight w:val="none"/>
                      <w:vertAlign w:val="baseline"/>
                      <w:lang w:val="en-US" w:eastAsia="zh-CN"/>
                    </w:rPr>
                    <w:t>达标</w:t>
                  </w:r>
                </w:p>
              </w:tc>
            </w:tr>
            <w:tr w14:paraId="7F75A9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026" w:type="pct"/>
                  <w:vMerge w:val="continue"/>
                  <w:vAlign w:val="center"/>
                </w:tcPr>
                <w:p w14:paraId="14B7FB6A">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eastAsia="zh-CN"/>
                    </w:rPr>
                  </w:pPr>
                </w:p>
              </w:tc>
              <w:tc>
                <w:tcPr>
                  <w:tcW w:w="766" w:type="pct"/>
                  <w:vAlign w:val="center"/>
                </w:tcPr>
                <w:p w14:paraId="64A263D6">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w:t>
                  </w:r>
                  <w:r>
                    <w:rPr>
                      <w:rFonts w:hint="eastAsia" w:cs="Times New Roman"/>
                      <w:color w:val="auto"/>
                      <w:sz w:val="21"/>
                      <w:szCs w:val="21"/>
                      <w:lang w:val="en-US" w:eastAsia="zh-CN"/>
                    </w:rPr>
                    <w:t>4</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10</w:t>
                  </w:r>
                  <w:r>
                    <w:rPr>
                      <w:rFonts w:hint="default" w:ascii="Times New Roman" w:hAnsi="Times New Roman" w:cs="Times New Roman"/>
                      <w:color w:val="auto"/>
                      <w:sz w:val="21"/>
                      <w:szCs w:val="21"/>
                      <w:lang w:val="en-US" w:eastAsia="zh-CN"/>
                    </w:rPr>
                    <w:t>.1</w:t>
                  </w:r>
                  <w:r>
                    <w:rPr>
                      <w:rFonts w:hint="eastAsia" w:cs="Times New Roman"/>
                      <w:color w:val="auto"/>
                      <w:sz w:val="21"/>
                      <w:szCs w:val="21"/>
                      <w:lang w:val="en-US" w:eastAsia="zh-CN"/>
                    </w:rPr>
                    <w:t>8</w:t>
                  </w:r>
                </w:p>
              </w:tc>
              <w:tc>
                <w:tcPr>
                  <w:tcW w:w="433" w:type="pct"/>
                  <w:vMerge w:val="continue"/>
                  <w:vAlign w:val="center"/>
                </w:tcPr>
                <w:p w14:paraId="5595313A">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eastAsia="zh-CN"/>
                    </w:rPr>
                  </w:pPr>
                </w:p>
              </w:tc>
              <w:tc>
                <w:tcPr>
                  <w:tcW w:w="499" w:type="pct"/>
                  <w:vMerge w:val="continue"/>
                  <w:vAlign w:val="center"/>
                </w:tcPr>
                <w:p w14:paraId="13358FD3">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eastAsia="zh-CN"/>
                    </w:rPr>
                  </w:pPr>
                </w:p>
              </w:tc>
              <w:tc>
                <w:tcPr>
                  <w:tcW w:w="529" w:type="pct"/>
                  <w:vAlign w:val="center"/>
                </w:tcPr>
                <w:p w14:paraId="18A2CB5F">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0.222</w:t>
                  </w:r>
                </w:p>
              </w:tc>
              <w:tc>
                <w:tcPr>
                  <w:tcW w:w="444" w:type="pct"/>
                  <w:vMerge w:val="continue"/>
                  <w:vAlign w:val="center"/>
                </w:tcPr>
                <w:p w14:paraId="3B7EEC3D">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eastAsia="zh-CN"/>
                    </w:rPr>
                  </w:pPr>
                </w:p>
              </w:tc>
              <w:tc>
                <w:tcPr>
                  <w:tcW w:w="522" w:type="pct"/>
                  <w:vAlign w:val="center"/>
                </w:tcPr>
                <w:p w14:paraId="1AA86FD0">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74.0</w:t>
                  </w:r>
                </w:p>
              </w:tc>
              <w:tc>
                <w:tcPr>
                  <w:tcW w:w="1238" w:type="dxa"/>
                  <w:vAlign w:val="center"/>
                </w:tcPr>
                <w:p w14:paraId="50C9DE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eastAsia="宋体" w:cs="Times New Roman"/>
                      <w:bCs/>
                      <w:caps w:val="0"/>
                      <w:color w:val="auto"/>
                      <w:kern w:val="21"/>
                      <w:sz w:val="21"/>
                      <w:szCs w:val="21"/>
                      <w:highlight w:val="none"/>
                      <w:vertAlign w:val="baseline"/>
                      <w:lang w:val="en-US" w:eastAsia="zh-CN"/>
                    </w:rPr>
                    <w:t>达标</w:t>
                  </w:r>
                </w:p>
              </w:tc>
            </w:tr>
          </w:tbl>
          <w:p w14:paraId="08310161">
            <w:pPr>
              <w:spacing w:line="360" w:lineRule="auto"/>
              <w:ind w:firstLine="480"/>
              <w:jc w:val="left"/>
              <w:rPr>
                <w:rFonts w:hint="default" w:ascii="Times New Roman" w:hAnsi="Times New Roman" w:cs="Times New Roman"/>
                <w:color w:val="auto"/>
                <w:sz w:val="24"/>
                <w:lang w:val="en-US"/>
              </w:rPr>
            </w:pPr>
            <w:r>
              <w:rPr>
                <w:rFonts w:hint="default" w:ascii="Times New Roman" w:hAnsi="Times New Roman" w:cs="Times New Roman"/>
                <w:color w:val="auto"/>
                <w:kern w:val="2"/>
                <w:sz w:val="24"/>
                <w:szCs w:val="24"/>
                <w:lang w:val="en-US" w:eastAsia="zh-CN" w:bidi="ar"/>
              </w:rPr>
              <w:t>从表3-</w:t>
            </w:r>
            <w:r>
              <w:rPr>
                <w:rFonts w:hint="eastAsia" w:cs="Times New Roman"/>
                <w:color w:val="auto"/>
                <w:kern w:val="2"/>
                <w:sz w:val="24"/>
                <w:szCs w:val="24"/>
                <w:lang w:val="en-US" w:eastAsia="zh-CN" w:bidi="ar"/>
              </w:rPr>
              <w:t>3</w:t>
            </w:r>
            <w:r>
              <w:rPr>
                <w:rFonts w:hint="default" w:ascii="Times New Roman" w:hAnsi="Times New Roman" w:cs="Times New Roman"/>
                <w:color w:val="auto"/>
                <w:kern w:val="2"/>
                <w:sz w:val="24"/>
                <w:szCs w:val="24"/>
                <w:lang w:val="en-US" w:eastAsia="zh-CN" w:bidi="ar"/>
              </w:rPr>
              <w:t>的分析结果可知本项目特征污染物TSP补充监测值</w:t>
            </w:r>
            <w:r>
              <w:rPr>
                <w:rFonts w:hint="default" w:ascii="Times New Roman" w:hAnsi="Times New Roman" w:eastAsia="宋体" w:cs="Times New Roman"/>
                <w:color w:val="auto"/>
                <w:kern w:val="2"/>
                <w:sz w:val="24"/>
                <w:szCs w:val="24"/>
                <w:lang w:val="en-US" w:eastAsia="zh-CN" w:bidi="ar"/>
              </w:rPr>
              <w:t>全部达标</w:t>
            </w:r>
            <w:r>
              <w:rPr>
                <w:rFonts w:hint="default" w:ascii="Times New Roman" w:hAnsi="Times New Roman" w:cs="Times New Roman"/>
                <w:color w:val="auto"/>
                <w:kern w:val="2"/>
                <w:sz w:val="24"/>
                <w:szCs w:val="24"/>
                <w:lang w:val="en-US" w:eastAsia="zh-CN" w:bidi="ar"/>
              </w:rPr>
              <w:t>，均满足《环境空气质量标准》</w:t>
            </w:r>
            <w:r>
              <w:rPr>
                <w:rFonts w:hint="eastAsia" w:cs="Times New Roman"/>
                <w:color w:val="auto"/>
                <w:kern w:val="2"/>
                <w:sz w:val="24"/>
                <w:szCs w:val="24"/>
                <w:lang w:val="en-US" w:eastAsia="zh-CN" w:bidi="ar"/>
              </w:rPr>
              <w:t>（</w:t>
            </w:r>
            <w:r>
              <w:rPr>
                <w:rFonts w:hint="default" w:ascii="Times New Roman" w:hAnsi="Times New Roman" w:cs="Times New Roman"/>
                <w:color w:val="auto"/>
                <w:kern w:val="2"/>
                <w:sz w:val="24"/>
                <w:szCs w:val="24"/>
                <w:lang w:val="en-US" w:eastAsia="zh-CN" w:bidi="ar"/>
              </w:rPr>
              <w:t>GB3095－20</w:t>
            </w:r>
            <w:r>
              <w:rPr>
                <w:rFonts w:hint="eastAsia" w:cs="Times New Roman"/>
                <w:color w:val="auto"/>
                <w:kern w:val="2"/>
                <w:sz w:val="24"/>
                <w:szCs w:val="24"/>
                <w:lang w:val="en-US" w:eastAsia="zh-CN" w:bidi="ar"/>
              </w:rPr>
              <w:t>26）</w:t>
            </w:r>
            <w:r>
              <w:rPr>
                <w:rFonts w:hint="default" w:ascii="Times New Roman" w:hAnsi="Times New Roman" w:cs="Times New Roman"/>
                <w:color w:val="auto"/>
                <w:kern w:val="2"/>
                <w:sz w:val="24"/>
                <w:szCs w:val="24"/>
                <w:lang w:val="en-US" w:eastAsia="zh-CN" w:bidi="ar"/>
              </w:rPr>
              <w:t>中的二级标准</w:t>
            </w:r>
            <w:r>
              <w:rPr>
                <w:rFonts w:hint="eastAsia"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24</w:t>
            </w:r>
            <w:r>
              <w:rPr>
                <w:rFonts w:hint="eastAsia" w:ascii="Times New Roman" w:hAnsi="Times New Roman" w:eastAsia="宋体" w:cs="Times New Roman"/>
                <w:bCs/>
                <w:color w:val="auto"/>
                <w:sz w:val="24"/>
                <w:highlight w:val="none"/>
                <w:lang w:val="en-US" w:eastAsia="zh-CN"/>
              </w:rPr>
              <w:t>h</w:t>
            </w:r>
            <w:r>
              <w:rPr>
                <w:rFonts w:hint="default" w:ascii="Times New Roman" w:hAnsi="Times New Roman" w:eastAsia="宋体" w:cs="Times New Roman"/>
                <w:bCs/>
                <w:color w:val="auto"/>
                <w:sz w:val="24"/>
                <w:highlight w:val="none"/>
              </w:rPr>
              <w:t>平均</w:t>
            </w:r>
            <w:r>
              <w:rPr>
                <w:rFonts w:hint="eastAsia" w:ascii="Times New Roman" w:hAnsi="Times New Roman" w:eastAsia="宋体" w:cs="Times New Roman"/>
                <w:bCs/>
                <w:color w:val="auto"/>
                <w:sz w:val="24"/>
                <w:highlight w:val="none"/>
                <w:lang w:eastAsia="zh-CN"/>
              </w:rPr>
              <w:t>）限值</w:t>
            </w:r>
            <w:r>
              <w:rPr>
                <w:rFonts w:hint="eastAsia" w:cs="Times New Roman"/>
                <w:color w:val="auto"/>
                <w:kern w:val="2"/>
                <w:sz w:val="24"/>
                <w:szCs w:val="24"/>
                <w:lang w:val="en-US" w:eastAsia="zh-CN" w:bidi="ar"/>
              </w:rPr>
              <w:t>，短期浓度限值达标。</w:t>
            </w:r>
          </w:p>
          <w:p w14:paraId="3C1894EC">
            <w:pPr>
              <w:pStyle w:val="5"/>
              <w:spacing w:line="520" w:lineRule="exact"/>
              <w:rPr>
                <w:rFonts w:hint="default" w:ascii="Times New Roman" w:hAnsi="Times New Roman" w:cs="Times New Roman"/>
                <w:color w:val="auto"/>
              </w:rPr>
            </w:pPr>
            <w:r>
              <w:rPr>
                <w:rFonts w:hint="default" w:ascii="Times New Roman" w:hAnsi="Times New Roman" w:cs="Times New Roman"/>
                <w:color w:val="auto"/>
              </w:rPr>
              <w:t>二、地表水环境质量现状调查与评价</w:t>
            </w:r>
          </w:p>
          <w:p w14:paraId="78B06A22">
            <w:pPr>
              <w:spacing w:line="520" w:lineRule="exact"/>
              <w:ind w:firstLine="480"/>
              <w:jc w:val="left"/>
              <w:rPr>
                <w:rFonts w:hint="default" w:ascii="Times New Roman" w:hAnsi="Times New Roman" w:cs="Times New Roman"/>
                <w:b/>
                <w:bCs/>
                <w:color w:val="auto"/>
                <w:sz w:val="24"/>
                <w:highlight w:val="none"/>
              </w:rPr>
            </w:pPr>
            <w:r>
              <w:rPr>
                <w:rFonts w:hint="default" w:ascii="Times New Roman" w:hAnsi="Times New Roman" w:cs="Times New Roman"/>
                <w:color w:val="auto"/>
                <w:sz w:val="24"/>
                <w:highlight w:val="none"/>
              </w:rPr>
              <w:t>本项目距离周边最近地表水体</w:t>
            </w:r>
            <w:r>
              <w:rPr>
                <w:rFonts w:hint="eastAsia" w:cs="Times New Roman"/>
                <w:color w:val="auto"/>
                <w:sz w:val="24"/>
                <w:highlight w:val="none"/>
                <w:lang w:val="en-US" w:eastAsia="zh-CN"/>
              </w:rPr>
              <w:t>西侧清水河2.2km，南侧北干</w:t>
            </w:r>
            <w:r>
              <w:rPr>
                <w:rFonts w:hint="default" w:ascii="Times New Roman" w:hAnsi="Times New Roman" w:cs="Times New Roman"/>
                <w:color w:val="auto"/>
                <w:sz w:val="24"/>
                <w:highlight w:val="none"/>
              </w:rPr>
              <w:t>渠</w:t>
            </w:r>
            <w:r>
              <w:rPr>
                <w:rFonts w:hint="eastAsia" w:cs="Times New Roman"/>
                <w:color w:val="auto"/>
                <w:sz w:val="24"/>
                <w:highlight w:val="none"/>
                <w:lang w:val="en-US" w:eastAsia="zh-CN"/>
              </w:rPr>
              <w:t>5.1</w:t>
            </w:r>
            <w:r>
              <w:rPr>
                <w:rFonts w:hint="default" w:ascii="Times New Roman" w:hAnsi="Times New Roman" w:cs="Times New Roman"/>
                <w:color w:val="auto"/>
                <w:sz w:val="24"/>
                <w:highlight w:val="none"/>
              </w:rPr>
              <w:t>km，</w:t>
            </w:r>
            <w:r>
              <w:rPr>
                <w:rFonts w:hint="eastAsia" w:cs="Times New Roman"/>
                <w:color w:val="auto"/>
                <w:sz w:val="24"/>
                <w:highlight w:val="none"/>
                <w:lang w:val="en-US" w:eastAsia="zh-CN"/>
              </w:rPr>
              <w:t>北干渠</w:t>
            </w:r>
            <w:r>
              <w:rPr>
                <w:rFonts w:hint="default" w:ascii="Times New Roman" w:hAnsi="Times New Roman" w:cs="Times New Roman"/>
                <w:color w:val="auto"/>
                <w:sz w:val="24"/>
                <w:highlight w:val="none"/>
              </w:rPr>
              <w:t>水引自</w:t>
            </w:r>
            <w:r>
              <w:rPr>
                <w:rFonts w:hint="eastAsia" w:cs="Times New Roman"/>
                <w:color w:val="auto"/>
                <w:sz w:val="24"/>
                <w:highlight w:val="none"/>
                <w:lang w:val="en-US" w:eastAsia="zh-CN"/>
              </w:rPr>
              <w:t>开都</w:t>
            </w:r>
            <w:r>
              <w:rPr>
                <w:rFonts w:hint="default" w:ascii="Times New Roman" w:hAnsi="Times New Roman" w:cs="Times New Roman"/>
                <w:color w:val="auto"/>
                <w:sz w:val="24"/>
                <w:highlight w:val="none"/>
              </w:rPr>
              <w:t>河，依据</w:t>
            </w:r>
            <w:r>
              <w:rPr>
                <w:rFonts w:hint="default" w:ascii="Times New Roman" w:hAnsi="Times New Roman" w:cs="Times New Roman"/>
                <w:color w:val="0000FF"/>
                <w:sz w:val="24"/>
                <w:highlight w:val="none"/>
              </w:rPr>
              <w:t>《20</w:t>
            </w:r>
            <w:r>
              <w:rPr>
                <w:rFonts w:hint="default" w:ascii="Times New Roman" w:hAnsi="Times New Roman" w:cs="Times New Roman"/>
                <w:color w:val="0000FF"/>
                <w:sz w:val="24"/>
                <w:highlight w:val="none"/>
                <w:lang w:val="en-US" w:eastAsia="zh-CN"/>
              </w:rPr>
              <w:t>2</w:t>
            </w:r>
            <w:r>
              <w:rPr>
                <w:rFonts w:hint="eastAsia" w:cs="Times New Roman"/>
                <w:color w:val="0000FF"/>
                <w:sz w:val="24"/>
                <w:highlight w:val="none"/>
                <w:lang w:val="en-US" w:eastAsia="zh-CN"/>
              </w:rPr>
              <w:t>4</w:t>
            </w:r>
            <w:r>
              <w:rPr>
                <w:rFonts w:hint="default" w:ascii="Times New Roman" w:hAnsi="Times New Roman" w:cs="Times New Roman"/>
                <w:color w:val="0000FF"/>
                <w:sz w:val="24"/>
                <w:highlight w:val="none"/>
              </w:rPr>
              <w:t>年巴音郭楞蒙古自治州生态环境状况公报》：全州6条主要河流的</w:t>
            </w:r>
            <w:r>
              <w:rPr>
                <w:rFonts w:hint="eastAsia" w:cs="Times New Roman"/>
                <w:color w:val="0000FF"/>
                <w:sz w:val="24"/>
                <w:highlight w:val="none"/>
                <w:lang w:val="en-US" w:eastAsia="zh-CN"/>
              </w:rPr>
              <w:t>19</w:t>
            </w:r>
            <w:r>
              <w:rPr>
                <w:rFonts w:hint="default" w:ascii="Times New Roman" w:hAnsi="Times New Roman" w:cs="Times New Roman"/>
                <w:color w:val="0000FF"/>
                <w:sz w:val="24"/>
                <w:highlight w:val="none"/>
              </w:rPr>
              <w:t>个监测断面中Ⅰ-Ⅲ类优良水质断面占100%，与上年相比</w:t>
            </w:r>
            <w:r>
              <w:rPr>
                <w:rFonts w:hint="eastAsia" w:cs="Times New Roman"/>
                <w:color w:val="0000FF"/>
                <w:sz w:val="24"/>
                <w:highlight w:val="none"/>
                <w:lang w:val="en-US" w:eastAsia="zh-CN"/>
              </w:rPr>
              <w:t>无</w:t>
            </w:r>
            <w:r>
              <w:rPr>
                <w:rFonts w:hint="default" w:ascii="Times New Roman" w:hAnsi="Times New Roman" w:cs="Times New Roman"/>
                <w:color w:val="0000FF"/>
                <w:sz w:val="24"/>
                <w:highlight w:val="none"/>
              </w:rPr>
              <w:t>变化。其中，开都河、黄水沟水环境质量为Ⅰ类，孔雀河、塔里木河</w:t>
            </w:r>
            <w:r>
              <w:rPr>
                <w:rFonts w:hint="eastAsia" w:cs="Times New Roman"/>
                <w:color w:val="0000FF"/>
                <w:sz w:val="24"/>
                <w:highlight w:val="none"/>
                <w:lang w:eastAsia="zh-CN"/>
              </w:rPr>
              <w:t>（</w:t>
            </w:r>
            <w:r>
              <w:rPr>
                <w:rFonts w:hint="default" w:ascii="Times New Roman" w:hAnsi="Times New Roman" w:cs="Times New Roman"/>
                <w:color w:val="0000FF"/>
                <w:sz w:val="24"/>
                <w:highlight w:val="none"/>
              </w:rPr>
              <w:t>氟化物不参与考核</w:t>
            </w:r>
            <w:r>
              <w:rPr>
                <w:rFonts w:hint="eastAsia" w:cs="Times New Roman"/>
                <w:color w:val="0000FF"/>
                <w:sz w:val="24"/>
                <w:highlight w:val="none"/>
                <w:lang w:eastAsia="zh-CN"/>
              </w:rPr>
              <w:t>）</w:t>
            </w:r>
            <w:r>
              <w:rPr>
                <w:rFonts w:hint="default" w:ascii="Times New Roman" w:hAnsi="Times New Roman" w:cs="Times New Roman"/>
                <w:color w:val="0000FF"/>
                <w:sz w:val="24"/>
                <w:highlight w:val="none"/>
              </w:rPr>
              <w:t>、车尔臣河、迪那河为Ⅱ类。</w:t>
            </w:r>
            <w:r>
              <w:rPr>
                <w:rFonts w:hint="default" w:ascii="Times New Roman" w:hAnsi="Times New Roman" w:cs="Times New Roman"/>
                <w:color w:val="auto"/>
                <w:sz w:val="24"/>
                <w:highlight w:val="none"/>
              </w:rPr>
              <w:t>因此，本项目所在区域地表水水体质量整体较好。</w:t>
            </w:r>
          </w:p>
          <w:p w14:paraId="7D66D5E1">
            <w:pPr>
              <w:pStyle w:val="5"/>
              <w:spacing w:line="520" w:lineRule="exact"/>
              <w:rPr>
                <w:rFonts w:hint="default" w:ascii="Times New Roman" w:hAnsi="Times New Roman" w:cs="Times New Roman"/>
                <w:color w:val="auto"/>
              </w:rPr>
            </w:pPr>
            <w:r>
              <w:rPr>
                <w:rFonts w:hint="default" w:ascii="Times New Roman" w:hAnsi="Times New Roman" w:cs="Times New Roman"/>
                <w:color w:val="auto"/>
              </w:rPr>
              <w:t>三、区域声环境质量现状</w:t>
            </w:r>
          </w:p>
          <w:p w14:paraId="248485AF">
            <w:pPr>
              <w:spacing w:line="520" w:lineRule="exact"/>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本项目周边</w:t>
            </w:r>
            <w:r>
              <w:rPr>
                <w:rFonts w:hint="default" w:ascii="Times New Roman" w:hAnsi="Times New Roman" w:cs="Times New Roman"/>
                <w:color w:val="auto"/>
                <w:sz w:val="24"/>
                <w:lang w:val="en-US" w:eastAsia="zh-CN"/>
              </w:rPr>
              <w:t>50</w:t>
            </w:r>
            <w:r>
              <w:rPr>
                <w:rFonts w:hint="default" w:ascii="Times New Roman" w:hAnsi="Times New Roman" w:cs="Times New Roman"/>
                <w:color w:val="auto"/>
                <w:sz w:val="24"/>
              </w:rPr>
              <w:t>m范围内不存在声环境保护目标。根据建设项目环境影响报告表编制技术指南（污染影响类）（试行）以及</w:t>
            </w:r>
            <w:r>
              <w:rPr>
                <w:rFonts w:hint="eastAsia" w:ascii="宋体" w:hAnsi="宋体" w:eastAsia="宋体" w:cs="宋体"/>
                <w:color w:val="auto"/>
                <w:sz w:val="24"/>
              </w:rPr>
              <w:t>“</w:t>
            </w:r>
            <w:r>
              <w:rPr>
                <w:rFonts w:hint="default" w:ascii="Times New Roman" w:hAnsi="Times New Roman" w:cs="Times New Roman"/>
                <w:color w:val="auto"/>
                <w:sz w:val="24"/>
              </w:rPr>
              <w:t>《建设项目环境影响报告表》内容、格式及编制技术指南常见问题</w:t>
            </w:r>
            <w:r>
              <w:rPr>
                <w:rFonts w:hint="eastAsia" w:ascii="宋体" w:hAnsi="宋体" w:eastAsia="宋体" w:cs="宋体"/>
                <w:color w:val="auto"/>
                <w:sz w:val="24"/>
              </w:rPr>
              <w:t>解答”“厂界</w:t>
            </w:r>
            <w:r>
              <w:rPr>
                <w:rFonts w:hint="default" w:ascii="Times New Roman" w:hAnsi="Times New Roman" w:cs="Times New Roman"/>
                <w:color w:val="auto"/>
                <w:sz w:val="24"/>
              </w:rPr>
              <w:t>外周边</w:t>
            </w:r>
            <w:r>
              <w:rPr>
                <w:rFonts w:hint="default" w:ascii="Times New Roman" w:hAnsi="Times New Roman" w:cs="Times New Roman"/>
                <w:color w:val="auto"/>
                <w:sz w:val="24"/>
                <w:lang w:val="en-US" w:eastAsia="zh-CN"/>
              </w:rPr>
              <w:t>20</w:t>
            </w:r>
            <w:r>
              <w:rPr>
                <w:rFonts w:hint="default" w:ascii="Times New Roman" w:hAnsi="Times New Roman" w:cs="Times New Roman"/>
                <w:color w:val="auto"/>
                <w:sz w:val="24"/>
              </w:rPr>
              <w:t>0m范围内无声环境保护目标的建设项目，不再要求提供声环境质量现状监测数据</w:t>
            </w:r>
            <w:r>
              <w:rPr>
                <w:rFonts w:hint="eastAsia" w:ascii="宋体" w:hAnsi="宋体" w:eastAsia="宋体" w:cs="宋体"/>
                <w:color w:val="auto"/>
                <w:sz w:val="24"/>
              </w:rPr>
              <w:t>”</w:t>
            </w:r>
            <w:r>
              <w:rPr>
                <w:rFonts w:hint="default" w:ascii="Times New Roman" w:hAnsi="Times New Roman" w:cs="Times New Roman"/>
                <w:color w:val="auto"/>
                <w:sz w:val="24"/>
              </w:rPr>
              <w:t>。因此，本次评价未开展声环境质量现状监测。</w:t>
            </w:r>
          </w:p>
          <w:p w14:paraId="4770E4E4">
            <w:pPr>
              <w:pStyle w:val="5"/>
              <w:spacing w:line="520" w:lineRule="exact"/>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四</w:t>
            </w:r>
            <w:r>
              <w:rPr>
                <w:rFonts w:hint="default" w:ascii="Times New Roman" w:hAnsi="Times New Roman" w:cs="Times New Roman"/>
                <w:color w:val="auto"/>
              </w:rPr>
              <w:t>、</w:t>
            </w:r>
            <w:r>
              <w:rPr>
                <w:rFonts w:hint="eastAsia" w:ascii="Times New Roman" w:hAnsi="Times New Roman" w:cs="Times New Roman"/>
                <w:color w:val="auto"/>
                <w:lang w:val="en-US" w:eastAsia="zh-CN"/>
              </w:rPr>
              <w:t>地下水、土壤环境质量现状调查与评价</w:t>
            </w:r>
          </w:p>
          <w:p w14:paraId="322C3509">
            <w:pPr>
              <w:adjustRightInd w:val="0"/>
              <w:snapToGrid w:val="0"/>
              <w:spacing w:line="520" w:lineRule="exact"/>
              <w:ind w:firstLine="480" w:firstLineChars="200"/>
              <w:jc w:val="left"/>
              <w:rPr>
                <w:rFonts w:hint="default" w:ascii="Times New Roman" w:hAnsi="Times New Roman" w:cs="Times New Roman"/>
                <w:color w:val="auto"/>
                <w:sz w:val="24"/>
                <w:lang w:val="en-US" w:eastAsia="zh-CN"/>
              </w:rPr>
            </w:pPr>
            <w:r>
              <w:rPr>
                <w:rFonts w:hint="default" w:ascii="Times New Roman" w:hAnsi="Times New Roman" w:cs="Times New Roman"/>
                <w:color w:val="auto"/>
                <w:sz w:val="24"/>
              </w:rPr>
              <w:t>根据建设项目环境影响报告表编制技术指南（污染影响类）（试行），“地下水、土壤环境原则上不开展环境质量现状调查。建设项目存在土壤、地下水环境污染途径的，应结合污染源、保护目标分布情况开展现状调查以留作背景值”。</w:t>
            </w:r>
            <w:r>
              <w:rPr>
                <w:rFonts w:hint="eastAsia" w:ascii="Times New Roman" w:hAnsi="Times New Roman" w:cs="Times New Roman"/>
                <w:color w:val="auto"/>
                <w:sz w:val="24"/>
                <w:lang w:val="en-US" w:eastAsia="zh-CN"/>
              </w:rPr>
              <w:t>根据《环境影响评价技术导则 地下水环境》（HJ610-2016）中附录A中确定本项目为Ⅳ类项目，根据调查本项目无地下水污染途径，故不开展地下水现状调查；根据《环境影响评价技术导则土壤环境（试行）》（HJ964-2018）中附录A中确定本项目为Ⅳ类项目，根据调查确定本项目无土壤污染途径，故不开展土壤现状调查。</w:t>
            </w:r>
          </w:p>
          <w:p w14:paraId="56B4DD6C">
            <w:pPr>
              <w:pStyle w:val="5"/>
              <w:spacing w:line="520" w:lineRule="exact"/>
              <w:rPr>
                <w:rFonts w:hint="default" w:ascii="Times New Roman" w:hAnsi="Times New Roman" w:cs="Times New Roman"/>
                <w:color w:val="auto"/>
              </w:rPr>
            </w:pPr>
            <w:r>
              <w:rPr>
                <w:rFonts w:hint="default" w:ascii="Times New Roman" w:hAnsi="Times New Roman" w:cs="Times New Roman"/>
                <w:color w:val="auto"/>
              </w:rPr>
              <w:t>五、生态环境现状评价</w:t>
            </w:r>
          </w:p>
          <w:p w14:paraId="2A1E1A9D">
            <w:pPr>
              <w:adjustRightInd w:val="0"/>
              <w:snapToGrid w:val="0"/>
              <w:spacing w:line="520" w:lineRule="exact"/>
              <w:ind w:firstLine="48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sz w:val="24"/>
              </w:rPr>
              <w:t>根据《建设项目环境影响报告表编制技术指南》（污染影响类）（试行），产业园区外建设项目新增用地且用地范围内含有生态环境保护目标时，应进行生态现状调查。本项目位于</w:t>
            </w:r>
            <w:r>
              <w:rPr>
                <w:rFonts w:hint="eastAsia" w:cs="Times New Roman"/>
                <w:color w:val="auto"/>
                <w:sz w:val="24"/>
                <w:lang w:val="en-US" w:eastAsia="zh-CN"/>
              </w:rPr>
              <w:t>和</w:t>
            </w:r>
            <w:r>
              <w:rPr>
                <w:rFonts w:hint="eastAsia"/>
                <w:color w:val="auto"/>
                <w:sz w:val="24"/>
                <w:lang w:val="en-US" w:eastAsia="zh-CN"/>
              </w:rPr>
              <w:t>硕县经济开发区清水河综合工业园区</w:t>
            </w:r>
            <w:r>
              <w:rPr>
                <w:rFonts w:hint="default" w:ascii="Times New Roman" w:hAnsi="Times New Roman" w:cs="Times New Roman"/>
                <w:color w:val="auto"/>
                <w:sz w:val="24"/>
                <w:lang w:eastAsia="zh-CN"/>
              </w:rPr>
              <w:t>内</w:t>
            </w:r>
            <w:r>
              <w:rPr>
                <w:rFonts w:hint="default" w:ascii="Times New Roman" w:hAnsi="Times New Roman" w:cs="Times New Roman"/>
                <w:color w:val="auto"/>
                <w:sz w:val="24"/>
              </w:rPr>
              <w:t>，</w:t>
            </w:r>
            <w:r>
              <w:rPr>
                <w:rFonts w:hint="eastAsia" w:cs="Times New Roman"/>
                <w:color w:val="auto"/>
                <w:sz w:val="24"/>
                <w:lang w:val="en-US" w:eastAsia="zh-CN"/>
              </w:rPr>
              <w:t>且在原有厂区范围内建设不新增用地，</w:t>
            </w:r>
            <w:r>
              <w:rPr>
                <w:rFonts w:hint="default" w:ascii="Times New Roman" w:hAnsi="Times New Roman" w:cs="Times New Roman"/>
                <w:color w:val="auto"/>
                <w:sz w:val="24"/>
              </w:rPr>
              <w:t>不进行生态现状调查。</w:t>
            </w:r>
          </w:p>
        </w:tc>
      </w:tr>
      <w:tr w14:paraId="69EEFD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noWrap w:val="0"/>
            <w:vAlign w:val="center"/>
          </w:tcPr>
          <w:p w14:paraId="3E087A3B">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w:t>
            </w:r>
          </w:p>
          <w:p w14:paraId="5E5D9A89">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境</w:t>
            </w:r>
          </w:p>
          <w:p w14:paraId="4AAF4B57">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保</w:t>
            </w:r>
          </w:p>
          <w:p w14:paraId="783AA8CD">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护</w:t>
            </w:r>
          </w:p>
          <w:p w14:paraId="10398107">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目</w:t>
            </w:r>
          </w:p>
          <w:p w14:paraId="29B1DD7B">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标</w:t>
            </w:r>
          </w:p>
        </w:tc>
        <w:tc>
          <w:tcPr>
            <w:tcW w:w="8190" w:type="dxa"/>
            <w:noWrap w:val="0"/>
            <w:vAlign w:val="center"/>
          </w:tcPr>
          <w:p w14:paraId="22EAA91C">
            <w:pPr>
              <w:spacing w:line="520" w:lineRule="exact"/>
              <w:rPr>
                <w:rFonts w:hint="default" w:ascii="Times New Roman" w:hAnsi="Times New Roman" w:cs="Times New Roman"/>
                <w:b/>
                <w:bCs/>
                <w:color w:val="auto"/>
                <w:sz w:val="24"/>
              </w:rPr>
            </w:pPr>
            <w:r>
              <w:rPr>
                <w:rFonts w:hint="default" w:ascii="Times New Roman" w:hAnsi="Times New Roman" w:cs="Times New Roman"/>
                <w:b/>
                <w:bCs/>
                <w:color w:val="auto"/>
                <w:sz w:val="24"/>
              </w:rPr>
              <w:t>一、大气环境</w:t>
            </w:r>
          </w:p>
          <w:p w14:paraId="64AF0C3F">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根据《建设项目环境影响报告表编制技术指南（污染影响型）（试行）》指南要求，本项目位于</w:t>
            </w:r>
            <w:r>
              <w:rPr>
                <w:rFonts w:hint="eastAsia"/>
                <w:color w:val="auto"/>
                <w:sz w:val="24"/>
                <w:lang w:val="en-US" w:eastAsia="zh-CN"/>
              </w:rPr>
              <w:t>和硕县经济开发区清水河综合工业园区</w:t>
            </w:r>
            <w:r>
              <w:rPr>
                <w:rFonts w:hint="default" w:ascii="Times New Roman" w:hAnsi="Times New Roman" w:cs="Times New Roman"/>
                <w:color w:val="auto"/>
                <w:sz w:val="24"/>
              </w:rPr>
              <w:t>，项目厂界外500m范围内无自然保护区、风景名胜区、居住区、文化区及农村地区中人群较集中的区域等</w:t>
            </w:r>
            <w:r>
              <w:rPr>
                <w:rFonts w:hint="eastAsia" w:cs="Times New Roman"/>
                <w:color w:val="auto"/>
                <w:sz w:val="24"/>
                <w:lang w:val="en-US" w:eastAsia="zh-CN"/>
              </w:rPr>
              <w:t>大气环境</w:t>
            </w:r>
            <w:r>
              <w:rPr>
                <w:rFonts w:hint="default" w:ascii="Times New Roman" w:hAnsi="Times New Roman" w:cs="Times New Roman"/>
                <w:color w:val="auto"/>
                <w:sz w:val="24"/>
              </w:rPr>
              <w:t>保护目标。</w:t>
            </w:r>
          </w:p>
          <w:p w14:paraId="0DC2CF8F">
            <w:pPr>
              <w:spacing w:beforeLines="50" w:line="520" w:lineRule="exact"/>
              <w:rPr>
                <w:rFonts w:hint="default" w:ascii="Times New Roman" w:hAnsi="Times New Roman" w:cs="Times New Roman"/>
                <w:b/>
                <w:bCs/>
                <w:color w:val="auto"/>
                <w:sz w:val="24"/>
              </w:rPr>
            </w:pPr>
            <w:r>
              <w:rPr>
                <w:rFonts w:hint="default" w:ascii="Times New Roman" w:hAnsi="Times New Roman" w:cs="Times New Roman"/>
                <w:b/>
                <w:bCs/>
                <w:color w:val="auto"/>
                <w:sz w:val="24"/>
              </w:rPr>
              <w:t>二、声环境</w:t>
            </w:r>
          </w:p>
          <w:p w14:paraId="1AB4DA5D">
            <w:pPr>
              <w:adjustRightInd w:val="0"/>
              <w:snapToGrid w:val="0"/>
              <w:spacing w:line="520" w:lineRule="exact"/>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根据《声环境质量标准》（GB3096-2008）可知项目区位于三类功能区。根据《建设项目环境影响报告表编制技术指南（污染影响型）（试行）》指南要求，本项目厂界外50m范围内无声环境保护目标。</w:t>
            </w:r>
          </w:p>
          <w:p w14:paraId="1BC53A4B">
            <w:pPr>
              <w:spacing w:beforeLines="50" w:line="520" w:lineRule="exact"/>
              <w:rPr>
                <w:rFonts w:hint="default" w:ascii="Times New Roman" w:hAnsi="Times New Roman" w:cs="Times New Roman"/>
                <w:color w:val="auto"/>
                <w:sz w:val="24"/>
              </w:rPr>
            </w:pPr>
            <w:r>
              <w:rPr>
                <w:rFonts w:hint="default" w:ascii="Times New Roman" w:hAnsi="Times New Roman" w:cs="Times New Roman"/>
                <w:b/>
                <w:bCs/>
                <w:color w:val="auto"/>
                <w:sz w:val="24"/>
              </w:rPr>
              <w:t>三、地下水环境</w:t>
            </w:r>
          </w:p>
          <w:p w14:paraId="35B249FE">
            <w:pPr>
              <w:adjustRightInd w:val="0"/>
              <w:snapToGrid w:val="0"/>
              <w:spacing w:line="520" w:lineRule="exact"/>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厂界外500m范围内无地下水集中式饮用水水源以及热水、矿泉水、温泉等特殊地下水资源。</w:t>
            </w:r>
          </w:p>
          <w:p w14:paraId="69D6FCB9">
            <w:pPr>
              <w:spacing w:beforeLines="50" w:line="520" w:lineRule="exact"/>
              <w:rPr>
                <w:rFonts w:hint="default" w:ascii="Times New Roman" w:hAnsi="Times New Roman" w:cs="Times New Roman"/>
                <w:b/>
                <w:bCs/>
                <w:color w:val="auto"/>
                <w:sz w:val="24"/>
              </w:rPr>
            </w:pPr>
            <w:r>
              <w:rPr>
                <w:rFonts w:hint="default" w:ascii="Times New Roman" w:hAnsi="Times New Roman" w:cs="Times New Roman"/>
                <w:b/>
                <w:bCs/>
                <w:color w:val="auto"/>
                <w:sz w:val="24"/>
              </w:rPr>
              <w:t>四、生态环境</w:t>
            </w:r>
          </w:p>
          <w:p w14:paraId="7E5F8C7B">
            <w:pPr>
              <w:pStyle w:val="2"/>
              <w:spacing w:after="0" w:line="520" w:lineRule="exact"/>
              <w:ind w:left="0" w:leftChars="0" w:firstLine="48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sz w:val="24"/>
              </w:rPr>
              <w:t>本项目位于</w:t>
            </w:r>
            <w:r>
              <w:rPr>
                <w:rFonts w:hint="eastAsia"/>
                <w:color w:val="auto"/>
                <w:sz w:val="24"/>
                <w:lang w:val="en-US" w:eastAsia="zh-CN"/>
              </w:rPr>
              <w:t>和硕县经济开发区清水河综合工业园区</w:t>
            </w:r>
            <w:r>
              <w:rPr>
                <w:rFonts w:hint="default" w:ascii="Times New Roman" w:hAnsi="Times New Roman" w:cs="Times New Roman"/>
                <w:color w:val="auto"/>
                <w:sz w:val="24"/>
              </w:rPr>
              <w:t>，</w:t>
            </w:r>
            <w:r>
              <w:rPr>
                <w:rFonts w:hint="eastAsia" w:cs="Times New Roman"/>
                <w:color w:val="auto"/>
                <w:sz w:val="24"/>
                <w:lang w:val="en-US" w:eastAsia="zh-CN"/>
              </w:rPr>
              <w:t>且在原有厂区范围内建设不新增用地，</w:t>
            </w:r>
            <w:r>
              <w:rPr>
                <w:rFonts w:hint="default" w:ascii="Times New Roman" w:hAnsi="Times New Roman" w:cs="Times New Roman"/>
                <w:color w:val="auto"/>
                <w:sz w:val="24"/>
              </w:rPr>
              <w:t>用地范围内无生态环境保护目标。</w:t>
            </w:r>
          </w:p>
        </w:tc>
      </w:tr>
      <w:tr w14:paraId="057DF2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3" w:hRule="atLeast"/>
          <w:jc w:val="center"/>
        </w:trPr>
        <w:tc>
          <w:tcPr>
            <w:tcW w:w="800" w:type="dxa"/>
            <w:noWrap w:val="0"/>
            <w:tcMar>
              <w:left w:w="28" w:type="dxa"/>
              <w:right w:w="28" w:type="dxa"/>
            </w:tcMar>
            <w:vAlign w:val="center"/>
          </w:tcPr>
          <w:p w14:paraId="43AAFEA6">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污</w:t>
            </w:r>
          </w:p>
          <w:p w14:paraId="2ECF7915">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染</w:t>
            </w:r>
          </w:p>
          <w:p w14:paraId="66FA5DC4">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物</w:t>
            </w:r>
          </w:p>
          <w:p w14:paraId="6F07E201">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排</w:t>
            </w:r>
          </w:p>
          <w:p w14:paraId="1661BDB7">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放</w:t>
            </w:r>
          </w:p>
          <w:p w14:paraId="17141070">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控</w:t>
            </w:r>
          </w:p>
          <w:p w14:paraId="2E72D78C">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制</w:t>
            </w:r>
          </w:p>
          <w:p w14:paraId="702853D9">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标</w:t>
            </w:r>
          </w:p>
          <w:p w14:paraId="4E48AD60">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准</w:t>
            </w:r>
          </w:p>
        </w:tc>
        <w:tc>
          <w:tcPr>
            <w:tcW w:w="8190" w:type="dxa"/>
            <w:noWrap w:val="0"/>
            <w:vAlign w:val="center"/>
          </w:tcPr>
          <w:p w14:paraId="56DDA9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firstLine="482" w:firstLineChars="200"/>
              <w:jc w:val="left"/>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1</w:t>
            </w:r>
            <w:r>
              <w:rPr>
                <w:rFonts w:hint="default" w:ascii="Times New Roman" w:hAnsi="Times New Roman" w:cs="Times New Roman"/>
                <w:b/>
                <w:bCs/>
                <w:color w:val="auto"/>
                <w:sz w:val="24"/>
                <w:lang w:val="en-US" w:eastAsia="zh-CN"/>
              </w:rPr>
              <w:t>.施工期</w:t>
            </w:r>
            <w:r>
              <w:rPr>
                <w:rFonts w:hint="default" w:ascii="Times New Roman" w:hAnsi="Times New Roman" w:cs="Times New Roman"/>
                <w:b/>
                <w:bCs/>
                <w:color w:val="auto"/>
                <w:sz w:val="24"/>
              </w:rPr>
              <w:t>污染物排放标准</w:t>
            </w:r>
          </w:p>
          <w:p w14:paraId="3C19E6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default" w:ascii="Times New Roman" w:hAnsi="Times New Roman" w:cs="Times New Roman"/>
                <w:color w:val="auto"/>
                <w:sz w:val="24"/>
                <w:lang w:val="en-US" w:eastAsia="zh-CN"/>
              </w:rPr>
            </w:pPr>
            <w:r>
              <w:rPr>
                <w:rFonts w:hint="eastAsia"/>
                <w:color w:val="auto"/>
                <w:sz w:val="24"/>
                <w:szCs w:val="24"/>
                <w:lang w:val="en-US" w:eastAsia="zh-CN"/>
              </w:rPr>
              <w:t>本项目部分利用</w:t>
            </w:r>
            <w:r>
              <w:rPr>
                <w:rFonts w:hint="eastAsia"/>
                <w:color w:val="auto"/>
                <w:sz w:val="24"/>
                <w:lang w:val="en-US" w:eastAsia="zh-CN"/>
              </w:rPr>
              <w:t>原</w:t>
            </w:r>
            <w:r>
              <w:rPr>
                <w:rFonts w:hint="eastAsia"/>
                <w:color w:val="auto"/>
                <w:sz w:val="24"/>
                <w:szCs w:val="24"/>
                <w:lang w:val="en-US" w:eastAsia="zh-CN"/>
              </w:rPr>
              <w:t>有厂房进行建设，施工期仅进行设备安装、调试，不涉及基础开挖及主体工程的修建，主要为装饰工程及设备安装工序，对周边环境影响较小，且施工期较短，因此不再分析施工期的产污环节及影响分析。</w:t>
            </w:r>
          </w:p>
          <w:p w14:paraId="4DDF95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firstLine="482" w:firstLineChars="200"/>
              <w:jc w:val="left"/>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lang w:val="en-US" w:eastAsia="zh-CN"/>
              </w:rPr>
              <w:t>2.运营期</w:t>
            </w:r>
            <w:r>
              <w:rPr>
                <w:rFonts w:hint="default" w:ascii="Times New Roman" w:hAnsi="Times New Roman" w:cs="Times New Roman"/>
                <w:b/>
                <w:bCs/>
                <w:color w:val="auto"/>
                <w:sz w:val="24"/>
              </w:rPr>
              <w:t>污染物排放标准</w:t>
            </w:r>
          </w:p>
          <w:p w14:paraId="746C8C2E">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Chars="200" w:right="0" w:rightChars="0"/>
              <w:jc w:val="left"/>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（1）废气</w:t>
            </w:r>
          </w:p>
          <w:p w14:paraId="62F1D4C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机械</w:t>
            </w:r>
            <w:r>
              <w:rPr>
                <w:rFonts w:hint="eastAsia" w:cs="Times New Roman"/>
                <w:color w:val="auto"/>
                <w:sz w:val="24"/>
                <w:lang w:val="en-US" w:eastAsia="zh-CN"/>
              </w:rPr>
              <w:t>车辆</w:t>
            </w:r>
            <w:r>
              <w:rPr>
                <w:rFonts w:hint="default" w:ascii="Times New Roman" w:hAnsi="Times New Roman" w:cs="Times New Roman"/>
                <w:color w:val="auto"/>
                <w:sz w:val="24"/>
                <w:lang w:val="en-US" w:eastAsia="zh-CN"/>
              </w:rPr>
              <w:t>尾气排放浓度须满足《非道路移动机械用柴油机排气污染物排放限值及测量方法（中国第三、四阶段）》（GB20891-2014）修改单及《非道路柴油移动机械排气烟度限值及测量方法》（GB36886-2018）限值要求。</w:t>
            </w:r>
          </w:p>
          <w:p w14:paraId="013D8A73">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生产过程中有组织粉尘</w:t>
            </w:r>
            <w:r>
              <w:rPr>
                <w:rFonts w:hint="eastAsia" w:cs="Times New Roman"/>
                <w:color w:val="auto"/>
                <w:sz w:val="24"/>
                <w:lang w:val="en-US" w:eastAsia="zh-CN"/>
              </w:rPr>
              <w:t>和VOCs（以非甲烷总烃计）</w:t>
            </w:r>
            <w:r>
              <w:rPr>
                <w:rFonts w:hint="default" w:ascii="Times New Roman" w:hAnsi="Times New Roman" w:cs="Times New Roman"/>
                <w:color w:val="auto"/>
                <w:sz w:val="24"/>
                <w:lang w:val="en-US" w:eastAsia="zh-CN"/>
              </w:rPr>
              <w:t>执行《大气污染物综合排放标准》（GB16297-1996）表2中颗粒物</w:t>
            </w:r>
            <w:r>
              <w:rPr>
                <w:rFonts w:hint="eastAsia" w:cs="Times New Roman"/>
                <w:color w:val="auto"/>
                <w:sz w:val="24"/>
                <w:lang w:val="en-US" w:eastAsia="zh-CN"/>
              </w:rPr>
              <w:t>和非甲烷总烃</w:t>
            </w:r>
            <w:r>
              <w:rPr>
                <w:rFonts w:hint="default" w:ascii="Times New Roman" w:hAnsi="Times New Roman" w:cs="Times New Roman"/>
                <w:color w:val="auto"/>
                <w:sz w:val="24"/>
                <w:lang w:val="en-US" w:eastAsia="zh-CN"/>
              </w:rPr>
              <w:t>有组织排放浓度限值</w:t>
            </w:r>
            <w:r>
              <w:rPr>
                <w:rFonts w:hint="eastAsia" w:cs="Times New Roman"/>
                <w:color w:val="auto"/>
                <w:sz w:val="24"/>
                <w:lang w:val="en-US" w:eastAsia="zh-CN"/>
              </w:rPr>
              <w:t>。</w:t>
            </w:r>
          </w:p>
          <w:p w14:paraId="19E728AF">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厂界无组织排放粉尘</w:t>
            </w:r>
            <w:r>
              <w:rPr>
                <w:rFonts w:hint="eastAsia" w:ascii="Times New Roman" w:hAnsi="Times New Roman" w:eastAsia="宋体" w:cs="Times New Roman"/>
                <w:b w:val="0"/>
                <w:bCs w:val="0"/>
                <w:color w:val="auto"/>
                <w:kern w:val="2"/>
                <w:sz w:val="24"/>
                <w:szCs w:val="24"/>
                <w:lang w:val="en-US" w:eastAsia="zh-CN" w:bidi="ar-SA"/>
              </w:rPr>
              <w:t>和非甲烷总烃</w:t>
            </w:r>
            <w:r>
              <w:rPr>
                <w:rFonts w:hint="default" w:ascii="Times New Roman" w:hAnsi="Times New Roman" w:eastAsia="宋体" w:cs="Times New Roman"/>
                <w:b w:val="0"/>
                <w:bCs w:val="0"/>
                <w:color w:val="auto"/>
                <w:kern w:val="2"/>
                <w:sz w:val="24"/>
                <w:szCs w:val="24"/>
                <w:lang w:val="en-US" w:eastAsia="zh-CN" w:bidi="ar-SA"/>
              </w:rPr>
              <w:t>执行《大气污染物综合排放标准》（GB16297-1996）表2中颗粒物</w:t>
            </w:r>
            <w:r>
              <w:rPr>
                <w:rFonts w:hint="eastAsia" w:ascii="Times New Roman" w:hAnsi="Times New Roman" w:eastAsia="宋体" w:cs="Times New Roman"/>
                <w:b w:val="0"/>
                <w:bCs w:val="0"/>
                <w:color w:val="auto"/>
                <w:kern w:val="2"/>
                <w:sz w:val="24"/>
                <w:szCs w:val="24"/>
                <w:lang w:val="en-US" w:eastAsia="zh-CN" w:bidi="ar-SA"/>
              </w:rPr>
              <w:t>和非甲烷总烃</w:t>
            </w:r>
            <w:r>
              <w:rPr>
                <w:rFonts w:hint="default" w:ascii="Times New Roman" w:hAnsi="Times New Roman" w:eastAsia="宋体" w:cs="Times New Roman"/>
                <w:b w:val="0"/>
                <w:bCs w:val="0"/>
                <w:color w:val="auto"/>
                <w:kern w:val="2"/>
                <w:sz w:val="24"/>
                <w:szCs w:val="24"/>
                <w:lang w:val="en-US" w:eastAsia="zh-CN" w:bidi="ar-SA"/>
              </w:rPr>
              <w:t>无组织排放浓度限值；</w:t>
            </w:r>
          </w:p>
          <w:p w14:paraId="05B95BDD">
            <w:pPr>
              <w:pStyle w:val="6"/>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color w:val="auto"/>
                <w:sz w:val="21"/>
                <w:szCs w:val="21"/>
              </w:rPr>
              <w:t>表</w:t>
            </w:r>
            <w:r>
              <w:rPr>
                <w:rFonts w:hint="default" w:ascii="Times New Roman" w:hAnsi="Times New Roman" w:cs="Times New Roman"/>
                <w:b/>
                <w:color w:val="auto"/>
                <w:sz w:val="21"/>
                <w:szCs w:val="21"/>
                <w:lang w:val="en-US" w:eastAsia="zh-CN"/>
              </w:rPr>
              <w:t>3-</w:t>
            </w:r>
            <w:r>
              <w:rPr>
                <w:rFonts w:hint="eastAsia" w:cs="Times New Roman"/>
                <w:b/>
                <w:color w:val="auto"/>
                <w:sz w:val="21"/>
                <w:szCs w:val="21"/>
                <w:lang w:val="en-US" w:eastAsia="zh-CN"/>
              </w:rPr>
              <w:t>4</w:t>
            </w:r>
            <w:r>
              <w:rPr>
                <w:rFonts w:hint="default" w:ascii="Times New Roman" w:hAnsi="Times New Roman" w:cs="Times New Roman"/>
                <w:b/>
                <w:color w:val="auto"/>
                <w:sz w:val="21"/>
                <w:szCs w:val="21"/>
                <w:lang w:val="en-US" w:eastAsia="zh-CN"/>
              </w:rPr>
              <w:t>大气污染物</w:t>
            </w:r>
            <w:r>
              <w:rPr>
                <w:rFonts w:hint="default" w:ascii="Times New Roman" w:hAnsi="Times New Roman" w:cs="Times New Roman"/>
                <w:b/>
                <w:color w:val="auto"/>
                <w:sz w:val="21"/>
                <w:szCs w:val="21"/>
              </w:rPr>
              <w:t>综合排放标准</w:t>
            </w:r>
          </w:p>
          <w:tbl>
            <w:tblPr>
              <w:tblStyle w:val="25"/>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5"/>
              <w:gridCol w:w="2445"/>
              <w:gridCol w:w="1095"/>
              <w:gridCol w:w="884"/>
              <w:gridCol w:w="783"/>
              <w:gridCol w:w="1000"/>
              <w:gridCol w:w="1302"/>
            </w:tblGrid>
            <w:tr w14:paraId="25A924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5" w:type="dxa"/>
                  <w:vMerge w:val="restart"/>
                  <w:textDirection w:val="tbLrV"/>
                  <w:vAlign w:val="center"/>
                </w:tcPr>
                <w:p w14:paraId="37F2691C">
                  <w:pPr>
                    <w:pStyle w:val="3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污染物</w:t>
                  </w:r>
                </w:p>
              </w:tc>
              <w:tc>
                <w:tcPr>
                  <w:tcW w:w="3540" w:type="dxa"/>
                  <w:gridSpan w:val="2"/>
                  <w:vAlign w:val="center"/>
                </w:tcPr>
                <w:p w14:paraId="60794BD4">
                  <w:pPr>
                    <w:pStyle w:val="3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无组织排放监控浓度限值</w:t>
                  </w:r>
                </w:p>
              </w:tc>
              <w:tc>
                <w:tcPr>
                  <w:tcW w:w="3969" w:type="dxa"/>
                  <w:gridSpan w:val="4"/>
                  <w:vAlign w:val="center"/>
                </w:tcPr>
                <w:p w14:paraId="5BFA2B9A">
                  <w:pPr>
                    <w:pStyle w:val="3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有组织排放标准</w:t>
                  </w:r>
                </w:p>
              </w:tc>
            </w:tr>
            <w:tr w14:paraId="5A0A93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55" w:type="dxa"/>
                  <w:vMerge w:val="continue"/>
                  <w:textDirection w:val="tbLrV"/>
                  <w:vAlign w:val="center"/>
                </w:tcPr>
                <w:p w14:paraId="7B4444D0">
                  <w:pPr>
                    <w:pStyle w:val="31"/>
                    <w:bidi w:val="0"/>
                    <w:rPr>
                      <w:rFonts w:hint="default" w:ascii="Times New Roman" w:hAnsi="Times New Roman" w:cs="Times New Roman"/>
                      <w:color w:val="auto"/>
                      <w:lang w:val="en-US" w:eastAsia="zh-CN"/>
                    </w:rPr>
                  </w:pPr>
                </w:p>
              </w:tc>
              <w:tc>
                <w:tcPr>
                  <w:tcW w:w="2445" w:type="dxa"/>
                  <w:vAlign w:val="center"/>
                </w:tcPr>
                <w:p w14:paraId="1ADC7D7F">
                  <w:pPr>
                    <w:pStyle w:val="3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监控点</w:t>
                  </w:r>
                </w:p>
              </w:tc>
              <w:tc>
                <w:tcPr>
                  <w:tcW w:w="1095" w:type="dxa"/>
                  <w:vAlign w:val="center"/>
                </w:tcPr>
                <w:p w14:paraId="498E97C2">
                  <w:pPr>
                    <w:pStyle w:val="3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浓度</w:t>
                  </w:r>
                  <w:r>
                    <w:rPr>
                      <w:rFonts w:hint="eastAsia" w:ascii="Times New Roman" w:cs="Times New Roman"/>
                      <w:color w:val="auto"/>
                      <w:lang w:val="en-US" w:eastAsia="zh-CN"/>
                    </w:rPr>
                    <w:t>，</w:t>
                  </w:r>
                  <w:r>
                    <w:rPr>
                      <w:rFonts w:hint="default" w:ascii="Times New Roman" w:hAnsi="Times New Roman" w:cs="Times New Roman"/>
                      <w:color w:val="auto"/>
                      <w:lang w:val="en-US" w:eastAsia="zh-CN"/>
                    </w:rPr>
                    <w:t>mg/m</w:t>
                  </w:r>
                  <w:r>
                    <w:rPr>
                      <w:rFonts w:hint="default" w:ascii="Times New Roman" w:hAnsi="Times New Roman" w:cs="Times New Roman"/>
                      <w:color w:val="auto"/>
                      <w:vertAlign w:val="superscript"/>
                      <w:lang w:val="en-US" w:eastAsia="zh-CN"/>
                    </w:rPr>
                    <w:t>3</w:t>
                  </w:r>
                </w:p>
              </w:tc>
              <w:tc>
                <w:tcPr>
                  <w:tcW w:w="884" w:type="dxa"/>
                  <w:vAlign w:val="center"/>
                </w:tcPr>
                <w:p w14:paraId="535675CC">
                  <w:pPr>
                    <w:pStyle w:val="3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监测点</w:t>
                  </w:r>
                </w:p>
              </w:tc>
              <w:tc>
                <w:tcPr>
                  <w:tcW w:w="783" w:type="dxa"/>
                  <w:vAlign w:val="center"/>
                </w:tcPr>
                <w:p w14:paraId="0E50C796">
                  <w:pPr>
                    <w:pStyle w:val="3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排气筒高度</w:t>
                  </w:r>
                  <w:r>
                    <w:rPr>
                      <w:rFonts w:hint="eastAsia" w:ascii="Times New Roman" w:cs="Times New Roman"/>
                      <w:color w:val="auto"/>
                      <w:lang w:val="en-US" w:eastAsia="zh-CN"/>
                    </w:rPr>
                    <w:t>，m</w:t>
                  </w:r>
                </w:p>
              </w:tc>
              <w:tc>
                <w:tcPr>
                  <w:tcW w:w="1000" w:type="dxa"/>
                  <w:vAlign w:val="center"/>
                </w:tcPr>
                <w:p w14:paraId="0322AE03">
                  <w:pPr>
                    <w:pStyle w:val="3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最高允许排放浓度mg/m</w:t>
                  </w:r>
                  <w:r>
                    <w:rPr>
                      <w:rFonts w:hint="default" w:ascii="Times New Roman" w:hAnsi="Times New Roman" w:cs="Times New Roman"/>
                      <w:color w:val="auto"/>
                      <w:vertAlign w:val="superscript"/>
                      <w:lang w:val="en-US" w:eastAsia="zh-CN"/>
                    </w:rPr>
                    <w:t>3</w:t>
                  </w:r>
                </w:p>
              </w:tc>
              <w:tc>
                <w:tcPr>
                  <w:tcW w:w="1302" w:type="dxa"/>
                  <w:vAlign w:val="center"/>
                </w:tcPr>
                <w:p w14:paraId="6D0AB53C">
                  <w:pPr>
                    <w:pStyle w:val="3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最高允许排放速率</w:t>
                  </w:r>
                  <w:r>
                    <w:rPr>
                      <w:rFonts w:hint="eastAsia" w:ascii="Times New Roman" w:cs="Times New Roman"/>
                      <w:color w:val="auto"/>
                      <w:lang w:val="en-US" w:eastAsia="zh-CN"/>
                    </w:rPr>
                    <w:t>，</w:t>
                  </w:r>
                  <w:r>
                    <w:rPr>
                      <w:rFonts w:hint="default" w:ascii="Times New Roman" w:hAnsi="Times New Roman" w:cs="Times New Roman"/>
                      <w:color w:val="auto"/>
                      <w:lang w:val="en-US" w:eastAsia="zh-CN"/>
                    </w:rPr>
                    <w:t>kg/h</w:t>
                  </w:r>
                </w:p>
              </w:tc>
            </w:tr>
            <w:tr w14:paraId="657A14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55" w:type="dxa"/>
                  <w:textDirection w:val="tbLrV"/>
                  <w:vAlign w:val="center"/>
                </w:tcPr>
                <w:p w14:paraId="57406ABA">
                  <w:pPr>
                    <w:pStyle w:val="3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颗粒物</w:t>
                  </w:r>
                </w:p>
              </w:tc>
              <w:tc>
                <w:tcPr>
                  <w:tcW w:w="2445" w:type="dxa"/>
                  <w:vAlign w:val="center"/>
                </w:tcPr>
                <w:p w14:paraId="7FB99000">
                  <w:pPr>
                    <w:pStyle w:val="3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厂界外20m处上风向设参照点，下风向设监控点</w:t>
                  </w:r>
                </w:p>
              </w:tc>
              <w:tc>
                <w:tcPr>
                  <w:tcW w:w="1095" w:type="dxa"/>
                  <w:vAlign w:val="center"/>
                </w:tcPr>
                <w:p w14:paraId="1386ECE6">
                  <w:pPr>
                    <w:pStyle w:val="3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w:t>
                  </w:r>
                </w:p>
              </w:tc>
              <w:tc>
                <w:tcPr>
                  <w:tcW w:w="884" w:type="dxa"/>
                  <w:vAlign w:val="center"/>
                </w:tcPr>
                <w:p w14:paraId="301A6429">
                  <w:pPr>
                    <w:pStyle w:val="3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除尘器排气筒</w:t>
                  </w:r>
                </w:p>
              </w:tc>
              <w:tc>
                <w:tcPr>
                  <w:tcW w:w="783" w:type="dxa"/>
                  <w:vAlign w:val="center"/>
                </w:tcPr>
                <w:p w14:paraId="357411FE">
                  <w:pPr>
                    <w:pStyle w:val="3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15米</w:t>
                  </w:r>
                </w:p>
              </w:tc>
              <w:tc>
                <w:tcPr>
                  <w:tcW w:w="1000" w:type="dxa"/>
                  <w:vAlign w:val="center"/>
                </w:tcPr>
                <w:p w14:paraId="48947A30">
                  <w:pPr>
                    <w:pStyle w:val="3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120</w:t>
                  </w:r>
                </w:p>
              </w:tc>
              <w:tc>
                <w:tcPr>
                  <w:tcW w:w="1302" w:type="dxa"/>
                  <w:vAlign w:val="center"/>
                </w:tcPr>
                <w:p w14:paraId="39862F05">
                  <w:pPr>
                    <w:pStyle w:val="3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3.5</w:t>
                  </w:r>
                </w:p>
              </w:tc>
            </w:tr>
            <w:tr w14:paraId="67733C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55" w:type="dxa"/>
                  <w:vMerge w:val="restart"/>
                  <w:textDirection w:val="tbLrV"/>
                  <w:vAlign w:val="center"/>
                </w:tcPr>
                <w:p w14:paraId="7A53B60F">
                  <w:pPr>
                    <w:pStyle w:val="31"/>
                    <w:bidi w:val="0"/>
                    <w:rPr>
                      <w:rFonts w:hint="default" w:ascii="Times New Roman" w:hAnsi="Times New Roman" w:cs="Times New Roman"/>
                      <w:color w:val="auto"/>
                      <w:lang w:val="en-US" w:eastAsia="zh-CN"/>
                    </w:rPr>
                  </w:pPr>
                  <w:r>
                    <w:rPr>
                      <w:rFonts w:hint="eastAsia" w:ascii="Times New Roman" w:cs="Times New Roman"/>
                      <w:color w:val="auto"/>
                      <w:lang w:val="en-US" w:eastAsia="zh-CN"/>
                    </w:rPr>
                    <w:t>NMHC</w:t>
                  </w:r>
                </w:p>
              </w:tc>
              <w:tc>
                <w:tcPr>
                  <w:tcW w:w="2445" w:type="dxa"/>
                  <w:vAlign w:val="center"/>
                </w:tcPr>
                <w:p w14:paraId="752A003A">
                  <w:pPr>
                    <w:pStyle w:val="31"/>
                    <w:bidi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在</w:t>
                  </w:r>
                  <w:r>
                    <w:rPr>
                      <w:rFonts w:hint="eastAsia" w:ascii="Times New Roman" w:cs="Times New Roman"/>
                      <w:color w:val="auto"/>
                      <w:lang w:val="en-US" w:eastAsia="zh-CN"/>
                    </w:rPr>
                    <w:t>厂区内</w:t>
                  </w:r>
                  <w:r>
                    <w:rPr>
                      <w:rFonts w:hint="eastAsia" w:ascii="Times New Roman" w:hAnsi="Times New Roman" w:cs="Times New Roman"/>
                      <w:color w:val="auto"/>
                      <w:lang w:val="en-US" w:eastAsia="zh-CN"/>
                    </w:rPr>
                    <w:t>设置监测点</w:t>
                  </w:r>
                </w:p>
              </w:tc>
              <w:tc>
                <w:tcPr>
                  <w:tcW w:w="1095" w:type="dxa"/>
                  <w:vAlign w:val="center"/>
                </w:tcPr>
                <w:p w14:paraId="421A475D">
                  <w:pPr>
                    <w:pStyle w:val="31"/>
                    <w:bidi w:val="0"/>
                    <w:rPr>
                      <w:rFonts w:hint="default" w:ascii="Times New Roman" w:hAnsi="Times New Roman" w:cs="Times New Roman"/>
                      <w:color w:val="auto"/>
                      <w:lang w:val="en-US" w:eastAsia="zh-CN"/>
                    </w:rPr>
                  </w:pPr>
                  <w:r>
                    <w:rPr>
                      <w:rFonts w:hint="eastAsia" w:ascii="Times New Roman" w:cs="Times New Roman"/>
                      <w:color w:val="auto"/>
                      <w:lang w:val="en-US" w:eastAsia="zh-CN"/>
                    </w:rPr>
                    <w:t>30</w:t>
                  </w:r>
                </w:p>
              </w:tc>
              <w:tc>
                <w:tcPr>
                  <w:tcW w:w="884" w:type="dxa"/>
                  <w:vMerge w:val="restart"/>
                  <w:vAlign w:val="center"/>
                </w:tcPr>
                <w:p w14:paraId="0CE53F61">
                  <w:pPr>
                    <w:pStyle w:val="31"/>
                    <w:bidi w:val="0"/>
                    <w:rPr>
                      <w:rFonts w:hint="default" w:ascii="Times New Roman" w:hAnsi="Times New Roman" w:cs="Times New Roman"/>
                      <w:color w:val="auto"/>
                      <w:lang w:val="en-US" w:eastAsia="zh-CN"/>
                    </w:rPr>
                  </w:pPr>
                  <w:r>
                    <w:rPr>
                      <w:rFonts w:hint="eastAsia" w:ascii="Times New Roman" w:cs="Times New Roman"/>
                      <w:color w:val="auto"/>
                      <w:lang w:val="en-US" w:eastAsia="zh-CN"/>
                    </w:rPr>
                    <w:t>排气筒</w:t>
                  </w:r>
                </w:p>
              </w:tc>
              <w:tc>
                <w:tcPr>
                  <w:tcW w:w="783" w:type="dxa"/>
                  <w:vMerge w:val="restart"/>
                  <w:vAlign w:val="center"/>
                </w:tcPr>
                <w:p w14:paraId="7AE397BE">
                  <w:pPr>
                    <w:pStyle w:val="31"/>
                    <w:bidi w:val="0"/>
                    <w:rPr>
                      <w:rFonts w:hint="default" w:ascii="Times New Roman" w:hAnsi="Times New Roman" w:cs="Times New Roman"/>
                      <w:color w:val="auto"/>
                      <w:lang w:val="en-US" w:eastAsia="zh-CN"/>
                    </w:rPr>
                  </w:pPr>
                  <w:r>
                    <w:rPr>
                      <w:rFonts w:hint="eastAsia" w:ascii="Times New Roman" w:cs="Times New Roman"/>
                      <w:color w:val="auto"/>
                      <w:lang w:val="en-US" w:eastAsia="zh-CN"/>
                    </w:rPr>
                    <w:t>15米</w:t>
                  </w:r>
                </w:p>
              </w:tc>
              <w:tc>
                <w:tcPr>
                  <w:tcW w:w="1000" w:type="dxa"/>
                  <w:vMerge w:val="restart"/>
                  <w:vAlign w:val="center"/>
                </w:tcPr>
                <w:p w14:paraId="2F527272">
                  <w:pPr>
                    <w:pStyle w:val="31"/>
                    <w:bidi w:val="0"/>
                    <w:rPr>
                      <w:rFonts w:hint="default" w:ascii="Times New Roman" w:hAnsi="Times New Roman" w:cs="Times New Roman"/>
                      <w:color w:val="auto"/>
                      <w:lang w:val="en-US" w:eastAsia="zh-CN"/>
                    </w:rPr>
                  </w:pPr>
                  <w:r>
                    <w:rPr>
                      <w:rFonts w:hint="eastAsia" w:ascii="Times New Roman" w:cs="Times New Roman"/>
                      <w:color w:val="auto"/>
                      <w:lang w:val="en-US" w:eastAsia="zh-CN"/>
                    </w:rPr>
                    <w:t>120</w:t>
                  </w:r>
                </w:p>
              </w:tc>
              <w:tc>
                <w:tcPr>
                  <w:tcW w:w="1302" w:type="dxa"/>
                  <w:vMerge w:val="restart"/>
                  <w:vAlign w:val="center"/>
                </w:tcPr>
                <w:p w14:paraId="46CFAFCB">
                  <w:pPr>
                    <w:pStyle w:val="31"/>
                    <w:bidi w:val="0"/>
                    <w:rPr>
                      <w:rFonts w:hint="default" w:ascii="Times New Roman" w:hAnsi="Times New Roman" w:cs="Times New Roman"/>
                      <w:color w:val="auto"/>
                      <w:lang w:val="en-US" w:eastAsia="zh-CN"/>
                    </w:rPr>
                  </w:pPr>
                  <w:r>
                    <w:rPr>
                      <w:rFonts w:hint="eastAsia" w:ascii="Times New Roman" w:cs="Times New Roman"/>
                      <w:color w:val="auto"/>
                      <w:lang w:val="en-US" w:eastAsia="zh-CN"/>
                    </w:rPr>
                    <w:t>10</w:t>
                  </w:r>
                </w:p>
              </w:tc>
            </w:tr>
            <w:tr w14:paraId="430301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55" w:type="dxa"/>
                  <w:vMerge w:val="continue"/>
                  <w:textDirection w:val="tbLrV"/>
                  <w:vAlign w:val="center"/>
                </w:tcPr>
                <w:p w14:paraId="1AB4691B">
                  <w:pPr>
                    <w:pStyle w:val="31"/>
                    <w:bidi w:val="0"/>
                    <w:rPr>
                      <w:rFonts w:hint="eastAsia" w:ascii="Times New Roman" w:cs="Times New Roman"/>
                      <w:color w:val="auto"/>
                      <w:lang w:val="en-US" w:eastAsia="zh-CN"/>
                    </w:rPr>
                  </w:pPr>
                </w:p>
              </w:tc>
              <w:tc>
                <w:tcPr>
                  <w:tcW w:w="2445" w:type="dxa"/>
                  <w:vAlign w:val="center"/>
                </w:tcPr>
                <w:p w14:paraId="0BFDDE83">
                  <w:pPr>
                    <w:pStyle w:val="31"/>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在厂界设置监测点</w:t>
                  </w:r>
                </w:p>
              </w:tc>
              <w:tc>
                <w:tcPr>
                  <w:tcW w:w="1095" w:type="dxa"/>
                  <w:vAlign w:val="center"/>
                </w:tcPr>
                <w:p w14:paraId="16FF1D66">
                  <w:pPr>
                    <w:pStyle w:val="31"/>
                    <w:bidi w:val="0"/>
                    <w:rPr>
                      <w:rFonts w:hint="default" w:ascii="Times New Roman" w:cs="Times New Roman"/>
                      <w:color w:val="auto"/>
                      <w:lang w:val="en-US" w:eastAsia="zh-CN"/>
                    </w:rPr>
                  </w:pPr>
                  <w:r>
                    <w:rPr>
                      <w:rFonts w:hint="eastAsia" w:ascii="Times New Roman" w:cs="Times New Roman"/>
                      <w:color w:val="auto"/>
                      <w:lang w:val="en-US" w:eastAsia="zh-CN"/>
                    </w:rPr>
                    <w:t>4.0</w:t>
                  </w:r>
                </w:p>
              </w:tc>
              <w:tc>
                <w:tcPr>
                  <w:tcW w:w="884" w:type="dxa"/>
                  <w:vMerge w:val="continue"/>
                  <w:vAlign w:val="center"/>
                </w:tcPr>
                <w:p w14:paraId="5D69E388">
                  <w:pPr>
                    <w:pStyle w:val="31"/>
                    <w:bidi w:val="0"/>
                    <w:rPr>
                      <w:rFonts w:hint="eastAsia" w:ascii="Times New Roman" w:cs="Times New Roman"/>
                      <w:color w:val="auto"/>
                      <w:lang w:val="en-US" w:eastAsia="zh-CN"/>
                    </w:rPr>
                  </w:pPr>
                </w:p>
              </w:tc>
              <w:tc>
                <w:tcPr>
                  <w:tcW w:w="783" w:type="dxa"/>
                  <w:vMerge w:val="continue"/>
                  <w:vAlign w:val="center"/>
                </w:tcPr>
                <w:p w14:paraId="62083A3C">
                  <w:pPr>
                    <w:pStyle w:val="31"/>
                    <w:bidi w:val="0"/>
                    <w:rPr>
                      <w:rFonts w:hint="eastAsia" w:ascii="Times New Roman" w:cs="Times New Roman"/>
                      <w:color w:val="auto"/>
                      <w:lang w:val="en-US" w:eastAsia="zh-CN"/>
                    </w:rPr>
                  </w:pPr>
                </w:p>
              </w:tc>
              <w:tc>
                <w:tcPr>
                  <w:tcW w:w="1000" w:type="dxa"/>
                  <w:vMerge w:val="continue"/>
                  <w:vAlign w:val="center"/>
                </w:tcPr>
                <w:p w14:paraId="681FD109">
                  <w:pPr>
                    <w:pStyle w:val="31"/>
                    <w:bidi w:val="0"/>
                    <w:rPr>
                      <w:rFonts w:hint="eastAsia" w:ascii="Times New Roman" w:cs="Times New Roman"/>
                      <w:color w:val="auto"/>
                      <w:lang w:val="en-US" w:eastAsia="zh-CN"/>
                    </w:rPr>
                  </w:pPr>
                </w:p>
              </w:tc>
              <w:tc>
                <w:tcPr>
                  <w:tcW w:w="1302" w:type="dxa"/>
                  <w:vMerge w:val="continue"/>
                  <w:vAlign w:val="center"/>
                </w:tcPr>
                <w:p w14:paraId="250EE7F9">
                  <w:pPr>
                    <w:pStyle w:val="31"/>
                    <w:bidi w:val="0"/>
                    <w:rPr>
                      <w:rFonts w:hint="eastAsia" w:ascii="Times New Roman" w:cs="Times New Roman"/>
                      <w:color w:val="auto"/>
                      <w:lang w:val="en-US" w:eastAsia="zh-CN"/>
                    </w:rPr>
                  </w:pPr>
                </w:p>
              </w:tc>
            </w:tr>
          </w:tbl>
          <w:p w14:paraId="70DB024B">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cs="Times New Roman"/>
                <w:color w:val="auto"/>
                <w:sz w:val="24"/>
                <w:lang w:val="en-US" w:eastAsia="zh-CN"/>
              </w:rPr>
              <w:t>苯乙烯和臭气浓度排放速率执行《恶臭污染物排放标准》（GB14554-93）表2恶臭污染物排放标准值；</w:t>
            </w:r>
            <w:r>
              <w:rPr>
                <w:rFonts w:hint="eastAsia" w:ascii="Times New Roman" w:hAnsi="Times New Roman" w:eastAsia="宋体" w:cs="Times New Roman"/>
                <w:b w:val="0"/>
                <w:bCs w:val="0"/>
                <w:color w:val="auto"/>
                <w:kern w:val="2"/>
                <w:sz w:val="24"/>
                <w:szCs w:val="24"/>
                <w:lang w:val="en-US" w:eastAsia="zh-CN" w:bidi="ar-SA"/>
              </w:rPr>
              <w:t>无组织废气苯乙烯、臭气浓度执行《恶臭污染物排放标准》（GB14554-93）表1恶臭污染物厂界标准值。</w:t>
            </w:r>
          </w:p>
          <w:p w14:paraId="0FC24C12">
            <w:pPr>
              <w:pStyle w:val="37"/>
              <w:rPr>
                <w:rFonts w:hint="eastAsia" w:ascii="Times New Roman" w:hAnsi="Times New Roman" w:eastAsia="宋体" w:cs="Times New Roman"/>
                <w:b w:val="0"/>
                <w:bCs w:val="0"/>
                <w:color w:val="auto"/>
                <w:kern w:val="2"/>
                <w:sz w:val="24"/>
                <w:szCs w:val="24"/>
                <w:lang w:val="en-US" w:eastAsia="zh-CN" w:bidi="ar-SA"/>
              </w:rPr>
            </w:pPr>
          </w:p>
          <w:p w14:paraId="50804DEB">
            <w:pPr>
              <w:rPr>
                <w:rFonts w:hint="eastAsia"/>
                <w:lang w:val="en-US" w:eastAsia="zh-CN"/>
              </w:rPr>
            </w:pPr>
          </w:p>
          <w:p w14:paraId="0074F2BE">
            <w:pPr>
              <w:pStyle w:val="6"/>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color w:val="auto"/>
                <w:sz w:val="21"/>
                <w:szCs w:val="21"/>
              </w:rPr>
              <w:t>表</w:t>
            </w:r>
            <w:r>
              <w:rPr>
                <w:rFonts w:hint="default" w:ascii="Times New Roman" w:hAnsi="Times New Roman" w:cs="Times New Roman"/>
                <w:b/>
                <w:color w:val="auto"/>
                <w:sz w:val="21"/>
                <w:szCs w:val="21"/>
                <w:lang w:val="en-US" w:eastAsia="zh-CN"/>
              </w:rPr>
              <w:t>3-</w:t>
            </w:r>
            <w:r>
              <w:rPr>
                <w:rFonts w:hint="eastAsia" w:cs="Times New Roman"/>
                <w:b/>
                <w:color w:val="auto"/>
                <w:sz w:val="21"/>
                <w:szCs w:val="21"/>
                <w:lang w:val="en-US" w:eastAsia="zh-CN"/>
              </w:rPr>
              <w:t>5</w:t>
            </w:r>
            <w:r>
              <w:rPr>
                <w:rFonts w:hint="default" w:ascii="Times New Roman" w:hAnsi="Times New Roman" w:cs="Times New Roman"/>
                <w:b/>
                <w:color w:val="auto"/>
                <w:sz w:val="21"/>
                <w:szCs w:val="21"/>
              </w:rPr>
              <w:t>恶臭污染物排放标准</w:t>
            </w:r>
          </w:p>
          <w:tbl>
            <w:tblPr>
              <w:tblStyle w:val="25"/>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5"/>
              <w:gridCol w:w="2445"/>
              <w:gridCol w:w="1095"/>
              <w:gridCol w:w="884"/>
              <w:gridCol w:w="783"/>
              <w:gridCol w:w="1990"/>
            </w:tblGrid>
            <w:tr w14:paraId="75CB7C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455" w:type="dxa"/>
                  <w:vMerge w:val="restart"/>
                  <w:textDirection w:val="tbLrV"/>
                  <w:vAlign w:val="center"/>
                </w:tcPr>
                <w:p w14:paraId="7D4713D8">
                  <w:pPr>
                    <w:pStyle w:val="3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污染物</w:t>
                  </w:r>
                </w:p>
              </w:tc>
              <w:tc>
                <w:tcPr>
                  <w:tcW w:w="3540" w:type="dxa"/>
                  <w:gridSpan w:val="2"/>
                  <w:vAlign w:val="center"/>
                </w:tcPr>
                <w:p w14:paraId="4369E36C">
                  <w:pPr>
                    <w:pStyle w:val="3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无组织排放监控浓度限值</w:t>
                  </w:r>
                </w:p>
              </w:tc>
              <w:tc>
                <w:tcPr>
                  <w:tcW w:w="3657" w:type="dxa"/>
                  <w:gridSpan w:val="3"/>
                  <w:vAlign w:val="center"/>
                </w:tcPr>
                <w:p w14:paraId="504CBAE4">
                  <w:pPr>
                    <w:pStyle w:val="3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有组织排放标准</w:t>
                  </w:r>
                </w:p>
              </w:tc>
            </w:tr>
            <w:tr w14:paraId="647CEA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55" w:type="dxa"/>
                  <w:vMerge w:val="continue"/>
                  <w:textDirection w:val="tbLrV"/>
                  <w:vAlign w:val="center"/>
                </w:tcPr>
                <w:p w14:paraId="053B10E5">
                  <w:pPr>
                    <w:pStyle w:val="31"/>
                    <w:bidi w:val="0"/>
                    <w:rPr>
                      <w:rFonts w:hint="default" w:ascii="Times New Roman" w:hAnsi="Times New Roman" w:cs="Times New Roman"/>
                      <w:color w:val="auto"/>
                      <w:lang w:val="en-US" w:eastAsia="zh-CN"/>
                    </w:rPr>
                  </w:pPr>
                </w:p>
              </w:tc>
              <w:tc>
                <w:tcPr>
                  <w:tcW w:w="2445" w:type="dxa"/>
                  <w:vAlign w:val="center"/>
                </w:tcPr>
                <w:p w14:paraId="037B65D7">
                  <w:pPr>
                    <w:pStyle w:val="3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监控点</w:t>
                  </w:r>
                </w:p>
              </w:tc>
              <w:tc>
                <w:tcPr>
                  <w:tcW w:w="1095" w:type="dxa"/>
                  <w:vAlign w:val="center"/>
                </w:tcPr>
                <w:p w14:paraId="3C9DC563">
                  <w:pPr>
                    <w:pStyle w:val="3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浓度</w:t>
                  </w:r>
                  <w:r>
                    <w:rPr>
                      <w:rFonts w:hint="eastAsia" w:ascii="Times New Roman" w:cs="Times New Roman"/>
                      <w:color w:val="auto"/>
                      <w:lang w:val="en-US" w:eastAsia="zh-CN"/>
                    </w:rPr>
                    <w:t>，</w:t>
                  </w:r>
                  <w:r>
                    <w:rPr>
                      <w:rFonts w:hint="default" w:ascii="Times New Roman" w:hAnsi="Times New Roman" w:cs="Times New Roman"/>
                      <w:color w:val="auto"/>
                      <w:lang w:val="en-US" w:eastAsia="zh-CN"/>
                    </w:rPr>
                    <w:t>mg/m</w:t>
                  </w:r>
                  <w:r>
                    <w:rPr>
                      <w:rFonts w:hint="default" w:ascii="Times New Roman" w:hAnsi="Times New Roman" w:cs="Times New Roman"/>
                      <w:color w:val="auto"/>
                      <w:vertAlign w:val="superscript"/>
                      <w:lang w:val="en-US" w:eastAsia="zh-CN"/>
                    </w:rPr>
                    <w:t>3</w:t>
                  </w:r>
                </w:p>
              </w:tc>
              <w:tc>
                <w:tcPr>
                  <w:tcW w:w="884" w:type="dxa"/>
                  <w:vAlign w:val="center"/>
                </w:tcPr>
                <w:p w14:paraId="00005879">
                  <w:pPr>
                    <w:pStyle w:val="3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监测点</w:t>
                  </w:r>
                </w:p>
              </w:tc>
              <w:tc>
                <w:tcPr>
                  <w:tcW w:w="783" w:type="dxa"/>
                  <w:vAlign w:val="center"/>
                </w:tcPr>
                <w:p w14:paraId="644E6254">
                  <w:pPr>
                    <w:pStyle w:val="3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排气筒高度</w:t>
                  </w:r>
                  <w:r>
                    <w:rPr>
                      <w:rFonts w:hint="eastAsia" w:ascii="Times New Roman" w:cs="Times New Roman"/>
                      <w:color w:val="auto"/>
                      <w:lang w:val="en-US" w:eastAsia="zh-CN"/>
                    </w:rPr>
                    <w:t>，m</w:t>
                  </w:r>
                </w:p>
              </w:tc>
              <w:tc>
                <w:tcPr>
                  <w:tcW w:w="1990" w:type="dxa"/>
                  <w:vAlign w:val="center"/>
                </w:tcPr>
                <w:p w14:paraId="2F2DAA40">
                  <w:pPr>
                    <w:pStyle w:val="3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最高允许排放速率</w:t>
                  </w:r>
                  <w:r>
                    <w:rPr>
                      <w:rFonts w:hint="eastAsia" w:ascii="Times New Roman" w:cs="Times New Roman"/>
                      <w:color w:val="auto"/>
                      <w:lang w:val="en-US" w:eastAsia="zh-CN"/>
                    </w:rPr>
                    <w:t>，</w:t>
                  </w:r>
                  <w:r>
                    <w:rPr>
                      <w:rFonts w:hint="default" w:ascii="Times New Roman" w:hAnsi="Times New Roman" w:cs="Times New Roman"/>
                      <w:color w:val="auto"/>
                      <w:lang w:val="en-US" w:eastAsia="zh-CN"/>
                    </w:rPr>
                    <w:t>kg/h</w:t>
                  </w:r>
                </w:p>
              </w:tc>
            </w:tr>
            <w:tr w14:paraId="16331F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55" w:type="dxa"/>
                  <w:textDirection w:val="tbLrV"/>
                  <w:vAlign w:val="center"/>
                </w:tcPr>
                <w:p w14:paraId="5E0A206D">
                  <w:pPr>
                    <w:pStyle w:val="31"/>
                    <w:bidi w:val="0"/>
                    <w:rPr>
                      <w:rFonts w:hint="default" w:ascii="Times New Roman" w:hAnsi="Times New Roman" w:cs="Times New Roman"/>
                      <w:color w:val="auto"/>
                      <w:lang w:val="en-US" w:eastAsia="zh-CN"/>
                    </w:rPr>
                  </w:pPr>
                  <w:r>
                    <w:rPr>
                      <w:rFonts w:hint="eastAsia" w:ascii="Times New Roman" w:cs="Times New Roman"/>
                      <w:color w:val="auto"/>
                      <w:lang w:val="en-US" w:eastAsia="zh-CN"/>
                    </w:rPr>
                    <w:t>苯乙烯</w:t>
                  </w:r>
                </w:p>
              </w:tc>
              <w:tc>
                <w:tcPr>
                  <w:tcW w:w="2445" w:type="dxa"/>
                  <w:vAlign w:val="center"/>
                </w:tcPr>
                <w:p w14:paraId="58A0D95F">
                  <w:pPr>
                    <w:pStyle w:val="31"/>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在厂界设置监测点</w:t>
                  </w:r>
                </w:p>
              </w:tc>
              <w:tc>
                <w:tcPr>
                  <w:tcW w:w="1095" w:type="dxa"/>
                  <w:vAlign w:val="center"/>
                </w:tcPr>
                <w:p w14:paraId="3F9B8CFD">
                  <w:pPr>
                    <w:pStyle w:val="31"/>
                    <w:bidi w:val="0"/>
                    <w:rPr>
                      <w:rFonts w:hint="default" w:ascii="Times New Roman" w:hAnsi="Times New Roman" w:cs="Times New Roman"/>
                      <w:color w:val="auto"/>
                      <w:lang w:val="en-US" w:eastAsia="zh-CN"/>
                    </w:rPr>
                  </w:pPr>
                  <w:r>
                    <w:rPr>
                      <w:rFonts w:hint="eastAsia" w:ascii="Times New Roman" w:cs="Times New Roman"/>
                      <w:color w:val="auto"/>
                      <w:lang w:val="en-US" w:eastAsia="zh-CN"/>
                    </w:rPr>
                    <w:t>5.0</w:t>
                  </w:r>
                </w:p>
              </w:tc>
              <w:tc>
                <w:tcPr>
                  <w:tcW w:w="884" w:type="dxa"/>
                  <w:vAlign w:val="center"/>
                </w:tcPr>
                <w:p w14:paraId="7755B954">
                  <w:pPr>
                    <w:pStyle w:val="31"/>
                    <w:bidi w:val="0"/>
                    <w:rPr>
                      <w:rFonts w:hint="default" w:ascii="Times New Roman" w:hAnsi="Times New Roman" w:cs="Times New Roman"/>
                      <w:color w:val="auto"/>
                      <w:lang w:val="en-US" w:eastAsia="zh-CN"/>
                    </w:rPr>
                  </w:pPr>
                  <w:r>
                    <w:rPr>
                      <w:rFonts w:hint="eastAsia" w:ascii="Times New Roman" w:cs="Times New Roman"/>
                      <w:color w:val="auto"/>
                      <w:lang w:val="en-US" w:eastAsia="zh-CN"/>
                    </w:rPr>
                    <w:t>排气筒</w:t>
                  </w:r>
                </w:p>
              </w:tc>
              <w:tc>
                <w:tcPr>
                  <w:tcW w:w="783" w:type="dxa"/>
                  <w:vAlign w:val="center"/>
                </w:tcPr>
                <w:p w14:paraId="3D1C7F9F">
                  <w:pPr>
                    <w:pStyle w:val="3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15米</w:t>
                  </w:r>
                </w:p>
              </w:tc>
              <w:tc>
                <w:tcPr>
                  <w:tcW w:w="1990" w:type="dxa"/>
                  <w:vAlign w:val="center"/>
                </w:tcPr>
                <w:p w14:paraId="4EE16E58">
                  <w:pPr>
                    <w:pStyle w:val="31"/>
                    <w:bidi w:val="0"/>
                    <w:rPr>
                      <w:rFonts w:hint="default" w:ascii="Times New Roman" w:hAnsi="Times New Roman" w:cs="Times New Roman"/>
                      <w:color w:val="auto"/>
                      <w:lang w:val="en-US" w:eastAsia="zh-CN"/>
                    </w:rPr>
                  </w:pPr>
                  <w:r>
                    <w:rPr>
                      <w:rFonts w:hint="eastAsia" w:ascii="Times New Roman" w:cs="Times New Roman"/>
                      <w:color w:val="auto"/>
                      <w:lang w:val="en-US" w:eastAsia="zh-CN"/>
                    </w:rPr>
                    <w:t>6.5</w:t>
                  </w:r>
                </w:p>
              </w:tc>
            </w:tr>
            <w:tr w14:paraId="4BA1AA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55" w:type="dxa"/>
                  <w:textDirection w:val="tbLrV"/>
                  <w:vAlign w:val="center"/>
                </w:tcPr>
                <w:p w14:paraId="1060091F">
                  <w:pPr>
                    <w:pStyle w:val="31"/>
                    <w:bidi w:val="0"/>
                    <w:rPr>
                      <w:rFonts w:hint="default" w:ascii="Times New Roman" w:hAnsi="Times New Roman" w:cs="Times New Roman"/>
                      <w:color w:val="auto"/>
                      <w:lang w:val="en-US" w:eastAsia="zh-CN"/>
                    </w:rPr>
                  </w:pPr>
                  <w:r>
                    <w:rPr>
                      <w:rFonts w:hint="eastAsia" w:ascii="Times New Roman" w:cs="Times New Roman"/>
                      <w:color w:val="auto"/>
                      <w:lang w:val="en-US" w:eastAsia="zh-CN"/>
                    </w:rPr>
                    <w:t>臭气浓度</w:t>
                  </w:r>
                </w:p>
              </w:tc>
              <w:tc>
                <w:tcPr>
                  <w:tcW w:w="2445" w:type="dxa"/>
                  <w:vAlign w:val="center"/>
                </w:tcPr>
                <w:p w14:paraId="56B5CDEE">
                  <w:pPr>
                    <w:pStyle w:val="31"/>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在厂界设置监测点</w:t>
                  </w:r>
                </w:p>
              </w:tc>
              <w:tc>
                <w:tcPr>
                  <w:tcW w:w="1095" w:type="dxa"/>
                  <w:vAlign w:val="center"/>
                </w:tcPr>
                <w:p w14:paraId="7A7851FB">
                  <w:pPr>
                    <w:pStyle w:val="31"/>
                    <w:bidi w:val="0"/>
                    <w:rPr>
                      <w:rFonts w:hint="default" w:ascii="Times New Roman" w:hAnsi="Times New Roman" w:cs="Times New Roman"/>
                      <w:color w:val="auto"/>
                      <w:lang w:val="en-US" w:eastAsia="zh-CN"/>
                    </w:rPr>
                  </w:pPr>
                  <w:r>
                    <w:rPr>
                      <w:rFonts w:hint="eastAsia" w:ascii="Times New Roman" w:cs="Times New Roman"/>
                      <w:color w:val="auto"/>
                      <w:lang w:val="en-US" w:eastAsia="zh-CN"/>
                    </w:rPr>
                    <w:t>20（无量纲）</w:t>
                  </w:r>
                </w:p>
              </w:tc>
              <w:tc>
                <w:tcPr>
                  <w:tcW w:w="884" w:type="dxa"/>
                  <w:vAlign w:val="center"/>
                </w:tcPr>
                <w:p w14:paraId="384E6444">
                  <w:pPr>
                    <w:pStyle w:val="31"/>
                    <w:bidi w:val="0"/>
                    <w:rPr>
                      <w:rFonts w:hint="default" w:ascii="Times New Roman" w:hAnsi="Times New Roman" w:cs="Times New Roman"/>
                      <w:color w:val="auto"/>
                      <w:lang w:val="en-US" w:eastAsia="zh-CN"/>
                    </w:rPr>
                  </w:pPr>
                  <w:r>
                    <w:rPr>
                      <w:rFonts w:hint="eastAsia" w:ascii="Times New Roman" w:cs="Times New Roman"/>
                      <w:color w:val="auto"/>
                      <w:lang w:val="en-US" w:eastAsia="zh-CN"/>
                    </w:rPr>
                    <w:t>排气筒</w:t>
                  </w:r>
                </w:p>
              </w:tc>
              <w:tc>
                <w:tcPr>
                  <w:tcW w:w="783" w:type="dxa"/>
                  <w:vAlign w:val="center"/>
                </w:tcPr>
                <w:p w14:paraId="0642C21F">
                  <w:pPr>
                    <w:pStyle w:val="31"/>
                    <w:bidi w:val="0"/>
                    <w:rPr>
                      <w:rFonts w:hint="default" w:ascii="Times New Roman" w:hAnsi="Times New Roman" w:cs="Times New Roman"/>
                      <w:color w:val="auto"/>
                      <w:lang w:val="en-US" w:eastAsia="zh-CN"/>
                    </w:rPr>
                  </w:pPr>
                  <w:r>
                    <w:rPr>
                      <w:rFonts w:hint="eastAsia" w:ascii="Times New Roman" w:cs="Times New Roman"/>
                      <w:color w:val="auto"/>
                      <w:lang w:val="en-US" w:eastAsia="zh-CN"/>
                    </w:rPr>
                    <w:t>15米</w:t>
                  </w:r>
                </w:p>
              </w:tc>
              <w:tc>
                <w:tcPr>
                  <w:tcW w:w="1990" w:type="dxa"/>
                  <w:vAlign w:val="center"/>
                </w:tcPr>
                <w:p w14:paraId="6585559F">
                  <w:pPr>
                    <w:pStyle w:val="31"/>
                    <w:bidi w:val="0"/>
                    <w:rPr>
                      <w:rFonts w:hint="default" w:ascii="Times New Roman" w:hAnsi="Times New Roman" w:cs="Times New Roman"/>
                      <w:color w:val="auto"/>
                      <w:lang w:val="en-US" w:eastAsia="zh-CN"/>
                    </w:rPr>
                  </w:pPr>
                  <w:r>
                    <w:rPr>
                      <w:rFonts w:hint="eastAsia" w:ascii="Times New Roman" w:cs="Times New Roman"/>
                      <w:color w:val="auto"/>
                      <w:lang w:val="en-US" w:eastAsia="zh-CN"/>
                    </w:rPr>
                    <w:t>2000（无量纲）</w:t>
                  </w:r>
                </w:p>
              </w:tc>
            </w:tr>
          </w:tbl>
          <w:p w14:paraId="5CDEE071">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default" w:ascii="Times New Roman" w:hAnsi="Times New Roman" w:cs="Times New Roman"/>
                <w:color w:val="auto"/>
                <w:sz w:val="24"/>
                <w:lang w:val="en-US" w:eastAsia="zh-CN"/>
              </w:rPr>
            </w:pPr>
            <w:r>
              <w:rPr>
                <w:rFonts w:hint="eastAsia" w:cs="Times New Roman"/>
                <w:color w:val="auto"/>
                <w:sz w:val="24"/>
                <w:lang w:val="en-US" w:eastAsia="zh-CN"/>
              </w:rPr>
              <w:t>厂区内</w:t>
            </w:r>
            <w:r>
              <w:rPr>
                <w:rFonts w:hint="default" w:ascii="Times New Roman" w:hAnsi="Times New Roman" w:cs="Times New Roman"/>
                <w:color w:val="auto"/>
                <w:sz w:val="24"/>
                <w:lang w:val="en-US" w:eastAsia="zh-CN"/>
              </w:rPr>
              <w:t>无组织的VOCs（以非甲烷总烃计）排放执行《挥发性有机物无组织排放控制标准》（GB 37822-2019）</w:t>
            </w:r>
            <w:r>
              <w:rPr>
                <w:rFonts w:hint="eastAsia" w:ascii="宋体" w:hAnsi="宋体" w:eastAsia="宋体" w:cs="宋体"/>
                <w:color w:val="auto"/>
                <w:sz w:val="24"/>
                <w:lang w:val="en-US" w:eastAsia="zh-CN"/>
              </w:rPr>
              <w:t>“</w:t>
            </w:r>
            <w:r>
              <w:rPr>
                <w:rFonts w:hint="default" w:ascii="Times New Roman" w:hAnsi="Times New Roman" w:cs="Times New Roman"/>
                <w:color w:val="auto"/>
                <w:sz w:val="24"/>
                <w:lang w:val="en-US" w:eastAsia="zh-CN"/>
              </w:rPr>
              <w:t>表A.1厂区内</w:t>
            </w:r>
            <w:r>
              <w:rPr>
                <w:rFonts w:hint="eastAsia" w:cs="Times New Roman"/>
                <w:color w:val="auto"/>
                <w:sz w:val="24"/>
                <w:lang w:val="en-US" w:eastAsia="zh-CN"/>
              </w:rPr>
              <w:t>非甲烷总烃</w:t>
            </w:r>
            <w:r>
              <w:rPr>
                <w:rFonts w:hint="default" w:ascii="Times New Roman" w:hAnsi="Times New Roman" w:cs="Times New Roman"/>
                <w:color w:val="auto"/>
                <w:sz w:val="24"/>
                <w:lang w:val="en-US" w:eastAsia="zh-CN"/>
              </w:rPr>
              <w:t>无组织排</w:t>
            </w:r>
            <w:r>
              <w:rPr>
                <w:rFonts w:hint="eastAsia" w:ascii="宋体" w:hAnsi="宋体" w:eastAsia="宋体" w:cs="宋体"/>
                <w:color w:val="auto"/>
                <w:sz w:val="24"/>
                <w:lang w:val="en-US" w:eastAsia="zh-CN"/>
              </w:rPr>
              <w:t>放限值”的</w:t>
            </w:r>
            <w:r>
              <w:rPr>
                <w:rFonts w:hint="default" w:ascii="Times New Roman" w:hAnsi="Times New Roman" w:cs="Times New Roman"/>
                <w:color w:val="auto"/>
                <w:sz w:val="24"/>
                <w:lang w:val="en-US" w:eastAsia="zh-CN"/>
              </w:rPr>
              <w:t>规定，见表3-</w:t>
            </w:r>
            <w:r>
              <w:rPr>
                <w:rFonts w:hint="eastAsia" w:cs="Times New Roman"/>
                <w:color w:val="auto"/>
                <w:sz w:val="24"/>
                <w:lang w:val="en-US" w:eastAsia="zh-CN"/>
              </w:rPr>
              <w:t>6</w:t>
            </w:r>
            <w:r>
              <w:rPr>
                <w:rFonts w:hint="default" w:ascii="Times New Roman" w:hAnsi="Times New Roman" w:cs="Times New Roman"/>
                <w:color w:val="auto"/>
                <w:sz w:val="24"/>
                <w:lang w:val="en-US" w:eastAsia="zh-CN"/>
              </w:rPr>
              <w:t>。</w:t>
            </w:r>
          </w:p>
          <w:p w14:paraId="36D482E1">
            <w:pPr>
              <w:pStyle w:val="37"/>
              <w:spacing w:line="240" w:lineRule="auto"/>
              <w:ind w:firstLine="482"/>
              <w:jc w:val="center"/>
              <w:rPr>
                <w:rFonts w:hint="default" w:ascii="Times New Roman" w:hAnsi="Times New Roman" w:eastAsia="宋体" w:cs="Times New Roman"/>
                <w:b/>
                <w:bCs w:val="0"/>
                <w:color w:val="000000"/>
                <w:sz w:val="21"/>
                <w:szCs w:val="21"/>
                <w:lang w:eastAsia="zh-CN"/>
              </w:rPr>
            </w:pPr>
            <w:r>
              <w:rPr>
                <w:rFonts w:hint="default" w:ascii="Times New Roman" w:hAnsi="Times New Roman" w:cs="Times New Roman"/>
                <w:b/>
                <w:bCs w:val="0"/>
                <w:color w:val="000000"/>
                <w:sz w:val="21"/>
                <w:szCs w:val="21"/>
              </w:rPr>
              <w:t>表</w:t>
            </w:r>
            <w:r>
              <w:rPr>
                <w:rFonts w:hint="default" w:ascii="Times New Roman" w:hAnsi="Times New Roman" w:cs="Times New Roman"/>
                <w:b/>
                <w:bCs w:val="0"/>
                <w:color w:val="000000"/>
                <w:sz w:val="21"/>
                <w:szCs w:val="21"/>
                <w:lang w:val="en-US" w:eastAsia="zh-CN"/>
              </w:rPr>
              <w:t>3-</w:t>
            </w:r>
            <w:r>
              <w:rPr>
                <w:rFonts w:hint="eastAsia" w:ascii="Times New Roman" w:cs="Times New Roman"/>
                <w:b/>
                <w:bCs w:val="0"/>
                <w:color w:val="000000"/>
                <w:sz w:val="21"/>
                <w:szCs w:val="21"/>
                <w:lang w:val="en-US" w:eastAsia="zh-CN"/>
              </w:rPr>
              <w:t>6</w:t>
            </w:r>
            <w:r>
              <w:rPr>
                <w:rFonts w:hint="default" w:ascii="Times New Roman" w:hAnsi="Times New Roman" w:cs="Times New Roman"/>
                <w:b/>
                <w:bCs w:val="0"/>
                <w:color w:val="000000"/>
                <w:sz w:val="21"/>
                <w:szCs w:val="21"/>
              </w:rPr>
              <w:t xml:space="preserve">   挥发性有机物无组织排放控制标准</w:t>
            </w:r>
            <w:r>
              <w:rPr>
                <w:rFonts w:hint="default" w:ascii="Times New Roman" w:hAnsi="Times New Roman" w:cs="Times New Roman"/>
                <w:b/>
                <w:bCs w:val="0"/>
                <w:color w:val="000000"/>
                <w:sz w:val="21"/>
                <w:szCs w:val="21"/>
                <w:lang w:eastAsia="zh-CN"/>
              </w:rPr>
              <w:t>（</w:t>
            </w:r>
            <w:r>
              <w:rPr>
                <w:rFonts w:hint="default" w:ascii="Times New Roman" w:hAnsi="Times New Roman" w:cs="Times New Roman"/>
                <w:b/>
                <w:bCs w:val="0"/>
                <w:color w:val="000000"/>
                <w:sz w:val="21"/>
                <w:szCs w:val="21"/>
                <w:lang w:val="en-US" w:eastAsia="zh-CN"/>
              </w:rPr>
              <w:t>mg/m</w:t>
            </w:r>
            <w:r>
              <w:rPr>
                <w:rFonts w:hint="default" w:ascii="Times New Roman" w:hAnsi="Times New Roman" w:cs="Times New Roman"/>
                <w:b/>
                <w:bCs w:val="0"/>
                <w:color w:val="000000"/>
                <w:sz w:val="21"/>
                <w:szCs w:val="21"/>
                <w:vertAlign w:val="superscript"/>
                <w:lang w:val="en-US" w:eastAsia="zh-CN"/>
              </w:rPr>
              <w:t>3</w:t>
            </w:r>
            <w:r>
              <w:rPr>
                <w:rFonts w:hint="default" w:ascii="Times New Roman" w:hAnsi="Times New Roman" w:cs="Times New Roman"/>
                <w:b/>
                <w:bCs w:val="0"/>
                <w:color w:val="000000"/>
                <w:sz w:val="21"/>
                <w:szCs w:val="21"/>
                <w:lang w:eastAsia="zh-CN"/>
              </w:rPr>
              <w:t>）</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1"/>
              <w:gridCol w:w="3055"/>
              <w:gridCol w:w="1399"/>
              <w:gridCol w:w="2276"/>
            </w:tblGrid>
            <w:tr w14:paraId="71AF0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72" w:type="pct"/>
                  <w:vAlign w:val="center"/>
                </w:tcPr>
                <w:p w14:paraId="4838166C">
                  <w:pPr>
                    <w:jc w:val="center"/>
                    <w:rPr>
                      <w:rFonts w:hint="default" w:ascii="Times New Roman" w:hAnsi="Times New Roman" w:cs="Times New Roman"/>
                      <w:color w:val="000000"/>
                    </w:rPr>
                  </w:pPr>
                  <w:r>
                    <w:rPr>
                      <w:rFonts w:hint="default" w:ascii="Times New Roman" w:hAnsi="Times New Roman" w:cs="Times New Roman"/>
                      <w:color w:val="000000"/>
                    </w:rPr>
                    <w:t>污染物项目</w:t>
                  </w:r>
                </w:p>
              </w:tc>
              <w:tc>
                <w:tcPr>
                  <w:tcW w:w="1918" w:type="pct"/>
                  <w:vAlign w:val="center"/>
                </w:tcPr>
                <w:p w14:paraId="0F3C21BC">
                  <w:pPr>
                    <w:jc w:val="center"/>
                    <w:rPr>
                      <w:rFonts w:hint="default" w:ascii="Times New Roman" w:hAnsi="Times New Roman" w:cs="Times New Roman"/>
                      <w:color w:val="000000"/>
                    </w:rPr>
                  </w:pPr>
                  <w:r>
                    <w:rPr>
                      <w:rFonts w:hint="default" w:ascii="Times New Roman" w:hAnsi="Times New Roman" w:cs="Times New Roman"/>
                      <w:color w:val="000000"/>
                    </w:rPr>
                    <w:t>排放限值</w:t>
                  </w:r>
                </w:p>
              </w:tc>
              <w:tc>
                <w:tcPr>
                  <w:tcW w:w="878" w:type="pct"/>
                  <w:vAlign w:val="center"/>
                </w:tcPr>
                <w:p w14:paraId="57A287D3">
                  <w:pPr>
                    <w:jc w:val="center"/>
                    <w:rPr>
                      <w:rFonts w:hint="default" w:ascii="Times New Roman" w:hAnsi="Times New Roman" w:cs="Times New Roman"/>
                      <w:color w:val="000000"/>
                    </w:rPr>
                  </w:pPr>
                  <w:r>
                    <w:rPr>
                      <w:rFonts w:hint="default" w:ascii="Times New Roman" w:hAnsi="Times New Roman" w:cs="Times New Roman"/>
                      <w:color w:val="000000"/>
                    </w:rPr>
                    <w:t>无组织排放监控位置</w:t>
                  </w:r>
                </w:p>
              </w:tc>
              <w:tc>
                <w:tcPr>
                  <w:tcW w:w="1429" w:type="pct"/>
                  <w:vAlign w:val="center"/>
                </w:tcPr>
                <w:p w14:paraId="33E231CE">
                  <w:pPr>
                    <w:jc w:val="center"/>
                    <w:rPr>
                      <w:rFonts w:hint="default" w:ascii="Times New Roman" w:hAnsi="Times New Roman" w:cs="Times New Roman"/>
                      <w:color w:val="000000"/>
                    </w:rPr>
                  </w:pPr>
                  <w:r>
                    <w:rPr>
                      <w:rFonts w:hint="eastAsia" w:ascii="Times New Roman" w:hAnsi="Times New Roman"/>
                    </w:rPr>
                    <w:t>排放标准</w:t>
                  </w:r>
                </w:p>
              </w:tc>
            </w:tr>
            <w:tr w14:paraId="4CFAE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pct"/>
                  <w:vMerge w:val="restart"/>
                  <w:vAlign w:val="center"/>
                </w:tcPr>
                <w:p w14:paraId="5C784F92">
                  <w:pPr>
                    <w:jc w:val="center"/>
                    <w:rPr>
                      <w:rFonts w:hint="eastAsia" w:ascii="Times New Roman" w:hAnsi="Times New Roman" w:eastAsia="宋体" w:cs="Times New Roman"/>
                      <w:color w:val="000000"/>
                      <w:lang w:eastAsia="zh-CN"/>
                    </w:rPr>
                  </w:pPr>
                  <w:r>
                    <w:rPr>
                      <w:rFonts w:hint="eastAsia" w:cs="Times New Roman"/>
                      <w:color w:val="000000"/>
                      <w:lang w:eastAsia="zh-CN"/>
                    </w:rPr>
                    <w:t>非甲烷总烃</w:t>
                  </w:r>
                </w:p>
              </w:tc>
              <w:tc>
                <w:tcPr>
                  <w:tcW w:w="1918" w:type="pct"/>
                  <w:vAlign w:val="center"/>
                </w:tcPr>
                <w:p w14:paraId="32277618">
                  <w:pPr>
                    <w:jc w:val="center"/>
                    <w:rPr>
                      <w:rFonts w:hint="default" w:ascii="Times New Roman" w:hAnsi="Times New Roman" w:eastAsia="宋体" w:cs="Times New Roman"/>
                      <w:color w:val="000000"/>
                      <w:lang w:val="en-US" w:eastAsia="zh-CN"/>
                    </w:rPr>
                  </w:pPr>
                  <w:r>
                    <w:rPr>
                      <w:rFonts w:hint="eastAsia" w:cs="Times New Roman"/>
                      <w:color w:val="000000"/>
                      <w:lang w:val="en-US" w:eastAsia="zh-CN"/>
                    </w:rPr>
                    <w:t>6（</w:t>
                  </w:r>
                  <w:r>
                    <w:rPr>
                      <w:rFonts w:hint="default" w:ascii="Times New Roman" w:hAnsi="Times New Roman" w:cs="Times New Roman"/>
                      <w:color w:val="000000"/>
                    </w:rPr>
                    <w:t>监控点处1h平均浓度值</w:t>
                  </w:r>
                  <w:r>
                    <w:rPr>
                      <w:rFonts w:hint="eastAsia" w:cs="Times New Roman"/>
                      <w:color w:val="000000"/>
                      <w:lang w:val="en-US" w:eastAsia="zh-CN"/>
                    </w:rPr>
                    <w:t>）</w:t>
                  </w:r>
                </w:p>
              </w:tc>
              <w:tc>
                <w:tcPr>
                  <w:tcW w:w="878" w:type="pct"/>
                  <w:vMerge w:val="restart"/>
                  <w:vAlign w:val="center"/>
                </w:tcPr>
                <w:p w14:paraId="0E2D5E58">
                  <w:pPr>
                    <w:jc w:val="center"/>
                    <w:rPr>
                      <w:rFonts w:hint="default" w:ascii="Times New Roman" w:hAnsi="Times New Roman" w:cs="Times New Roman"/>
                      <w:color w:val="000000"/>
                    </w:rPr>
                  </w:pPr>
                  <w:r>
                    <w:rPr>
                      <w:rFonts w:hint="default" w:ascii="Times New Roman" w:hAnsi="Times New Roman" w:cs="Times New Roman"/>
                      <w:color w:val="000000"/>
                    </w:rPr>
                    <w:t>在厂房外</w:t>
                  </w:r>
                  <w:r>
                    <w:rPr>
                      <w:rFonts w:hint="eastAsia" w:cs="Times New Roman"/>
                      <w:color w:val="000000"/>
                      <w:lang w:eastAsia="zh-CN"/>
                    </w:rPr>
                    <w:t>厂</w:t>
                  </w:r>
                  <w:r>
                    <w:rPr>
                      <w:rFonts w:hint="eastAsia" w:cs="Times New Roman"/>
                      <w:color w:val="000000"/>
                      <w:lang w:val="en-US" w:eastAsia="zh-CN"/>
                    </w:rPr>
                    <w:t>界</w:t>
                  </w:r>
                  <w:r>
                    <w:rPr>
                      <w:rFonts w:hint="eastAsia" w:cs="Times New Roman"/>
                      <w:color w:val="000000"/>
                      <w:lang w:eastAsia="zh-CN"/>
                    </w:rPr>
                    <w:t>内</w:t>
                  </w:r>
                  <w:r>
                    <w:rPr>
                      <w:rFonts w:hint="default" w:ascii="Times New Roman" w:hAnsi="Times New Roman" w:cs="Times New Roman"/>
                      <w:color w:val="000000"/>
                    </w:rPr>
                    <w:t>设置监控点</w:t>
                  </w:r>
                </w:p>
              </w:tc>
              <w:tc>
                <w:tcPr>
                  <w:tcW w:w="1429" w:type="pct"/>
                  <w:vMerge w:val="restart"/>
                  <w:vAlign w:val="center"/>
                </w:tcPr>
                <w:p w14:paraId="516CB247">
                  <w:pPr>
                    <w:jc w:val="center"/>
                    <w:rPr>
                      <w:rFonts w:hint="default" w:ascii="Times New Roman" w:hAnsi="Times New Roman" w:cs="Times New Roman"/>
                      <w:color w:val="000000"/>
                    </w:rPr>
                  </w:pPr>
                  <w:r>
                    <w:rPr>
                      <w:rFonts w:hint="default" w:ascii="Times New Roman" w:hAnsi="Times New Roman"/>
                    </w:rPr>
                    <w:t>《挥发性有机物无组织排放控制标准》（GB</w:t>
                  </w:r>
                  <w:r>
                    <w:rPr>
                      <w:rFonts w:hint="eastAsia" w:ascii="Times New Roman" w:hAnsi="Times New Roman"/>
                    </w:rPr>
                    <w:t xml:space="preserve"> </w:t>
                  </w:r>
                  <w:r>
                    <w:rPr>
                      <w:rFonts w:hint="default" w:ascii="Times New Roman" w:hAnsi="Times New Roman"/>
                    </w:rPr>
                    <w:t>37822</w:t>
                  </w:r>
                  <w:r>
                    <w:rPr>
                      <w:rFonts w:hint="eastAsia" w:ascii="Times New Roman" w:hAnsi="Times New Roman"/>
                    </w:rPr>
                    <w:t>—</w:t>
                  </w:r>
                  <w:r>
                    <w:rPr>
                      <w:rFonts w:hint="default" w:ascii="Times New Roman" w:hAnsi="Times New Roman"/>
                    </w:rPr>
                    <w:t>2019）</w:t>
                  </w:r>
                </w:p>
              </w:tc>
            </w:tr>
            <w:tr w14:paraId="322DE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pct"/>
                  <w:vMerge w:val="continue"/>
                  <w:vAlign w:val="center"/>
                </w:tcPr>
                <w:p w14:paraId="7F7571C1">
                  <w:pPr>
                    <w:jc w:val="center"/>
                    <w:rPr>
                      <w:rFonts w:hint="default" w:ascii="Times New Roman" w:hAnsi="Times New Roman" w:cs="Times New Roman"/>
                      <w:color w:val="000000"/>
                    </w:rPr>
                  </w:pPr>
                </w:p>
              </w:tc>
              <w:tc>
                <w:tcPr>
                  <w:tcW w:w="1918" w:type="pct"/>
                  <w:vAlign w:val="center"/>
                </w:tcPr>
                <w:p w14:paraId="7DD4ED8A">
                  <w:pPr>
                    <w:jc w:val="center"/>
                    <w:rPr>
                      <w:rFonts w:hint="default" w:ascii="Times New Roman" w:hAnsi="Times New Roman" w:eastAsia="宋体" w:cs="Times New Roman"/>
                      <w:color w:val="000000"/>
                      <w:lang w:val="en-US" w:eastAsia="zh-CN"/>
                    </w:rPr>
                  </w:pPr>
                  <w:r>
                    <w:rPr>
                      <w:rFonts w:hint="eastAsia" w:cs="Times New Roman"/>
                      <w:color w:val="000000"/>
                      <w:lang w:val="en-US" w:eastAsia="zh-CN"/>
                    </w:rPr>
                    <w:t>20（</w:t>
                  </w:r>
                  <w:r>
                    <w:rPr>
                      <w:rFonts w:hint="default" w:ascii="Times New Roman" w:hAnsi="Times New Roman" w:cs="Times New Roman"/>
                      <w:color w:val="000000"/>
                    </w:rPr>
                    <w:t>监控点处任意一次浓度限值</w:t>
                  </w:r>
                  <w:r>
                    <w:rPr>
                      <w:rFonts w:hint="eastAsia" w:cs="Times New Roman"/>
                      <w:color w:val="000000"/>
                      <w:lang w:val="en-US" w:eastAsia="zh-CN"/>
                    </w:rPr>
                    <w:t>）</w:t>
                  </w:r>
                </w:p>
              </w:tc>
              <w:tc>
                <w:tcPr>
                  <w:tcW w:w="878" w:type="pct"/>
                  <w:vMerge w:val="continue"/>
                  <w:vAlign w:val="center"/>
                </w:tcPr>
                <w:p w14:paraId="3FEA58AC">
                  <w:pPr>
                    <w:jc w:val="center"/>
                    <w:rPr>
                      <w:rFonts w:hint="default" w:ascii="Times New Roman" w:hAnsi="Times New Roman" w:cs="Times New Roman"/>
                      <w:color w:val="000000"/>
                    </w:rPr>
                  </w:pPr>
                </w:p>
              </w:tc>
              <w:tc>
                <w:tcPr>
                  <w:tcW w:w="1429" w:type="pct"/>
                  <w:vMerge w:val="continue"/>
                  <w:vAlign w:val="center"/>
                </w:tcPr>
                <w:p w14:paraId="6662D10B">
                  <w:pPr>
                    <w:jc w:val="center"/>
                    <w:rPr>
                      <w:rFonts w:hint="default" w:ascii="Times New Roman" w:hAnsi="Times New Roman" w:cs="Times New Roman"/>
                      <w:color w:val="000000"/>
                    </w:rPr>
                  </w:pPr>
                </w:p>
              </w:tc>
            </w:tr>
          </w:tbl>
          <w:p w14:paraId="0AE5A9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w:t>
            </w:r>
            <w:r>
              <w:rPr>
                <w:rFonts w:hint="eastAsia" w:cs="Times New Roman"/>
                <w:color w:val="auto"/>
                <w:sz w:val="24"/>
                <w:lang w:val="en-US" w:eastAsia="zh-CN"/>
              </w:rPr>
              <w:t>2</w:t>
            </w:r>
            <w:r>
              <w:rPr>
                <w:rFonts w:hint="default" w:ascii="Times New Roman" w:hAnsi="Times New Roman" w:cs="Times New Roman"/>
                <w:color w:val="auto"/>
                <w:sz w:val="24"/>
                <w:lang w:val="en-US" w:eastAsia="zh-CN"/>
              </w:rPr>
              <w:t>）噪声：</w:t>
            </w:r>
          </w:p>
          <w:p w14:paraId="16461B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运营期执行《工业企业厂界环境噪声排放标准》GB12348-2008）中3类声环境功能区标准；</w:t>
            </w:r>
          </w:p>
          <w:p w14:paraId="174385FC">
            <w:pPr>
              <w:pStyle w:val="6"/>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b/>
                <w:color w:val="auto"/>
                <w:sz w:val="21"/>
                <w:szCs w:val="21"/>
              </w:rPr>
              <w:t>表</w:t>
            </w:r>
            <w:r>
              <w:rPr>
                <w:rFonts w:hint="default" w:ascii="Times New Roman" w:hAnsi="Times New Roman" w:cs="Times New Roman"/>
                <w:b/>
                <w:color w:val="auto"/>
                <w:sz w:val="21"/>
                <w:szCs w:val="21"/>
                <w:lang w:val="en-US" w:eastAsia="zh-CN"/>
              </w:rPr>
              <w:t>3-</w:t>
            </w:r>
            <w:r>
              <w:rPr>
                <w:rFonts w:hint="eastAsia" w:cs="Times New Roman"/>
                <w:b/>
                <w:color w:val="auto"/>
                <w:sz w:val="21"/>
                <w:szCs w:val="21"/>
                <w:lang w:val="en-US" w:eastAsia="zh-CN"/>
              </w:rPr>
              <w:t>7</w:t>
            </w:r>
            <w:r>
              <w:rPr>
                <w:rFonts w:hint="default" w:ascii="Times New Roman" w:hAnsi="Times New Roman" w:cs="Times New Roman"/>
                <w:b/>
                <w:color w:val="auto"/>
                <w:sz w:val="21"/>
                <w:szCs w:val="21"/>
                <w:lang w:val="en-US" w:eastAsia="zh-CN"/>
              </w:rPr>
              <w:t>工业企业厂界环境噪声</w:t>
            </w:r>
            <w:r>
              <w:rPr>
                <w:rFonts w:hint="default" w:ascii="Times New Roman" w:hAnsi="Times New Roman" w:cs="Times New Roman"/>
                <w:b/>
                <w:color w:val="auto"/>
                <w:sz w:val="21"/>
                <w:szCs w:val="21"/>
              </w:rPr>
              <w:t>排放标准</w:t>
            </w:r>
          </w:p>
          <w:tbl>
            <w:tblPr>
              <w:tblStyle w:val="24"/>
              <w:tblW w:w="7918"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08"/>
              <w:gridCol w:w="711"/>
              <w:gridCol w:w="785"/>
              <w:gridCol w:w="4614"/>
            </w:tblGrid>
            <w:tr w14:paraId="4FB65A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cantSplit/>
                <w:trHeight w:val="591" w:hRule="atLeast"/>
              </w:trPr>
              <w:tc>
                <w:tcPr>
                  <w:tcW w:w="1808" w:type="dxa"/>
                  <w:noWrap w:val="0"/>
                  <w:vAlign w:val="center"/>
                </w:tcPr>
                <w:p w14:paraId="54A23D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cs="Times New Roman"/>
                      <w:bCs/>
                      <w:color w:val="auto"/>
                      <w:sz w:val="24"/>
                      <w:szCs w:val="24"/>
                      <w:lang w:val="en-US" w:eastAsia="zh-CN"/>
                    </w:rPr>
                    <w:t>厂界外声环境功能区类别</w:t>
                  </w:r>
                </w:p>
              </w:tc>
              <w:tc>
                <w:tcPr>
                  <w:tcW w:w="711" w:type="dxa"/>
                  <w:noWrap w:val="0"/>
                  <w:vAlign w:val="center"/>
                </w:tcPr>
                <w:p w14:paraId="0A057A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cs="Times New Roman"/>
                      <w:bCs/>
                      <w:color w:val="auto"/>
                      <w:sz w:val="24"/>
                      <w:szCs w:val="24"/>
                      <w:lang w:val="en-US" w:eastAsia="zh-CN"/>
                    </w:rPr>
                    <w:t>昼间</w:t>
                  </w:r>
                </w:p>
              </w:tc>
              <w:tc>
                <w:tcPr>
                  <w:tcW w:w="785" w:type="dxa"/>
                  <w:noWrap w:val="0"/>
                  <w:vAlign w:val="center"/>
                </w:tcPr>
                <w:p w14:paraId="2850F6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cs="Times New Roman"/>
                      <w:bCs/>
                      <w:color w:val="auto"/>
                      <w:sz w:val="24"/>
                      <w:szCs w:val="24"/>
                      <w:lang w:val="en-US" w:eastAsia="zh-CN"/>
                    </w:rPr>
                    <w:t>夜间</w:t>
                  </w:r>
                </w:p>
              </w:tc>
              <w:tc>
                <w:tcPr>
                  <w:tcW w:w="4614" w:type="dxa"/>
                  <w:noWrap w:val="0"/>
                  <w:vAlign w:val="center"/>
                </w:tcPr>
                <w:p w14:paraId="43B19A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cs="Times New Roman"/>
                      <w:bCs/>
                      <w:color w:val="auto"/>
                      <w:sz w:val="24"/>
                      <w:szCs w:val="24"/>
                      <w:lang w:val="en-US" w:eastAsia="zh-CN"/>
                    </w:rPr>
                    <w:t>标准来源</w:t>
                  </w:r>
                </w:p>
              </w:tc>
            </w:tr>
            <w:tr w14:paraId="070556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1808" w:type="dxa"/>
                  <w:noWrap w:val="0"/>
                  <w:vAlign w:val="center"/>
                </w:tcPr>
                <w:p w14:paraId="490034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3类</w:t>
                  </w:r>
                </w:p>
              </w:tc>
              <w:tc>
                <w:tcPr>
                  <w:tcW w:w="711" w:type="dxa"/>
                  <w:noWrap w:val="0"/>
                  <w:vAlign w:val="center"/>
                </w:tcPr>
                <w:p w14:paraId="223697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65</w:t>
                  </w:r>
                </w:p>
              </w:tc>
              <w:tc>
                <w:tcPr>
                  <w:tcW w:w="785" w:type="dxa"/>
                  <w:noWrap w:val="0"/>
                  <w:vAlign w:val="center"/>
                </w:tcPr>
                <w:p w14:paraId="323946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55</w:t>
                  </w:r>
                </w:p>
              </w:tc>
              <w:tc>
                <w:tcPr>
                  <w:tcW w:w="4614" w:type="dxa"/>
                  <w:noWrap w:val="0"/>
                  <w:vAlign w:val="center"/>
                </w:tcPr>
                <w:p w14:paraId="3DA8B3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《工业企业厂界环境噪声排放标准》GB12348-2008）</w:t>
                  </w:r>
                </w:p>
              </w:tc>
            </w:tr>
          </w:tbl>
          <w:p w14:paraId="49714F56">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rPr>
                <w:rFonts w:hint="default" w:ascii="Times New Roman" w:hAnsi="Times New Roman" w:cs="Times New Roman"/>
                <w:color w:val="auto"/>
                <w:sz w:val="24"/>
                <w:lang w:val="en-US" w:eastAsia="zh-CN"/>
              </w:rPr>
            </w:pPr>
            <w:r>
              <w:rPr>
                <w:rFonts w:hint="default" w:ascii="Times New Roman" w:hAnsi="Times New Roman" w:eastAsia="宋体" w:cs="Times New Roman"/>
                <w:color w:val="auto"/>
                <w:kern w:val="2"/>
                <w:sz w:val="24"/>
                <w:szCs w:val="24"/>
                <w:lang w:val="en-US" w:eastAsia="zh-CN" w:bidi="ar-SA"/>
              </w:rPr>
              <w:t>（3）</w:t>
            </w:r>
            <w:r>
              <w:rPr>
                <w:rFonts w:hint="default" w:ascii="Times New Roman" w:hAnsi="Times New Roman" w:cs="Times New Roman"/>
                <w:color w:val="auto"/>
                <w:sz w:val="24"/>
                <w:lang w:val="en-US" w:eastAsia="zh-CN"/>
              </w:rPr>
              <w:t>固废</w:t>
            </w:r>
          </w:p>
          <w:p w14:paraId="5860E09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rPr>
                <w:rFonts w:hint="default" w:ascii="Times New Roman" w:hAnsi="Times New Roman" w:eastAsia="宋体" w:cs="Times New Roman"/>
                <w:color w:val="auto"/>
                <w:kern w:val="0"/>
                <w:szCs w:val="21"/>
                <w:lang w:val="en-US" w:eastAsia="zh-CN"/>
              </w:rPr>
            </w:pPr>
            <w:r>
              <w:rPr>
                <w:rFonts w:hint="eastAsia" w:cs="Times New Roman"/>
                <w:color w:val="000000"/>
                <w:sz w:val="24"/>
                <w:lang w:eastAsia="zh-CN"/>
              </w:rPr>
              <w:t>本</w:t>
            </w:r>
            <w:r>
              <w:rPr>
                <w:rFonts w:hint="eastAsia" w:cs="Times New Roman"/>
                <w:color w:val="000000"/>
                <w:kern w:val="0"/>
                <w:sz w:val="24"/>
                <w:lang w:eastAsia="zh-CN"/>
              </w:rPr>
              <w:t>项目产生的一般工业固体废物的贮存、处置参照执行《一般工业固体废物贮存和填埋污染控制标准》（GB18599-2020）中规定。产生的危险废物贮存执行《危险废物贮存污染控制标准》（GB18597-2023）和《危险废物收集贮存运输技术规范》（HJ2025-2012）中相关规定要求进行危险废物的包装、贮存设施的选址、设计、运行、安全防护、监测和关闭等要求进行合理的贮存。</w:t>
            </w:r>
          </w:p>
        </w:tc>
      </w:tr>
      <w:tr w14:paraId="01E44D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800" w:type="dxa"/>
            <w:noWrap w:val="0"/>
            <w:vAlign w:val="center"/>
          </w:tcPr>
          <w:p w14:paraId="08FDB2C8">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总量控制指标</w:t>
            </w:r>
          </w:p>
        </w:tc>
        <w:tc>
          <w:tcPr>
            <w:tcW w:w="8190" w:type="dxa"/>
            <w:noWrap w:val="0"/>
            <w:vAlign w:val="center"/>
          </w:tcPr>
          <w:p w14:paraId="7E4B3138">
            <w:pPr>
              <w:pStyle w:val="21"/>
              <w:keepNext w:val="0"/>
              <w:keepLines w:val="0"/>
              <w:pageBreakBefore w:val="0"/>
              <w:widowControl w:val="0"/>
              <w:numPr>
                <w:ilvl w:val="0"/>
                <w:numId w:val="0"/>
              </w:numPr>
              <w:kinsoku/>
              <w:wordWrap w:val="0"/>
              <w:overflowPunct/>
              <w:topLinePunct w:val="0"/>
              <w:autoSpaceDE/>
              <w:autoSpaceDN/>
              <w:bidi w:val="0"/>
              <w:adjustRightInd/>
              <w:snapToGrid/>
              <w:spacing w:before="0" w:after="0" w:line="360" w:lineRule="auto"/>
              <w:ind w:leftChars="0" w:firstLine="480" w:firstLineChars="200"/>
              <w:jc w:val="both"/>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根据国家对实施污染物排放总量控制的要求以及本项目的工艺特征和污染物排放的特点，本环评确定建设项目污染物排放总量控制因子为</w:t>
            </w:r>
            <w:r>
              <w:rPr>
                <w:rFonts w:hint="eastAsia" w:ascii="Times New Roman" w:hAnsi="Times New Roman" w:eastAsia="宋体" w:cs="Times New Roman"/>
                <w:b w:val="0"/>
                <w:bCs w:val="0"/>
                <w:color w:val="auto"/>
                <w:kern w:val="2"/>
                <w:sz w:val="24"/>
                <w:szCs w:val="24"/>
                <w:lang w:val="en-US" w:eastAsia="zh-CN" w:bidi="ar-SA"/>
              </w:rPr>
              <w:t>搅拌</w:t>
            </w:r>
            <w:r>
              <w:rPr>
                <w:rFonts w:hint="default" w:ascii="Times New Roman" w:hAnsi="Times New Roman" w:eastAsia="宋体" w:cs="Times New Roman"/>
                <w:b w:val="0"/>
                <w:bCs w:val="0"/>
                <w:color w:val="auto"/>
                <w:kern w:val="2"/>
                <w:sz w:val="24"/>
                <w:szCs w:val="24"/>
                <w:lang w:val="en-US" w:eastAsia="zh-CN" w:bidi="ar-SA"/>
              </w:rPr>
              <w:t>工序废气中VOC</w:t>
            </w:r>
            <w:r>
              <w:rPr>
                <w:rFonts w:hint="eastAsia" w:ascii="Times New Roman" w:hAnsi="Times New Roman" w:cs="Times New Roman"/>
                <w:b w:val="0"/>
                <w:bCs w:val="0"/>
                <w:color w:val="auto"/>
                <w:kern w:val="2"/>
                <w:sz w:val="24"/>
                <w:szCs w:val="24"/>
                <w:lang w:val="en-US" w:eastAsia="zh-CN" w:bidi="ar-SA"/>
              </w:rPr>
              <w:t>s（以非甲烷总烃计）</w:t>
            </w:r>
            <w:r>
              <w:rPr>
                <w:rFonts w:hint="eastAsia" w:ascii="Times New Roman" w:hAnsi="Times New Roman" w:eastAsia="宋体" w:cs="Times New Roman"/>
                <w:b w:val="0"/>
                <w:bCs w:val="0"/>
                <w:color w:val="auto"/>
                <w:kern w:val="2"/>
                <w:sz w:val="24"/>
                <w:szCs w:val="24"/>
                <w:lang w:val="en-US" w:eastAsia="zh-CN" w:bidi="ar-SA"/>
              </w:rPr>
              <w:t>。</w:t>
            </w:r>
          </w:p>
          <w:p w14:paraId="2BF5C9BF">
            <w:pPr>
              <w:pStyle w:val="21"/>
              <w:keepNext w:val="0"/>
              <w:keepLines w:val="0"/>
              <w:pageBreakBefore w:val="0"/>
              <w:widowControl w:val="0"/>
              <w:numPr>
                <w:ilvl w:val="0"/>
                <w:numId w:val="0"/>
              </w:numPr>
              <w:kinsoku/>
              <w:wordWrap w:val="0"/>
              <w:overflowPunct/>
              <w:topLinePunct w:val="0"/>
              <w:autoSpaceDE/>
              <w:autoSpaceDN/>
              <w:bidi w:val="0"/>
              <w:adjustRightInd/>
              <w:snapToGrid/>
              <w:spacing w:before="0" w:after="0" w:line="360" w:lineRule="auto"/>
              <w:ind w:leftChars="0" w:firstLine="480" w:firstLineChars="200"/>
              <w:jc w:val="both"/>
              <w:textAlignment w:val="auto"/>
              <w:rPr>
                <w:rFonts w:hint="default"/>
                <w:color w:val="auto"/>
              </w:rPr>
            </w:pPr>
            <w:r>
              <w:rPr>
                <w:rFonts w:hint="default" w:ascii="Times New Roman" w:hAnsi="Times New Roman" w:eastAsia="宋体" w:cs="Times New Roman"/>
                <w:b w:val="0"/>
                <w:bCs w:val="0"/>
                <w:color w:val="auto"/>
                <w:kern w:val="2"/>
                <w:sz w:val="24"/>
                <w:szCs w:val="24"/>
                <w:lang w:val="en-US" w:eastAsia="zh-CN" w:bidi="ar-SA"/>
              </w:rPr>
              <w:t>根据运营期大气环境影响和保护措施章节分析，本项目污染物总量控制指标为：VOC</w:t>
            </w:r>
            <w:r>
              <w:rPr>
                <w:rFonts w:hint="eastAsia" w:ascii="Times New Roman" w:hAnsi="Times New Roman" w:cs="Times New Roman"/>
                <w:b w:val="0"/>
                <w:bCs w:val="0"/>
                <w:color w:val="auto"/>
                <w:kern w:val="2"/>
                <w:sz w:val="24"/>
                <w:szCs w:val="24"/>
                <w:lang w:val="en-US" w:eastAsia="zh-CN" w:bidi="ar-SA"/>
              </w:rPr>
              <w:t>s（以非甲烷总烃计）</w:t>
            </w:r>
            <w:r>
              <w:rPr>
                <w:rFonts w:hint="default" w:ascii="Times New Roman" w:hAnsi="Times New Roman" w:eastAsia="宋体" w:cs="Times New Roman"/>
                <w:b w:val="0"/>
                <w:bCs w:val="0"/>
                <w:color w:val="auto"/>
                <w:kern w:val="2"/>
                <w:sz w:val="24"/>
                <w:szCs w:val="24"/>
                <w:lang w:val="en-US" w:eastAsia="zh-CN" w:bidi="ar-SA"/>
              </w:rPr>
              <w:t>：</w:t>
            </w:r>
            <w:r>
              <w:rPr>
                <w:rFonts w:hint="eastAsia" w:ascii="Times New Roman" w:hAnsi="Times New Roman" w:cs="Times New Roman"/>
                <w:b w:val="0"/>
                <w:bCs w:val="0"/>
                <w:color w:val="auto"/>
                <w:kern w:val="2"/>
                <w:sz w:val="24"/>
                <w:szCs w:val="24"/>
                <w:lang w:val="en-US" w:eastAsia="zh-CN" w:bidi="ar-SA"/>
              </w:rPr>
              <w:t>4.06</w:t>
            </w:r>
            <w:r>
              <w:rPr>
                <w:rFonts w:hint="default" w:ascii="Times New Roman" w:hAnsi="Times New Roman" w:eastAsia="宋体" w:cs="Times New Roman"/>
                <w:b w:val="0"/>
                <w:bCs w:val="0"/>
                <w:color w:val="auto"/>
                <w:kern w:val="2"/>
                <w:sz w:val="24"/>
                <w:szCs w:val="24"/>
                <w:lang w:val="en-US" w:eastAsia="zh-CN" w:bidi="ar-SA"/>
              </w:rPr>
              <w:t>t/a。</w:t>
            </w:r>
          </w:p>
        </w:tc>
      </w:tr>
    </w:tbl>
    <w:p w14:paraId="09763E7D">
      <w:pPr>
        <w:pStyle w:val="20"/>
        <w:widowControl/>
        <w:numPr>
          <w:ilvl w:val="0"/>
          <w:numId w:val="0"/>
        </w:numPr>
        <w:spacing w:before="100" w:beforeAutospacing="1" w:after="100" w:afterAutospacing="1"/>
        <w:jc w:val="center"/>
        <w:outlineLvl w:val="0"/>
        <w:rPr>
          <w:rFonts w:hint="eastAsia" w:ascii="黑体" w:hAnsi="黑体" w:eastAsia="黑体"/>
          <w:snapToGrid w:val="0"/>
          <w:color w:val="auto"/>
          <w:sz w:val="30"/>
          <w:szCs w:val="30"/>
        </w:rPr>
      </w:pPr>
    </w:p>
    <w:p w14:paraId="187171C9">
      <w:pPr>
        <w:pStyle w:val="20"/>
        <w:adjustRightInd w:val="0"/>
        <w:snapToGrid w:val="0"/>
        <w:spacing w:before="0" w:beforeAutospacing="0" w:after="0" w:afterAutospacing="0" w:line="14" w:lineRule="auto"/>
        <w:jc w:val="center"/>
        <w:outlineLvl w:val="0"/>
        <w:rPr>
          <w:rFonts w:hint="eastAsia" w:ascii="黑体" w:hAnsi="黑体" w:eastAsia="黑体"/>
          <w:snapToGrid w:val="0"/>
          <w:color w:val="auto"/>
          <w:sz w:val="30"/>
          <w:szCs w:val="30"/>
        </w:rPr>
      </w:pPr>
    </w:p>
    <w:p w14:paraId="511E9279">
      <w:pPr>
        <w:pStyle w:val="20"/>
        <w:jc w:val="center"/>
        <w:outlineLvl w:val="0"/>
        <w:rPr>
          <w:rFonts w:ascii="黑体" w:hAnsi="黑体" w:eastAsia="黑体"/>
          <w:snapToGrid w:val="0"/>
          <w:color w:val="auto"/>
          <w:sz w:val="30"/>
          <w:szCs w:val="30"/>
        </w:rPr>
      </w:pPr>
      <w:r>
        <w:rPr>
          <w:rFonts w:ascii="黑体" w:hAnsi="黑体" w:eastAsia="黑体"/>
          <w:snapToGrid w:val="0"/>
          <w:color w:val="auto"/>
          <w:sz w:val="36"/>
          <w:szCs w:val="36"/>
        </w:rPr>
        <w:br w:type="page"/>
      </w:r>
      <w:r>
        <w:rPr>
          <w:rFonts w:hint="eastAsia" w:ascii="黑体" w:hAnsi="黑体" w:eastAsia="黑体"/>
          <w:snapToGrid w:val="0"/>
          <w:color w:val="auto"/>
          <w:sz w:val="30"/>
          <w:szCs w:val="30"/>
        </w:rPr>
        <w:t>四、主要环境影响和保护措施</w:t>
      </w:r>
    </w:p>
    <w:tbl>
      <w:tblPr>
        <w:tblStyle w:val="24"/>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42B20E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746" w:type="dxa"/>
            <w:noWrap w:val="0"/>
            <w:tcMar>
              <w:left w:w="28" w:type="dxa"/>
              <w:right w:w="28" w:type="dxa"/>
            </w:tcMar>
            <w:vAlign w:val="center"/>
          </w:tcPr>
          <w:p w14:paraId="03987329">
            <w:pPr>
              <w:pStyle w:val="20"/>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施</w:t>
            </w:r>
          </w:p>
          <w:p w14:paraId="7A5DF568">
            <w:pPr>
              <w:pStyle w:val="20"/>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工</w:t>
            </w:r>
          </w:p>
          <w:p w14:paraId="32D1F565">
            <w:pPr>
              <w:pStyle w:val="20"/>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期</w:t>
            </w:r>
          </w:p>
          <w:p w14:paraId="2E37D761">
            <w:pPr>
              <w:pStyle w:val="20"/>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环</w:t>
            </w:r>
          </w:p>
          <w:p w14:paraId="2F663338">
            <w:pPr>
              <w:pStyle w:val="20"/>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境</w:t>
            </w:r>
          </w:p>
          <w:p w14:paraId="4521D1E8">
            <w:pPr>
              <w:pStyle w:val="20"/>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保</w:t>
            </w:r>
          </w:p>
          <w:p w14:paraId="780C729D">
            <w:pPr>
              <w:pStyle w:val="20"/>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护</w:t>
            </w:r>
          </w:p>
          <w:p w14:paraId="5848C96F">
            <w:pPr>
              <w:pStyle w:val="20"/>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措</w:t>
            </w:r>
          </w:p>
          <w:p w14:paraId="408FC392">
            <w:pPr>
              <w:pStyle w:val="20"/>
              <w:adjustRightInd w:val="0"/>
              <w:snapToGrid w:val="0"/>
              <w:spacing w:before="0" w:beforeAutospacing="0" w:after="0" w:afterAutospacing="0"/>
              <w:jc w:val="center"/>
              <w:rPr>
                <w:rFonts w:hint="eastAsia" w:cs="宋体"/>
                <w:bCs/>
                <w:color w:val="auto"/>
                <w:kern w:val="2"/>
                <w:sz w:val="24"/>
                <w:szCs w:val="24"/>
              </w:rPr>
            </w:pPr>
            <w:r>
              <w:rPr>
                <w:rFonts w:hint="eastAsia" w:cs="宋体"/>
                <w:color w:val="auto"/>
                <w:kern w:val="2"/>
                <w:sz w:val="21"/>
                <w:szCs w:val="21"/>
              </w:rPr>
              <w:t>施</w:t>
            </w:r>
          </w:p>
        </w:tc>
        <w:tc>
          <w:tcPr>
            <w:tcW w:w="8162" w:type="dxa"/>
            <w:noWrap w:val="0"/>
            <w:vAlign w:val="center"/>
          </w:tcPr>
          <w:p w14:paraId="315D3980">
            <w:pPr>
              <w:keepNext w:val="0"/>
              <w:keepLines w:val="0"/>
              <w:pageBreakBefore w:val="0"/>
              <w:widowControl w:val="0"/>
              <w:suppressLineNumbers w:val="0"/>
              <w:kinsoku/>
              <w:wordWrap/>
              <w:overflowPunct/>
              <w:topLinePunct w:val="0"/>
              <w:autoSpaceDE/>
              <w:autoSpaceDN/>
              <w:bidi w:val="0"/>
              <w:spacing w:before="0" w:beforeAutospacing="0" w:after="0" w:afterAutospacing="0" w:line="520" w:lineRule="exact"/>
              <w:ind w:left="0" w:right="0" w:firstLine="480" w:firstLineChars="200"/>
              <w:jc w:val="left"/>
              <w:textAlignment w:val="auto"/>
              <w:rPr>
                <w:color w:val="auto"/>
                <w:sz w:val="24"/>
                <w:szCs w:val="24"/>
              </w:rPr>
            </w:pPr>
            <w:r>
              <w:rPr>
                <w:rFonts w:hint="eastAsia"/>
                <w:color w:val="auto"/>
                <w:sz w:val="24"/>
                <w:szCs w:val="24"/>
                <w:lang w:val="en-US" w:eastAsia="zh-CN"/>
              </w:rPr>
              <w:t>本项目部分利用原有厂房生产厂房（5#车间）建设人造岗石生产线，并新建破碎厂房，施工期仅进行设备安装、调试，不涉及基础开挖及主体工程的修建，主要为装饰工程及设备安装工序，对周边环境影响较小，目前设备已完成安装，施工较为简单，因此不再分析施工期的产污环节及影响分析。</w:t>
            </w:r>
          </w:p>
        </w:tc>
      </w:tr>
      <w:tr w14:paraId="48B098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746" w:type="dxa"/>
            <w:noWrap w:val="0"/>
            <w:tcMar>
              <w:left w:w="28" w:type="dxa"/>
              <w:right w:w="28" w:type="dxa"/>
            </w:tcMar>
            <w:vAlign w:val="center"/>
          </w:tcPr>
          <w:p w14:paraId="5DC95660">
            <w:pPr>
              <w:pStyle w:val="20"/>
              <w:adjustRightInd w:val="0"/>
              <w:snapToGrid w:val="0"/>
              <w:spacing w:before="0" w:beforeAutospacing="0" w:after="0" w:afterAutospacing="0"/>
              <w:jc w:val="center"/>
              <w:rPr>
                <w:rFonts w:hint="eastAsia" w:cs="宋体"/>
                <w:color w:val="auto"/>
                <w:kern w:val="2"/>
                <w:sz w:val="21"/>
                <w:szCs w:val="21"/>
                <w:lang w:val="en-US" w:eastAsia="zh-CN"/>
              </w:rPr>
            </w:pPr>
            <w:r>
              <w:rPr>
                <w:rFonts w:hint="eastAsia" w:cs="宋体"/>
                <w:color w:val="auto"/>
                <w:kern w:val="2"/>
                <w:sz w:val="21"/>
                <w:szCs w:val="21"/>
                <w:lang w:val="en-US" w:eastAsia="zh-CN"/>
              </w:rPr>
              <w:t>运</w:t>
            </w:r>
          </w:p>
          <w:p w14:paraId="188CF1AB">
            <w:pPr>
              <w:pStyle w:val="20"/>
              <w:adjustRightInd w:val="0"/>
              <w:snapToGrid w:val="0"/>
              <w:spacing w:before="0" w:beforeAutospacing="0" w:after="0" w:afterAutospacing="0"/>
              <w:jc w:val="center"/>
              <w:rPr>
                <w:rFonts w:hint="eastAsia" w:eastAsia="宋体" w:cs="宋体"/>
                <w:color w:val="auto"/>
                <w:kern w:val="2"/>
                <w:sz w:val="21"/>
                <w:szCs w:val="21"/>
                <w:lang w:eastAsia="zh-CN"/>
              </w:rPr>
            </w:pPr>
            <w:r>
              <w:rPr>
                <w:rFonts w:hint="eastAsia" w:cs="宋体"/>
                <w:color w:val="auto"/>
                <w:kern w:val="2"/>
                <w:sz w:val="21"/>
                <w:szCs w:val="21"/>
                <w:lang w:val="en-US" w:eastAsia="zh-CN"/>
              </w:rPr>
              <w:t>营</w:t>
            </w:r>
          </w:p>
          <w:p w14:paraId="19A1BD2C">
            <w:pPr>
              <w:pStyle w:val="20"/>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期</w:t>
            </w:r>
          </w:p>
          <w:p w14:paraId="5041B480">
            <w:pPr>
              <w:pStyle w:val="20"/>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环</w:t>
            </w:r>
          </w:p>
          <w:p w14:paraId="001634E6">
            <w:pPr>
              <w:pStyle w:val="20"/>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境</w:t>
            </w:r>
          </w:p>
          <w:p w14:paraId="425DA907">
            <w:pPr>
              <w:pStyle w:val="20"/>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保</w:t>
            </w:r>
          </w:p>
          <w:p w14:paraId="550F77B7">
            <w:pPr>
              <w:pStyle w:val="20"/>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护</w:t>
            </w:r>
          </w:p>
          <w:p w14:paraId="555C3443">
            <w:pPr>
              <w:pStyle w:val="20"/>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措</w:t>
            </w:r>
          </w:p>
          <w:p w14:paraId="7F013E2A">
            <w:pPr>
              <w:pStyle w:val="20"/>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施</w:t>
            </w:r>
          </w:p>
        </w:tc>
        <w:tc>
          <w:tcPr>
            <w:tcW w:w="8162" w:type="dxa"/>
            <w:noWrap w:val="0"/>
            <w:vAlign w:val="center"/>
          </w:tcPr>
          <w:p w14:paraId="079472A1">
            <w:pPr>
              <w:keepNext w:val="0"/>
              <w:keepLines w:val="0"/>
              <w:pageBreakBefore w:val="0"/>
              <w:numPr>
                <w:ilvl w:val="0"/>
                <w:numId w:val="0"/>
              </w:numPr>
              <w:suppressLineNumbers w:val="0"/>
              <w:kinsoku/>
              <w:wordWrap/>
              <w:overflowPunct/>
              <w:topLinePunct w:val="0"/>
              <w:bidi w:val="0"/>
              <w:spacing w:before="0" w:beforeAutospacing="0" w:after="0" w:afterAutospacing="0" w:line="360" w:lineRule="auto"/>
              <w:ind w:right="0" w:rightChars="0"/>
              <w:rPr>
                <w:rFonts w:hint="eastAsia"/>
                <w:b/>
                <w:bCs/>
                <w:color w:val="auto"/>
                <w:sz w:val="24"/>
                <w:szCs w:val="24"/>
                <w:lang w:val="en-US" w:eastAsia="zh-CN"/>
              </w:rPr>
            </w:pPr>
            <w:r>
              <w:rPr>
                <w:rFonts w:hint="eastAsia"/>
                <w:b/>
                <w:bCs/>
                <w:color w:val="auto"/>
                <w:sz w:val="24"/>
                <w:szCs w:val="24"/>
                <w:lang w:val="en-US" w:eastAsia="zh-CN"/>
              </w:rPr>
              <w:t>1.废气分析影响和保护措施</w:t>
            </w:r>
          </w:p>
          <w:p w14:paraId="3FC94720">
            <w:pPr>
              <w:pStyle w:val="6"/>
              <w:numPr>
                <w:ilvl w:val="0"/>
                <w:numId w:val="0"/>
              </w:numPr>
              <w:spacing w:line="360" w:lineRule="auto"/>
              <w:rPr>
                <w:rFonts w:hint="eastAsia"/>
                <w:b/>
                <w:bCs/>
                <w:color w:val="auto"/>
                <w:lang w:val="en-US" w:eastAsia="zh-CN"/>
              </w:rPr>
            </w:pPr>
            <w:r>
              <w:rPr>
                <w:rFonts w:hint="eastAsia"/>
                <w:b/>
                <w:bCs/>
                <w:color w:val="auto"/>
                <w:lang w:val="en-US" w:eastAsia="zh-CN"/>
              </w:rPr>
              <w:t>1.1废气污染源分析</w:t>
            </w:r>
          </w:p>
          <w:p w14:paraId="2CA455FA">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leftChars="0" w:right="0" w:rightChars="0" w:firstLine="480" w:firstLineChars="200"/>
              <w:jc w:val="left"/>
              <w:textAlignment w:val="auto"/>
              <w:rPr>
                <w:rFonts w:hint="default"/>
                <w:color w:val="auto"/>
                <w:sz w:val="24"/>
                <w:szCs w:val="24"/>
                <w:lang w:val="en-US" w:eastAsia="zh-CN"/>
              </w:rPr>
            </w:pPr>
            <w:r>
              <w:rPr>
                <w:rFonts w:hint="eastAsia"/>
                <w:color w:val="auto"/>
                <w:sz w:val="24"/>
                <w:szCs w:val="24"/>
                <w:lang w:val="en-US" w:eastAsia="zh-CN"/>
              </w:rPr>
              <w:t>1.粉尘</w:t>
            </w:r>
          </w:p>
          <w:p w14:paraId="38E8E663">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leftChars="0" w:right="0" w:rightChars="0" w:firstLine="480" w:firstLineChars="200"/>
              <w:jc w:val="left"/>
              <w:textAlignment w:val="auto"/>
              <w:rPr>
                <w:rFonts w:hint="default"/>
                <w:color w:val="auto"/>
                <w:sz w:val="24"/>
                <w:szCs w:val="24"/>
                <w:lang w:val="en-US" w:eastAsia="zh-CN"/>
              </w:rPr>
            </w:pPr>
            <w:r>
              <w:rPr>
                <w:rFonts w:hint="eastAsia"/>
                <w:color w:val="auto"/>
                <w:sz w:val="24"/>
                <w:szCs w:val="24"/>
                <w:lang w:val="en-US" w:eastAsia="zh-CN"/>
              </w:rPr>
              <w:t>本项目运营期产生的污染物主要有：骨料破碎粉尘、入料粉尘、混合搅拌粉尘、装卸粉尘、堆场粉尘。</w:t>
            </w:r>
          </w:p>
          <w:p w14:paraId="15C8B4CA">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leftChars="0" w:right="0" w:rightChars="0"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①骨料破碎粉尘</w:t>
            </w:r>
          </w:p>
          <w:p w14:paraId="155CA1E5">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leftChars="0" w:right="0" w:rightChars="0" w:firstLine="480" w:firstLineChars="200"/>
              <w:jc w:val="left"/>
              <w:textAlignment w:val="auto"/>
              <w:rPr>
                <w:rFonts w:hint="default"/>
                <w:color w:val="auto"/>
                <w:sz w:val="24"/>
                <w:szCs w:val="24"/>
                <w:lang w:val="en-US" w:eastAsia="zh-CN"/>
              </w:rPr>
            </w:pPr>
            <w:r>
              <w:rPr>
                <w:rFonts w:hint="eastAsia"/>
                <w:color w:val="auto"/>
                <w:sz w:val="24"/>
                <w:szCs w:val="24"/>
                <w:lang w:val="en-US" w:eastAsia="zh-CN"/>
              </w:rPr>
              <w:t>项目所使用的骨料需要经过破碎达到相应的粒径后，经全密闭式输送带输送至粉磨机中，此过程无需筛分，破碎过程在密闭厂房进行，在破碎的过程中会少量散逸粉尘。</w:t>
            </w:r>
          </w:p>
          <w:p w14:paraId="24481F48">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leftChars="0" w:right="0" w:rightChars="0"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粉尘产生量参考《</w:t>
            </w:r>
            <w:r>
              <w:rPr>
                <w:rFonts w:hint="default"/>
                <w:color w:val="auto"/>
                <w:sz w:val="24"/>
                <w:szCs w:val="24"/>
                <w:lang w:val="en-US" w:eastAsia="zh-CN"/>
              </w:rPr>
              <w:t>排放源统计调查产排污核算方法和系数手册</w:t>
            </w:r>
            <w:r>
              <w:rPr>
                <w:rFonts w:hint="eastAsia"/>
                <w:color w:val="auto"/>
                <w:sz w:val="24"/>
                <w:szCs w:val="24"/>
                <w:lang w:val="en-US" w:eastAsia="zh-CN"/>
              </w:rPr>
              <w:t>》中“砖瓦、石材等建材制造行业系数手册”——“3039其他建筑材料制造行业”中砂石骨料破碎颗粒物产污系数为1.89kg/t-产品。本项目产品32000t/a，则颗粒物产生量为60.48t/a。</w:t>
            </w:r>
          </w:p>
          <w:p w14:paraId="3103AA53">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leftChars="0" w:right="0" w:rightChars="0"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本项目清洗后的骨料由密闭的皮带输送机送至颚式破碎机进行破碎粉磨，由皮带输送机送至锤式破碎机；再由密闭的皮带输送机送至锤式破碎机二次破碎粉磨，分选出不合格骨料回运到锤式破碎机再破碎，达到相应的粒径和级配，将石料按颜色和粒度分别存放在不同粒径的计量骨料仓中，根据《破碎筛分工程设计规范》，颚式破碎机可承担约65%处理量，锤式破碎机可承担约30%处理量。颚式破碎机粉尘产生量为39.31t/a，颚式破碎机上方设置集气罩，收集破碎粉尘至“布袋除尘器（风机风量30000m</w:t>
            </w:r>
            <w:r>
              <w:rPr>
                <w:rFonts w:hint="eastAsia"/>
                <w:color w:val="auto"/>
                <w:sz w:val="24"/>
                <w:szCs w:val="24"/>
                <w:vertAlign w:val="superscript"/>
                <w:lang w:val="en-US" w:eastAsia="zh-CN"/>
              </w:rPr>
              <w:t>3</w:t>
            </w:r>
            <w:r>
              <w:rPr>
                <w:rFonts w:hint="eastAsia"/>
                <w:color w:val="auto"/>
                <w:sz w:val="24"/>
                <w:szCs w:val="24"/>
                <w:lang w:val="en-US" w:eastAsia="zh-CN"/>
              </w:rPr>
              <w:t>/h）”处理后经15m排气筒（DA001）排放。设计风机风量为30000m</w:t>
            </w:r>
            <w:r>
              <w:rPr>
                <w:rFonts w:hint="eastAsia"/>
                <w:color w:val="auto"/>
                <w:sz w:val="24"/>
                <w:szCs w:val="24"/>
                <w:vertAlign w:val="superscript"/>
                <w:lang w:val="en-US" w:eastAsia="zh-CN"/>
              </w:rPr>
              <w:t>3</w:t>
            </w:r>
            <w:r>
              <w:rPr>
                <w:rFonts w:hint="eastAsia"/>
                <w:color w:val="auto"/>
                <w:sz w:val="24"/>
                <w:szCs w:val="24"/>
                <w:lang w:val="en-US" w:eastAsia="zh-CN"/>
              </w:rPr>
              <w:t>/h，脉冲式布袋除尘器收集效率为90%、去除效率为99%，除尘器收集粉尘35.03t/a，则排放速率为0.13kg/h，排放浓度为4.39mg/m</w:t>
            </w:r>
            <w:r>
              <w:rPr>
                <w:rFonts w:hint="eastAsia"/>
                <w:color w:val="auto"/>
                <w:sz w:val="24"/>
                <w:szCs w:val="24"/>
                <w:vertAlign w:val="superscript"/>
                <w:lang w:val="en-US" w:eastAsia="zh-CN"/>
              </w:rPr>
              <w:t>3</w:t>
            </w:r>
            <w:r>
              <w:rPr>
                <w:rFonts w:hint="eastAsia"/>
                <w:color w:val="auto"/>
                <w:sz w:val="24"/>
                <w:szCs w:val="24"/>
                <w:lang w:val="en-US" w:eastAsia="zh-CN"/>
              </w:rPr>
              <w:t>。无组织排放量3.93t/a，有组织产生量0.35t/a。</w:t>
            </w:r>
          </w:p>
          <w:p w14:paraId="623E5CBF">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leftChars="0" w:right="0" w:rightChars="0"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锤式破碎机粉尘产生量为18.14t/a，颚式破碎机上方设置集气罩，收集破碎粉尘至“布袋除尘器（风机风量30000m</w:t>
            </w:r>
            <w:r>
              <w:rPr>
                <w:rFonts w:hint="eastAsia"/>
                <w:color w:val="auto"/>
                <w:sz w:val="24"/>
                <w:szCs w:val="24"/>
                <w:vertAlign w:val="superscript"/>
                <w:lang w:val="en-US" w:eastAsia="zh-CN"/>
              </w:rPr>
              <w:t>3</w:t>
            </w:r>
            <w:r>
              <w:rPr>
                <w:rFonts w:hint="eastAsia"/>
                <w:color w:val="auto"/>
                <w:sz w:val="24"/>
                <w:szCs w:val="24"/>
                <w:lang w:val="en-US" w:eastAsia="zh-CN"/>
              </w:rPr>
              <w:t>/h）”处理后经15m排气筒（DA002）排放。设计风机风量为30000m</w:t>
            </w:r>
            <w:r>
              <w:rPr>
                <w:rFonts w:hint="eastAsia"/>
                <w:color w:val="auto"/>
                <w:sz w:val="24"/>
                <w:szCs w:val="24"/>
                <w:vertAlign w:val="superscript"/>
                <w:lang w:val="en-US" w:eastAsia="zh-CN"/>
              </w:rPr>
              <w:t>3</w:t>
            </w:r>
            <w:r>
              <w:rPr>
                <w:rFonts w:hint="eastAsia"/>
                <w:color w:val="auto"/>
                <w:sz w:val="24"/>
                <w:szCs w:val="24"/>
                <w:lang w:val="en-US" w:eastAsia="zh-CN"/>
              </w:rPr>
              <w:t>/h，脉冲式布袋除尘器收集效率为90%、除去效率为99%，除尘器收集粉尘16.17t/a，则排放速率为0.06kg/h，排放浓度为2.03mg/m</w:t>
            </w:r>
            <w:r>
              <w:rPr>
                <w:rFonts w:hint="eastAsia"/>
                <w:color w:val="auto"/>
                <w:sz w:val="24"/>
                <w:szCs w:val="24"/>
                <w:vertAlign w:val="superscript"/>
                <w:lang w:val="en-US" w:eastAsia="zh-CN"/>
              </w:rPr>
              <w:t>3</w:t>
            </w:r>
            <w:r>
              <w:rPr>
                <w:rFonts w:hint="eastAsia"/>
                <w:color w:val="auto"/>
                <w:sz w:val="24"/>
                <w:szCs w:val="24"/>
                <w:lang w:val="en-US" w:eastAsia="zh-CN"/>
              </w:rPr>
              <w:t>。无组织排放量1.81t/a，有组织产生量0.16t/a。</w:t>
            </w:r>
          </w:p>
          <w:p w14:paraId="21583096">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leftChars="0" w:right="0" w:rightChars="0" w:firstLine="480" w:firstLineChars="200"/>
              <w:jc w:val="left"/>
              <w:textAlignment w:val="auto"/>
              <w:rPr>
                <w:rFonts w:hint="default"/>
                <w:color w:val="auto"/>
                <w:lang w:val="en-US" w:eastAsia="zh-CN"/>
              </w:rPr>
            </w:pPr>
            <w:r>
              <w:rPr>
                <w:rFonts w:hint="eastAsia"/>
                <w:color w:val="auto"/>
                <w:sz w:val="24"/>
                <w:szCs w:val="24"/>
                <w:lang w:val="en-US" w:eastAsia="zh-CN"/>
              </w:rPr>
              <w:t>破碎工序皮带输送转接过程散逸粉尘产生量约为3.02t/a，收集后设置集气罩，收集破碎粉尘至“布袋除尘器（风机风量30000m</w:t>
            </w:r>
            <w:r>
              <w:rPr>
                <w:rFonts w:hint="eastAsia"/>
                <w:color w:val="auto"/>
                <w:sz w:val="24"/>
                <w:szCs w:val="24"/>
                <w:vertAlign w:val="superscript"/>
                <w:lang w:val="en-US" w:eastAsia="zh-CN"/>
              </w:rPr>
              <w:t>3</w:t>
            </w:r>
            <w:r>
              <w:rPr>
                <w:rFonts w:hint="eastAsia"/>
                <w:color w:val="auto"/>
                <w:sz w:val="24"/>
                <w:szCs w:val="24"/>
                <w:lang w:val="en-US" w:eastAsia="zh-CN"/>
              </w:rPr>
              <w:t>/h）”处理后经17m排气筒（DA003）排放。设计风机风量为30000m</w:t>
            </w:r>
            <w:r>
              <w:rPr>
                <w:rFonts w:hint="eastAsia"/>
                <w:color w:val="auto"/>
                <w:sz w:val="24"/>
                <w:szCs w:val="24"/>
                <w:vertAlign w:val="superscript"/>
                <w:lang w:val="en-US" w:eastAsia="zh-CN"/>
              </w:rPr>
              <w:t>3</w:t>
            </w:r>
            <w:r>
              <w:rPr>
                <w:rFonts w:hint="eastAsia"/>
                <w:color w:val="auto"/>
                <w:sz w:val="24"/>
                <w:szCs w:val="24"/>
                <w:lang w:val="en-US" w:eastAsia="zh-CN"/>
              </w:rPr>
              <w:t>/h，脉冲式布袋除尘器收集效率为90%、去除效率为99%，除尘器收集粉尘2.69t/a，则排放速率为0.01kg/h，排放浓度为0.34mg/m</w:t>
            </w:r>
            <w:r>
              <w:rPr>
                <w:rFonts w:hint="eastAsia"/>
                <w:color w:val="auto"/>
                <w:sz w:val="24"/>
                <w:szCs w:val="24"/>
                <w:vertAlign w:val="superscript"/>
                <w:lang w:val="en-US" w:eastAsia="zh-CN"/>
              </w:rPr>
              <w:t>3</w:t>
            </w:r>
            <w:r>
              <w:rPr>
                <w:rFonts w:hint="eastAsia"/>
                <w:color w:val="auto"/>
                <w:sz w:val="24"/>
                <w:szCs w:val="24"/>
                <w:lang w:val="en-US" w:eastAsia="zh-CN"/>
              </w:rPr>
              <w:t>。无组织排放量0.30t/a，有组织产生量0.03t/a。</w:t>
            </w:r>
          </w:p>
          <w:p w14:paraId="5B9CF4D9">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leftChars="0" w:right="0" w:rightChars="0"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②原料储存罐逸散粉尘</w:t>
            </w:r>
          </w:p>
          <w:p w14:paraId="6C631075">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leftChars="0" w:right="0" w:rightChars="0" w:firstLine="480" w:firstLineChars="200"/>
              <w:jc w:val="left"/>
              <w:textAlignment w:val="auto"/>
              <w:rPr>
                <w:rFonts w:hint="eastAsia"/>
                <w:color w:val="auto"/>
                <w:sz w:val="24"/>
                <w:szCs w:val="24"/>
                <w:lang w:val="en-US" w:eastAsia="zh-CN"/>
              </w:rPr>
            </w:pPr>
            <w:r>
              <w:rPr>
                <w:rFonts w:hint="eastAsia" w:cs="Times New Roman"/>
                <w:color w:val="auto"/>
                <w:sz w:val="24"/>
                <w:szCs w:val="24"/>
                <w:lang w:val="en-US" w:eastAsia="zh-CN"/>
              </w:rPr>
              <w:t>破碎后的骨料经密闭的输送皮带</w:t>
            </w:r>
            <w:r>
              <w:rPr>
                <w:rFonts w:hint="eastAsia"/>
                <w:color w:val="auto"/>
                <w:sz w:val="24"/>
                <w:szCs w:val="24"/>
                <w:lang w:val="en-US" w:eastAsia="zh-CN"/>
              </w:rPr>
              <w:t>分别</w:t>
            </w:r>
            <w:r>
              <w:rPr>
                <w:rFonts w:hint="eastAsia" w:cs="Times New Roman"/>
                <w:color w:val="auto"/>
                <w:sz w:val="24"/>
                <w:szCs w:val="24"/>
                <w:lang w:val="en-US" w:eastAsia="zh-CN"/>
              </w:rPr>
              <w:t>输送</w:t>
            </w:r>
            <w:r>
              <w:rPr>
                <w:rFonts w:hint="eastAsia"/>
                <w:color w:val="auto"/>
                <w:sz w:val="24"/>
                <w:szCs w:val="24"/>
                <w:lang w:val="en-US" w:eastAsia="zh-CN"/>
              </w:rPr>
              <w:t>收集至各原料储存罐，粉尘产生量参考《</w:t>
            </w:r>
            <w:r>
              <w:rPr>
                <w:rFonts w:hint="default"/>
                <w:color w:val="auto"/>
                <w:sz w:val="24"/>
                <w:szCs w:val="24"/>
                <w:lang w:val="en-US" w:eastAsia="zh-CN"/>
              </w:rPr>
              <w:t>排放源统计调查产排污核算方法和系数手册</w:t>
            </w:r>
            <w:r>
              <w:rPr>
                <w:rFonts w:hint="eastAsia"/>
                <w:color w:val="auto"/>
                <w:sz w:val="24"/>
                <w:szCs w:val="24"/>
                <w:lang w:val="en-US" w:eastAsia="zh-CN"/>
              </w:rPr>
              <w:t>》中“3029其他水泥类似制品制造”中以水泥、砂子、石子、钢筋为原料的物料输送储存工艺产污系数：0.19kg/t-产品。项目产品32000t/a，原料储存罐储存时可产生粉尘总量为6.08t/a，上方设置集气罩，收集粉尘至“布袋除尘器”处理后无组织排放。脉冲式布袋除尘器收集效率为90%、除去效率为99%，除尘器收集粉尘5.42t/a，无组织排放量0.66t/a，排放速率为0.25kg/h。</w:t>
            </w:r>
          </w:p>
          <w:p w14:paraId="5A3030C5">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leftChars="0" w:right="0" w:rightChars="0" w:firstLine="480" w:firstLineChars="200"/>
              <w:jc w:val="left"/>
              <w:textAlignment w:val="auto"/>
              <w:rPr>
                <w:rFonts w:hint="eastAsia"/>
                <w:color w:val="auto"/>
                <w:sz w:val="24"/>
                <w:szCs w:val="24"/>
                <w:lang w:val="en-US" w:eastAsia="zh-CN"/>
              </w:rPr>
            </w:pPr>
            <w:r>
              <w:rPr>
                <w:rFonts w:hint="eastAsia" w:ascii="宋体" w:hAnsi="宋体" w:eastAsia="宋体" w:cs="宋体"/>
                <w:color w:val="auto"/>
                <w:sz w:val="24"/>
                <w:szCs w:val="24"/>
                <w:lang w:val="en-US" w:eastAsia="zh-CN"/>
              </w:rPr>
              <w:t>③</w:t>
            </w:r>
            <w:r>
              <w:rPr>
                <w:rFonts w:hint="eastAsia"/>
                <w:color w:val="auto"/>
                <w:sz w:val="24"/>
                <w:szCs w:val="24"/>
                <w:lang w:val="en-US" w:eastAsia="zh-CN"/>
              </w:rPr>
              <w:t>入料粉尘</w:t>
            </w:r>
          </w:p>
          <w:p w14:paraId="6A8840C0">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leftChars="0" w:right="0" w:rightChars="0"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本项目入料工序在全封闭的车间厂房内进行，入料工序产生粉尘。骨料经破碎后由全密闭式输送带输送至粉磨机中，粉磨后经密闭的管道输送至搅拌机内，此原料上料过程不产生废气。本项目的原辅料中产生粉尘的主要污染源为石英砂、细粉。根据建设单位提供的材料，各原料使用量石英砂9600t/a，细粉7040t/a，共计16640t/a。根据《逃逸性工业粉尘控制技术》关于原料装料工序产物系数为0.5kg/t-原料，本项目上料过程中可产生粉尘的原料共计16640t/a，则本工序的颗粒物产生量为8.32t/a（3.10kg/h）。本工序在密闭厂房内进行，粉尘在密闭厂房内自然沉降，收集后回用于生产。</w:t>
            </w:r>
          </w:p>
          <w:p w14:paraId="06C2FE26">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leftChars="0" w:right="0" w:rightChars="0" w:firstLine="480" w:firstLineChars="200"/>
              <w:jc w:val="left"/>
              <w:textAlignment w:val="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③</w:t>
            </w:r>
            <w:r>
              <w:rPr>
                <w:rFonts w:hint="eastAsia" w:ascii="Times New Roman" w:hAnsi="Times New Roman" w:cs="Times New Roman"/>
                <w:color w:val="auto"/>
                <w:sz w:val="24"/>
                <w:szCs w:val="24"/>
                <w:lang w:val="en-US" w:eastAsia="zh-CN"/>
              </w:rPr>
              <w:t>混合搅拌粉尘</w:t>
            </w:r>
          </w:p>
          <w:p w14:paraId="6592FDF9">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leftChars="0" w:right="0" w:rightChars="0" w:firstLine="480" w:firstLineChars="200"/>
              <w:jc w:val="both"/>
              <w:textAlignment w:val="auto"/>
              <w:rPr>
                <w:rFonts w:hint="default"/>
                <w:color w:val="auto"/>
                <w:sz w:val="24"/>
                <w:szCs w:val="24"/>
                <w:lang w:val="en-US" w:eastAsia="zh-CN"/>
              </w:rPr>
            </w:pPr>
            <w:r>
              <w:rPr>
                <w:rFonts w:hint="eastAsia"/>
                <w:color w:val="auto"/>
                <w:sz w:val="24"/>
                <w:szCs w:val="24"/>
                <w:lang w:val="en-US" w:eastAsia="zh-CN"/>
              </w:rPr>
              <w:t>项目人造岗石生产过程中混合投料工序会溢出粉尘，项目依次将不同原料投入生产线（内含搅拌机），原料经密闭的搅拌机进行搅拌，在搅拌过程中产生一定粉尘。</w:t>
            </w:r>
            <w:r>
              <w:rPr>
                <w:rFonts w:hint="default"/>
                <w:color w:val="auto"/>
                <w:sz w:val="24"/>
                <w:szCs w:val="24"/>
                <w:lang w:val="en-US" w:eastAsia="zh-CN"/>
              </w:rPr>
              <w:t>参照《排放源统计调查产排污核算方法和系数手册》中工业源产排污核算方法《303砖瓦、石材等建筑材料</w:t>
            </w:r>
            <w:r>
              <w:rPr>
                <w:rFonts w:hint="eastAsia"/>
                <w:color w:val="auto"/>
                <w:sz w:val="24"/>
                <w:szCs w:val="24"/>
                <w:lang w:val="en-US" w:eastAsia="zh-CN"/>
              </w:rPr>
              <w:t>制造行业系数手册》“3032建筑用石加工行业”中人造石材</w:t>
            </w:r>
            <w:r>
              <w:rPr>
                <w:rFonts w:hint="eastAsia" w:ascii="Times New Roman" w:hAnsi="Times New Roman" w:eastAsia="宋体" w:cs="Times New Roman"/>
                <w:color w:val="auto"/>
                <w:sz w:val="24"/>
                <w:szCs w:val="24"/>
                <w:lang w:val="en-US" w:eastAsia="zh-CN"/>
              </w:rPr>
              <w:t>真空凝胶固化成型、锯解、抛光、裁切</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所有规模产污系数：0.051千克/立方米</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产品。</w:t>
            </w:r>
            <w:r>
              <w:rPr>
                <w:rFonts w:hint="eastAsia"/>
                <w:color w:val="auto"/>
                <w:sz w:val="24"/>
                <w:szCs w:val="24"/>
                <w:lang w:val="en-US" w:eastAsia="zh-CN"/>
              </w:rPr>
              <w:t>项目年产人造岗石3.2万吨（折算成人造岗石约20000m</w:t>
            </w:r>
            <w:r>
              <w:rPr>
                <w:rFonts w:hint="eastAsia"/>
                <w:color w:val="auto"/>
                <w:sz w:val="24"/>
                <w:szCs w:val="24"/>
                <w:vertAlign w:val="superscript"/>
                <w:lang w:val="en-US" w:eastAsia="zh-CN"/>
              </w:rPr>
              <w:t>3</w:t>
            </w:r>
            <w:r>
              <w:rPr>
                <w:rFonts w:hint="eastAsia"/>
                <w:color w:val="auto"/>
                <w:sz w:val="24"/>
                <w:szCs w:val="24"/>
                <w:lang w:val="en-US" w:eastAsia="zh-CN"/>
              </w:rPr>
              <w:t>），则混合搅拌过程产生的粉尘量约1.02t/a(0.3795kg/h），本项目混合搅拌分为两步，第一步，树脂及助剂在树脂搅拌计量罐中充分搅拌；第二步，将粉磨后的骨料、细粉、石英砂及充分搅拌后的树脂在密闭搅拌机内进行搅拌，设备自带2台脉冲除尘器（风机风量20000m</w:t>
            </w:r>
            <w:r>
              <w:rPr>
                <w:rFonts w:hint="eastAsia"/>
                <w:color w:val="auto"/>
                <w:sz w:val="24"/>
                <w:szCs w:val="24"/>
                <w:vertAlign w:val="superscript"/>
                <w:lang w:val="en-US" w:eastAsia="zh-CN"/>
              </w:rPr>
              <w:t>3</w:t>
            </w:r>
            <w:r>
              <w:rPr>
                <w:rFonts w:hint="eastAsia"/>
                <w:color w:val="auto"/>
                <w:sz w:val="24"/>
                <w:szCs w:val="24"/>
                <w:lang w:val="en-US" w:eastAsia="zh-CN"/>
              </w:rPr>
              <w:t>/h），分别设置在两台搅拌机上处理混合搅拌过程中产生的粉尘，收集率约90%，去除率99%，除尘器收集粉尘0.9088t/a，则项目人造岗石混料搅拌粉尘排放量为0.0092t/a，排放速率为0.0034kg/h，排放浓度为0.17mg/m</w:t>
            </w:r>
            <w:r>
              <w:rPr>
                <w:rFonts w:hint="eastAsia"/>
                <w:color w:val="auto"/>
                <w:sz w:val="24"/>
                <w:szCs w:val="24"/>
                <w:vertAlign w:val="superscript"/>
                <w:lang w:val="en-US" w:eastAsia="zh-CN"/>
              </w:rPr>
              <w:t>3</w:t>
            </w:r>
            <w:r>
              <w:rPr>
                <w:rFonts w:hint="eastAsia"/>
                <w:color w:val="auto"/>
                <w:sz w:val="24"/>
                <w:szCs w:val="24"/>
                <w:lang w:val="en-US" w:eastAsia="zh-CN"/>
              </w:rPr>
              <w:t>。以有组织形式排放，有组织产生量0.0092t/a。粉尘经密闭管道收集至脉冲式布袋除尘器处理后通过1根15m排气筒（DA004）排放。由于搅拌机密闭式搅拌机经密闭管道收集，故不会产生无组织废气。</w:t>
            </w:r>
          </w:p>
          <w:p w14:paraId="05D11857">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leftChars="0" w:right="0" w:rightChars="0" w:firstLine="480" w:firstLineChars="20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④装卸粉尘</w:t>
            </w:r>
          </w:p>
          <w:p w14:paraId="2587D741">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leftChars="0" w:right="0" w:rightChars="0" w:firstLine="480" w:firstLineChars="200"/>
              <w:jc w:val="left"/>
              <w:textAlignment w:val="auto"/>
              <w:rPr>
                <w:rFonts w:hint="default"/>
                <w:color w:val="auto"/>
                <w:lang w:val="en-US" w:eastAsia="zh-CN"/>
              </w:rPr>
            </w:pPr>
            <w:r>
              <w:rPr>
                <w:rFonts w:hint="default" w:ascii="Times New Roman" w:hAnsi="Times New Roman" w:eastAsia="宋体" w:cs="Times New Roman"/>
                <w:color w:val="auto"/>
                <w:sz w:val="24"/>
                <w:szCs w:val="24"/>
                <w:lang w:val="en-US" w:eastAsia="zh-CN"/>
              </w:rPr>
              <w:t>装卸作业产生的粉尘与</w:t>
            </w:r>
            <w:r>
              <w:rPr>
                <w:rFonts w:hint="eastAsia" w:ascii="Times New Roman" w:hAnsi="Times New Roman" w:eastAsia="宋体" w:cs="Times New Roman"/>
                <w:color w:val="auto"/>
                <w:sz w:val="24"/>
                <w:szCs w:val="24"/>
                <w:lang w:val="en-US" w:eastAsia="zh-CN"/>
              </w:rPr>
              <w:t>骨料</w:t>
            </w:r>
            <w:r>
              <w:rPr>
                <w:rFonts w:hint="default" w:ascii="Times New Roman" w:hAnsi="Times New Roman" w:eastAsia="宋体" w:cs="Times New Roman"/>
                <w:color w:val="auto"/>
                <w:sz w:val="24"/>
                <w:szCs w:val="24"/>
                <w:lang w:val="en-US" w:eastAsia="zh-CN"/>
              </w:rPr>
              <w:t>的相对密度、湿度以及作业环境的风速等因素有关。根据《逸散性工业粉尘控制技术》第一章第三节中物料卸料排放因子，本项目</w:t>
            </w:r>
            <w:r>
              <w:rPr>
                <w:rFonts w:hint="eastAsia" w:ascii="Times New Roman" w:hAnsi="Times New Roman" w:eastAsia="宋体" w:cs="Times New Roman"/>
                <w:color w:val="auto"/>
                <w:sz w:val="24"/>
                <w:szCs w:val="24"/>
                <w:lang w:val="en-US" w:eastAsia="zh-CN"/>
              </w:rPr>
              <w:t>骨料</w:t>
            </w:r>
            <w:r>
              <w:rPr>
                <w:rFonts w:hint="default" w:ascii="Times New Roman" w:hAnsi="Times New Roman" w:eastAsia="宋体" w:cs="Times New Roman"/>
                <w:color w:val="auto"/>
                <w:sz w:val="24"/>
                <w:szCs w:val="24"/>
                <w:lang w:val="en-US" w:eastAsia="zh-CN"/>
              </w:rPr>
              <w:t>为</w:t>
            </w:r>
            <w:r>
              <w:rPr>
                <w:rFonts w:hint="eastAsia" w:ascii="Times New Roman" w:hAnsi="Times New Roman" w:eastAsia="宋体" w:cs="Times New Roman"/>
                <w:color w:val="auto"/>
                <w:sz w:val="24"/>
                <w:szCs w:val="24"/>
                <w:lang w:val="en-US" w:eastAsia="zh-CN"/>
              </w:rPr>
              <w:t>大理岩矿</w:t>
            </w:r>
            <w:r>
              <w:rPr>
                <w:rFonts w:hint="default" w:ascii="Times New Roman" w:hAnsi="Times New Roman" w:eastAsia="宋体" w:cs="Times New Roman"/>
                <w:color w:val="auto"/>
                <w:sz w:val="24"/>
                <w:szCs w:val="24"/>
                <w:lang w:val="en-US" w:eastAsia="zh-CN"/>
              </w:rPr>
              <w:t>，以大块物料为主，排放因子取0.01kg/t物料，根据初步设计方案，本项目</w:t>
            </w:r>
            <w:r>
              <w:rPr>
                <w:rFonts w:hint="eastAsia" w:ascii="Times New Roman" w:hAnsi="Times New Roman" w:eastAsia="宋体" w:cs="Times New Roman"/>
                <w:color w:val="auto"/>
                <w:sz w:val="24"/>
                <w:szCs w:val="24"/>
                <w:lang w:val="en-US" w:eastAsia="zh-CN"/>
              </w:rPr>
              <w:t>骨料为1.284万t/a，</w:t>
            </w:r>
            <w:r>
              <w:rPr>
                <w:rFonts w:hint="default" w:ascii="Times New Roman" w:hAnsi="Times New Roman" w:eastAsia="宋体" w:cs="Times New Roman"/>
                <w:color w:val="auto"/>
                <w:sz w:val="24"/>
                <w:szCs w:val="24"/>
                <w:lang w:val="en-US" w:eastAsia="zh-CN"/>
              </w:rPr>
              <w:t>则本项目装卸作业粉尘产生量约为</w:t>
            </w:r>
            <w:r>
              <w:rPr>
                <w:rFonts w:hint="eastAsia" w:ascii="Times New Roman" w:hAnsi="Times New Roman" w:eastAsia="宋体" w:cs="Times New Roman"/>
                <w:color w:val="auto"/>
                <w:sz w:val="24"/>
                <w:szCs w:val="24"/>
                <w:lang w:val="en-US" w:eastAsia="zh-CN"/>
              </w:rPr>
              <w:t>0.13</w:t>
            </w:r>
            <w:r>
              <w:rPr>
                <w:rFonts w:hint="default" w:ascii="Times New Roman" w:hAnsi="Times New Roman" w:eastAsia="宋体" w:cs="Times New Roman"/>
                <w:color w:val="auto"/>
                <w:sz w:val="24"/>
                <w:szCs w:val="24"/>
                <w:lang w:val="en-US" w:eastAsia="zh-CN"/>
              </w:rPr>
              <w:t>t/a，</w:t>
            </w:r>
            <w:r>
              <w:rPr>
                <w:rFonts w:hint="eastAsia" w:eastAsia="宋体" w:cs="Times New Roman"/>
                <w:color w:val="auto"/>
                <w:sz w:val="24"/>
                <w:szCs w:val="24"/>
                <w:lang w:val="en-US" w:eastAsia="zh-CN"/>
              </w:rPr>
              <w:t>产生速率约0.048kg/</w:t>
            </w:r>
            <w:r>
              <w:rPr>
                <w:rFonts w:hint="eastAsia" w:cs="Times New Roman"/>
                <w:color w:val="auto"/>
                <w:sz w:val="24"/>
                <w:szCs w:val="24"/>
                <w:lang w:val="en-US" w:eastAsia="zh-CN"/>
              </w:rPr>
              <w:t>h</w:t>
            </w:r>
            <w:r>
              <w:rPr>
                <w:rFonts w:hint="eastAsia" w:eastAsia="宋体" w:cs="Times New Roman"/>
                <w:color w:val="auto"/>
                <w:sz w:val="24"/>
                <w:szCs w:val="24"/>
                <w:lang w:val="en-US" w:eastAsia="zh-CN"/>
              </w:rPr>
              <w:t>。</w:t>
            </w:r>
          </w:p>
          <w:p w14:paraId="1835D591">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leftChars="0" w:right="0" w:rightChars="0" w:firstLine="480" w:firstLineChars="20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⑤堆场粉尘</w:t>
            </w:r>
          </w:p>
          <w:p w14:paraId="7D2D2E43">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骨料堆放在项目区南侧新建荒料堆场，</w:t>
            </w:r>
            <w:r>
              <w:rPr>
                <w:rFonts w:hint="eastAsia" w:ascii="Times New Roman" w:hAnsi="Times New Roman" w:eastAsia="宋体" w:cs="Times New Roman"/>
                <w:color w:val="auto"/>
                <w:sz w:val="24"/>
                <w:szCs w:val="24"/>
                <w:lang w:val="en-US" w:eastAsia="zh-CN"/>
              </w:rPr>
              <w:t>根据《逸散性工业粉尘控制技术》，堆场产生的粉尘量大约为</w:t>
            </w:r>
            <w:r>
              <w:rPr>
                <w:rFonts w:hint="eastAsia" w:eastAsia="宋体" w:cs="Times New Roman"/>
                <w:color w:val="auto"/>
                <w:sz w:val="24"/>
                <w:szCs w:val="24"/>
                <w:lang w:val="en-US" w:eastAsia="zh-CN"/>
              </w:rPr>
              <w:t>骨料</w:t>
            </w:r>
            <w:r>
              <w:rPr>
                <w:rFonts w:hint="eastAsia" w:ascii="Times New Roman" w:hAnsi="Times New Roman" w:eastAsia="宋体" w:cs="Times New Roman"/>
                <w:color w:val="auto"/>
                <w:sz w:val="24"/>
                <w:szCs w:val="24"/>
                <w:lang w:val="en-US" w:eastAsia="zh-CN"/>
              </w:rPr>
              <w:t>总量的0.0465</w:t>
            </w:r>
            <w:r>
              <w:rPr>
                <w:rFonts w:hint="eastAsia"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，本项目</w:t>
            </w:r>
            <w:r>
              <w:rPr>
                <w:rFonts w:hint="eastAsia" w:eastAsia="宋体" w:cs="Times New Roman"/>
                <w:color w:val="auto"/>
                <w:sz w:val="24"/>
                <w:szCs w:val="24"/>
                <w:lang w:val="en-US" w:eastAsia="zh-CN"/>
              </w:rPr>
              <w:t>堆放骨料</w:t>
            </w:r>
            <w:r>
              <w:rPr>
                <w:rFonts w:hint="eastAsia" w:ascii="Times New Roman" w:hAnsi="Times New Roman" w:eastAsia="宋体" w:cs="Times New Roman"/>
                <w:color w:val="auto"/>
                <w:sz w:val="24"/>
                <w:szCs w:val="24"/>
                <w:lang w:val="en-US" w:eastAsia="zh-CN"/>
              </w:rPr>
              <w:t>量为</w:t>
            </w:r>
            <w:r>
              <w:rPr>
                <w:rFonts w:hint="eastAsia" w:eastAsia="宋体" w:cs="Times New Roman"/>
                <w:color w:val="auto"/>
                <w:sz w:val="24"/>
                <w:szCs w:val="24"/>
                <w:lang w:val="en-US" w:eastAsia="zh-CN"/>
              </w:rPr>
              <w:t>1.284</w:t>
            </w:r>
            <w:r>
              <w:rPr>
                <w:rFonts w:hint="eastAsia" w:ascii="Times New Roman" w:hAnsi="Times New Roman" w:eastAsia="宋体" w:cs="Times New Roman"/>
                <w:color w:val="auto"/>
                <w:sz w:val="24"/>
                <w:szCs w:val="24"/>
                <w:lang w:val="en-US" w:eastAsia="zh-CN"/>
              </w:rPr>
              <w:t>万吨/年，则堆场粉尘的产生量为</w:t>
            </w:r>
            <w:r>
              <w:rPr>
                <w:rFonts w:hint="eastAsia" w:eastAsia="宋体" w:cs="Times New Roman"/>
                <w:color w:val="auto"/>
                <w:sz w:val="24"/>
                <w:szCs w:val="24"/>
                <w:lang w:val="en-US" w:eastAsia="zh-CN"/>
              </w:rPr>
              <w:t>5.97</w:t>
            </w:r>
            <w:r>
              <w:rPr>
                <w:rFonts w:hint="eastAsia" w:ascii="Times New Roman" w:hAnsi="Times New Roman" w:eastAsia="宋体" w:cs="Times New Roman"/>
                <w:color w:val="auto"/>
                <w:sz w:val="24"/>
                <w:szCs w:val="24"/>
                <w:lang w:val="en-US" w:eastAsia="zh-CN"/>
              </w:rPr>
              <w:t>t/a，</w:t>
            </w:r>
            <w:r>
              <w:rPr>
                <w:rFonts w:hint="default"/>
                <w:color w:val="auto"/>
                <w:sz w:val="24"/>
                <w:szCs w:val="24"/>
                <w:lang w:val="en-US" w:eastAsia="zh-CN"/>
              </w:rPr>
              <w:t>参照《排放源统计调查产排污核算方法和系数手册》中</w:t>
            </w:r>
            <w:r>
              <w:rPr>
                <w:rFonts w:hint="eastAsia"/>
                <w:color w:val="auto"/>
                <w:sz w:val="24"/>
                <w:szCs w:val="24"/>
                <w:lang w:val="en-US" w:eastAsia="zh-CN"/>
              </w:rPr>
              <w:t>，工业源固体物料堆场《工业源固体物料堆场颗粒物核算系数手册》附录4：粉尘控制措施控制效率：编织覆盖控制效率：86%；围挡控制效率：60%，因此</w:t>
            </w:r>
            <w:r>
              <w:rPr>
                <w:rFonts w:hint="eastAsia" w:ascii="Times New Roman" w:hAnsi="Times New Roman" w:eastAsia="宋体" w:cs="Times New Roman"/>
                <w:color w:val="auto"/>
                <w:sz w:val="24"/>
                <w:szCs w:val="24"/>
                <w:lang w:val="en-US" w:eastAsia="zh-CN"/>
              </w:rPr>
              <w:t>骨料</w:t>
            </w:r>
            <w:r>
              <w:rPr>
                <w:rFonts w:hint="default" w:ascii="Times New Roman" w:hAnsi="Times New Roman" w:eastAsia="宋体" w:cs="Times New Roman"/>
                <w:color w:val="auto"/>
                <w:sz w:val="24"/>
                <w:szCs w:val="24"/>
                <w:lang w:val="en-US" w:eastAsia="zh-CN"/>
              </w:rPr>
              <w:t>装卸粉尘排放量约为</w:t>
            </w:r>
            <w:r>
              <w:rPr>
                <w:rFonts w:hint="eastAsia" w:cs="Times New Roman"/>
                <w:color w:val="auto"/>
                <w:sz w:val="24"/>
                <w:szCs w:val="24"/>
                <w:lang w:val="en-US" w:eastAsia="zh-CN"/>
              </w:rPr>
              <w:t>0.34</w:t>
            </w:r>
            <w:r>
              <w:rPr>
                <w:rFonts w:hint="default" w:ascii="Times New Roman" w:hAnsi="Times New Roman" w:eastAsia="宋体" w:cs="Times New Roman"/>
                <w:color w:val="auto"/>
                <w:sz w:val="24"/>
                <w:szCs w:val="24"/>
                <w:lang w:val="en-US" w:eastAsia="zh-CN"/>
              </w:rPr>
              <w:t>t/a</w:t>
            </w:r>
            <w:r>
              <w:rPr>
                <w:rFonts w:hint="eastAsia" w:eastAsia="宋体" w:cs="Times New Roman"/>
                <w:color w:val="auto"/>
                <w:sz w:val="24"/>
                <w:szCs w:val="24"/>
                <w:lang w:val="en-US" w:eastAsia="zh-CN"/>
              </w:rPr>
              <w:t>，产生速率约0.</w:t>
            </w:r>
            <w:r>
              <w:rPr>
                <w:rFonts w:hint="eastAsia" w:cs="Times New Roman"/>
                <w:color w:val="auto"/>
                <w:sz w:val="24"/>
                <w:szCs w:val="24"/>
                <w:lang w:val="en-US" w:eastAsia="zh-CN"/>
              </w:rPr>
              <w:t>13</w:t>
            </w:r>
            <w:r>
              <w:rPr>
                <w:rFonts w:hint="eastAsia" w:eastAsia="宋体" w:cs="Times New Roman"/>
                <w:color w:val="auto"/>
                <w:sz w:val="24"/>
                <w:szCs w:val="24"/>
                <w:lang w:val="en-US" w:eastAsia="zh-CN"/>
              </w:rPr>
              <w:t>kg/h。</w:t>
            </w:r>
          </w:p>
          <w:p w14:paraId="5C37780B">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leftChars="0" w:right="0" w:rightChars="0" w:firstLine="480" w:firstLineChars="200"/>
              <w:jc w:val="left"/>
              <w:textAlignment w:val="auto"/>
              <w:rPr>
                <w:rFonts w:hint="default"/>
                <w:color w:val="auto"/>
                <w:sz w:val="24"/>
                <w:szCs w:val="24"/>
                <w:lang w:val="en-US" w:eastAsia="zh-CN"/>
              </w:rPr>
            </w:pPr>
            <w:r>
              <w:rPr>
                <w:rFonts w:hint="eastAsia"/>
                <w:color w:val="auto"/>
                <w:sz w:val="24"/>
                <w:szCs w:val="24"/>
                <w:lang w:val="en-US" w:eastAsia="zh-CN"/>
              </w:rPr>
              <w:t>2.有机废气</w:t>
            </w:r>
          </w:p>
          <w:p w14:paraId="0C702899">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leftChars="0" w:right="0" w:rightChars="0" w:firstLine="480" w:firstLineChars="200"/>
              <w:jc w:val="left"/>
              <w:textAlignment w:val="auto"/>
              <w:rPr>
                <w:rFonts w:hint="default"/>
                <w:color w:val="auto"/>
                <w:sz w:val="24"/>
                <w:szCs w:val="24"/>
                <w:lang w:val="en-US" w:eastAsia="zh-CN"/>
              </w:rPr>
            </w:pPr>
            <w:r>
              <w:rPr>
                <w:rFonts w:hint="eastAsia"/>
                <w:color w:val="auto"/>
                <w:sz w:val="24"/>
                <w:szCs w:val="24"/>
                <w:lang w:val="en-US" w:eastAsia="zh-CN"/>
              </w:rPr>
              <w:t>本项目有机废气来源于搅拌、布料、压制及固化工序，主要污染物为非甲烷总烃，含苯乙烯。</w:t>
            </w:r>
          </w:p>
          <w:p w14:paraId="3E65F40F">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leftChars="0" w:right="0" w:rightChars="0"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根据《新型不饱和树脂苯乙烯挥发性能研究》（张珩、陈锋等人编2010年11月）的结论：树脂固化40min后，苯乙烯的挥发量趋于稳定，室温固化时低苯乙烯不饱和树脂苯乙烯挥发质量百分比为0.28%—0.81%。</w:t>
            </w:r>
          </w:p>
          <w:p w14:paraId="4F34ADAE">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leftChars="0" w:right="0" w:rightChars="0"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根据《不饱和聚酯树脂低苯乙烯挥发助剂的研究与应用》（刘华、吕晓平等人编）：低苯乙烯含量树脂的苯乙烯质量分数一般要求在35%以下。根据项目不饱和聚酯树脂的MSDS报告，苯乙烯含量约为31%～35%，本项目不饱和聚酯树脂属于低苯乙烯含量树脂，本次计算取35%。保守考虑，苯乙烯挥发量百分比按0.81%计，本项目不饱和聚酯树脂使用量2560</w:t>
            </w:r>
            <w:r>
              <w:rPr>
                <w:rFonts w:hint="default"/>
                <w:color w:val="auto"/>
                <w:sz w:val="24"/>
                <w:szCs w:val="24"/>
                <w:lang w:val="en-US" w:eastAsia="zh-CN"/>
              </w:rPr>
              <w:t>t/a</w:t>
            </w:r>
            <w:r>
              <w:rPr>
                <w:rFonts w:hint="eastAsia"/>
                <w:color w:val="auto"/>
                <w:sz w:val="24"/>
                <w:szCs w:val="24"/>
                <w:lang w:val="en-US" w:eastAsia="zh-CN"/>
              </w:rPr>
              <w:t>，则苯乙烯产生量为7.258</w:t>
            </w:r>
            <w:r>
              <w:rPr>
                <w:rFonts w:hint="default"/>
                <w:color w:val="auto"/>
                <w:sz w:val="24"/>
                <w:szCs w:val="24"/>
                <w:lang w:val="en-US" w:eastAsia="zh-CN"/>
              </w:rPr>
              <w:t>t/a</w:t>
            </w:r>
            <w:r>
              <w:rPr>
                <w:rFonts w:hint="eastAsia"/>
                <w:color w:val="auto"/>
                <w:sz w:val="24"/>
                <w:szCs w:val="24"/>
                <w:lang w:val="en-US" w:eastAsia="zh-CN"/>
              </w:rPr>
              <w:t>。</w:t>
            </w:r>
          </w:p>
          <w:p w14:paraId="59684D17">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color w:val="auto"/>
                <w:sz w:val="24"/>
                <w:szCs w:val="24"/>
                <w:lang w:val="en-US" w:eastAsia="zh-CN"/>
              </w:rPr>
            </w:pPr>
            <w:r>
              <w:rPr>
                <w:rFonts w:hint="eastAsia"/>
                <w:color w:val="auto"/>
                <w:sz w:val="24"/>
                <w:szCs w:val="24"/>
                <w:lang w:val="en-US" w:eastAsia="zh-CN"/>
              </w:rPr>
              <w:t>根据《排放源统计调查产排污核算方法和系数手册》，“</w:t>
            </w:r>
            <w:r>
              <w:rPr>
                <w:rFonts w:hint="default"/>
                <w:color w:val="auto"/>
                <w:sz w:val="24"/>
                <w:szCs w:val="24"/>
                <w:lang w:val="en-US" w:eastAsia="zh-CN"/>
              </w:rPr>
              <w:t>3032</w:t>
            </w:r>
            <w:r>
              <w:rPr>
                <w:rFonts w:hint="eastAsia"/>
                <w:color w:val="auto"/>
                <w:sz w:val="24"/>
                <w:szCs w:val="24"/>
                <w:lang w:val="en-US" w:eastAsia="zh-CN"/>
              </w:rPr>
              <w:t>建筑用石加工行业（续7）”中产排污系数表如下：</w:t>
            </w:r>
          </w:p>
          <w:p w14:paraId="384C2132">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color w:val="auto"/>
                <w:sz w:val="24"/>
                <w:szCs w:val="24"/>
                <w:lang w:val="en-US" w:eastAsia="zh-CN"/>
              </w:rPr>
            </w:pPr>
          </w:p>
          <w:p w14:paraId="4C109067">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color w:val="auto"/>
                <w:sz w:val="24"/>
                <w:szCs w:val="24"/>
                <w:lang w:val="en-US" w:eastAsia="zh-CN"/>
              </w:rPr>
            </w:pPr>
          </w:p>
          <w:p w14:paraId="206657E2">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color w:val="auto"/>
                <w:sz w:val="24"/>
                <w:szCs w:val="24"/>
                <w:lang w:val="en-US" w:eastAsia="zh-CN"/>
              </w:rPr>
            </w:pPr>
          </w:p>
          <w:p w14:paraId="396DA573">
            <w:pPr>
              <w:pStyle w:val="37"/>
              <w:rPr>
                <w:rFonts w:hint="eastAsia"/>
                <w:color w:val="auto"/>
                <w:sz w:val="24"/>
                <w:szCs w:val="24"/>
                <w:lang w:val="en-US" w:eastAsia="zh-CN"/>
              </w:rPr>
            </w:pPr>
          </w:p>
          <w:p w14:paraId="65797D1F">
            <w:pPr>
              <w:rPr>
                <w:rFonts w:hint="eastAsia"/>
                <w:lang w:val="en-US" w:eastAsia="zh-CN"/>
              </w:rPr>
            </w:pPr>
          </w:p>
          <w:p w14:paraId="2F10CCAD">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color w:val="auto"/>
                <w:sz w:val="24"/>
                <w:szCs w:val="24"/>
                <w:lang w:val="en-US" w:eastAsia="zh-CN"/>
              </w:rPr>
            </w:pPr>
          </w:p>
          <w:p w14:paraId="636D3470">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color w:val="auto"/>
                <w:sz w:val="24"/>
                <w:szCs w:val="24"/>
                <w:lang w:val="en-US" w:eastAsia="zh-CN"/>
              </w:rPr>
            </w:pPr>
          </w:p>
          <w:p w14:paraId="3C5AA8F4">
            <w:pPr>
              <w:pStyle w:val="6"/>
              <w:spacing w:line="240" w:lineRule="auto"/>
              <w:jc w:val="center"/>
              <w:rPr>
                <w:rFonts w:hint="default" w:ascii="Times New Roman" w:hAnsi="Times New Roman" w:eastAsia="宋体" w:cs="Times New Roman"/>
                <w:b/>
                <w:bCs/>
                <w:color w:val="auto"/>
                <w:kern w:val="2"/>
                <w:sz w:val="24"/>
                <w:szCs w:val="32"/>
                <w:lang w:val="en-US" w:eastAsia="zh-CN" w:bidi="ar-SA"/>
              </w:rPr>
            </w:pPr>
            <w:r>
              <w:rPr>
                <w:rFonts w:hint="eastAsia" w:ascii="Times New Roman" w:hAnsi="Times New Roman" w:eastAsia="宋体" w:cs="Times New Roman"/>
                <w:b/>
                <w:bCs/>
                <w:color w:val="auto"/>
                <w:kern w:val="2"/>
                <w:sz w:val="21"/>
                <w:szCs w:val="21"/>
                <w:lang w:val="en-US" w:eastAsia="zh-CN" w:bidi="ar-SA"/>
              </w:rPr>
              <w:t>表4-</w:t>
            </w:r>
            <w:r>
              <w:rPr>
                <w:rFonts w:hint="eastAsia" w:cs="Times New Roman"/>
                <w:b/>
                <w:bCs/>
                <w:color w:val="auto"/>
                <w:kern w:val="2"/>
                <w:sz w:val="21"/>
                <w:szCs w:val="21"/>
                <w:lang w:val="en-US" w:eastAsia="zh-CN" w:bidi="ar-SA"/>
              </w:rPr>
              <w:t>1</w:t>
            </w:r>
            <w:r>
              <w:rPr>
                <w:rFonts w:hint="eastAsia" w:ascii="Times New Roman" w:hAnsi="Times New Roman" w:eastAsia="宋体" w:cs="Times New Roman"/>
                <w:b/>
                <w:bCs/>
                <w:color w:val="auto"/>
                <w:kern w:val="2"/>
                <w:sz w:val="21"/>
                <w:szCs w:val="21"/>
                <w:lang w:val="en-US" w:eastAsia="zh-CN" w:bidi="ar-SA"/>
              </w:rPr>
              <w:t>《排放源统计调查产排污核算方法和系数手册》中产排污系数表</w:t>
            </w:r>
          </w:p>
          <w:tbl>
            <w:tblPr>
              <w:tblStyle w:val="25"/>
              <w:tblW w:w="794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744"/>
              <w:gridCol w:w="746"/>
              <w:gridCol w:w="1194"/>
              <w:gridCol w:w="670"/>
              <w:gridCol w:w="918"/>
              <w:gridCol w:w="1339"/>
              <w:gridCol w:w="708"/>
              <w:gridCol w:w="883"/>
            </w:tblGrid>
            <w:tr w14:paraId="280C9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tcBorders>
                    <w:left w:val="nil"/>
                  </w:tcBorders>
                  <w:vAlign w:val="center"/>
                </w:tcPr>
                <w:p w14:paraId="54CA9B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核算环节</w:t>
                  </w:r>
                </w:p>
              </w:tc>
              <w:tc>
                <w:tcPr>
                  <w:tcW w:w="744" w:type="dxa"/>
                  <w:vAlign w:val="center"/>
                </w:tcPr>
                <w:p w14:paraId="551161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产品名称</w:t>
                  </w:r>
                </w:p>
              </w:tc>
              <w:tc>
                <w:tcPr>
                  <w:tcW w:w="746" w:type="dxa"/>
                  <w:vAlign w:val="center"/>
                </w:tcPr>
                <w:p w14:paraId="081398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原料名称</w:t>
                  </w:r>
                </w:p>
              </w:tc>
              <w:tc>
                <w:tcPr>
                  <w:tcW w:w="1194" w:type="dxa"/>
                  <w:vAlign w:val="center"/>
                </w:tcPr>
                <w:p w14:paraId="15EA4F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工艺名称</w:t>
                  </w:r>
                </w:p>
              </w:tc>
              <w:tc>
                <w:tcPr>
                  <w:tcW w:w="670" w:type="dxa"/>
                  <w:vAlign w:val="center"/>
                </w:tcPr>
                <w:p w14:paraId="4A4938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规模等级</w:t>
                  </w:r>
                </w:p>
              </w:tc>
              <w:tc>
                <w:tcPr>
                  <w:tcW w:w="918" w:type="dxa"/>
                  <w:vAlign w:val="center"/>
                </w:tcPr>
                <w:p w14:paraId="5ADE20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污染物指标</w:t>
                  </w:r>
                </w:p>
              </w:tc>
              <w:tc>
                <w:tcPr>
                  <w:tcW w:w="1339" w:type="dxa"/>
                  <w:vAlign w:val="center"/>
                </w:tcPr>
                <w:p w14:paraId="31054F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系数单位</w:t>
                  </w:r>
                </w:p>
              </w:tc>
              <w:tc>
                <w:tcPr>
                  <w:tcW w:w="708" w:type="dxa"/>
                  <w:vAlign w:val="center"/>
                </w:tcPr>
                <w:p w14:paraId="5593DE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产污系数</w:t>
                  </w:r>
                </w:p>
              </w:tc>
              <w:tc>
                <w:tcPr>
                  <w:tcW w:w="883" w:type="dxa"/>
                  <w:tcBorders>
                    <w:right w:val="nil"/>
                  </w:tcBorders>
                  <w:vAlign w:val="center"/>
                </w:tcPr>
                <w:p w14:paraId="6B94E4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末端治理技术名称</w:t>
                  </w:r>
                </w:p>
              </w:tc>
            </w:tr>
            <w:tr w14:paraId="49C63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Merge w:val="restart"/>
                  <w:tcBorders>
                    <w:left w:val="nil"/>
                  </w:tcBorders>
                  <w:vAlign w:val="center"/>
                </w:tcPr>
                <w:p w14:paraId="3DB1B5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w:t>
                  </w:r>
                </w:p>
              </w:tc>
              <w:tc>
                <w:tcPr>
                  <w:tcW w:w="744" w:type="dxa"/>
                  <w:vMerge w:val="restart"/>
                  <w:vAlign w:val="center"/>
                </w:tcPr>
                <w:p w14:paraId="45D468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人造石材</w:t>
                  </w:r>
                </w:p>
              </w:tc>
              <w:tc>
                <w:tcPr>
                  <w:tcW w:w="746" w:type="dxa"/>
                  <w:vMerge w:val="restart"/>
                  <w:vAlign w:val="center"/>
                </w:tcPr>
                <w:p w14:paraId="18798A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碎石颗粒、粉料、不饱和树脂等</w:t>
                  </w:r>
                </w:p>
              </w:tc>
              <w:tc>
                <w:tcPr>
                  <w:tcW w:w="1194" w:type="dxa"/>
                  <w:vMerge w:val="restart"/>
                  <w:vAlign w:val="center"/>
                </w:tcPr>
                <w:p w14:paraId="56903B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真空凝胶固化成型、锯解、抛光、裁切</w:t>
                  </w:r>
                </w:p>
              </w:tc>
              <w:tc>
                <w:tcPr>
                  <w:tcW w:w="670" w:type="dxa"/>
                  <w:vMerge w:val="restart"/>
                  <w:vAlign w:val="center"/>
                </w:tcPr>
                <w:p w14:paraId="685DC0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所有规模</w:t>
                  </w:r>
                </w:p>
              </w:tc>
              <w:tc>
                <w:tcPr>
                  <w:tcW w:w="918" w:type="dxa"/>
                  <w:vAlign w:val="center"/>
                </w:tcPr>
                <w:p w14:paraId="4E7C6C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工业废气量</w:t>
                  </w:r>
                </w:p>
              </w:tc>
              <w:tc>
                <w:tcPr>
                  <w:tcW w:w="1339" w:type="dxa"/>
                  <w:vAlign w:val="center"/>
                </w:tcPr>
                <w:p w14:paraId="3894FC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标立方米/立方米－产品</w:t>
                  </w:r>
                </w:p>
              </w:tc>
              <w:tc>
                <w:tcPr>
                  <w:tcW w:w="708" w:type="dxa"/>
                  <w:vAlign w:val="center"/>
                </w:tcPr>
                <w:p w14:paraId="746DE5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602</w:t>
                  </w:r>
                </w:p>
              </w:tc>
              <w:tc>
                <w:tcPr>
                  <w:tcW w:w="883" w:type="dxa"/>
                  <w:tcBorders>
                    <w:right w:val="nil"/>
                  </w:tcBorders>
                  <w:vAlign w:val="center"/>
                </w:tcPr>
                <w:p w14:paraId="7100B1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w:t>
                  </w:r>
                </w:p>
              </w:tc>
            </w:tr>
            <w:tr w14:paraId="3AA14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Merge w:val="continue"/>
                  <w:tcBorders>
                    <w:left w:val="nil"/>
                  </w:tcBorders>
                  <w:vAlign w:val="center"/>
                </w:tcPr>
                <w:p w14:paraId="121D6E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p>
              </w:tc>
              <w:tc>
                <w:tcPr>
                  <w:tcW w:w="744" w:type="dxa"/>
                  <w:vMerge w:val="continue"/>
                  <w:vAlign w:val="center"/>
                </w:tcPr>
                <w:p w14:paraId="516A6A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p>
              </w:tc>
              <w:tc>
                <w:tcPr>
                  <w:tcW w:w="746" w:type="dxa"/>
                  <w:vMerge w:val="continue"/>
                  <w:vAlign w:val="center"/>
                </w:tcPr>
                <w:p w14:paraId="7136B2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p>
              </w:tc>
              <w:tc>
                <w:tcPr>
                  <w:tcW w:w="1194" w:type="dxa"/>
                  <w:vMerge w:val="continue"/>
                  <w:vAlign w:val="center"/>
                </w:tcPr>
                <w:p w14:paraId="67E079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p>
              </w:tc>
              <w:tc>
                <w:tcPr>
                  <w:tcW w:w="670" w:type="dxa"/>
                  <w:vMerge w:val="continue"/>
                  <w:vAlign w:val="center"/>
                </w:tcPr>
                <w:p w14:paraId="30FB46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p>
              </w:tc>
              <w:tc>
                <w:tcPr>
                  <w:tcW w:w="918" w:type="dxa"/>
                  <w:vAlign w:val="center"/>
                </w:tcPr>
                <w:p w14:paraId="79F6F2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颗粒物</w:t>
                  </w:r>
                </w:p>
              </w:tc>
              <w:tc>
                <w:tcPr>
                  <w:tcW w:w="1339" w:type="dxa"/>
                  <w:vAlign w:val="center"/>
                </w:tcPr>
                <w:p w14:paraId="1C85C4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千克/立方米－产品</w:t>
                  </w:r>
                </w:p>
              </w:tc>
              <w:tc>
                <w:tcPr>
                  <w:tcW w:w="708" w:type="dxa"/>
                  <w:vAlign w:val="center"/>
                </w:tcPr>
                <w:p w14:paraId="5B84D3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0.051</w:t>
                  </w:r>
                </w:p>
              </w:tc>
              <w:tc>
                <w:tcPr>
                  <w:tcW w:w="883" w:type="dxa"/>
                  <w:tcBorders>
                    <w:right w:val="nil"/>
                  </w:tcBorders>
                  <w:vAlign w:val="center"/>
                </w:tcPr>
                <w:p w14:paraId="016D57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湿法（90%）</w:t>
                  </w:r>
                </w:p>
              </w:tc>
            </w:tr>
            <w:tr w14:paraId="43843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Merge w:val="continue"/>
                  <w:tcBorders>
                    <w:left w:val="nil"/>
                  </w:tcBorders>
                  <w:vAlign w:val="center"/>
                </w:tcPr>
                <w:p w14:paraId="4CB826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p>
              </w:tc>
              <w:tc>
                <w:tcPr>
                  <w:tcW w:w="744" w:type="dxa"/>
                  <w:vMerge w:val="continue"/>
                  <w:vAlign w:val="center"/>
                </w:tcPr>
                <w:p w14:paraId="76669E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p>
              </w:tc>
              <w:tc>
                <w:tcPr>
                  <w:tcW w:w="746" w:type="dxa"/>
                  <w:vMerge w:val="continue"/>
                  <w:vAlign w:val="center"/>
                </w:tcPr>
                <w:p w14:paraId="377A51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p>
              </w:tc>
              <w:tc>
                <w:tcPr>
                  <w:tcW w:w="1194" w:type="dxa"/>
                  <w:vMerge w:val="continue"/>
                  <w:vAlign w:val="center"/>
                </w:tcPr>
                <w:p w14:paraId="1586A4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p>
              </w:tc>
              <w:tc>
                <w:tcPr>
                  <w:tcW w:w="670" w:type="dxa"/>
                  <w:vMerge w:val="continue"/>
                  <w:vAlign w:val="center"/>
                </w:tcPr>
                <w:p w14:paraId="50EC97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p>
              </w:tc>
              <w:tc>
                <w:tcPr>
                  <w:tcW w:w="918" w:type="dxa"/>
                  <w:vAlign w:val="center"/>
                </w:tcPr>
                <w:p w14:paraId="5AEF2D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挥发性有机物</w:t>
                  </w:r>
                </w:p>
              </w:tc>
              <w:tc>
                <w:tcPr>
                  <w:tcW w:w="1339" w:type="dxa"/>
                  <w:vAlign w:val="center"/>
                </w:tcPr>
                <w:p w14:paraId="679538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千克/立方米－产品</w:t>
                  </w:r>
                </w:p>
              </w:tc>
              <w:tc>
                <w:tcPr>
                  <w:tcW w:w="708" w:type="dxa"/>
                  <w:vAlign w:val="center"/>
                </w:tcPr>
                <w:p w14:paraId="609609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0.006</w:t>
                  </w:r>
                </w:p>
              </w:tc>
              <w:tc>
                <w:tcPr>
                  <w:tcW w:w="883" w:type="dxa"/>
                  <w:tcBorders>
                    <w:right w:val="nil"/>
                  </w:tcBorders>
                  <w:vAlign w:val="center"/>
                </w:tcPr>
                <w:p w14:paraId="7394AA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吸附法（80%）</w:t>
                  </w:r>
                </w:p>
              </w:tc>
            </w:tr>
          </w:tbl>
          <w:p w14:paraId="3F8370C9">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color w:val="auto"/>
                <w:sz w:val="24"/>
                <w:szCs w:val="24"/>
                <w:lang w:val="en-US" w:eastAsia="zh-CN"/>
              </w:rPr>
            </w:pPr>
            <w:r>
              <w:rPr>
                <w:rFonts w:hint="eastAsia"/>
                <w:color w:val="auto"/>
                <w:sz w:val="24"/>
                <w:szCs w:val="24"/>
                <w:lang w:val="en-US" w:eastAsia="zh-CN"/>
              </w:rPr>
              <w:t>本项目年产人造岗石3.2万吨（折算成人造岗石约20000m</w:t>
            </w:r>
            <w:r>
              <w:rPr>
                <w:rFonts w:hint="eastAsia"/>
                <w:color w:val="auto"/>
                <w:sz w:val="24"/>
                <w:szCs w:val="24"/>
                <w:vertAlign w:val="superscript"/>
                <w:lang w:val="en-US" w:eastAsia="zh-CN"/>
              </w:rPr>
              <w:t>3</w:t>
            </w:r>
            <w:r>
              <w:rPr>
                <w:rFonts w:hint="eastAsia"/>
                <w:color w:val="auto"/>
                <w:sz w:val="24"/>
                <w:szCs w:val="24"/>
                <w:lang w:val="en-US" w:eastAsia="zh-CN"/>
              </w:rPr>
              <w:t>），固化剂挥发产生的非甲烷总烃为0.12t/a。</w:t>
            </w:r>
          </w:p>
          <w:p w14:paraId="180D374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color w:val="auto"/>
                <w:sz w:val="24"/>
                <w:szCs w:val="24"/>
                <w:lang w:val="en-US" w:eastAsia="zh-CN"/>
              </w:rPr>
            </w:pPr>
            <w:r>
              <w:rPr>
                <w:rFonts w:hint="eastAsia"/>
                <w:color w:val="auto"/>
                <w:sz w:val="24"/>
                <w:szCs w:val="24"/>
                <w:lang w:val="en-US" w:eastAsia="zh-CN"/>
              </w:rPr>
              <w:t>综上，本项目总有机废气（以非甲烷总烃计）产生量为7.258+0.12=7.378t/a。混合搅拌阶段，设备自带两台袋式除尘器，风机风量为20000m</w:t>
            </w:r>
            <w:r>
              <w:rPr>
                <w:rFonts w:hint="eastAsia"/>
                <w:color w:val="auto"/>
                <w:sz w:val="24"/>
                <w:szCs w:val="24"/>
                <w:vertAlign w:val="superscript"/>
                <w:lang w:val="en-US" w:eastAsia="zh-CN"/>
              </w:rPr>
              <w:t>3</w:t>
            </w:r>
            <w:r>
              <w:rPr>
                <w:rFonts w:hint="eastAsia"/>
                <w:color w:val="auto"/>
                <w:sz w:val="24"/>
                <w:szCs w:val="24"/>
                <w:lang w:val="en-US" w:eastAsia="zh-CN"/>
              </w:rPr>
              <w:t>/h，在除尘器后设置活性炭吸附装置对有机废气进行处理，混合搅拌过程采用“布袋除尘器+活性炭吸附设施”对有机废气进行处理，然后经1根15m排气筒排放（DA004）；真空加压成型阶段的废气随真空室抽出，全部通过集气系统收集经“布袋除尘器+活性炭吸附”处理装置处理后经15m排气筒（DA004）排放。</w:t>
            </w:r>
          </w:p>
          <w:p w14:paraId="57EE73B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color w:val="auto"/>
                <w:sz w:val="24"/>
                <w:szCs w:val="24"/>
                <w:lang w:val="en-US" w:eastAsia="zh-CN"/>
              </w:rPr>
            </w:pPr>
            <w:r>
              <w:rPr>
                <w:rFonts w:hint="eastAsia"/>
                <w:color w:val="auto"/>
                <w:sz w:val="24"/>
                <w:szCs w:val="24"/>
                <w:lang w:val="en-US" w:eastAsia="zh-CN"/>
              </w:rPr>
              <w:t>根据《主要污染物总量减排核算技术指南》（2022年修订）表2-3非甲烷总烃废气收集率和治理设施去除率通用系数可知，密闭空间负压排风收集效率达到90%，项目收集效率取90%。根据《排放源统计调查产排污核算方法和系数手册》，“3032建筑用石加工行业（续7）”，吸附法去除率为80%，此处保守估计取50%，风机风量为20000m</w:t>
            </w:r>
            <w:r>
              <w:rPr>
                <w:rFonts w:hint="eastAsia"/>
                <w:color w:val="auto"/>
                <w:sz w:val="24"/>
                <w:szCs w:val="24"/>
                <w:vertAlign w:val="superscript"/>
                <w:lang w:val="en-US" w:eastAsia="zh-CN"/>
              </w:rPr>
              <w:t>3</w:t>
            </w:r>
            <w:r>
              <w:rPr>
                <w:rFonts w:hint="eastAsia"/>
                <w:color w:val="auto"/>
                <w:sz w:val="24"/>
                <w:szCs w:val="24"/>
                <w:lang w:val="en-US" w:eastAsia="zh-CN"/>
              </w:rPr>
              <w:t>/h（设备自带除尘器风机），有组织排放量为3.32t/a，排放速率1.23kg/h，排放浓度61.75mg/m</w:t>
            </w:r>
            <w:r>
              <w:rPr>
                <w:rFonts w:hint="eastAsia"/>
                <w:color w:val="auto"/>
                <w:sz w:val="24"/>
                <w:szCs w:val="24"/>
                <w:vertAlign w:val="superscript"/>
                <w:lang w:val="en-US" w:eastAsia="zh-CN"/>
              </w:rPr>
              <w:t>3</w:t>
            </w:r>
            <w:r>
              <w:rPr>
                <w:rFonts w:hint="eastAsia"/>
                <w:color w:val="auto"/>
                <w:sz w:val="24"/>
                <w:szCs w:val="24"/>
                <w:lang w:val="en-US" w:eastAsia="zh-CN"/>
              </w:rPr>
              <w:t>。则无组织排放量为0.74t/a（0.27kg/h）。</w:t>
            </w:r>
          </w:p>
          <w:p w14:paraId="77F5592E">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leftChars="0" w:right="0" w:rightChars="0" w:firstLine="480" w:firstLineChars="200"/>
              <w:jc w:val="left"/>
              <w:textAlignment w:val="auto"/>
              <w:rPr>
                <w:rFonts w:hint="default"/>
                <w:color w:val="auto"/>
                <w:sz w:val="24"/>
                <w:szCs w:val="24"/>
                <w:lang w:val="en-US" w:eastAsia="zh-CN"/>
              </w:rPr>
            </w:pPr>
            <w:r>
              <w:rPr>
                <w:rFonts w:hint="eastAsia"/>
                <w:color w:val="auto"/>
                <w:sz w:val="24"/>
                <w:szCs w:val="24"/>
                <w:lang w:val="en-US" w:eastAsia="zh-CN"/>
              </w:rPr>
              <w:t>3.恶臭气体</w:t>
            </w:r>
          </w:p>
          <w:p w14:paraId="2797EE36">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leftChars="0" w:right="0" w:rightChars="0" w:firstLine="480" w:firstLineChars="200"/>
              <w:jc w:val="left"/>
              <w:textAlignment w:val="auto"/>
              <w:rPr>
                <w:rFonts w:hint="default"/>
                <w:color w:val="auto"/>
                <w:sz w:val="24"/>
                <w:szCs w:val="24"/>
                <w:lang w:val="en-US" w:eastAsia="zh-CN"/>
              </w:rPr>
            </w:pPr>
            <w:r>
              <w:rPr>
                <w:rFonts w:hint="eastAsia"/>
                <w:color w:val="auto"/>
                <w:sz w:val="24"/>
                <w:szCs w:val="24"/>
                <w:lang w:val="en-US" w:eastAsia="zh-CN"/>
              </w:rPr>
              <w:t>①混合搅拌、真空压制过程中臭气</w:t>
            </w:r>
          </w:p>
          <w:p w14:paraId="636CB28F">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leftChars="0" w:right="0" w:rightChars="0"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项目在人造石荒料搅拌真空倒模压制成型过程中不饱和聚酯树脂会产生少量的恶臭污染物，其主要污染因子为苯乙烯、臭气浓度。参考北京环境监测中心在吸取国外经验的基础上提出了恶臭</w:t>
            </w:r>
            <w:r>
              <w:rPr>
                <w:rFonts w:hint="default"/>
                <w:color w:val="auto"/>
                <w:sz w:val="24"/>
                <w:szCs w:val="24"/>
                <w:lang w:val="en-US" w:eastAsia="zh-CN"/>
              </w:rPr>
              <w:t>6</w:t>
            </w:r>
            <w:r>
              <w:rPr>
                <w:rFonts w:hint="eastAsia"/>
                <w:color w:val="auto"/>
                <w:sz w:val="24"/>
                <w:szCs w:val="24"/>
                <w:lang w:val="en-US" w:eastAsia="zh-CN"/>
              </w:rPr>
              <w:t>级分级法，详见下表，该分级法以嗅觉的感觉和人的主观感觉特征两个方面来描述各级特征，既明确了各级的差别，也提高了分级的准确程度。</w:t>
            </w:r>
          </w:p>
          <w:p w14:paraId="3EDB75C6">
            <w:pPr>
              <w:keepNext w:val="0"/>
              <w:keepLines w:val="0"/>
              <w:widowControl/>
              <w:suppressLineNumbers w:val="0"/>
              <w:jc w:val="center"/>
              <w:rPr>
                <w:rFonts w:hint="eastAsia" w:ascii="Times New Roman" w:hAnsi="Times New Roman" w:eastAsia="宋体" w:cs="Times New Roman"/>
                <w:b/>
                <w:bCs/>
                <w:color w:val="auto"/>
                <w:kern w:val="2"/>
                <w:sz w:val="24"/>
                <w:szCs w:val="32"/>
                <w:lang w:val="en-US" w:eastAsia="zh-CN" w:bidi="ar-SA"/>
              </w:rPr>
            </w:pPr>
            <w:r>
              <w:rPr>
                <w:rFonts w:hint="eastAsia" w:ascii="Times New Roman" w:hAnsi="Times New Roman" w:eastAsia="宋体" w:cs="Times New Roman"/>
                <w:b/>
                <w:bCs/>
                <w:color w:val="auto"/>
                <w:kern w:val="2"/>
                <w:sz w:val="24"/>
                <w:szCs w:val="32"/>
                <w:lang w:val="en-US" w:eastAsia="zh-CN" w:bidi="ar-SA"/>
              </w:rPr>
              <w:t>表</w:t>
            </w:r>
            <w:r>
              <w:rPr>
                <w:rFonts w:hint="default" w:ascii="Times New Roman" w:hAnsi="Times New Roman" w:eastAsia="宋体" w:cs="Times New Roman"/>
                <w:b/>
                <w:bCs/>
                <w:color w:val="auto"/>
                <w:kern w:val="2"/>
                <w:sz w:val="24"/>
                <w:szCs w:val="32"/>
                <w:lang w:val="en-US" w:eastAsia="zh-CN" w:bidi="ar-SA"/>
              </w:rPr>
              <w:t>4-</w:t>
            </w:r>
            <w:r>
              <w:rPr>
                <w:rFonts w:hint="eastAsia" w:cs="Times New Roman"/>
                <w:b/>
                <w:bCs/>
                <w:color w:val="auto"/>
                <w:kern w:val="2"/>
                <w:sz w:val="24"/>
                <w:szCs w:val="32"/>
                <w:lang w:val="en-US" w:eastAsia="zh-CN" w:bidi="ar-SA"/>
              </w:rPr>
              <w:t xml:space="preserve">2  </w:t>
            </w:r>
            <w:r>
              <w:rPr>
                <w:rFonts w:hint="eastAsia" w:ascii="Times New Roman" w:hAnsi="Times New Roman" w:eastAsia="宋体" w:cs="Times New Roman"/>
                <w:b/>
                <w:bCs/>
                <w:color w:val="auto"/>
                <w:kern w:val="2"/>
                <w:sz w:val="24"/>
                <w:szCs w:val="32"/>
                <w:lang w:val="en-US" w:eastAsia="zh-CN" w:bidi="ar-SA"/>
              </w:rPr>
              <w:t>恶臭</w:t>
            </w:r>
            <w:r>
              <w:rPr>
                <w:rFonts w:hint="default" w:ascii="Times New Roman" w:hAnsi="Times New Roman" w:eastAsia="宋体" w:cs="Times New Roman"/>
                <w:b/>
                <w:bCs/>
                <w:color w:val="auto"/>
                <w:kern w:val="2"/>
                <w:sz w:val="24"/>
                <w:szCs w:val="32"/>
                <w:lang w:val="en-US" w:eastAsia="zh-CN" w:bidi="ar-SA"/>
              </w:rPr>
              <w:t>6</w:t>
            </w:r>
            <w:r>
              <w:rPr>
                <w:rFonts w:hint="eastAsia" w:ascii="Times New Roman" w:hAnsi="Times New Roman" w:eastAsia="宋体" w:cs="Times New Roman"/>
                <w:b/>
                <w:bCs/>
                <w:color w:val="auto"/>
                <w:kern w:val="2"/>
                <w:sz w:val="24"/>
                <w:szCs w:val="32"/>
                <w:lang w:val="en-US" w:eastAsia="zh-CN" w:bidi="ar-SA"/>
              </w:rPr>
              <w:t>级等级法</w:t>
            </w:r>
          </w:p>
          <w:tbl>
            <w:tblPr>
              <w:tblStyle w:val="25"/>
              <w:tblW w:w="7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2"/>
              <w:gridCol w:w="6454"/>
            </w:tblGrid>
            <w:tr w14:paraId="674B1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2" w:type="dxa"/>
                </w:tcPr>
                <w:p w14:paraId="78D0B1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cs="Times New Roman"/>
                      <w:bCs/>
                      <w:color w:val="auto"/>
                      <w:szCs w:val="21"/>
                      <w:lang w:val="en-US" w:eastAsia="zh-CN"/>
                    </w:rPr>
                  </w:pPr>
                  <w:r>
                    <w:rPr>
                      <w:rFonts w:hint="eastAsia" w:cs="Times New Roman"/>
                      <w:bCs/>
                      <w:color w:val="auto"/>
                      <w:szCs w:val="21"/>
                      <w:lang w:val="en-US" w:eastAsia="zh-CN"/>
                    </w:rPr>
                    <w:t>恶臭强度级</w:t>
                  </w:r>
                </w:p>
              </w:tc>
              <w:tc>
                <w:tcPr>
                  <w:tcW w:w="6454" w:type="dxa"/>
                </w:tcPr>
                <w:p w14:paraId="57BAEA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cs="Times New Roman"/>
                      <w:bCs/>
                      <w:color w:val="auto"/>
                      <w:szCs w:val="21"/>
                      <w:lang w:val="en-US" w:eastAsia="zh-CN"/>
                    </w:rPr>
                  </w:pPr>
                  <w:r>
                    <w:rPr>
                      <w:rFonts w:hint="eastAsia" w:cs="Times New Roman"/>
                      <w:bCs/>
                      <w:color w:val="auto"/>
                      <w:szCs w:val="21"/>
                      <w:lang w:val="en-US" w:eastAsia="zh-CN"/>
                    </w:rPr>
                    <w:t>特征</w:t>
                  </w:r>
                </w:p>
              </w:tc>
            </w:tr>
            <w:tr w14:paraId="36A94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2" w:type="dxa"/>
                </w:tcPr>
                <w:p w14:paraId="114D7A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cs="Times New Roman"/>
                      <w:bCs/>
                      <w:color w:val="auto"/>
                      <w:szCs w:val="21"/>
                      <w:lang w:val="en-US" w:eastAsia="zh-CN"/>
                    </w:rPr>
                  </w:pPr>
                  <w:r>
                    <w:rPr>
                      <w:rFonts w:hint="eastAsia" w:cs="Times New Roman"/>
                      <w:bCs/>
                      <w:color w:val="auto"/>
                      <w:szCs w:val="21"/>
                      <w:lang w:val="en-US" w:eastAsia="zh-CN"/>
                    </w:rPr>
                    <w:t>0</w:t>
                  </w:r>
                </w:p>
              </w:tc>
              <w:tc>
                <w:tcPr>
                  <w:tcW w:w="6454" w:type="dxa"/>
                </w:tcPr>
                <w:p w14:paraId="609F2D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cs="Times New Roman"/>
                      <w:bCs/>
                      <w:color w:val="auto"/>
                      <w:szCs w:val="21"/>
                      <w:lang w:val="en-US" w:eastAsia="zh-CN"/>
                    </w:rPr>
                  </w:pPr>
                  <w:r>
                    <w:rPr>
                      <w:rFonts w:hint="eastAsia" w:cs="Times New Roman"/>
                      <w:bCs/>
                      <w:color w:val="auto"/>
                      <w:szCs w:val="21"/>
                      <w:lang w:val="en-US" w:eastAsia="zh-CN"/>
                    </w:rPr>
                    <w:t>未闻到任何气味，无任何反应</w:t>
                  </w:r>
                </w:p>
              </w:tc>
            </w:tr>
            <w:tr w14:paraId="535CB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2" w:type="dxa"/>
                </w:tcPr>
                <w:p w14:paraId="7781F2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cs="Times New Roman"/>
                      <w:bCs/>
                      <w:color w:val="auto"/>
                      <w:szCs w:val="21"/>
                      <w:lang w:val="en-US" w:eastAsia="zh-CN"/>
                    </w:rPr>
                  </w:pPr>
                  <w:r>
                    <w:rPr>
                      <w:rFonts w:hint="eastAsia" w:cs="Times New Roman"/>
                      <w:bCs/>
                      <w:color w:val="auto"/>
                      <w:szCs w:val="21"/>
                      <w:lang w:val="en-US" w:eastAsia="zh-CN"/>
                    </w:rPr>
                    <w:t>1</w:t>
                  </w:r>
                </w:p>
              </w:tc>
              <w:tc>
                <w:tcPr>
                  <w:tcW w:w="6454" w:type="dxa"/>
                </w:tcPr>
                <w:p w14:paraId="667FE6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cs="Times New Roman"/>
                      <w:bCs/>
                      <w:color w:val="auto"/>
                      <w:szCs w:val="21"/>
                      <w:lang w:val="en-US" w:eastAsia="zh-CN"/>
                    </w:rPr>
                  </w:pPr>
                  <w:r>
                    <w:rPr>
                      <w:rFonts w:hint="eastAsia" w:cs="Times New Roman"/>
                      <w:bCs/>
                      <w:color w:val="auto"/>
                      <w:szCs w:val="21"/>
                      <w:lang w:val="en-US" w:eastAsia="zh-CN"/>
                    </w:rPr>
                    <w:t>勉强能闻到气味，但不易辨别气味性质（感觉阈值），认为无所谓</w:t>
                  </w:r>
                </w:p>
              </w:tc>
            </w:tr>
            <w:tr w14:paraId="6C459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2" w:type="dxa"/>
                </w:tcPr>
                <w:p w14:paraId="7B158F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cs="Times New Roman"/>
                      <w:bCs/>
                      <w:color w:val="auto"/>
                      <w:szCs w:val="21"/>
                      <w:lang w:val="en-US" w:eastAsia="zh-CN"/>
                    </w:rPr>
                  </w:pPr>
                  <w:r>
                    <w:rPr>
                      <w:rFonts w:hint="eastAsia" w:cs="Times New Roman"/>
                      <w:bCs/>
                      <w:color w:val="auto"/>
                      <w:szCs w:val="21"/>
                      <w:lang w:val="en-US" w:eastAsia="zh-CN"/>
                    </w:rPr>
                    <w:t>2</w:t>
                  </w:r>
                </w:p>
              </w:tc>
              <w:tc>
                <w:tcPr>
                  <w:tcW w:w="6454" w:type="dxa"/>
                </w:tcPr>
                <w:p w14:paraId="32C548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cs="Times New Roman"/>
                      <w:bCs/>
                      <w:color w:val="auto"/>
                      <w:szCs w:val="21"/>
                      <w:lang w:val="en-US" w:eastAsia="zh-CN"/>
                    </w:rPr>
                  </w:pPr>
                  <w:r>
                    <w:rPr>
                      <w:rFonts w:hint="eastAsia" w:cs="Times New Roman"/>
                      <w:bCs/>
                      <w:color w:val="auto"/>
                      <w:szCs w:val="21"/>
                      <w:lang w:val="en-US" w:eastAsia="zh-CN"/>
                    </w:rPr>
                    <w:t>能闻到气味，且能辨认气味的性质（识别阈值），但感到很正常</w:t>
                  </w:r>
                </w:p>
              </w:tc>
            </w:tr>
            <w:tr w14:paraId="4434D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2" w:type="dxa"/>
                </w:tcPr>
                <w:p w14:paraId="1D9892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cs="Times New Roman"/>
                      <w:bCs/>
                      <w:color w:val="auto"/>
                      <w:szCs w:val="21"/>
                      <w:lang w:val="en-US" w:eastAsia="zh-CN"/>
                    </w:rPr>
                  </w:pPr>
                  <w:r>
                    <w:rPr>
                      <w:rFonts w:hint="eastAsia" w:cs="Times New Roman"/>
                      <w:bCs/>
                      <w:color w:val="auto"/>
                      <w:szCs w:val="21"/>
                      <w:lang w:val="en-US" w:eastAsia="zh-CN"/>
                    </w:rPr>
                    <w:t>3</w:t>
                  </w:r>
                </w:p>
              </w:tc>
              <w:tc>
                <w:tcPr>
                  <w:tcW w:w="6454" w:type="dxa"/>
                </w:tcPr>
                <w:p w14:paraId="4BD87F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cs="Times New Roman"/>
                      <w:bCs/>
                      <w:color w:val="auto"/>
                      <w:szCs w:val="21"/>
                      <w:lang w:val="en-US" w:eastAsia="zh-CN"/>
                    </w:rPr>
                  </w:pPr>
                  <w:r>
                    <w:rPr>
                      <w:rFonts w:hint="eastAsia" w:cs="Times New Roman"/>
                      <w:bCs/>
                      <w:color w:val="auto"/>
                      <w:szCs w:val="21"/>
                      <w:lang w:val="en-US" w:eastAsia="zh-CN"/>
                    </w:rPr>
                    <w:t>很容易闻到味道，有所不快，但不反感</w:t>
                  </w:r>
                </w:p>
              </w:tc>
            </w:tr>
            <w:tr w14:paraId="1D93F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2" w:type="dxa"/>
                </w:tcPr>
                <w:p w14:paraId="2FB4D3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cs="Times New Roman"/>
                      <w:bCs/>
                      <w:color w:val="auto"/>
                      <w:szCs w:val="21"/>
                      <w:lang w:val="en-US" w:eastAsia="zh-CN"/>
                    </w:rPr>
                  </w:pPr>
                  <w:r>
                    <w:rPr>
                      <w:rFonts w:hint="eastAsia" w:cs="Times New Roman"/>
                      <w:bCs/>
                      <w:color w:val="auto"/>
                      <w:szCs w:val="21"/>
                      <w:lang w:val="en-US" w:eastAsia="zh-CN"/>
                    </w:rPr>
                    <w:t>4</w:t>
                  </w:r>
                </w:p>
              </w:tc>
              <w:tc>
                <w:tcPr>
                  <w:tcW w:w="6454" w:type="dxa"/>
                </w:tcPr>
                <w:p w14:paraId="176ED6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cs="Times New Roman"/>
                      <w:bCs/>
                      <w:color w:val="auto"/>
                      <w:szCs w:val="21"/>
                      <w:lang w:val="en-US" w:eastAsia="zh-CN"/>
                    </w:rPr>
                  </w:pPr>
                  <w:r>
                    <w:rPr>
                      <w:rFonts w:hint="eastAsia" w:cs="Times New Roman"/>
                      <w:bCs/>
                      <w:color w:val="auto"/>
                      <w:szCs w:val="21"/>
                      <w:lang w:val="en-US" w:eastAsia="zh-CN"/>
                    </w:rPr>
                    <w:t>有很强的气味，而且很反感，想离开</w:t>
                  </w:r>
                </w:p>
              </w:tc>
            </w:tr>
            <w:tr w14:paraId="7DE8A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2" w:type="dxa"/>
                </w:tcPr>
                <w:p w14:paraId="1B7441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cs="Times New Roman"/>
                      <w:bCs/>
                      <w:color w:val="auto"/>
                      <w:szCs w:val="21"/>
                      <w:lang w:val="en-US" w:eastAsia="zh-CN"/>
                    </w:rPr>
                  </w:pPr>
                  <w:r>
                    <w:rPr>
                      <w:rFonts w:hint="eastAsia" w:cs="Times New Roman"/>
                      <w:bCs/>
                      <w:color w:val="auto"/>
                      <w:szCs w:val="21"/>
                      <w:lang w:val="en-US" w:eastAsia="zh-CN"/>
                    </w:rPr>
                    <w:t>5</w:t>
                  </w:r>
                </w:p>
              </w:tc>
              <w:tc>
                <w:tcPr>
                  <w:tcW w:w="6454" w:type="dxa"/>
                </w:tcPr>
                <w:p w14:paraId="712951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cs="Times New Roman"/>
                      <w:bCs/>
                      <w:color w:val="auto"/>
                      <w:szCs w:val="21"/>
                      <w:lang w:val="en-US" w:eastAsia="zh-CN"/>
                    </w:rPr>
                  </w:pPr>
                  <w:r>
                    <w:rPr>
                      <w:rFonts w:hint="eastAsia" w:cs="Times New Roman"/>
                      <w:bCs/>
                      <w:color w:val="auto"/>
                      <w:szCs w:val="21"/>
                      <w:lang w:val="en-US" w:eastAsia="zh-CN"/>
                    </w:rPr>
                    <w:t>有极强的气味，无法忍受，立即逃</w:t>
                  </w:r>
                </w:p>
              </w:tc>
            </w:tr>
          </w:tbl>
          <w:p w14:paraId="2BD2A92E">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leftChars="0" w:right="0" w:rightChars="0"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根据上表判定，本项目恶臭等级为</w:t>
            </w:r>
            <w:r>
              <w:rPr>
                <w:rFonts w:hint="default"/>
                <w:color w:val="auto"/>
                <w:sz w:val="24"/>
                <w:szCs w:val="24"/>
                <w:lang w:val="en-US" w:eastAsia="zh-CN"/>
              </w:rPr>
              <w:t>2-3</w:t>
            </w:r>
            <w:r>
              <w:rPr>
                <w:rFonts w:hint="eastAsia"/>
                <w:color w:val="auto"/>
                <w:sz w:val="24"/>
                <w:szCs w:val="24"/>
                <w:lang w:val="en-US" w:eastAsia="zh-CN"/>
              </w:rPr>
              <w:t>级，拟在相应车间设集气罩收集，并采取具有一定治理效果的“活性炭吸附”废气治理技术进行处理，最终通过</w:t>
            </w:r>
            <w:r>
              <w:rPr>
                <w:rFonts w:hint="default"/>
                <w:color w:val="auto"/>
                <w:sz w:val="24"/>
                <w:szCs w:val="24"/>
                <w:lang w:val="en-US" w:eastAsia="zh-CN"/>
              </w:rPr>
              <w:t>15m</w:t>
            </w:r>
            <w:r>
              <w:rPr>
                <w:rFonts w:hint="eastAsia"/>
                <w:color w:val="auto"/>
                <w:sz w:val="24"/>
                <w:szCs w:val="24"/>
                <w:lang w:val="en-US" w:eastAsia="zh-CN"/>
              </w:rPr>
              <w:t>高排气筒（</w:t>
            </w:r>
            <w:r>
              <w:rPr>
                <w:rFonts w:hint="default"/>
                <w:color w:val="auto"/>
                <w:sz w:val="24"/>
                <w:szCs w:val="24"/>
                <w:lang w:val="en-US" w:eastAsia="zh-CN"/>
              </w:rPr>
              <w:t>DA00</w:t>
            </w:r>
            <w:r>
              <w:rPr>
                <w:rFonts w:hint="eastAsia"/>
                <w:color w:val="auto"/>
                <w:sz w:val="24"/>
                <w:szCs w:val="24"/>
                <w:lang w:val="en-US" w:eastAsia="zh-CN"/>
              </w:rPr>
              <w:t>2）排放。</w:t>
            </w:r>
          </w:p>
          <w:p w14:paraId="54DE309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②</w:t>
            </w:r>
            <w:r>
              <w:rPr>
                <w:rFonts w:hint="eastAsia"/>
                <w:color w:val="auto"/>
                <w:sz w:val="24"/>
                <w:szCs w:val="24"/>
                <w:lang w:val="en-US" w:eastAsia="zh-CN"/>
              </w:rPr>
              <w:t>脱模养护臭气</w:t>
            </w:r>
          </w:p>
          <w:p w14:paraId="44ED531A">
            <w:pPr>
              <w:keepNext w:val="0"/>
              <w:keepLines w:val="0"/>
              <w:pageBreakBefore w:val="0"/>
              <w:widowControl w:val="0"/>
              <w:suppressLineNumbers w:val="0"/>
              <w:kinsoku/>
              <w:wordWrap/>
              <w:overflowPunct/>
              <w:topLinePunct w:val="0"/>
              <w:autoSpaceDE/>
              <w:autoSpaceDN/>
              <w:bidi w:val="0"/>
              <w:spacing w:before="0" w:beforeAutospacing="0" w:after="0" w:afterAutospacing="0" w:line="520" w:lineRule="exact"/>
              <w:ind w:left="0" w:right="0" w:firstLine="480" w:firstLineChars="200"/>
              <w:jc w:val="left"/>
              <w:textAlignment w:val="auto"/>
              <w:rPr>
                <w:rFonts w:hint="eastAsia" w:cs="宋体"/>
                <w:color w:val="auto"/>
                <w:kern w:val="2"/>
                <w:sz w:val="21"/>
                <w:szCs w:val="21"/>
              </w:rPr>
            </w:pPr>
            <w:r>
              <w:rPr>
                <w:rFonts w:hint="eastAsia"/>
                <w:color w:val="auto"/>
                <w:sz w:val="24"/>
                <w:szCs w:val="24"/>
                <w:lang w:val="en-US" w:eastAsia="zh-CN"/>
              </w:rPr>
              <w:t>项目荒料脱模后需要经过5至7天时间的养护，即可得到人造石荒料成品。根据树脂固化原理，固化过程是不产生有机废气。但考虑到实际操作过程的规范性，该过程可能会有少量的臭气逸散，以臭气浓度进行表征。参考北京环境监测中心在吸取国外经验的基础上提出了恶臭</w:t>
            </w:r>
            <w:r>
              <w:rPr>
                <w:rFonts w:hint="default"/>
                <w:color w:val="auto"/>
                <w:sz w:val="24"/>
                <w:szCs w:val="24"/>
                <w:lang w:val="en-US" w:eastAsia="zh-CN"/>
              </w:rPr>
              <w:t>6</w:t>
            </w:r>
            <w:r>
              <w:rPr>
                <w:rFonts w:hint="eastAsia"/>
                <w:color w:val="auto"/>
                <w:sz w:val="24"/>
                <w:szCs w:val="24"/>
                <w:lang w:val="en-US" w:eastAsia="zh-CN"/>
              </w:rPr>
              <w:t>级分级法，详见上文表</w:t>
            </w:r>
            <w:r>
              <w:rPr>
                <w:rFonts w:hint="default"/>
                <w:color w:val="auto"/>
                <w:sz w:val="24"/>
                <w:szCs w:val="24"/>
                <w:lang w:val="en-US" w:eastAsia="zh-CN"/>
              </w:rPr>
              <w:t>4-</w:t>
            </w:r>
            <w:r>
              <w:rPr>
                <w:rFonts w:hint="eastAsia"/>
                <w:color w:val="auto"/>
                <w:sz w:val="24"/>
                <w:szCs w:val="24"/>
                <w:lang w:val="en-US" w:eastAsia="zh-CN"/>
              </w:rPr>
              <w:t>3，该分级法以嗅觉的感觉和人的主观感觉特征两个方面来描述各级特征，既明确了各级的差别，也提高了分级的准确程度。根据上文表</w:t>
            </w:r>
            <w:r>
              <w:rPr>
                <w:rFonts w:hint="default"/>
                <w:color w:val="auto"/>
                <w:sz w:val="24"/>
                <w:szCs w:val="24"/>
                <w:lang w:val="en-US" w:eastAsia="zh-CN"/>
              </w:rPr>
              <w:t>4-</w:t>
            </w:r>
            <w:r>
              <w:rPr>
                <w:rFonts w:hint="eastAsia"/>
                <w:color w:val="auto"/>
                <w:sz w:val="24"/>
                <w:szCs w:val="24"/>
                <w:lang w:val="en-US" w:eastAsia="zh-CN"/>
              </w:rPr>
              <w:t>3判定，本项目养护臭气等级约为</w:t>
            </w:r>
            <w:r>
              <w:rPr>
                <w:rFonts w:hint="default"/>
                <w:color w:val="auto"/>
                <w:sz w:val="24"/>
                <w:szCs w:val="24"/>
                <w:lang w:val="en-US" w:eastAsia="zh-CN"/>
              </w:rPr>
              <w:t>1-2</w:t>
            </w:r>
            <w:r>
              <w:rPr>
                <w:rFonts w:hint="eastAsia"/>
                <w:color w:val="auto"/>
                <w:sz w:val="24"/>
                <w:szCs w:val="24"/>
                <w:lang w:val="en-US" w:eastAsia="zh-CN"/>
              </w:rPr>
              <w:t>级，建设单位拟加强车间通风设施建设，异味臭气通过自然扩散稀释后，则不会对周围环境造成明显影响。</w:t>
            </w:r>
          </w:p>
        </w:tc>
      </w:tr>
    </w:tbl>
    <w:p w14:paraId="2CFB5102">
      <w:pPr>
        <w:keepNext w:val="0"/>
        <w:keepLines w:val="0"/>
        <w:pageBreakBefore w:val="0"/>
        <w:widowControl w:val="0"/>
        <w:suppressLineNumbers w:val="0"/>
        <w:kinsoku/>
        <w:wordWrap/>
        <w:overflowPunct/>
        <w:topLinePunct w:val="0"/>
        <w:autoSpaceDE/>
        <w:autoSpaceDN/>
        <w:bidi w:val="0"/>
        <w:spacing w:before="0" w:beforeAutospacing="0" w:after="0" w:afterAutospacing="0" w:line="520" w:lineRule="exact"/>
        <w:ind w:left="0" w:right="0" w:firstLine="420" w:firstLineChars="200"/>
        <w:jc w:val="left"/>
        <w:textAlignment w:val="auto"/>
        <w:rPr>
          <w:rFonts w:hint="eastAsia" w:cs="宋体"/>
          <w:color w:val="auto"/>
          <w:kern w:val="2"/>
          <w:sz w:val="21"/>
          <w:szCs w:val="21"/>
        </w:rPr>
        <w:sectPr>
          <w:footerReference r:id="rId6" w:type="default"/>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4"/>
        <w:tblW w:w="1555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4914"/>
      </w:tblGrid>
      <w:tr w14:paraId="742FFA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639" w:type="dxa"/>
            <w:noWrap w:val="0"/>
            <w:tcMar>
              <w:left w:w="28" w:type="dxa"/>
              <w:right w:w="28" w:type="dxa"/>
            </w:tcMar>
            <w:vAlign w:val="center"/>
          </w:tcPr>
          <w:p w14:paraId="67B35F97">
            <w:pPr>
              <w:pStyle w:val="37"/>
              <w:rPr>
                <w:rFonts w:hint="eastAsia"/>
              </w:rPr>
            </w:pPr>
          </w:p>
        </w:tc>
        <w:tc>
          <w:tcPr>
            <w:tcW w:w="14914" w:type="dxa"/>
            <w:noWrap w:val="0"/>
            <w:vAlign w:val="center"/>
          </w:tcPr>
          <w:p w14:paraId="14821335">
            <w:pPr>
              <w:pStyle w:val="6"/>
              <w:spacing w:line="240" w:lineRule="auto"/>
              <w:jc w:val="center"/>
              <w:rPr>
                <w:rFonts w:hint="default"/>
                <w:color w:val="auto"/>
                <w:sz w:val="21"/>
                <w:szCs w:val="21"/>
                <w:lang w:val="en-US" w:eastAsia="zh-CN"/>
              </w:rPr>
            </w:pPr>
            <w:r>
              <w:rPr>
                <w:rFonts w:hint="default" w:ascii="Times New Roman" w:hAnsi="Times New Roman" w:eastAsia="宋体" w:cs="Times New Roman"/>
                <w:b/>
                <w:bCs/>
                <w:color w:val="auto"/>
                <w:kern w:val="2"/>
                <w:sz w:val="21"/>
                <w:szCs w:val="21"/>
                <w:lang w:val="en-US" w:eastAsia="zh-CN" w:bidi="ar-SA"/>
              </w:rPr>
              <w:t>表</w:t>
            </w:r>
            <w:r>
              <w:rPr>
                <w:rFonts w:hint="eastAsia" w:cs="Times New Roman"/>
                <w:b/>
                <w:bCs/>
                <w:color w:val="auto"/>
                <w:kern w:val="2"/>
                <w:sz w:val="21"/>
                <w:szCs w:val="21"/>
                <w:lang w:val="en-US" w:eastAsia="zh-CN" w:bidi="ar-SA"/>
              </w:rPr>
              <w:t>4-3项目排放情况一览表</w:t>
            </w:r>
          </w:p>
          <w:tbl>
            <w:tblPr>
              <w:tblStyle w:val="25"/>
              <w:tblW w:w="14715"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65"/>
              <w:gridCol w:w="1088"/>
              <w:gridCol w:w="1444"/>
              <w:gridCol w:w="1218"/>
              <w:gridCol w:w="1163"/>
              <w:gridCol w:w="1969"/>
              <w:gridCol w:w="1125"/>
              <w:gridCol w:w="1331"/>
              <w:gridCol w:w="1106"/>
              <w:gridCol w:w="1406"/>
            </w:tblGrid>
            <w:tr w14:paraId="6E0382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2865" w:type="dxa"/>
                  <w:vMerge w:val="restart"/>
                  <w:vAlign w:val="center"/>
                </w:tcPr>
                <w:p w14:paraId="0D1E3F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污染源</w:t>
                  </w:r>
                </w:p>
              </w:tc>
              <w:tc>
                <w:tcPr>
                  <w:tcW w:w="1088" w:type="dxa"/>
                  <w:vMerge w:val="restart"/>
                  <w:vAlign w:val="center"/>
                </w:tcPr>
                <w:p w14:paraId="23230A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排放口</w:t>
                  </w:r>
                </w:p>
              </w:tc>
              <w:tc>
                <w:tcPr>
                  <w:tcW w:w="1444" w:type="dxa"/>
                  <w:vMerge w:val="restart"/>
                  <w:vAlign w:val="center"/>
                </w:tcPr>
                <w:p w14:paraId="63FD37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排放口编号</w:t>
                  </w:r>
                </w:p>
              </w:tc>
              <w:tc>
                <w:tcPr>
                  <w:tcW w:w="1218" w:type="dxa"/>
                  <w:vMerge w:val="restart"/>
                  <w:vAlign w:val="center"/>
                </w:tcPr>
                <w:p w14:paraId="7337F5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污染因子</w:t>
                  </w:r>
                </w:p>
              </w:tc>
              <w:tc>
                <w:tcPr>
                  <w:tcW w:w="1163" w:type="dxa"/>
                  <w:vMerge w:val="restart"/>
                  <w:vAlign w:val="center"/>
                </w:tcPr>
                <w:p w14:paraId="29AA5B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产生量（t/a）</w:t>
                  </w:r>
                </w:p>
              </w:tc>
              <w:tc>
                <w:tcPr>
                  <w:tcW w:w="3094" w:type="dxa"/>
                  <w:gridSpan w:val="2"/>
                  <w:vAlign w:val="center"/>
                </w:tcPr>
                <w:p w14:paraId="093DB2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default" w:ascii="Times New Roman" w:hAnsi="Times New Roman" w:cs="Times New Roman"/>
                      <w:color w:val="000000"/>
                      <w:sz w:val="21"/>
                      <w:szCs w:val="21"/>
                    </w:rPr>
                    <w:t>污染治理设施</w:t>
                  </w:r>
                </w:p>
              </w:tc>
              <w:tc>
                <w:tcPr>
                  <w:tcW w:w="1331" w:type="dxa"/>
                  <w:vMerge w:val="restart"/>
                  <w:vAlign w:val="center"/>
                </w:tcPr>
                <w:p w14:paraId="0BC990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排放量（t/a）</w:t>
                  </w:r>
                </w:p>
              </w:tc>
              <w:tc>
                <w:tcPr>
                  <w:tcW w:w="1106" w:type="dxa"/>
                  <w:vMerge w:val="restart"/>
                  <w:vAlign w:val="center"/>
                </w:tcPr>
                <w:p w14:paraId="6F3202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排放速率（kg/h）</w:t>
                  </w:r>
                </w:p>
              </w:tc>
              <w:tc>
                <w:tcPr>
                  <w:tcW w:w="1406" w:type="dxa"/>
                  <w:vMerge w:val="restart"/>
                  <w:vAlign w:val="center"/>
                </w:tcPr>
                <w:p w14:paraId="570F23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排放浓度（mg/m</w:t>
                  </w:r>
                  <w:r>
                    <w:rPr>
                      <w:rFonts w:hint="eastAsia" w:cs="Times New Roman"/>
                      <w:bCs/>
                      <w:color w:val="auto"/>
                      <w:szCs w:val="21"/>
                      <w:vertAlign w:val="superscript"/>
                      <w:lang w:val="en-US" w:eastAsia="zh-CN"/>
                    </w:rPr>
                    <w:t>3</w:t>
                  </w:r>
                  <w:r>
                    <w:rPr>
                      <w:rFonts w:hint="eastAsia" w:cs="Times New Roman"/>
                      <w:bCs/>
                      <w:color w:val="auto"/>
                      <w:szCs w:val="21"/>
                      <w:lang w:val="en-US" w:eastAsia="zh-CN"/>
                    </w:rPr>
                    <w:t>）</w:t>
                  </w:r>
                </w:p>
              </w:tc>
            </w:tr>
            <w:tr w14:paraId="19B330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2865" w:type="dxa"/>
                  <w:vMerge w:val="continue"/>
                  <w:vAlign w:val="center"/>
                </w:tcPr>
                <w:p w14:paraId="115B7A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pPr>
                </w:p>
              </w:tc>
              <w:tc>
                <w:tcPr>
                  <w:tcW w:w="1088" w:type="dxa"/>
                  <w:vMerge w:val="continue"/>
                  <w:vAlign w:val="center"/>
                </w:tcPr>
                <w:p w14:paraId="7BA122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pPr>
                </w:p>
              </w:tc>
              <w:tc>
                <w:tcPr>
                  <w:tcW w:w="1444" w:type="dxa"/>
                  <w:vMerge w:val="continue"/>
                  <w:vAlign w:val="center"/>
                </w:tcPr>
                <w:p w14:paraId="26182C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pPr>
                </w:p>
              </w:tc>
              <w:tc>
                <w:tcPr>
                  <w:tcW w:w="1218" w:type="dxa"/>
                  <w:vMerge w:val="continue"/>
                  <w:vAlign w:val="center"/>
                </w:tcPr>
                <w:p w14:paraId="116667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pPr>
                </w:p>
              </w:tc>
              <w:tc>
                <w:tcPr>
                  <w:tcW w:w="1163" w:type="dxa"/>
                  <w:vMerge w:val="continue"/>
                  <w:vAlign w:val="center"/>
                </w:tcPr>
                <w:p w14:paraId="2DB1DD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pPr>
                </w:p>
              </w:tc>
              <w:tc>
                <w:tcPr>
                  <w:tcW w:w="1969" w:type="dxa"/>
                  <w:vAlign w:val="center"/>
                </w:tcPr>
                <w:p w14:paraId="58899D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cs="Times New Roman"/>
                      <w:bCs/>
                      <w:color w:val="auto"/>
                      <w:szCs w:val="21"/>
                      <w:lang w:val="en-US" w:eastAsia="zh-CN"/>
                    </w:rPr>
                  </w:pPr>
                  <w:r>
                    <w:rPr>
                      <w:rFonts w:hint="eastAsia" w:cs="Times New Roman"/>
                      <w:bCs/>
                      <w:color w:val="auto"/>
                      <w:szCs w:val="21"/>
                      <w:lang w:val="en-US" w:eastAsia="zh-CN"/>
                    </w:rPr>
                    <w:t>治理措施</w:t>
                  </w:r>
                </w:p>
              </w:tc>
              <w:tc>
                <w:tcPr>
                  <w:tcW w:w="1125" w:type="dxa"/>
                  <w:vAlign w:val="center"/>
                </w:tcPr>
                <w:p w14:paraId="1FC5BB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cs="Times New Roman"/>
                      <w:bCs/>
                      <w:color w:val="auto"/>
                      <w:szCs w:val="21"/>
                      <w:lang w:val="en-US" w:eastAsia="zh-CN"/>
                    </w:rPr>
                  </w:pPr>
                  <w:r>
                    <w:rPr>
                      <w:rFonts w:hint="eastAsia" w:cs="Times New Roman"/>
                      <w:bCs/>
                      <w:color w:val="auto"/>
                      <w:szCs w:val="21"/>
                      <w:lang w:val="en-US" w:eastAsia="zh-CN"/>
                    </w:rPr>
                    <w:t>治理效率</w:t>
                  </w:r>
                </w:p>
              </w:tc>
              <w:tc>
                <w:tcPr>
                  <w:tcW w:w="1331" w:type="dxa"/>
                  <w:vMerge w:val="continue"/>
                  <w:vAlign w:val="center"/>
                </w:tcPr>
                <w:p w14:paraId="3454A6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cs="Times New Roman"/>
                      <w:bCs/>
                      <w:color w:val="auto"/>
                      <w:szCs w:val="21"/>
                      <w:lang w:val="en-US" w:eastAsia="zh-CN"/>
                    </w:rPr>
                  </w:pPr>
                </w:p>
              </w:tc>
              <w:tc>
                <w:tcPr>
                  <w:tcW w:w="1106" w:type="dxa"/>
                  <w:vMerge w:val="continue"/>
                  <w:vAlign w:val="center"/>
                </w:tcPr>
                <w:p w14:paraId="00970A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cs="Times New Roman"/>
                      <w:bCs/>
                      <w:color w:val="auto"/>
                      <w:szCs w:val="21"/>
                      <w:lang w:val="en-US" w:eastAsia="zh-CN"/>
                    </w:rPr>
                  </w:pPr>
                </w:p>
              </w:tc>
              <w:tc>
                <w:tcPr>
                  <w:tcW w:w="1406" w:type="dxa"/>
                  <w:vMerge w:val="continue"/>
                  <w:vAlign w:val="center"/>
                </w:tcPr>
                <w:p w14:paraId="58F455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cs="Times New Roman"/>
                      <w:bCs/>
                      <w:color w:val="auto"/>
                      <w:szCs w:val="21"/>
                      <w:lang w:val="en-US" w:eastAsia="zh-CN"/>
                    </w:rPr>
                  </w:pPr>
                </w:p>
              </w:tc>
            </w:tr>
            <w:tr w14:paraId="2E544C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2865" w:type="dxa"/>
                  <w:vAlign w:val="center"/>
                </w:tcPr>
                <w:p w14:paraId="02035D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颚式破碎机破碎粉尘</w:t>
                  </w:r>
                </w:p>
              </w:tc>
              <w:tc>
                <w:tcPr>
                  <w:tcW w:w="1088" w:type="dxa"/>
                  <w:vAlign w:val="center"/>
                </w:tcPr>
                <w:p w14:paraId="025BA9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P1</w:t>
                  </w:r>
                </w:p>
              </w:tc>
              <w:tc>
                <w:tcPr>
                  <w:tcW w:w="1444" w:type="dxa"/>
                  <w:vAlign w:val="center"/>
                </w:tcPr>
                <w:p w14:paraId="19E4B9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DA001</w:t>
                  </w:r>
                </w:p>
              </w:tc>
              <w:tc>
                <w:tcPr>
                  <w:tcW w:w="1218" w:type="dxa"/>
                  <w:vAlign w:val="center"/>
                </w:tcPr>
                <w:p w14:paraId="78F517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颗粒物</w:t>
                  </w:r>
                </w:p>
              </w:tc>
              <w:tc>
                <w:tcPr>
                  <w:tcW w:w="1163" w:type="dxa"/>
                  <w:vAlign w:val="center"/>
                </w:tcPr>
                <w:p w14:paraId="0C54E3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39.31</w:t>
                  </w:r>
                </w:p>
              </w:tc>
              <w:tc>
                <w:tcPr>
                  <w:tcW w:w="1969" w:type="dxa"/>
                  <w:vAlign w:val="center"/>
                </w:tcPr>
                <w:p w14:paraId="115628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脉冲式布袋除尘器</w:t>
                  </w:r>
                </w:p>
              </w:tc>
              <w:tc>
                <w:tcPr>
                  <w:tcW w:w="1125" w:type="dxa"/>
                  <w:vAlign w:val="center"/>
                </w:tcPr>
                <w:p w14:paraId="1BC65C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99%</w:t>
                  </w:r>
                </w:p>
              </w:tc>
              <w:tc>
                <w:tcPr>
                  <w:tcW w:w="1331" w:type="dxa"/>
                  <w:vAlign w:val="center"/>
                </w:tcPr>
                <w:p w14:paraId="680626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0.35</w:t>
                  </w:r>
                </w:p>
              </w:tc>
              <w:tc>
                <w:tcPr>
                  <w:tcW w:w="1106" w:type="dxa"/>
                  <w:vAlign w:val="center"/>
                </w:tcPr>
                <w:p w14:paraId="743187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0.205</w:t>
                  </w:r>
                </w:p>
              </w:tc>
              <w:tc>
                <w:tcPr>
                  <w:tcW w:w="1406" w:type="dxa"/>
                  <w:vAlign w:val="center"/>
                </w:tcPr>
                <w:p w14:paraId="1ABAC9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6.75</w:t>
                  </w:r>
                </w:p>
              </w:tc>
            </w:tr>
            <w:tr w14:paraId="1F114F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2865" w:type="dxa"/>
                  <w:vAlign w:val="center"/>
                </w:tcPr>
                <w:p w14:paraId="44F85F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cs="Times New Roman"/>
                      <w:bCs/>
                      <w:color w:val="auto"/>
                      <w:szCs w:val="21"/>
                      <w:lang w:val="en-US" w:eastAsia="zh-CN"/>
                    </w:rPr>
                  </w:pPr>
                  <w:r>
                    <w:rPr>
                      <w:rFonts w:hint="eastAsia" w:cs="Times New Roman"/>
                      <w:bCs/>
                      <w:color w:val="auto"/>
                      <w:szCs w:val="21"/>
                      <w:lang w:val="en-US" w:eastAsia="zh-CN"/>
                    </w:rPr>
                    <w:t>锤式破碎机破碎粉尘</w:t>
                  </w:r>
                </w:p>
              </w:tc>
              <w:tc>
                <w:tcPr>
                  <w:tcW w:w="1088" w:type="dxa"/>
                  <w:vAlign w:val="center"/>
                </w:tcPr>
                <w:p w14:paraId="2FC11A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cs="Times New Roman"/>
                      <w:bCs/>
                      <w:color w:val="auto"/>
                      <w:szCs w:val="21"/>
                      <w:lang w:val="en-US" w:eastAsia="zh-CN"/>
                    </w:rPr>
                  </w:pPr>
                  <w:r>
                    <w:rPr>
                      <w:rFonts w:hint="eastAsia" w:cs="Times New Roman"/>
                      <w:bCs/>
                      <w:color w:val="auto"/>
                      <w:szCs w:val="21"/>
                      <w:lang w:val="en-US" w:eastAsia="zh-CN"/>
                    </w:rPr>
                    <w:t>P2</w:t>
                  </w:r>
                </w:p>
              </w:tc>
              <w:tc>
                <w:tcPr>
                  <w:tcW w:w="1444" w:type="dxa"/>
                  <w:vAlign w:val="center"/>
                </w:tcPr>
                <w:p w14:paraId="5F3541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cs="Times New Roman"/>
                      <w:bCs/>
                      <w:color w:val="auto"/>
                      <w:szCs w:val="21"/>
                      <w:lang w:val="en-US" w:eastAsia="zh-CN"/>
                    </w:rPr>
                  </w:pPr>
                  <w:r>
                    <w:rPr>
                      <w:rFonts w:hint="eastAsia" w:cs="Times New Roman"/>
                      <w:bCs/>
                      <w:color w:val="auto"/>
                      <w:szCs w:val="21"/>
                      <w:lang w:val="en-US" w:eastAsia="zh-CN"/>
                    </w:rPr>
                    <w:t>DA002</w:t>
                  </w:r>
                </w:p>
              </w:tc>
              <w:tc>
                <w:tcPr>
                  <w:tcW w:w="1218" w:type="dxa"/>
                  <w:vAlign w:val="center"/>
                </w:tcPr>
                <w:p w14:paraId="46954D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颗粒物</w:t>
                  </w:r>
                </w:p>
              </w:tc>
              <w:tc>
                <w:tcPr>
                  <w:tcW w:w="1163" w:type="dxa"/>
                  <w:vAlign w:val="center"/>
                </w:tcPr>
                <w:p w14:paraId="1B52BF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cs="Times New Roman"/>
                      <w:bCs/>
                      <w:color w:val="auto"/>
                      <w:szCs w:val="21"/>
                      <w:lang w:val="en-US" w:eastAsia="zh-CN"/>
                    </w:rPr>
                  </w:pPr>
                  <w:r>
                    <w:rPr>
                      <w:rFonts w:hint="eastAsia" w:cs="Times New Roman"/>
                      <w:bCs/>
                      <w:color w:val="auto"/>
                      <w:szCs w:val="21"/>
                      <w:lang w:val="en-US" w:eastAsia="zh-CN"/>
                    </w:rPr>
                    <w:t>18.14</w:t>
                  </w:r>
                </w:p>
              </w:tc>
              <w:tc>
                <w:tcPr>
                  <w:tcW w:w="1969" w:type="dxa"/>
                  <w:vAlign w:val="center"/>
                </w:tcPr>
                <w:p w14:paraId="217D88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脉冲式布袋除尘器</w:t>
                  </w:r>
                </w:p>
              </w:tc>
              <w:tc>
                <w:tcPr>
                  <w:tcW w:w="1125" w:type="dxa"/>
                  <w:vAlign w:val="center"/>
                </w:tcPr>
                <w:p w14:paraId="553540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99%</w:t>
                  </w:r>
                </w:p>
              </w:tc>
              <w:tc>
                <w:tcPr>
                  <w:tcW w:w="1331" w:type="dxa"/>
                  <w:vAlign w:val="center"/>
                </w:tcPr>
                <w:p w14:paraId="436229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0.16</w:t>
                  </w:r>
                </w:p>
              </w:tc>
              <w:tc>
                <w:tcPr>
                  <w:tcW w:w="1106" w:type="dxa"/>
                  <w:vAlign w:val="center"/>
                </w:tcPr>
                <w:p w14:paraId="121B8B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0.06</w:t>
                  </w:r>
                </w:p>
              </w:tc>
              <w:tc>
                <w:tcPr>
                  <w:tcW w:w="1406" w:type="dxa"/>
                  <w:vAlign w:val="center"/>
                </w:tcPr>
                <w:p w14:paraId="5E9DCF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2.03</w:t>
                  </w:r>
                </w:p>
              </w:tc>
            </w:tr>
            <w:tr w14:paraId="076629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2865" w:type="dxa"/>
                  <w:vAlign w:val="center"/>
                </w:tcPr>
                <w:p w14:paraId="3779CF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cs="Times New Roman"/>
                      <w:bCs/>
                      <w:color w:val="auto"/>
                      <w:szCs w:val="21"/>
                      <w:lang w:val="en-US" w:eastAsia="zh-CN"/>
                    </w:rPr>
                  </w:pPr>
                  <w:r>
                    <w:rPr>
                      <w:rFonts w:hint="eastAsia" w:cs="Times New Roman"/>
                      <w:bCs/>
                      <w:color w:val="auto"/>
                      <w:szCs w:val="21"/>
                      <w:lang w:val="en-US" w:eastAsia="zh-CN"/>
                    </w:rPr>
                    <w:t>皮带输送转接过程散逸粉尘</w:t>
                  </w:r>
                </w:p>
              </w:tc>
              <w:tc>
                <w:tcPr>
                  <w:tcW w:w="1088" w:type="dxa"/>
                  <w:vAlign w:val="center"/>
                </w:tcPr>
                <w:p w14:paraId="2DA0C4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cs="Times New Roman"/>
                      <w:bCs/>
                      <w:color w:val="auto"/>
                      <w:szCs w:val="21"/>
                      <w:lang w:val="en-US" w:eastAsia="zh-CN"/>
                    </w:rPr>
                  </w:pPr>
                  <w:r>
                    <w:rPr>
                      <w:rFonts w:hint="eastAsia" w:cs="Times New Roman"/>
                      <w:bCs/>
                      <w:color w:val="auto"/>
                      <w:szCs w:val="21"/>
                      <w:lang w:val="en-US" w:eastAsia="zh-CN"/>
                    </w:rPr>
                    <w:t>P3</w:t>
                  </w:r>
                </w:p>
              </w:tc>
              <w:tc>
                <w:tcPr>
                  <w:tcW w:w="1444" w:type="dxa"/>
                  <w:vAlign w:val="center"/>
                </w:tcPr>
                <w:p w14:paraId="49C8D6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cs="Times New Roman"/>
                      <w:bCs/>
                      <w:color w:val="auto"/>
                      <w:szCs w:val="21"/>
                      <w:lang w:val="en-US" w:eastAsia="zh-CN"/>
                    </w:rPr>
                  </w:pPr>
                  <w:r>
                    <w:rPr>
                      <w:rFonts w:hint="eastAsia" w:cs="Times New Roman"/>
                      <w:bCs/>
                      <w:color w:val="auto"/>
                      <w:szCs w:val="21"/>
                      <w:lang w:val="en-US" w:eastAsia="zh-CN"/>
                    </w:rPr>
                    <w:t>DA003</w:t>
                  </w:r>
                </w:p>
              </w:tc>
              <w:tc>
                <w:tcPr>
                  <w:tcW w:w="1218" w:type="dxa"/>
                  <w:vAlign w:val="center"/>
                </w:tcPr>
                <w:p w14:paraId="1191B8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颗粒物</w:t>
                  </w:r>
                </w:p>
              </w:tc>
              <w:tc>
                <w:tcPr>
                  <w:tcW w:w="1163" w:type="dxa"/>
                  <w:vAlign w:val="center"/>
                </w:tcPr>
                <w:p w14:paraId="24868F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cs="Times New Roman"/>
                      <w:bCs/>
                      <w:color w:val="auto"/>
                      <w:szCs w:val="21"/>
                      <w:lang w:val="en-US" w:eastAsia="zh-CN"/>
                    </w:rPr>
                  </w:pPr>
                  <w:r>
                    <w:rPr>
                      <w:rFonts w:hint="eastAsia" w:cs="Times New Roman"/>
                      <w:bCs/>
                      <w:color w:val="auto"/>
                      <w:szCs w:val="21"/>
                      <w:lang w:val="en-US" w:eastAsia="zh-CN"/>
                    </w:rPr>
                    <w:t>3.02</w:t>
                  </w:r>
                </w:p>
              </w:tc>
              <w:tc>
                <w:tcPr>
                  <w:tcW w:w="1969" w:type="dxa"/>
                  <w:vAlign w:val="center"/>
                </w:tcPr>
                <w:p w14:paraId="0806BC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脉冲式布袋除尘器</w:t>
                  </w:r>
                </w:p>
              </w:tc>
              <w:tc>
                <w:tcPr>
                  <w:tcW w:w="1125" w:type="dxa"/>
                  <w:vAlign w:val="center"/>
                </w:tcPr>
                <w:p w14:paraId="47BC8F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99%</w:t>
                  </w:r>
                </w:p>
              </w:tc>
              <w:tc>
                <w:tcPr>
                  <w:tcW w:w="1331" w:type="dxa"/>
                  <w:vAlign w:val="center"/>
                </w:tcPr>
                <w:p w14:paraId="46E46C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0.03</w:t>
                  </w:r>
                </w:p>
              </w:tc>
              <w:tc>
                <w:tcPr>
                  <w:tcW w:w="1106" w:type="dxa"/>
                  <w:vAlign w:val="center"/>
                </w:tcPr>
                <w:p w14:paraId="34000A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0.01</w:t>
                  </w:r>
                </w:p>
              </w:tc>
              <w:tc>
                <w:tcPr>
                  <w:tcW w:w="1406" w:type="dxa"/>
                  <w:vAlign w:val="center"/>
                </w:tcPr>
                <w:p w14:paraId="0314A6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0.34</w:t>
                  </w:r>
                </w:p>
              </w:tc>
            </w:tr>
            <w:tr w14:paraId="639696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2865" w:type="dxa"/>
                  <w:vAlign w:val="center"/>
                </w:tcPr>
                <w:p w14:paraId="3C835F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cs="Times New Roman"/>
                      <w:bCs/>
                      <w:color w:val="auto"/>
                      <w:szCs w:val="21"/>
                      <w:lang w:val="en-US" w:eastAsia="zh-CN"/>
                    </w:rPr>
                  </w:pPr>
                  <w:r>
                    <w:rPr>
                      <w:rFonts w:hint="eastAsia" w:cs="Times New Roman"/>
                      <w:bCs/>
                      <w:color w:val="auto"/>
                      <w:szCs w:val="21"/>
                      <w:lang w:val="en-US" w:eastAsia="zh-CN"/>
                    </w:rPr>
                    <w:t>破碎生产车间粉尘</w:t>
                  </w:r>
                </w:p>
              </w:tc>
              <w:tc>
                <w:tcPr>
                  <w:tcW w:w="1088" w:type="dxa"/>
                  <w:vAlign w:val="center"/>
                </w:tcPr>
                <w:p w14:paraId="7F22AB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无组织</w:t>
                  </w:r>
                </w:p>
              </w:tc>
              <w:tc>
                <w:tcPr>
                  <w:tcW w:w="1444" w:type="dxa"/>
                  <w:vAlign w:val="center"/>
                </w:tcPr>
                <w:p w14:paraId="5AC92A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w:t>
                  </w:r>
                </w:p>
              </w:tc>
              <w:tc>
                <w:tcPr>
                  <w:tcW w:w="1218" w:type="dxa"/>
                  <w:vAlign w:val="center"/>
                </w:tcPr>
                <w:p w14:paraId="3CF951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颗粒物</w:t>
                  </w:r>
                </w:p>
              </w:tc>
              <w:tc>
                <w:tcPr>
                  <w:tcW w:w="1163" w:type="dxa"/>
                  <w:vAlign w:val="center"/>
                </w:tcPr>
                <w:p w14:paraId="121EC2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cs="Times New Roman"/>
                      <w:bCs/>
                      <w:color w:val="auto"/>
                      <w:szCs w:val="21"/>
                      <w:lang w:val="en-US" w:eastAsia="zh-CN"/>
                    </w:rPr>
                  </w:pPr>
                  <w:r>
                    <w:rPr>
                      <w:rFonts w:hint="eastAsia" w:cs="Times New Roman"/>
                      <w:bCs/>
                      <w:color w:val="auto"/>
                      <w:szCs w:val="21"/>
                      <w:lang w:val="en-US" w:eastAsia="zh-CN"/>
                    </w:rPr>
                    <w:t>6.05</w:t>
                  </w:r>
                </w:p>
              </w:tc>
              <w:tc>
                <w:tcPr>
                  <w:tcW w:w="3094" w:type="dxa"/>
                  <w:gridSpan w:val="2"/>
                  <w:vAlign w:val="center"/>
                </w:tcPr>
                <w:p w14:paraId="5AB447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ascii="Times New Roman" w:hAnsi="Times New Roman" w:cs="Times New Roman"/>
                      <w:bCs/>
                      <w:color w:val="auto"/>
                      <w:szCs w:val="21"/>
                      <w:lang w:val="en-US" w:eastAsia="zh-CN"/>
                    </w:rPr>
                    <w:t>全密闭式输送带输送</w:t>
                  </w:r>
                </w:p>
              </w:tc>
              <w:tc>
                <w:tcPr>
                  <w:tcW w:w="1331" w:type="dxa"/>
                  <w:vAlign w:val="center"/>
                </w:tcPr>
                <w:p w14:paraId="7054A3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6.05</w:t>
                  </w:r>
                </w:p>
              </w:tc>
              <w:tc>
                <w:tcPr>
                  <w:tcW w:w="1106" w:type="dxa"/>
                  <w:vAlign w:val="center"/>
                </w:tcPr>
                <w:p w14:paraId="48259F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2.25</w:t>
                  </w:r>
                </w:p>
              </w:tc>
              <w:tc>
                <w:tcPr>
                  <w:tcW w:w="1406" w:type="dxa"/>
                  <w:vAlign w:val="center"/>
                </w:tcPr>
                <w:p w14:paraId="544176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w:t>
                  </w:r>
                </w:p>
              </w:tc>
            </w:tr>
            <w:tr w14:paraId="3CCB46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2865" w:type="dxa"/>
                  <w:vAlign w:val="center"/>
                </w:tcPr>
                <w:p w14:paraId="65C312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原料储存罐逸散粉尘</w:t>
                  </w:r>
                </w:p>
              </w:tc>
              <w:tc>
                <w:tcPr>
                  <w:tcW w:w="1088" w:type="dxa"/>
                  <w:vAlign w:val="center"/>
                </w:tcPr>
                <w:p w14:paraId="2CDE38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无组织</w:t>
                  </w:r>
                </w:p>
              </w:tc>
              <w:tc>
                <w:tcPr>
                  <w:tcW w:w="1444" w:type="dxa"/>
                  <w:vAlign w:val="center"/>
                </w:tcPr>
                <w:p w14:paraId="152C1D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w:t>
                  </w:r>
                </w:p>
              </w:tc>
              <w:tc>
                <w:tcPr>
                  <w:tcW w:w="1218" w:type="dxa"/>
                  <w:vAlign w:val="center"/>
                </w:tcPr>
                <w:p w14:paraId="480BBE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颗粒物</w:t>
                  </w:r>
                </w:p>
              </w:tc>
              <w:tc>
                <w:tcPr>
                  <w:tcW w:w="1163" w:type="dxa"/>
                  <w:vAlign w:val="center"/>
                </w:tcPr>
                <w:p w14:paraId="501EF7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6.08</w:t>
                  </w:r>
                </w:p>
              </w:tc>
              <w:tc>
                <w:tcPr>
                  <w:tcW w:w="1969" w:type="dxa"/>
                  <w:vAlign w:val="center"/>
                </w:tcPr>
                <w:p w14:paraId="4E3906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脉冲式布袋除尘器</w:t>
                  </w:r>
                </w:p>
              </w:tc>
              <w:tc>
                <w:tcPr>
                  <w:tcW w:w="1125" w:type="dxa"/>
                  <w:vAlign w:val="center"/>
                </w:tcPr>
                <w:p w14:paraId="6CB05D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99%</w:t>
                  </w:r>
                </w:p>
              </w:tc>
              <w:tc>
                <w:tcPr>
                  <w:tcW w:w="1331" w:type="dxa"/>
                  <w:vAlign w:val="center"/>
                </w:tcPr>
                <w:p w14:paraId="7CB209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cs="Times New Roman"/>
                      <w:bCs/>
                      <w:color w:val="auto"/>
                      <w:szCs w:val="21"/>
                      <w:lang w:val="en-US" w:eastAsia="zh-CN"/>
                    </w:rPr>
                  </w:pPr>
                  <w:r>
                    <w:rPr>
                      <w:rFonts w:hint="eastAsia" w:cs="Times New Roman"/>
                      <w:bCs/>
                      <w:color w:val="auto"/>
                      <w:szCs w:val="21"/>
                      <w:lang w:val="en-US" w:eastAsia="zh-CN"/>
                    </w:rPr>
                    <w:t>0.66</w:t>
                  </w:r>
                </w:p>
              </w:tc>
              <w:tc>
                <w:tcPr>
                  <w:tcW w:w="1106" w:type="dxa"/>
                  <w:vAlign w:val="center"/>
                </w:tcPr>
                <w:p w14:paraId="403534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cs="Times New Roman"/>
                      <w:bCs/>
                      <w:color w:val="auto"/>
                      <w:szCs w:val="21"/>
                      <w:lang w:val="en-US" w:eastAsia="zh-CN"/>
                    </w:rPr>
                  </w:pPr>
                  <w:r>
                    <w:rPr>
                      <w:rFonts w:hint="eastAsia" w:cs="Times New Roman"/>
                      <w:bCs/>
                      <w:color w:val="auto"/>
                      <w:szCs w:val="21"/>
                      <w:lang w:val="en-US" w:eastAsia="zh-CN"/>
                    </w:rPr>
                    <w:t>0.25</w:t>
                  </w:r>
                </w:p>
              </w:tc>
              <w:tc>
                <w:tcPr>
                  <w:tcW w:w="1406" w:type="dxa"/>
                  <w:vAlign w:val="center"/>
                </w:tcPr>
                <w:p w14:paraId="14C5C9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cs="Times New Roman"/>
                      <w:bCs/>
                      <w:color w:val="auto"/>
                      <w:szCs w:val="21"/>
                      <w:lang w:val="en-US" w:eastAsia="zh-CN"/>
                    </w:rPr>
                  </w:pPr>
                  <w:r>
                    <w:rPr>
                      <w:rFonts w:hint="eastAsia" w:cs="Times New Roman"/>
                      <w:bCs/>
                      <w:color w:val="auto"/>
                      <w:szCs w:val="21"/>
                      <w:lang w:val="en-US" w:eastAsia="zh-CN"/>
                    </w:rPr>
                    <w:t>/</w:t>
                  </w:r>
                </w:p>
              </w:tc>
            </w:tr>
            <w:tr w14:paraId="576E56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2" w:hRule="atLeast"/>
              </w:trPr>
              <w:tc>
                <w:tcPr>
                  <w:tcW w:w="2865" w:type="dxa"/>
                  <w:vAlign w:val="center"/>
                </w:tcPr>
                <w:p w14:paraId="50F356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搅拌粉尘</w:t>
                  </w:r>
                </w:p>
              </w:tc>
              <w:tc>
                <w:tcPr>
                  <w:tcW w:w="1088" w:type="dxa"/>
                  <w:vAlign w:val="center"/>
                </w:tcPr>
                <w:p w14:paraId="05C7F8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P4</w:t>
                  </w:r>
                </w:p>
              </w:tc>
              <w:tc>
                <w:tcPr>
                  <w:tcW w:w="1444" w:type="dxa"/>
                  <w:vAlign w:val="center"/>
                </w:tcPr>
                <w:p w14:paraId="21A841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DA004</w:t>
                  </w:r>
                </w:p>
              </w:tc>
              <w:tc>
                <w:tcPr>
                  <w:tcW w:w="1218" w:type="dxa"/>
                  <w:vAlign w:val="center"/>
                </w:tcPr>
                <w:p w14:paraId="205A33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颗粒物</w:t>
                  </w:r>
                </w:p>
              </w:tc>
              <w:tc>
                <w:tcPr>
                  <w:tcW w:w="1163" w:type="dxa"/>
                  <w:vAlign w:val="center"/>
                </w:tcPr>
                <w:p w14:paraId="370EAB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1.02</w:t>
                  </w:r>
                </w:p>
              </w:tc>
              <w:tc>
                <w:tcPr>
                  <w:tcW w:w="1969" w:type="dxa"/>
                  <w:vAlign w:val="center"/>
                </w:tcPr>
                <w:p w14:paraId="187D36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cs="Times New Roman"/>
                      <w:bCs/>
                      <w:color w:val="auto"/>
                      <w:szCs w:val="21"/>
                      <w:lang w:val="en-US" w:eastAsia="zh-CN"/>
                    </w:rPr>
                  </w:pPr>
                  <w:r>
                    <w:rPr>
                      <w:rFonts w:hint="eastAsia" w:cs="Times New Roman"/>
                      <w:bCs/>
                      <w:color w:val="auto"/>
                      <w:szCs w:val="21"/>
                      <w:lang w:val="en-US" w:eastAsia="zh-CN"/>
                    </w:rPr>
                    <w:t>脉冲式布袋除尘器</w:t>
                  </w:r>
                </w:p>
              </w:tc>
              <w:tc>
                <w:tcPr>
                  <w:tcW w:w="1125" w:type="dxa"/>
                  <w:vAlign w:val="center"/>
                </w:tcPr>
                <w:p w14:paraId="256B52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99%</w:t>
                  </w:r>
                </w:p>
              </w:tc>
              <w:tc>
                <w:tcPr>
                  <w:tcW w:w="1331" w:type="dxa"/>
                  <w:vAlign w:val="center"/>
                </w:tcPr>
                <w:p w14:paraId="15EAC2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0.0092</w:t>
                  </w:r>
                </w:p>
              </w:tc>
              <w:tc>
                <w:tcPr>
                  <w:tcW w:w="1106" w:type="dxa"/>
                  <w:vAlign w:val="center"/>
                </w:tcPr>
                <w:p w14:paraId="4C0A10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0.0034</w:t>
                  </w:r>
                </w:p>
              </w:tc>
              <w:tc>
                <w:tcPr>
                  <w:tcW w:w="1406" w:type="dxa"/>
                  <w:vAlign w:val="center"/>
                </w:tcPr>
                <w:p w14:paraId="166DA8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0.17</w:t>
                  </w:r>
                </w:p>
              </w:tc>
            </w:tr>
            <w:tr w14:paraId="7CC63E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2" w:hRule="atLeast"/>
              </w:trPr>
              <w:tc>
                <w:tcPr>
                  <w:tcW w:w="2865" w:type="dxa"/>
                  <w:vMerge w:val="restart"/>
                  <w:vAlign w:val="center"/>
                </w:tcPr>
                <w:p w14:paraId="27FFB3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混合搅拌、压制挥发性有机物废气和有机废气</w:t>
                  </w:r>
                </w:p>
              </w:tc>
              <w:tc>
                <w:tcPr>
                  <w:tcW w:w="1088" w:type="dxa"/>
                  <w:vAlign w:val="center"/>
                </w:tcPr>
                <w:p w14:paraId="317AB4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P4</w:t>
                  </w:r>
                </w:p>
              </w:tc>
              <w:tc>
                <w:tcPr>
                  <w:tcW w:w="1444" w:type="dxa"/>
                  <w:vAlign w:val="center"/>
                </w:tcPr>
                <w:p w14:paraId="52461F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DA004</w:t>
                  </w:r>
                </w:p>
              </w:tc>
              <w:tc>
                <w:tcPr>
                  <w:tcW w:w="1218" w:type="dxa"/>
                  <w:vAlign w:val="center"/>
                </w:tcPr>
                <w:p w14:paraId="7690A0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default" w:cs="Times New Roman"/>
                      <w:bCs/>
                      <w:color w:val="auto"/>
                      <w:szCs w:val="21"/>
                      <w:lang w:val="en-US" w:eastAsia="zh-CN"/>
                    </w:rPr>
                    <w:t>非甲烷总烃</w:t>
                  </w:r>
                </w:p>
              </w:tc>
              <w:tc>
                <w:tcPr>
                  <w:tcW w:w="1163" w:type="dxa"/>
                  <w:vAlign w:val="center"/>
                </w:tcPr>
                <w:p w14:paraId="08B0CE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6.64</w:t>
                  </w:r>
                </w:p>
              </w:tc>
              <w:tc>
                <w:tcPr>
                  <w:tcW w:w="1969" w:type="dxa"/>
                  <w:vAlign w:val="center"/>
                </w:tcPr>
                <w:p w14:paraId="7256EC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活性炭吸附</w:t>
                  </w:r>
                </w:p>
              </w:tc>
              <w:tc>
                <w:tcPr>
                  <w:tcW w:w="1125" w:type="dxa"/>
                  <w:vAlign w:val="center"/>
                </w:tcPr>
                <w:p w14:paraId="555FAA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50%</w:t>
                  </w:r>
                </w:p>
              </w:tc>
              <w:tc>
                <w:tcPr>
                  <w:tcW w:w="1331" w:type="dxa"/>
                  <w:vAlign w:val="center"/>
                </w:tcPr>
                <w:p w14:paraId="1E4B97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3.32</w:t>
                  </w:r>
                </w:p>
              </w:tc>
              <w:tc>
                <w:tcPr>
                  <w:tcW w:w="1106" w:type="dxa"/>
                  <w:vAlign w:val="center"/>
                </w:tcPr>
                <w:p w14:paraId="354A77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1.24</w:t>
                  </w:r>
                </w:p>
              </w:tc>
              <w:tc>
                <w:tcPr>
                  <w:tcW w:w="1406" w:type="dxa"/>
                  <w:vAlign w:val="center"/>
                </w:tcPr>
                <w:p w14:paraId="2B525B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61.75</w:t>
                  </w:r>
                </w:p>
              </w:tc>
            </w:tr>
            <w:tr w14:paraId="1B4F75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2" w:hRule="atLeast"/>
              </w:trPr>
              <w:tc>
                <w:tcPr>
                  <w:tcW w:w="2865" w:type="dxa"/>
                  <w:vMerge w:val="continue"/>
                  <w:vAlign w:val="center"/>
                </w:tcPr>
                <w:p w14:paraId="0CB6C5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cs="Times New Roman"/>
                      <w:bCs/>
                      <w:color w:val="auto"/>
                      <w:szCs w:val="21"/>
                      <w:lang w:val="en-US" w:eastAsia="zh-CN"/>
                    </w:rPr>
                  </w:pPr>
                </w:p>
              </w:tc>
              <w:tc>
                <w:tcPr>
                  <w:tcW w:w="1088" w:type="dxa"/>
                  <w:vAlign w:val="center"/>
                </w:tcPr>
                <w:p w14:paraId="1A2FC8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cs="Times New Roman"/>
                      <w:bCs/>
                      <w:color w:val="auto"/>
                      <w:szCs w:val="21"/>
                      <w:lang w:val="en-US" w:eastAsia="zh-CN"/>
                    </w:rPr>
                  </w:pPr>
                  <w:r>
                    <w:rPr>
                      <w:rFonts w:hint="eastAsia" w:cs="Times New Roman"/>
                      <w:bCs/>
                      <w:color w:val="auto"/>
                      <w:szCs w:val="21"/>
                      <w:lang w:val="en-US" w:eastAsia="zh-CN"/>
                    </w:rPr>
                    <w:t>无组织</w:t>
                  </w:r>
                </w:p>
              </w:tc>
              <w:tc>
                <w:tcPr>
                  <w:tcW w:w="1444" w:type="dxa"/>
                  <w:vAlign w:val="center"/>
                </w:tcPr>
                <w:p w14:paraId="011177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cs="Times New Roman"/>
                      <w:bCs/>
                      <w:color w:val="auto"/>
                      <w:szCs w:val="21"/>
                      <w:lang w:val="en-US" w:eastAsia="zh-CN"/>
                    </w:rPr>
                  </w:pPr>
                  <w:r>
                    <w:rPr>
                      <w:rFonts w:hint="eastAsia" w:cs="Times New Roman"/>
                      <w:bCs/>
                      <w:color w:val="auto"/>
                      <w:szCs w:val="21"/>
                      <w:lang w:val="en-US" w:eastAsia="zh-CN"/>
                    </w:rPr>
                    <w:t>/</w:t>
                  </w:r>
                </w:p>
              </w:tc>
              <w:tc>
                <w:tcPr>
                  <w:tcW w:w="1218" w:type="dxa"/>
                  <w:vAlign w:val="center"/>
                </w:tcPr>
                <w:p w14:paraId="470B50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非甲烷总烃</w:t>
                  </w:r>
                </w:p>
              </w:tc>
              <w:tc>
                <w:tcPr>
                  <w:tcW w:w="1163" w:type="dxa"/>
                  <w:vAlign w:val="center"/>
                </w:tcPr>
                <w:p w14:paraId="3A7195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cs="Times New Roman"/>
                      <w:bCs/>
                      <w:color w:val="auto"/>
                      <w:szCs w:val="21"/>
                      <w:lang w:val="en-US" w:eastAsia="zh-CN"/>
                    </w:rPr>
                  </w:pPr>
                  <w:r>
                    <w:rPr>
                      <w:rFonts w:hint="eastAsia" w:cs="Times New Roman"/>
                      <w:bCs/>
                      <w:color w:val="auto"/>
                      <w:szCs w:val="21"/>
                      <w:lang w:val="en-US" w:eastAsia="zh-CN"/>
                    </w:rPr>
                    <w:t>0.738</w:t>
                  </w:r>
                </w:p>
              </w:tc>
              <w:tc>
                <w:tcPr>
                  <w:tcW w:w="1969" w:type="dxa"/>
                  <w:vAlign w:val="center"/>
                </w:tcPr>
                <w:p w14:paraId="77263F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cs="Times New Roman"/>
                      <w:bCs/>
                      <w:color w:val="auto"/>
                      <w:szCs w:val="21"/>
                      <w:lang w:val="en-US" w:eastAsia="zh-CN"/>
                    </w:rPr>
                  </w:pPr>
                  <w:r>
                    <w:rPr>
                      <w:rFonts w:hint="eastAsia" w:cs="Times New Roman"/>
                      <w:bCs/>
                      <w:color w:val="auto"/>
                      <w:szCs w:val="21"/>
                      <w:lang w:val="en-US" w:eastAsia="zh-CN"/>
                    </w:rPr>
                    <w:t>/</w:t>
                  </w:r>
                </w:p>
              </w:tc>
              <w:tc>
                <w:tcPr>
                  <w:tcW w:w="1125" w:type="dxa"/>
                  <w:vAlign w:val="center"/>
                </w:tcPr>
                <w:p w14:paraId="1D6780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50%</w:t>
                  </w:r>
                </w:p>
              </w:tc>
              <w:tc>
                <w:tcPr>
                  <w:tcW w:w="1331" w:type="dxa"/>
                  <w:vAlign w:val="center"/>
                </w:tcPr>
                <w:p w14:paraId="2A8224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cs="Times New Roman"/>
                      <w:bCs/>
                      <w:color w:val="auto"/>
                      <w:szCs w:val="21"/>
                      <w:lang w:val="en-US" w:eastAsia="zh-CN"/>
                    </w:rPr>
                  </w:pPr>
                  <w:r>
                    <w:rPr>
                      <w:rFonts w:hint="eastAsia" w:cs="Times New Roman"/>
                      <w:bCs/>
                      <w:color w:val="auto"/>
                      <w:szCs w:val="21"/>
                      <w:lang w:val="en-US" w:eastAsia="zh-CN"/>
                    </w:rPr>
                    <w:t>0.74</w:t>
                  </w:r>
                </w:p>
              </w:tc>
              <w:tc>
                <w:tcPr>
                  <w:tcW w:w="1106" w:type="dxa"/>
                  <w:vAlign w:val="center"/>
                </w:tcPr>
                <w:p w14:paraId="62C236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cs="Times New Roman"/>
                      <w:bCs/>
                      <w:color w:val="auto"/>
                      <w:szCs w:val="21"/>
                      <w:lang w:val="en-US" w:eastAsia="zh-CN"/>
                    </w:rPr>
                  </w:pPr>
                  <w:r>
                    <w:rPr>
                      <w:rFonts w:hint="eastAsia" w:cs="Times New Roman"/>
                      <w:bCs/>
                      <w:color w:val="auto"/>
                      <w:szCs w:val="21"/>
                      <w:lang w:val="en-US" w:eastAsia="zh-CN"/>
                    </w:rPr>
                    <w:t>0.275</w:t>
                  </w:r>
                </w:p>
              </w:tc>
              <w:tc>
                <w:tcPr>
                  <w:tcW w:w="1406" w:type="dxa"/>
                  <w:vAlign w:val="center"/>
                </w:tcPr>
                <w:p w14:paraId="04C76E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cs="Times New Roman"/>
                      <w:bCs/>
                      <w:color w:val="auto"/>
                      <w:szCs w:val="21"/>
                      <w:lang w:val="en-US" w:eastAsia="zh-CN"/>
                    </w:rPr>
                  </w:pPr>
                  <w:r>
                    <w:rPr>
                      <w:rFonts w:hint="eastAsia" w:cs="Times New Roman"/>
                      <w:bCs/>
                      <w:color w:val="auto"/>
                      <w:szCs w:val="21"/>
                      <w:lang w:val="en-US" w:eastAsia="zh-CN"/>
                    </w:rPr>
                    <w:t>/</w:t>
                  </w:r>
                </w:p>
              </w:tc>
            </w:tr>
            <w:tr w14:paraId="46B2D7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2" w:hRule="atLeast"/>
              </w:trPr>
              <w:tc>
                <w:tcPr>
                  <w:tcW w:w="2865" w:type="dxa"/>
                  <w:vMerge w:val="continue"/>
                  <w:vAlign w:val="center"/>
                </w:tcPr>
                <w:p w14:paraId="4D37EB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cs="Times New Roman"/>
                      <w:bCs/>
                      <w:color w:val="auto"/>
                      <w:szCs w:val="21"/>
                      <w:lang w:val="en-US" w:eastAsia="zh-CN"/>
                    </w:rPr>
                  </w:pPr>
                </w:p>
              </w:tc>
              <w:tc>
                <w:tcPr>
                  <w:tcW w:w="1088" w:type="dxa"/>
                  <w:vAlign w:val="center"/>
                </w:tcPr>
                <w:p w14:paraId="04D45D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cs="Times New Roman"/>
                      <w:bCs/>
                      <w:color w:val="auto"/>
                      <w:szCs w:val="21"/>
                      <w:lang w:val="en-US" w:eastAsia="zh-CN"/>
                    </w:rPr>
                  </w:pPr>
                  <w:r>
                    <w:rPr>
                      <w:rFonts w:hint="eastAsia" w:cs="Times New Roman"/>
                      <w:bCs/>
                      <w:color w:val="auto"/>
                      <w:szCs w:val="21"/>
                      <w:lang w:val="en-US" w:eastAsia="zh-CN"/>
                    </w:rPr>
                    <w:t>P4</w:t>
                  </w:r>
                </w:p>
              </w:tc>
              <w:tc>
                <w:tcPr>
                  <w:tcW w:w="1444" w:type="dxa"/>
                  <w:vAlign w:val="center"/>
                </w:tcPr>
                <w:p w14:paraId="5A18C7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cs="Times New Roman"/>
                      <w:bCs/>
                      <w:color w:val="auto"/>
                      <w:szCs w:val="21"/>
                      <w:lang w:val="en-US" w:eastAsia="zh-CN"/>
                    </w:rPr>
                  </w:pPr>
                  <w:r>
                    <w:rPr>
                      <w:rFonts w:hint="eastAsia" w:cs="Times New Roman"/>
                      <w:bCs/>
                      <w:color w:val="auto"/>
                      <w:szCs w:val="21"/>
                      <w:lang w:val="en-US" w:eastAsia="zh-CN"/>
                    </w:rPr>
                    <w:t>DA004</w:t>
                  </w:r>
                </w:p>
              </w:tc>
              <w:tc>
                <w:tcPr>
                  <w:tcW w:w="1218" w:type="dxa"/>
                  <w:vAlign w:val="center"/>
                </w:tcPr>
                <w:p w14:paraId="23DF4B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苯乙烯</w:t>
                  </w:r>
                </w:p>
              </w:tc>
              <w:tc>
                <w:tcPr>
                  <w:tcW w:w="1163" w:type="dxa"/>
                  <w:vAlign w:val="center"/>
                </w:tcPr>
                <w:p w14:paraId="67B2F1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6.532</w:t>
                  </w:r>
                </w:p>
              </w:tc>
              <w:tc>
                <w:tcPr>
                  <w:tcW w:w="1969" w:type="dxa"/>
                  <w:vAlign w:val="center"/>
                </w:tcPr>
                <w:p w14:paraId="5E8CF3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cs="Times New Roman"/>
                      <w:bCs/>
                      <w:color w:val="auto"/>
                      <w:szCs w:val="21"/>
                      <w:lang w:val="en-US" w:eastAsia="zh-CN"/>
                    </w:rPr>
                  </w:pPr>
                  <w:r>
                    <w:rPr>
                      <w:rFonts w:hint="eastAsia" w:cs="Times New Roman"/>
                      <w:bCs/>
                      <w:color w:val="auto"/>
                      <w:szCs w:val="21"/>
                      <w:lang w:val="en-US" w:eastAsia="zh-CN"/>
                    </w:rPr>
                    <w:t>活性炭吸附</w:t>
                  </w:r>
                </w:p>
              </w:tc>
              <w:tc>
                <w:tcPr>
                  <w:tcW w:w="1125" w:type="dxa"/>
                  <w:vAlign w:val="center"/>
                </w:tcPr>
                <w:p w14:paraId="3E80B6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50%</w:t>
                  </w:r>
                </w:p>
              </w:tc>
              <w:tc>
                <w:tcPr>
                  <w:tcW w:w="1331" w:type="dxa"/>
                  <w:vAlign w:val="center"/>
                </w:tcPr>
                <w:p w14:paraId="4838AB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3.266</w:t>
                  </w:r>
                </w:p>
              </w:tc>
              <w:tc>
                <w:tcPr>
                  <w:tcW w:w="1106" w:type="dxa"/>
                  <w:vAlign w:val="center"/>
                </w:tcPr>
                <w:p w14:paraId="680AC4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1.215</w:t>
                  </w:r>
                </w:p>
              </w:tc>
              <w:tc>
                <w:tcPr>
                  <w:tcW w:w="1406" w:type="dxa"/>
                  <w:vAlign w:val="center"/>
                </w:tcPr>
                <w:p w14:paraId="47F2B3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60.75</w:t>
                  </w:r>
                </w:p>
              </w:tc>
            </w:tr>
            <w:tr w14:paraId="400439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2" w:hRule="atLeast"/>
              </w:trPr>
              <w:tc>
                <w:tcPr>
                  <w:tcW w:w="2865" w:type="dxa"/>
                  <w:vMerge w:val="continue"/>
                  <w:vAlign w:val="center"/>
                </w:tcPr>
                <w:p w14:paraId="114844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cs="Times New Roman"/>
                      <w:bCs/>
                      <w:color w:val="auto"/>
                      <w:szCs w:val="21"/>
                      <w:lang w:val="en-US" w:eastAsia="zh-CN"/>
                    </w:rPr>
                  </w:pPr>
                </w:p>
              </w:tc>
              <w:tc>
                <w:tcPr>
                  <w:tcW w:w="1088" w:type="dxa"/>
                  <w:shd w:val="clear" w:color="auto" w:fill="auto"/>
                  <w:vAlign w:val="center"/>
                </w:tcPr>
                <w:p w14:paraId="5EBC60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无组织</w:t>
                  </w:r>
                </w:p>
              </w:tc>
              <w:tc>
                <w:tcPr>
                  <w:tcW w:w="1444" w:type="dxa"/>
                  <w:shd w:val="clear" w:color="auto" w:fill="auto"/>
                  <w:vAlign w:val="center"/>
                </w:tcPr>
                <w:p w14:paraId="2E427D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szCs w:val="21"/>
                      <w:lang w:val="en-US" w:eastAsia="zh-CN"/>
                    </w:rPr>
                    <w:t>/</w:t>
                  </w:r>
                </w:p>
              </w:tc>
              <w:tc>
                <w:tcPr>
                  <w:tcW w:w="1218" w:type="dxa"/>
                  <w:shd w:val="clear" w:color="auto" w:fill="auto"/>
                  <w:vAlign w:val="center"/>
                </w:tcPr>
                <w:p w14:paraId="07C5C7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szCs w:val="21"/>
                      <w:lang w:val="en-US" w:eastAsia="zh-CN"/>
                    </w:rPr>
                    <w:t>苯乙烯</w:t>
                  </w:r>
                </w:p>
              </w:tc>
              <w:tc>
                <w:tcPr>
                  <w:tcW w:w="1163" w:type="dxa"/>
                  <w:vAlign w:val="center"/>
                </w:tcPr>
                <w:p w14:paraId="6DC069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0.726</w:t>
                  </w:r>
                </w:p>
              </w:tc>
              <w:tc>
                <w:tcPr>
                  <w:tcW w:w="1969" w:type="dxa"/>
                  <w:vAlign w:val="center"/>
                </w:tcPr>
                <w:p w14:paraId="66AD35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w:t>
                  </w:r>
                </w:p>
              </w:tc>
              <w:tc>
                <w:tcPr>
                  <w:tcW w:w="1125" w:type="dxa"/>
                  <w:vAlign w:val="center"/>
                </w:tcPr>
                <w:p w14:paraId="782A17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w:t>
                  </w:r>
                </w:p>
              </w:tc>
              <w:tc>
                <w:tcPr>
                  <w:tcW w:w="1331" w:type="dxa"/>
                  <w:vAlign w:val="center"/>
                </w:tcPr>
                <w:p w14:paraId="31E7A0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0.726</w:t>
                  </w:r>
                </w:p>
              </w:tc>
              <w:tc>
                <w:tcPr>
                  <w:tcW w:w="1106" w:type="dxa"/>
                  <w:vAlign w:val="center"/>
                </w:tcPr>
                <w:p w14:paraId="1372B4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0.270</w:t>
                  </w:r>
                </w:p>
              </w:tc>
              <w:tc>
                <w:tcPr>
                  <w:tcW w:w="1406" w:type="dxa"/>
                  <w:vAlign w:val="center"/>
                </w:tcPr>
                <w:p w14:paraId="13E148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w:t>
                  </w:r>
                </w:p>
              </w:tc>
            </w:tr>
            <w:tr w14:paraId="4ACB93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2865" w:type="dxa"/>
                  <w:vMerge w:val="continue"/>
                  <w:vAlign w:val="center"/>
                </w:tcPr>
                <w:p w14:paraId="7D303D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cs="Times New Roman"/>
                      <w:bCs/>
                      <w:color w:val="auto"/>
                      <w:szCs w:val="21"/>
                      <w:lang w:val="en-US" w:eastAsia="zh-CN"/>
                    </w:rPr>
                  </w:pPr>
                </w:p>
              </w:tc>
              <w:tc>
                <w:tcPr>
                  <w:tcW w:w="1088" w:type="dxa"/>
                  <w:vAlign w:val="center"/>
                </w:tcPr>
                <w:p w14:paraId="65695D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P2</w:t>
                  </w:r>
                </w:p>
              </w:tc>
              <w:tc>
                <w:tcPr>
                  <w:tcW w:w="1444" w:type="dxa"/>
                  <w:vAlign w:val="center"/>
                </w:tcPr>
                <w:p w14:paraId="3AA69D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DA002</w:t>
                  </w:r>
                </w:p>
              </w:tc>
              <w:tc>
                <w:tcPr>
                  <w:tcW w:w="1218" w:type="dxa"/>
                  <w:vAlign w:val="center"/>
                </w:tcPr>
                <w:p w14:paraId="7FE654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臭气浓度</w:t>
                  </w:r>
                </w:p>
              </w:tc>
              <w:tc>
                <w:tcPr>
                  <w:tcW w:w="1163" w:type="dxa"/>
                  <w:vAlign w:val="center"/>
                </w:tcPr>
                <w:p w14:paraId="64B9EC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少量</w:t>
                  </w:r>
                </w:p>
              </w:tc>
              <w:tc>
                <w:tcPr>
                  <w:tcW w:w="1969" w:type="dxa"/>
                  <w:vAlign w:val="center"/>
                </w:tcPr>
                <w:p w14:paraId="6AB4D8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cs="Times New Roman"/>
                      <w:bCs/>
                      <w:color w:val="auto"/>
                      <w:szCs w:val="21"/>
                      <w:lang w:val="en-US" w:eastAsia="zh-CN"/>
                    </w:rPr>
                  </w:pPr>
                  <w:r>
                    <w:rPr>
                      <w:rFonts w:hint="eastAsia" w:cs="Times New Roman"/>
                      <w:bCs/>
                      <w:color w:val="auto"/>
                      <w:szCs w:val="21"/>
                      <w:lang w:val="en-US" w:eastAsia="zh-CN"/>
                    </w:rPr>
                    <w:t>活性炭吸附</w:t>
                  </w:r>
                </w:p>
              </w:tc>
              <w:tc>
                <w:tcPr>
                  <w:tcW w:w="1125" w:type="dxa"/>
                  <w:vAlign w:val="center"/>
                </w:tcPr>
                <w:p w14:paraId="0604C0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w:t>
                  </w:r>
                </w:p>
              </w:tc>
              <w:tc>
                <w:tcPr>
                  <w:tcW w:w="1331" w:type="dxa"/>
                  <w:vAlign w:val="center"/>
                </w:tcPr>
                <w:p w14:paraId="5C5F16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少量</w:t>
                  </w:r>
                </w:p>
              </w:tc>
              <w:tc>
                <w:tcPr>
                  <w:tcW w:w="1106" w:type="dxa"/>
                  <w:vAlign w:val="center"/>
                </w:tcPr>
                <w:p w14:paraId="56C523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少量</w:t>
                  </w:r>
                </w:p>
              </w:tc>
              <w:tc>
                <w:tcPr>
                  <w:tcW w:w="1406" w:type="dxa"/>
                  <w:vAlign w:val="center"/>
                </w:tcPr>
                <w:p w14:paraId="4527D9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≤2000（无量纲）</w:t>
                  </w:r>
                </w:p>
              </w:tc>
            </w:tr>
            <w:tr w14:paraId="5A5824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2865" w:type="dxa"/>
                  <w:vMerge w:val="continue"/>
                  <w:vAlign w:val="center"/>
                </w:tcPr>
                <w:p w14:paraId="3FF5A9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pPr>
                </w:p>
              </w:tc>
              <w:tc>
                <w:tcPr>
                  <w:tcW w:w="1088" w:type="dxa"/>
                  <w:vAlign w:val="center"/>
                </w:tcPr>
                <w:p w14:paraId="780BBA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kern w:val="2"/>
                      <w:sz w:val="21"/>
                      <w:szCs w:val="21"/>
                      <w:lang w:val="en-US" w:eastAsia="zh-CN" w:bidi="ar-SA"/>
                    </w:rPr>
                    <w:t>无组织</w:t>
                  </w:r>
                </w:p>
              </w:tc>
              <w:tc>
                <w:tcPr>
                  <w:tcW w:w="1444" w:type="dxa"/>
                  <w:vAlign w:val="center"/>
                </w:tcPr>
                <w:p w14:paraId="0E997D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w:t>
                  </w:r>
                </w:p>
              </w:tc>
              <w:tc>
                <w:tcPr>
                  <w:tcW w:w="1218" w:type="dxa"/>
                  <w:vAlign w:val="center"/>
                </w:tcPr>
                <w:p w14:paraId="5CAE59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臭气浓度</w:t>
                  </w:r>
                </w:p>
              </w:tc>
              <w:tc>
                <w:tcPr>
                  <w:tcW w:w="1163" w:type="dxa"/>
                  <w:vAlign w:val="center"/>
                </w:tcPr>
                <w:p w14:paraId="4D3BFE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少量</w:t>
                  </w:r>
                </w:p>
              </w:tc>
              <w:tc>
                <w:tcPr>
                  <w:tcW w:w="1969" w:type="dxa"/>
                  <w:vAlign w:val="center"/>
                </w:tcPr>
                <w:p w14:paraId="39E668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w:t>
                  </w:r>
                </w:p>
              </w:tc>
              <w:tc>
                <w:tcPr>
                  <w:tcW w:w="1125" w:type="dxa"/>
                  <w:vAlign w:val="center"/>
                </w:tcPr>
                <w:p w14:paraId="7A2425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w:t>
                  </w:r>
                </w:p>
              </w:tc>
              <w:tc>
                <w:tcPr>
                  <w:tcW w:w="1331" w:type="dxa"/>
                  <w:vAlign w:val="center"/>
                </w:tcPr>
                <w:p w14:paraId="789BB5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少量</w:t>
                  </w:r>
                </w:p>
              </w:tc>
              <w:tc>
                <w:tcPr>
                  <w:tcW w:w="1106" w:type="dxa"/>
                  <w:vAlign w:val="center"/>
                </w:tcPr>
                <w:p w14:paraId="681836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少量</w:t>
                  </w:r>
                </w:p>
              </w:tc>
              <w:tc>
                <w:tcPr>
                  <w:tcW w:w="1406" w:type="dxa"/>
                  <w:vAlign w:val="center"/>
                </w:tcPr>
                <w:p w14:paraId="3F657A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≤20（无量纲）</w:t>
                  </w:r>
                </w:p>
              </w:tc>
            </w:tr>
            <w:tr w14:paraId="3D031F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2" w:hRule="atLeast"/>
              </w:trPr>
              <w:tc>
                <w:tcPr>
                  <w:tcW w:w="2865" w:type="dxa"/>
                  <w:vAlign w:val="center"/>
                </w:tcPr>
                <w:p w14:paraId="4C54D1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cs="Times New Roman"/>
                      <w:bCs/>
                      <w:color w:val="auto"/>
                      <w:szCs w:val="21"/>
                      <w:lang w:val="en-US" w:eastAsia="zh-CN"/>
                    </w:rPr>
                  </w:pPr>
                  <w:r>
                    <w:rPr>
                      <w:rFonts w:hint="eastAsia" w:cs="Times New Roman"/>
                      <w:bCs/>
                      <w:color w:val="auto"/>
                      <w:szCs w:val="21"/>
                      <w:lang w:val="en-US" w:eastAsia="zh-CN"/>
                    </w:rPr>
                    <w:t>上料粉尘</w:t>
                  </w:r>
                </w:p>
              </w:tc>
              <w:tc>
                <w:tcPr>
                  <w:tcW w:w="1088" w:type="dxa"/>
                  <w:vAlign w:val="center"/>
                </w:tcPr>
                <w:p w14:paraId="2C70AC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cs="Times New Roman"/>
                      <w:bCs/>
                      <w:color w:val="auto"/>
                      <w:szCs w:val="21"/>
                      <w:lang w:val="en-US" w:eastAsia="zh-CN"/>
                    </w:rPr>
                  </w:pPr>
                  <w:r>
                    <w:rPr>
                      <w:rFonts w:hint="eastAsia" w:cs="Times New Roman"/>
                      <w:bCs/>
                      <w:color w:val="auto"/>
                      <w:szCs w:val="21"/>
                      <w:lang w:val="en-US" w:eastAsia="zh-CN"/>
                    </w:rPr>
                    <w:t>无组织排放</w:t>
                  </w:r>
                </w:p>
              </w:tc>
              <w:tc>
                <w:tcPr>
                  <w:tcW w:w="1444" w:type="dxa"/>
                  <w:vAlign w:val="center"/>
                </w:tcPr>
                <w:p w14:paraId="773187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w:t>
                  </w:r>
                </w:p>
              </w:tc>
              <w:tc>
                <w:tcPr>
                  <w:tcW w:w="1218" w:type="dxa"/>
                  <w:vAlign w:val="center"/>
                </w:tcPr>
                <w:p w14:paraId="5AC6A7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cs="Times New Roman"/>
                      <w:bCs/>
                      <w:color w:val="auto"/>
                      <w:szCs w:val="21"/>
                      <w:lang w:val="en-US" w:eastAsia="zh-CN"/>
                    </w:rPr>
                  </w:pPr>
                  <w:r>
                    <w:rPr>
                      <w:rFonts w:hint="eastAsia" w:cs="Times New Roman"/>
                      <w:bCs/>
                      <w:color w:val="auto"/>
                      <w:szCs w:val="21"/>
                      <w:lang w:val="en-US" w:eastAsia="zh-CN"/>
                    </w:rPr>
                    <w:t>颗粒物</w:t>
                  </w:r>
                </w:p>
              </w:tc>
              <w:tc>
                <w:tcPr>
                  <w:tcW w:w="1163" w:type="dxa"/>
                  <w:vAlign w:val="center"/>
                </w:tcPr>
                <w:p w14:paraId="38EF39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8.32</w:t>
                  </w:r>
                </w:p>
              </w:tc>
              <w:tc>
                <w:tcPr>
                  <w:tcW w:w="1969" w:type="dxa"/>
                  <w:vAlign w:val="center"/>
                </w:tcPr>
                <w:p w14:paraId="78AA13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密闭车间内进行</w:t>
                  </w:r>
                </w:p>
              </w:tc>
              <w:tc>
                <w:tcPr>
                  <w:tcW w:w="1125" w:type="dxa"/>
                  <w:vAlign w:val="center"/>
                </w:tcPr>
                <w:p w14:paraId="1BF0F7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30%</w:t>
                  </w:r>
                </w:p>
              </w:tc>
              <w:tc>
                <w:tcPr>
                  <w:tcW w:w="1331" w:type="dxa"/>
                  <w:vAlign w:val="center"/>
                </w:tcPr>
                <w:p w14:paraId="07F8B7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5.824</w:t>
                  </w:r>
                </w:p>
              </w:tc>
              <w:tc>
                <w:tcPr>
                  <w:tcW w:w="1106" w:type="dxa"/>
                  <w:vAlign w:val="center"/>
                </w:tcPr>
                <w:p w14:paraId="13125B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2.17</w:t>
                  </w:r>
                </w:p>
              </w:tc>
              <w:tc>
                <w:tcPr>
                  <w:tcW w:w="1406" w:type="dxa"/>
                  <w:vAlign w:val="center"/>
                </w:tcPr>
                <w:p w14:paraId="2C46D4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w:t>
                  </w:r>
                </w:p>
              </w:tc>
            </w:tr>
            <w:tr w14:paraId="472666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2" w:hRule="atLeast"/>
              </w:trPr>
              <w:tc>
                <w:tcPr>
                  <w:tcW w:w="2865" w:type="dxa"/>
                  <w:vAlign w:val="center"/>
                </w:tcPr>
                <w:p w14:paraId="0A6433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装卸粉尘</w:t>
                  </w:r>
                </w:p>
              </w:tc>
              <w:tc>
                <w:tcPr>
                  <w:tcW w:w="1088" w:type="dxa"/>
                  <w:vAlign w:val="center"/>
                </w:tcPr>
                <w:p w14:paraId="499611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无组织排放</w:t>
                  </w:r>
                </w:p>
              </w:tc>
              <w:tc>
                <w:tcPr>
                  <w:tcW w:w="1444" w:type="dxa"/>
                  <w:vAlign w:val="center"/>
                </w:tcPr>
                <w:p w14:paraId="175B26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w:t>
                  </w:r>
                </w:p>
              </w:tc>
              <w:tc>
                <w:tcPr>
                  <w:tcW w:w="1218" w:type="dxa"/>
                  <w:vAlign w:val="center"/>
                </w:tcPr>
                <w:p w14:paraId="6217C0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颗粒物</w:t>
                  </w:r>
                </w:p>
              </w:tc>
              <w:tc>
                <w:tcPr>
                  <w:tcW w:w="1163" w:type="dxa"/>
                  <w:vAlign w:val="center"/>
                </w:tcPr>
                <w:p w14:paraId="541BB1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0.13</w:t>
                  </w:r>
                </w:p>
              </w:tc>
              <w:tc>
                <w:tcPr>
                  <w:tcW w:w="1969" w:type="dxa"/>
                  <w:vAlign w:val="center"/>
                </w:tcPr>
                <w:p w14:paraId="085DFF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w:t>
                  </w:r>
                </w:p>
              </w:tc>
              <w:tc>
                <w:tcPr>
                  <w:tcW w:w="1125" w:type="dxa"/>
                  <w:vAlign w:val="center"/>
                </w:tcPr>
                <w:p w14:paraId="40AFEB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w:t>
                  </w:r>
                </w:p>
              </w:tc>
              <w:tc>
                <w:tcPr>
                  <w:tcW w:w="1331" w:type="dxa"/>
                  <w:vAlign w:val="center"/>
                </w:tcPr>
                <w:p w14:paraId="30733E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0.13</w:t>
                  </w:r>
                </w:p>
              </w:tc>
              <w:tc>
                <w:tcPr>
                  <w:tcW w:w="1106" w:type="dxa"/>
                  <w:vAlign w:val="center"/>
                </w:tcPr>
                <w:p w14:paraId="60C3E9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0.048</w:t>
                  </w:r>
                </w:p>
              </w:tc>
              <w:tc>
                <w:tcPr>
                  <w:tcW w:w="1406" w:type="dxa"/>
                  <w:vAlign w:val="center"/>
                </w:tcPr>
                <w:p w14:paraId="070CC0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w:t>
                  </w:r>
                </w:p>
              </w:tc>
            </w:tr>
            <w:tr w14:paraId="1A71CD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2" w:hRule="atLeast"/>
              </w:trPr>
              <w:tc>
                <w:tcPr>
                  <w:tcW w:w="2865" w:type="dxa"/>
                  <w:vAlign w:val="center"/>
                </w:tcPr>
                <w:p w14:paraId="6F4EC6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堆场粉尘</w:t>
                  </w:r>
                </w:p>
              </w:tc>
              <w:tc>
                <w:tcPr>
                  <w:tcW w:w="1088" w:type="dxa"/>
                  <w:vAlign w:val="center"/>
                </w:tcPr>
                <w:p w14:paraId="572C01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无组织排放</w:t>
                  </w:r>
                </w:p>
              </w:tc>
              <w:tc>
                <w:tcPr>
                  <w:tcW w:w="1444" w:type="dxa"/>
                  <w:vAlign w:val="center"/>
                </w:tcPr>
                <w:p w14:paraId="6CE7CA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w:t>
                  </w:r>
                </w:p>
              </w:tc>
              <w:tc>
                <w:tcPr>
                  <w:tcW w:w="1218" w:type="dxa"/>
                  <w:vAlign w:val="center"/>
                </w:tcPr>
                <w:p w14:paraId="469DFF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颗粒物</w:t>
                  </w:r>
                </w:p>
              </w:tc>
              <w:tc>
                <w:tcPr>
                  <w:tcW w:w="1163" w:type="dxa"/>
                  <w:vAlign w:val="center"/>
                </w:tcPr>
                <w:p w14:paraId="02FB88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5.97</w:t>
                  </w:r>
                </w:p>
              </w:tc>
              <w:tc>
                <w:tcPr>
                  <w:tcW w:w="1969" w:type="dxa"/>
                  <w:vAlign w:val="center"/>
                </w:tcPr>
                <w:p w14:paraId="42706B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防风抑尘网+防尘网覆盖</w:t>
                  </w:r>
                </w:p>
              </w:tc>
              <w:tc>
                <w:tcPr>
                  <w:tcW w:w="1125" w:type="dxa"/>
                  <w:vAlign w:val="center"/>
                </w:tcPr>
                <w:p w14:paraId="29B8C3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86%和60%</w:t>
                  </w:r>
                </w:p>
              </w:tc>
              <w:tc>
                <w:tcPr>
                  <w:tcW w:w="1331" w:type="dxa"/>
                  <w:vAlign w:val="center"/>
                </w:tcPr>
                <w:p w14:paraId="67A9F5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0.34</w:t>
                  </w:r>
                </w:p>
              </w:tc>
              <w:tc>
                <w:tcPr>
                  <w:tcW w:w="1106" w:type="dxa"/>
                  <w:vAlign w:val="center"/>
                </w:tcPr>
                <w:p w14:paraId="1DCD66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0.13</w:t>
                  </w:r>
                </w:p>
              </w:tc>
              <w:tc>
                <w:tcPr>
                  <w:tcW w:w="1406" w:type="dxa"/>
                  <w:vAlign w:val="center"/>
                </w:tcPr>
                <w:p w14:paraId="3DA931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w:t>
                  </w:r>
                </w:p>
              </w:tc>
            </w:tr>
            <w:tr w14:paraId="274723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2" w:hRule="atLeast"/>
              </w:trPr>
              <w:tc>
                <w:tcPr>
                  <w:tcW w:w="2865" w:type="dxa"/>
                  <w:vAlign w:val="center"/>
                </w:tcPr>
                <w:p w14:paraId="0080F8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脱模养护臭气</w:t>
                  </w:r>
                </w:p>
              </w:tc>
              <w:tc>
                <w:tcPr>
                  <w:tcW w:w="1088" w:type="dxa"/>
                  <w:vAlign w:val="center"/>
                </w:tcPr>
                <w:p w14:paraId="04F788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cs="Times New Roman"/>
                      <w:bCs/>
                      <w:color w:val="auto"/>
                      <w:szCs w:val="21"/>
                      <w:lang w:val="en-US" w:eastAsia="zh-CN"/>
                    </w:rPr>
                  </w:pPr>
                  <w:r>
                    <w:rPr>
                      <w:rFonts w:hint="eastAsia" w:cs="Times New Roman"/>
                      <w:bCs/>
                      <w:color w:val="auto"/>
                      <w:szCs w:val="21"/>
                      <w:lang w:val="en-US" w:eastAsia="zh-CN"/>
                    </w:rPr>
                    <w:t>无组织</w:t>
                  </w:r>
                </w:p>
              </w:tc>
              <w:tc>
                <w:tcPr>
                  <w:tcW w:w="1444" w:type="dxa"/>
                  <w:vAlign w:val="center"/>
                </w:tcPr>
                <w:p w14:paraId="316B42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cs="Times New Roman"/>
                      <w:bCs/>
                      <w:color w:val="auto"/>
                      <w:szCs w:val="21"/>
                      <w:lang w:val="en-US" w:eastAsia="zh-CN"/>
                    </w:rPr>
                  </w:pPr>
                  <w:r>
                    <w:rPr>
                      <w:rFonts w:hint="eastAsia" w:cs="Times New Roman"/>
                      <w:bCs/>
                      <w:color w:val="auto"/>
                      <w:szCs w:val="21"/>
                      <w:lang w:val="en-US" w:eastAsia="zh-CN"/>
                    </w:rPr>
                    <w:t>/</w:t>
                  </w:r>
                </w:p>
              </w:tc>
              <w:tc>
                <w:tcPr>
                  <w:tcW w:w="1218" w:type="dxa"/>
                  <w:vAlign w:val="center"/>
                </w:tcPr>
                <w:p w14:paraId="003049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bCs/>
                      <w:color w:val="auto"/>
                      <w:szCs w:val="21"/>
                      <w:lang w:val="en-US" w:eastAsia="zh-CN"/>
                    </w:rPr>
                  </w:pPr>
                  <w:r>
                    <w:rPr>
                      <w:rFonts w:hint="eastAsia" w:cs="Times New Roman"/>
                      <w:bCs/>
                      <w:color w:val="auto"/>
                      <w:szCs w:val="21"/>
                      <w:lang w:val="en-US" w:eastAsia="zh-CN"/>
                    </w:rPr>
                    <w:t>臭气浓度</w:t>
                  </w:r>
                </w:p>
              </w:tc>
              <w:tc>
                <w:tcPr>
                  <w:tcW w:w="1163" w:type="dxa"/>
                  <w:vAlign w:val="center"/>
                </w:tcPr>
                <w:p w14:paraId="21544D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少量</w:t>
                  </w:r>
                </w:p>
              </w:tc>
              <w:tc>
                <w:tcPr>
                  <w:tcW w:w="1969" w:type="dxa"/>
                  <w:vAlign w:val="center"/>
                </w:tcPr>
                <w:p w14:paraId="3D9368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加强车间通风</w:t>
                  </w:r>
                </w:p>
              </w:tc>
              <w:tc>
                <w:tcPr>
                  <w:tcW w:w="1125" w:type="dxa"/>
                  <w:vAlign w:val="center"/>
                </w:tcPr>
                <w:p w14:paraId="76DF91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w:t>
                  </w:r>
                </w:p>
              </w:tc>
              <w:tc>
                <w:tcPr>
                  <w:tcW w:w="1331" w:type="dxa"/>
                  <w:vAlign w:val="center"/>
                </w:tcPr>
                <w:p w14:paraId="19FA51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少量</w:t>
                  </w:r>
                </w:p>
              </w:tc>
              <w:tc>
                <w:tcPr>
                  <w:tcW w:w="1106" w:type="dxa"/>
                  <w:vAlign w:val="center"/>
                </w:tcPr>
                <w:p w14:paraId="469BDC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少量</w:t>
                  </w:r>
                </w:p>
              </w:tc>
              <w:tc>
                <w:tcPr>
                  <w:tcW w:w="1406" w:type="dxa"/>
                  <w:vAlign w:val="center"/>
                </w:tcPr>
                <w:p w14:paraId="72F652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bCs/>
                      <w:color w:val="auto"/>
                      <w:szCs w:val="21"/>
                      <w:lang w:val="en-US" w:eastAsia="zh-CN"/>
                    </w:rPr>
                  </w:pPr>
                  <w:r>
                    <w:rPr>
                      <w:rFonts w:hint="eastAsia" w:cs="Times New Roman"/>
                      <w:bCs/>
                      <w:color w:val="auto"/>
                      <w:szCs w:val="21"/>
                      <w:lang w:val="en-US" w:eastAsia="zh-CN"/>
                    </w:rPr>
                    <w:t>/</w:t>
                  </w:r>
                </w:p>
              </w:tc>
            </w:tr>
          </w:tbl>
          <w:p w14:paraId="0A41EE25">
            <w:pPr>
              <w:keepNext w:val="0"/>
              <w:keepLines w:val="0"/>
              <w:pageBreakBefore w:val="0"/>
              <w:widowControl w:val="0"/>
              <w:suppressLineNumbers w:val="0"/>
              <w:kinsoku/>
              <w:wordWrap/>
              <w:overflowPunct/>
              <w:topLinePunct w:val="0"/>
              <w:autoSpaceDE/>
              <w:autoSpaceDN/>
              <w:bidi w:val="0"/>
              <w:spacing w:before="0" w:beforeAutospacing="0" w:after="0" w:afterAutospacing="0" w:line="520" w:lineRule="exact"/>
              <w:ind w:left="0" w:right="0" w:firstLine="420" w:firstLineChars="200"/>
              <w:jc w:val="left"/>
              <w:textAlignment w:val="auto"/>
              <w:rPr>
                <w:rFonts w:hint="eastAsia" w:cs="宋体"/>
                <w:color w:val="auto"/>
                <w:kern w:val="2"/>
                <w:sz w:val="21"/>
                <w:szCs w:val="21"/>
              </w:rPr>
            </w:pPr>
          </w:p>
        </w:tc>
      </w:tr>
    </w:tbl>
    <w:p w14:paraId="0D278859">
      <w:pPr>
        <w:pStyle w:val="20"/>
        <w:tabs>
          <w:tab w:val="left" w:pos="202"/>
        </w:tabs>
        <w:adjustRightInd w:val="0"/>
        <w:snapToGrid w:val="0"/>
        <w:spacing w:before="0" w:beforeAutospacing="0" w:after="0" w:afterAutospacing="0"/>
        <w:jc w:val="center"/>
        <w:rPr>
          <w:rFonts w:hint="default" w:cs="宋体"/>
          <w:color w:val="auto"/>
          <w:kern w:val="2"/>
          <w:sz w:val="24"/>
          <w:szCs w:val="24"/>
          <w:lang w:val="en-US" w:eastAsia="zh-CN"/>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4"/>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4A2862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6" w:type="dxa"/>
            <w:vMerge w:val="restart"/>
            <w:noWrap w:val="0"/>
            <w:tcMar>
              <w:left w:w="28" w:type="dxa"/>
              <w:right w:w="28" w:type="dxa"/>
            </w:tcMar>
            <w:vAlign w:val="center"/>
          </w:tcPr>
          <w:p w14:paraId="6DD340E2">
            <w:pPr>
              <w:pStyle w:val="20"/>
              <w:tabs>
                <w:tab w:val="left" w:pos="202"/>
              </w:tabs>
              <w:adjustRightInd w:val="0"/>
              <w:snapToGrid w:val="0"/>
              <w:spacing w:before="0" w:beforeAutospacing="0" w:after="0" w:afterAutospacing="0"/>
              <w:jc w:val="center"/>
              <w:rPr>
                <w:rFonts w:hint="default" w:cs="宋体"/>
                <w:color w:val="auto"/>
                <w:kern w:val="2"/>
                <w:sz w:val="24"/>
                <w:szCs w:val="24"/>
                <w:lang w:val="en-US" w:eastAsia="zh-CN"/>
              </w:rPr>
            </w:pPr>
          </w:p>
        </w:tc>
        <w:tc>
          <w:tcPr>
            <w:tcW w:w="8162" w:type="dxa"/>
            <w:noWrap w:val="0"/>
            <w:vAlign w:val="center"/>
          </w:tcPr>
          <w:p w14:paraId="3F2B8D63">
            <w:pPr>
              <w:pStyle w:val="6"/>
              <w:spacing w:line="240" w:lineRule="auto"/>
              <w:jc w:val="center"/>
              <w:rPr>
                <w:rFonts w:hint="default"/>
                <w:color w:val="auto"/>
                <w:lang w:val="en-US" w:eastAsia="zh-CN"/>
              </w:rPr>
            </w:pPr>
            <w:r>
              <w:rPr>
                <w:rFonts w:hint="default" w:ascii="Times New Roman" w:hAnsi="Times New Roman" w:eastAsia="宋体" w:cs="Times New Roman"/>
                <w:b/>
                <w:bCs/>
                <w:color w:val="auto"/>
                <w:kern w:val="2"/>
                <w:sz w:val="21"/>
                <w:szCs w:val="21"/>
                <w:lang w:val="en-US" w:eastAsia="zh-CN" w:bidi="ar-SA"/>
              </w:rPr>
              <w:t>表</w:t>
            </w:r>
            <w:r>
              <w:rPr>
                <w:rFonts w:hint="eastAsia" w:cs="Times New Roman"/>
                <w:b/>
                <w:bCs/>
                <w:color w:val="auto"/>
                <w:kern w:val="2"/>
                <w:sz w:val="21"/>
                <w:szCs w:val="21"/>
                <w:lang w:val="en-US" w:eastAsia="zh-CN" w:bidi="ar-SA"/>
              </w:rPr>
              <w:t>4-4排放口基本情况</w:t>
            </w:r>
          </w:p>
          <w:tbl>
            <w:tblPr>
              <w:tblStyle w:val="25"/>
              <w:tblW w:w="7917"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8"/>
              <w:gridCol w:w="929"/>
              <w:gridCol w:w="995"/>
              <w:gridCol w:w="770"/>
              <w:gridCol w:w="837"/>
              <w:gridCol w:w="464"/>
              <w:gridCol w:w="1540"/>
              <w:gridCol w:w="1474"/>
            </w:tblGrid>
            <w:tr w14:paraId="2A6A87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08" w:type="dxa"/>
                  <w:vMerge w:val="restart"/>
                  <w:vAlign w:val="center"/>
                </w:tcPr>
                <w:p w14:paraId="21879F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排放口编号</w:t>
                  </w:r>
                </w:p>
              </w:tc>
              <w:tc>
                <w:tcPr>
                  <w:tcW w:w="929" w:type="dxa"/>
                  <w:vMerge w:val="restart"/>
                  <w:vAlign w:val="center"/>
                </w:tcPr>
                <w:p w14:paraId="3D627F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排放口类型</w:t>
                  </w:r>
                </w:p>
              </w:tc>
              <w:tc>
                <w:tcPr>
                  <w:tcW w:w="995" w:type="dxa"/>
                  <w:vMerge w:val="restart"/>
                  <w:vAlign w:val="center"/>
                </w:tcPr>
                <w:p w14:paraId="499BCF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污染物名称</w:t>
                  </w:r>
                </w:p>
              </w:tc>
              <w:tc>
                <w:tcPr>
                  <w:tcW w:w="770" w:type="dxa"/>
                  <w:vMerge w:val="restart"/>
                  <w:vAlign w:val="center"/>
                </w:tcPr>
                <w:p w14:paraId="6E93A2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排气筒高度</w:t>
                  </w:r>
                </w:p>
              </w:tc>
              <w:tc>
                <w:tcPr>
                  <w:tcW w:w="837" w:type="dxa"/>
                  <w:vMerge w:val="restart"/>
                  <w:vAlign w:val="center"/>
                </w:tcPr>
                <w:p w14:paraId="67B86C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排气筒内径</w:t>
                  </w:r>
                </w:p>
              </w:tc>
              <w:tc>
                <w:tcPr>
                  <w:tcW w:w="464" w:type="dxa"/>
                  <w:vMerge w:val="restart"/>
                  <w:vAlign w:val="center"/>
                </w:tcPr>
                <w:p w14:paraId="77BFA4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温度</w:t>
                  </w:r>
                </w:p>
              </w:tc>
              <w:tc>
                <w:tcPr>
                  <w:tcW w:w="3014" w:type="dxa"/>
                  <w:gridSpan w:val="2"/>
                  <w:vAlign w:val="center"/>
                </w:tcPr>
                <w:p w14:paraId="6A7CD3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坐标</w:t>
                  </w:r>
                </w:p>
              </w:tc>
            </w:tr>
            <w:tr w14:paraId="088C23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908" w:type="dxa"/>
                  <w:vMerge w:val="continue"/>
                  <w:vAlign w:val="center"/>
                </w:tcPr>
                <w:p w14:paraId="427684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p>
              </w:tc>
              <w:tc>
                <w:tcPr>
                  <w:tcW w:w="929" w:type="dxa"/>
                  <w:vMerge w:val="continue"/>
                  <w:vAlign w:val="center"/>
                </w:tcPr>
                <w:p w14:paraId="6D906C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p>
              </w:tc>
              <w:tc>
                <w:tcPr>
                  <w:tcW w:w="995" w:type="dxa"/>
                  <w:vMerge w:val="continue"/>
                  <w:vAlign w:val="center"/>
                </w:tcPr>
                <w:p w14:paraId="45CC12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p>
              </w:tc>
              <w:tc>
                <w:tcPr>
                  <w:tcW w:w="770" w:type="dxa"/>
                  <w:vMerge w:val="continue"/>
                  <w:vAlign w:val="center"/>
                </w:tcPr>
                <w:p w14:paraId="5E2207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p>
              </w:tc>
              <w:tc>
                <w:tcPr>
                  <w:tcW w:w="837" w:type="dxa"/>
                  <w:vMerge w:val="continue"/>
                  <w:vAlign w:val="center"/>
                </w:tcPr>
                <w:p w14:paraId="080B9F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p>
              </w:tc>
              <w:tc>
                <w:tcPr>
                  <w:tcW w:w="464" w:type="dxa"/>
                  <w:vMerge w:val="continue"/>
                  <w:vAlign w:val="center"/>
                </w:tcPr>
                <w:p w14:paraId="69760A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p>
              </w:tc>
              <w:tc>
                <w:tcPr>
                  <w:tcW w:w="1540" w:type="dxa"/>
                  <w:vAlign w:val="center"/>
                </w:tcPr>
                <w:p w14:paraId="0F1441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经度</w:t>
                  </w:r>
                </w:p>
              </w:tc>
              <w:tc>
                <w:tcPr>
                  <w:tcW w:w="1474" w:type="dxa"/>
                  <w:vAlign w:val="center"/>
                </w:tcPr>
                <w:p w14:paraId="700579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纬度</w:t>
                  </w:r>
                </w:p>
              </w:tc>
            </w:tr>
            <w:tr w14:paraId="17CBF9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908" w:type="dxa"/>
                  <w:vAlign w:val="center"/>
                </w:tcPr>
                <w:p w14:paraId="29AC81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DA001</w:t>
                  </w:r>
                </w:p>
              </w:tc>
              <w:tc>
                <w:tcPr>
                  <w:tcW w:w="929" w:type="dxa"/>
                  <w:vAlign w:val="center"/>
                </w:tcPr>
                <w:p w14:paraId="5BE51D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一般排放口</w:t>
                  </w:r>
                </w:p>
              </w:tc>
              <w:tc>
                <w:tcPr>
                  <w:tcW w:w="995" w:type="dxa"/>
                  <w:vAlign w:val="center"/>
                </w:tcPr>
                <w:p w14:paraId="1A77CF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TSP</w:t>
                  </w:r>
                </w:p>
              </w:tc>
              <w:tc>
                <w:tcPr>
                  <w:tcW w:w="770" w:type="dxa"/>
                  <w:vAlign w:val="center"/>
                </w:tcPr>
                <w:p w14:paraId="332990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15m</w:t>
                  </w:r>
                </w:p>
              </w:tc>
              <w:tc>
                <w:tcPr>
                  <w:tcW w:w="837" w:type="dxa"/>
                  <w:vAlign w:val="center"/>
                </w:tcPr>
                <w:p w14:paraId="1BFD37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0.5m</w:t>
                  </w:r>
                </w:p>
              </w:tc>
              <w:tc>
                <w:tcPr>
                  <w:tcW w:w="464" w:type="dxa"/>
                  <w:vAlign w:val="center"/>
                </w:tcPr>
                <w:p w14:paraId="13B9E9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常温</w:t>
                  </w:r>
                </w:p>
              </w:tc>
              <w:tc>
                <w:tcPr>
                  <w:tcW w:w="1540" w:type="dxa"/>
                  <w:vAlign w:val="center"/>
                </w:tcPr>
                <w:p w14:paraId="3A3BBC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default"/>
                      <w:color w:val="auto"/>
                      <w:sz w:val="21"/>
                      <w:szCs w:val="21"/>
                      <w:lang w:val="en-US" w:eastAsia="zh-CN"/>
                    </w:rPr>
                    <w:t>8</w:t>
                  </w:r>
                  <w:r>
                    <w:rPr>
                      <w:rFonts w:hint="eastAsia"/>
                      <w:color w:val="auto"/>
                      <w:sz w:val="21"/>
                      <w:szCs w:val="21"/>
                      <w:lang w:val="en-US" w:eastAsia="zh-CN"/>
                    </w:rPr>
                    <w:t>6</w:t>
                  </w:r>
                  <w:r>
                    <w:rPr>
                      <w:rFonts w:hint="default"/>
                      <w:color w:val="auto"/>
                      <w:sz w:val="21"/>
                      <w:szCs w:val="21"/>
                      <w:lang w:val="en-US" w:eastAsia="zh-CN"/>
                    </w:rPr>
                    <w:t>°55′</w:t>
                  </w:r>
                  <w:r>
                    <w:rPr>
                      <w:rFonts w:hint="eastAsia"/>
                      <w:color w:val="auto"/>
                      <w:sz w:val="21"/>
                      <w:szCs w:val="21"/>
                      <w:lang w:val="en-US" w:eastAsia="zh-CN"/>
                    </w:rPr>
                    <w:t>9.272</w:t>
                  </w:r>
                  <w:r>
                    <w:rPr>
                      <w:rFonts w:hint="default"/>
                      <w:color w:val="auto"/>
                      <w:sz w:val="21"/>
                      <w:szCs w:val="21"/>
                      <w:lang w:val="en-US" w:eastAsia="zh-CN"/>
                    </w:rPr>
                    <w:t>″</w:t>
                  </w:r>
                </w:p>
              </w:tc>
              <w:tc>
                <w:tcPr>
                  <w:tcW w:w="1474" w:type="dxa"/>
                  <w:vAlign w:val="center"/>
                </w:tcPr>
                <w:p w14:paraId="561963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42</w:t>
                  </w:r>
                  <w:r>
                    <w:rPr>
                      <w:rFonts w:hint="default"/>
                      <w:color w:val="auto"/>
                      <w:sz w:val="21"/>
                      <w:szCs w:val="21"/>
                      <w:lang w:val="en-US" w:eastAsia="zh-CN"/>
                    </w:rPr>
                    <w:t>°</w:t>
                  </w:r>
                  <w:r>
                    <w:rPr>
                      <w:rFonts w:hint="eastAsia"/>
                      <w:color w:val="auto"/>
                      <w:sz w:val="21"/>
                      <w:szCs w:val="21"/>
                      <w:lang w:val="en-US" w:eastAsia="zh-CN"/>
                    </w:rPr>
                    <w:t>16</w:t>
                  </w:r>
                  <w:r>
                    <w:rPr>
                      <w:rFonts w:hint="default"/>
                      <w:color w:val="auto"/>
                      <w:sz w:val="21"/>
                      <w:szCs w:val="21"/>
                      <w:lang w:val="en-US" w:eastAsia="zh-CN"/>
                    </w:rPr>
                    <w:t>′</w:t>
                  </w:r>
                  <w:r>
                    <w:rPr>
                      <w:rFonts w:hint="eastAsia"/>
                      <w:color w:val="auto"/>
                      <w:sz w:val="21"/>
                      <w:szCs w:val="21"/>
                      <w:lang w:val="en-US" w:eastAsia="zh-CN"/>
                    </w:rPr>
                    <w:t>54.989</w:t>
                  </w:r>
                  <w:r>
                    <w:rPr>
                      <w:rFonts w:hint="default"/>
                      <w:color w:val="auto"/>
                      <w:sz w:val="21"/>
                      <w:szCs w:val="21"/>
                      <w:lang w:val="en-US" w:eastAsia="zh-CN"/>
                    </w:rPr>
                    <w:t>″</w:t>
                  </w:r>
                </w:p>
              </w:tc>
            </w:tr>
            <w:tr w14:paraId="28E2F3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08" w:type="dxa"/>
                  <w:vAlign w:val="center"/>
                </w:tcPr>
                <w:p w14:paraId="78E27B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DA002</w:t>
                  </w:r>
                </w:p>
              </w:tc>
              <w:tc>
                <w:tcPr>
                  <w:tcW w:w="929" w:type="dxa"/>
                  <w:vAlign w:val="center"/>
                </w:tcPr>
                <w:p w14:paraId="29C55F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一般排放口</w:t>
                  </w:r>
                </w:p>
              </w:tc>
              <w:tc>
                <w:tcPr>
                  <w:tcW w:w="995" w:type="dxa"/>
                  <w:vAlign w:val="center"/>
                </w:tcPr>
                <w:p w14:paraId="2CA06E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TSP</w:t>
                  </w:r>
                </w:p>
              </w:tc>
              <w:tc>
                <w:tcPr>
                  <w:tcW w:w="770" w:type="dxa"/>
                  <w:vAlign w:val="center"/>
                </w:tcPr>
                <w:p w14:paraId="1C7CEF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15m</w:t>
                  </w:r>
                </w:p>
              </w:tc>
              <w:tc>
                <w:tcPr>
                  <w:tcW w:w="837" w:type="dxa"/>
                  <w:vAlign w:val="center"/>
                </w:tcPr>
                <w:p w14:paraId="62324E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0.5m</w:t>
                  </w:r>
                </w:p>
              </w:tc>
              <w:tc>
                <w:tcPr>
                  <w:tcW w:w="464" w:type="dxa"/>
                  <w:vAlign w:val="center"/>
                </w:tcPr>
                <w:p w14:paraId="143AC2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常温</w:t>
                  </w:r>
                </w:p>
              </w:tc>
              <w:tc>
                <w:tcPr>
                  <w:tcW w:w="1540" w:type="dxa"/>
                  <w:vAlign w:val="center"/>
                </w:tcPr>
                <w:p w14:paraId="6C8038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default"/>
                      <w:color w:val="auto"/>
                      <w:sz w:val="21"/>
                      <w:szCs w:val="21"/>
                      <w:lang w:val="en-US" w:eastAsia="zh-CN"/>
                    </w:rPr>
                    <w:t>8</w:t>
                  </w:r>
                  <w:r>
                    <w:rPr>
                      <w:rFonts w:hint="eastAsia"/>
                      <w:color w:val="auto"/>
                      <w:sz w:val="21"/>
                      <w:szCs w:val="21"/>
                      <w:lang w:val="en-US" w:eastAsia="zh-CN"/>
                    </w:rPr>
                    <w:t>6</w:t>
                  </w:r>
                  <w:r>
                    <w:rPr>
                      <w:rFonts w:hint="default"/>
                      <w:color w:val="auto"/>
                      <w:sz w:val="21"/>
                      <w:szCs w:val="21"/>
                      <w:lang w:val="en-US" w:eastAsia="zh-CN"/>
                    </w:rPr>
                    <w:t>°55′</w:t>
                  </w:r>
                  <w:r>
                    <w:rPr>
                      <w:rFonts w:hint="eastAsia"/>
                      <w:color w:val="auto"/>
                      <w:sz w:val="21"/>
                      <w:szCs w:val="21"/>
                      <w:lang w:val="en-US" w:eastAsia="zh-CN"/>
                    </w:rPr>
                    <w:t>12.623</w:t>
                  </w:r>
                  <w:r>
                    <w:rPr>
                      <w:rFonts w:hint="default"/>
                      <w:color w:val="auto"/>
                      <w:sz w:val="21"/>
                      <w:szCs w:val="21"/>
                      <w:lang w:val="en-US" w:eastAsia="zh-CN"/>
                    </w:rPr>
                    <w:t>″</w:t>
                  </w:r>
                </w:p>
              </w:tc>
              <w:tc>
                <w:tcPr>
                  <w:tcW w:w="1474" w:type="dxa"/>
                  <w:vAlign w:val="center"/>
                </w:tcPr>
                <w:p w14:paraId="65243C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42</w:t>
                  </w:r>
                  <w:r>
                    <w:rPr>
                      <w:rFonts w:hint="default"/>
                      <w:color w:val="auto"/>
                      <w:sz w:val="21"/>
                      <w:szCs w:val="21"/>
                      <w:lang w:val="en-US" w:eastAsia="zh-CN"/>
                    </w:rPr>
                    <w:t>°</w:t>
                  </w:r>
                  <w:r>
                    <w:rPr>
                      <w:rFonts w:hint="eastAsia"/>
                      <w:color w:val="auto"/>
                      <w:sz w:val="21"/>
                      <w:szCs w:val="21"/>
                      <w:lang w:val="en-US" w:eastAsia="zh-CN"/>
                    </w:rPr>
                    <w:t>16</w:t>
                  </w:r>
                  <w:r>
                    <w:rPr>
                      <w:rFonts w:hint="default"/>
                      <w:color w:val="auto"/>
                      <w:sz w:val="21"/>
                      <w:szCs w:val="21"/>
                      <w:lang w:val="en-US" w:eastAsia="zh-CN"/>
                    </w:rPr>
                    <w:t>′</w:t>
                  </w:r>
                  <w:r>
                    <w:rPr>
                      <w:rFonts w:hint="eastAsia"/>
                      <w:color w:val="auto"/>
                      <w:sz w:val="21"/>
                      <w:szCs w:val="21"/>
                      <w:lang w:val="en-US" w:eastAsia="zh-CN"/>
                    </w:rPr>
                    <w:t>52.874</w:t>
                  </w:r>
                  <w:r>
                    <w:rPr>
                      <w:rFonts w:hint="default"/>
                      <w:color w:val="auto"/>
                      <w:sz w:val="21"/>
                      <w:szCs w:val="21"/>
                      <w:lang w:val="en-US" w:eastAsia="zh-CN"/>
                    </w:rPr>
                    <w:t>″</w:t>
                  </w:r>
                </w:p>
              </w:tc>
            </w:tr>
            <w:tr w14:paraId="78572B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08" w:type="dxa"/>
                  <w:vAlign w:val="center"/>
                </w:tcPr>
                <w:p w14:paraId="485C3A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DA003</w:t>
                  </w:r>
                </w:p>
              </w:tc>
              <w:tc>
                <w:tcPr>
                  <w:tcW w:w="929" w:type="dxa"/>
                  <w:vAlign w:val="center"/>
                </w:tcPr>
                <w:p w14:paraId="75BA2F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一般排放口</w:t>
                  </w:r>
                </w:p>
              </w:tc>
              <w:tc>
                <w:tcPr>
                  <w:tcW w:w="995" w:type="dxa"/>
                  <w:vAlign w:val="center"/>
                </w:tcPr>
                <w:p w14:paraId="2CB9AB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TSP</w:t>
                  </w:r>
                </w:p>
              </w:tc>
              <w:tc>
                <w:tcPr>
                  <w:tcW w:w="770" w:type="dxa"/>
                  <w:vAlign w:val="center"/>
                </w:tcPr>
                <w:p w14:paraId="24904A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17m</w:t>
                  </w:r>
                </w:p>
              </w:tc>
              <w:tc>
                <w:tcPr>
                  <w:tcW w:w="837" w:type="dxa"/>
                  <w:vAlign w:val="center"/>
                </w:tcPr>
                <w:p w14:paraId="54D64E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0.5m</w:t>
                  </w:r>
                </w:p>
              </w:tc>
              <w:tc>
                <w:tcPr>
                  <w:tcW w:w="464" w:type="dxa"/>
                  <w:vAlign w:val="center"/>
                </w:tcPr>
                <w:p w14:paraId="02DC12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常温</w:t>
                  </w:r>
                </w:p>
              </w:tc>
              <w:tc>
                <w:tcPr>
                  <w:tcW w:w="1540" w:type="dxa"/>
                  <w:vAlign w:val="center"/>
                </w:tcPr>
                <w:p w14:paraId="2E20BC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default"/>
                      <w:color w:val="auto"/>
                      <w:sz w:val="21"/>
                      <w:szCs w:val="21"/>
                      <w:lang w:val="en-US" w:eastAsia="zh-CN"/>
                    </w:rPr>
                    <w:t>8</w:t>
                  </w:r>
                  <w:r>
                    <w:rPr>
                      <w:rFonts w:hint="eastAsia"/>
                      <w:color w:val="auto"/>
                      <w:sz w:val="21"/>
                      <w:szCs w:val="21"/>
                      <w:lang w:val="en-US" w:eastAsia="zh-CN"/>
                    </w:rPr>
                    <w:t>6</w:t>
                  </w:r>
                  <w:r>
                    <w:rPr>
                      <w:rFonts w:hint="default"/>
                      <w:color w:val="auto"/>
                      <w:sz w:val="21"/>
                      <w:szCs w:val="21"/>
                      <w:lang w:val="en-US" w:eastAsia="zh-CN"/>
                    </w:rPr>
                    <w:t>°55′</w:t>
                  </w:r>
                  <w:r>
                    <w:rPr>
                      <w:rFonts w:hint="eastAsia"/>
                      <w:color w:val="auto"/>
                      <w:sz w:val="21"/>
                      <w:szCs w:val="21"/>
                      <w:lang w:val="en-US" w:eastAsia="zh-CN"/>
                    </w:rPr>
                    <w:t>15.329</w:t>
                  </w:r>
                  <w:r>
                    <w:rPr>
                      <w:rFonts w:hint="default"/>
                      <w:color w:val="auto"/>
                      <w:sz w:val="21"/>
                      <w:szCs w:val="21"/>
                      <w:lang w:val="en-US" w:eastAsia="zh-CN"/>
                    </w:rPr>
                    <w:t>″</w:t>
                  </w:r>
                </w:p>
              </w:tc>
              <w:tc>
                <w:tcPr>
                  <w:tcW w:w="1474" w:type="dxa"/>
                  <w:vAlign w:val="center"/>
                </w:tcPr>
                <w:p w14:paraId="143A6C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42</w:t>
                  </w:r>
                  <w:r>
                    <w:rPr>
                      <w:rFonts w:hint="default"/>
                      <w:color w:val="auto"/>
                      <w:sz w:val="21"/>
                      <w:szCs w:val="21"/>
                      <w:lang w:val="en-US" w:eastAsia="zh-CN"/>
                    </w:rPr>
                    <w:t>°</w:t>
                  </w:r>
                  <w:r>
                    <w:rPr>
                      <w:rFonts w:hint="eastAsia"/>
                      <w:color w:val="auto"/>
                      <w:sz w:val="21"/>
                      <w:szCs w:val="21"/>
                      <w:lang w:val="en-US" w:eastAsia="zh-CN"/>
                    </w:rPr>
                    <w:t>16</w:t>
                  </w:r>
                  <w:r>
                    <w:rPr>
                      <w:rFonts w:hint="default"/>
                      <w:color w:val="auto"/>
                      <w:sz w:val="21"/>
                      <w:szCs w:val="21"/>
                      <w:lang w:val="en-US" w:eastAsia="zh-CN"/>
                    </w:rPr>
                    <w:t>′</w:t>
                  </w:r>
                  <w:r>
                    <w:rPr>
                      <w:rFonts w:hint="eastAsia"/>
                      <w:color w:val="auto"/>
                      <w:sz w:val="21"/>
                      <w:szCs w:val="21"/>
                      <w:lang w:val="en-US" w:eastAsia="zh-CN"/>
                    </w:rPr>
                    <w:t>59.615</w:t>
                  </w:r>
                  <w:r>
                    <w:rPr>
                      <w:rFonts w:hint="default"/>
                      <w:color w:val="auto"/>
                      <w:sz w:val="21"/>
                      <w:szCs w:val="21"/>
                      <w:lang w:val="en-US" w:eastAsia="zh-CN"/>
                    </w:rPr>
                    <w:t>″</w:t>
                  </w:r>
                </w:p>
              </w:tc>
            </w:tr>
            <w:tr w14:paraId="42D939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08" w:type="dxa"/>
                  <w:vAlign w:val="center"/>
                </w:tcPr>
                <w:p w14:paraId="0A4A0E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DA004</w:t>
                  </w:r>
                </w:p>
              </w:tc>
              <w:tc>
                <w:tcPr>
                  <w:tcW w:w="929" w:type="dxa"/>
                  <w:vAlign w:val="center"/>
                </w:tcPr>
                <w:p w14:paraId="74A07D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一般排放口</w:t>
                  </w:r>
                </w:p>
              </w:tc>
              <w:tc>
                <w:tcPr>
                  <w:tcW w:w="995" w:type="dxa"/>
                  <w:vAlign w:val="center"/>
                </w:tcPr>
                <w:p w14:paraId="2BAD1D23">
                  <w:pPr>
                    <w:keepNext w:val="0"/>
                    <w:keepLines w:val="0"/>
                    <w:widowControl/>
                    <w:suppressLineNumbers w:val="0"/>
                    <w:jc w:val="left"/>
                    <w:rPr>
                      <w:rFonts w:hint="eastAsia"/>
                      <w:color w:val="auto"/>
                      <w:sz w:val="21"/>
                      <w:szCs w:val="21"/>
                      <w:lang w:val="en-US" w:eastAsia="zh-CN"/>
                    </w:rPr>
                  </w:pPr>
                  <w:r>
                    <w:rPr>
                      <w:rFonts w:hint="eastAsia"/>
                      <w:color w:val="auto"/>
                      <w:sz w:val="21"/>
                      <w:szCs w:val="21"/>
                      <w:lang w:val="en-US" w:eastAsia="zh-CN"/>
                    </w:rPr>
                    <w:t>颗粒物、非甲烷总烃、苯乙烯、臭气浓度</w:t>
                  </w:r>
                </w:p>
              </w:tc>
              <w:tc>
                <w:tcPr>
                  <w:tcW w:w="770" w:type="dxa"/>
                  <w:vAlign w:val="center"/>
                </w:tcPr>
                <w:p w14:paraId="392980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15m</w:t>
                  </w:r>
                </w:p>
              </w:tc>
              <w:tc>
                <w:tcPr>
                  <w:tcW w:w="837" w:type="dxa"/>
                  <w:vAlign w:val="center"/>
                </w:tcPr>
                <w:p w14:paraId="7D8143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0.5m</w:t>
                  </w:r>
                </w:p>
              </w:tc>
              <w:tc>
                <w:tcPr>
                  <w:tcW w:w="464" w:type="dxa"/>
                  <w:vAlign w:val="center"/>
                </w:tcPr>
                <w:p w14:paraId="5A2B62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常温</w:t>
                  </w:r>
                </w:p>
              </w:tc>
              <w:tc>
                <w:tcPr>
                  <w:tcW w:w="1540" w:type="dxa"/>
                  <w:vAlign w:val="center"/>
                </w:tcPr>
                <w:p w14:paraId="3C0F88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default"/>
                      <w:color w:val="auto"/>
                      <w:sz w:val="21"/>
                      <w:szCs w:val="21"/>
                      <w:lang w:val="en-US" w:eastAsia="zh-CN"/>
                    </w:rPr>
                    <w:t>8</w:t>
                  </w:r>
                  <w:r>
                    <w:rPr>
                      <w:rFonts w:hint="eastAsia"/>
                      <w:color w:val="auto"/>
                      <w:sz w:val="21"/>
                      <w:szCs w:val="21"/>
                      <w:lang w:val="en-US" w:eastAsia="zh-CN"/>
                    </w:rPr>
                    <w:t>6</w:t>
                  </w:r>
                  <w:r>
                    <w:rPr>
                      <w:rFonts w:hint="default"/>
                      <w:color w:val="auto"/>
                      <w:sz w:val="21"/>
                      <w:szCs w:val="21"/>
                      <w:lang w:val="en-US" w:eastAsia="zh-CN"/>
                    </w:rPr>
                    <w:t>°55′</w:t>
                  </w:r>
                  <w:r>
                    <w:rPr>
                      <w:rFonts w:hint="eastAsia"/>
                      <w:color w:val="auto"/>
                      <w:sz w:val="21"/>
                      <w:szCs w:val="21"/>
                      <w:lang w:val="en-US" w:eastAsia="zh-CN"/>
                    </w:rPr>
                    <w:t>14.362</w:t>
                  </w:r>
                  <w:r>
                    <w:rPr>
                      <w:rFonts w:hint="default"/>
                      <w:color w:val="auto"/>
                      <w:sz w:val="21"/>
                      <w:szCs w:val="21"/>
                      <w:lang w:val="en-US" w:eastAsia="zh-CN"/>
                    </w:rPr>
                    <w:t>″</w:t>
                  </w:r>
                </w:p>
              </w:tc>
              <w:tc>
                <w:tcPr>
                  <w:tcW w:w="1474" w:type="dxa"/>
                  <w:vAlign w:val="center"/>
                </w:tcPr>
                <w:p w14:paraId="3F4498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42</w:t>
                  </w:r>
                  <w:r>
                    <w:rPr>
                      <w:rFonts w:hint="default"/>
                      <w:color w:val="auto"/>
                      <w:sz w:val="21"/>
                      <w:szCs w:val="21"/>
                      <w:lang w:val="en-US" w:eastAsia="zh-CN"/>
                    </w:rPr>
                    <w:t>°</w:t>
                  </w:r>
                  <w:r>
                    <w:rPr>
                      <w:rFonts w:hint="eastAsia"/>
                      <w:color w:val="auto"/>
                      <w:sz w:val="21"/>
                      <w:szCs w:val="21"/>
                      <w:lang w:val="en-US" w:eastAsia="zh-CN"/>
                    </w:rPr>
                    <w:t>17</w:t>
                  </w:r>
                  <w:r>
                    <w:rPr>
                      <w:rFonts w:hint="default"/>
                      <w:color w:val="auto"/>
                      <w:sz w:val="21"/>
                      <w:szCs w:val="21"/>
                      <w:lang w:val="en-US" w:eastAsia="zh-CN"/>
                    </w:rPr>
                    <w:t>′</w:t>
                  </w:r>
                  <w:r>
                    <w:rPr>
                      <w:rFonts w:hint="eastAsia"/>
                      <w:color w:val="auto"/>
                      <w:sz w:val="21"/>
                      <w:szCs w:val="21"/>
                      <w:lang w:val="en-US" w:eastAsia="zh-CN"/>
                    </w:rPr>
                    <w:t>0.500</w:t>
                  </w:r>
                  <w:r>
                    <w:rPr>
                      <w:rFonts w:hint="default"/>
                      <w:color w:val="auto"/>
                      <w:sz w:val="21"/>
                      <w:szCs w:val="21"/>
                      <w:lang w:val="en-US" w:eastAsia="zh-CN"/>
                    </w:rPr>
                    <w:t>″</w:t>
                  </w:r>
                </w:p>
              </w:tc>
            </w:tr>
          </w:tbl>
          <w:p w14:paraId="3A967A04">
            <w:pPr>
              <w:keepNext w:val="0"/>
              <w:keepLines w:val="0"/>
              <w:pageBreakBefore w:val="0"/>
              <w:suppressLineNumbers w:val="0"/>
              <w:kinsoku/>
              <w:wordWrap/>
              <w:overflowPunct/>
              <w:topLinePunct w:val="0"/>
              <w:bidi w:val="0"/>
              <w:spacing w:before="0" w:beforeAutospacing="0" w:after="0" w:afterAutospacing="0" w:line="500" w:lineRule="exact"/>
              <w:ind w:right="0" w:firstLine="482" w:firstLineChars="200"/>
              <w:rPr>
                <w:rFonts w:hint="default"/>
                <w:b/>
                <w:bCs/>
                <w:color w:val="auto"/>
                <w:sz w:val="24"/>
                <w:szCs w:val="24"/>
                <w:lang w:val="en-US" w:eastAsia="zh-CN"/>
              </w:rPr>
            </w:pPr>
            <w:r>
              <w:rPr>
                <w:rFonts w:hint="default"/>
                <w:b/>
                <w:bCs/>
                <w:color w:val="auto"/>
                <w:sz w:val="24"/>
                <w:szCs w:val="24"/>
              </w:rPr>
              <w:t>1</w:t>
            </w:r>
            <w:r>
              <w:rPr>
                <w:rFonts w:hint="default"/>
                <w:b/>
                <w:bCs/>
                <w:color w:val="auto"/>
                <w:sz w:val="24"/>
                <w:szCs w:val="24"/>
                <w:lang w:val="en-US" w:eastAsia="zh-CN"/>
              </w:rPr>
              <w:t>.</w:t>
            </w:r>
            <w:r>
              <w:rPr>
                <w:rFonts w:hint="eastAsia"/>
                <w:b/>
                <w:bCs/>
                <w:color w:val="auto"/>
                <w:sz w:val="24"/>
                <w:szCs w:val="24"/>
                <w:lang w:val="en-US" w:eastAsia="zh-CN"/>
              </w:rPr>
              <w:t>2</w:t>
            </w:r>
            <w:r>
              <w:rPr>
                <w:rFonts w:hint="default"/>
                <w:b/>
                <w:bCs/>
                <w:color w:val="auto"/>
                <w:sz w:val="24"/>
                <w:szCs w:val="24"/>
                <w:lang w:val="en-US" w:eastAsia="zh-CN"/>
              </w:rPr>
              <w:t>废气</w:t>
            </w:r>
            <w:r>
              <w:rPr>
                <w:rFonts w:hint="eastAsia"/>
                <w:b/>
                <w:bCs/>
                <w:color w:val="auto"/>
                <w:sz w:val="24"/>
                <w:szCs w:val="24"/>
                <w:lang w:val="en-US" w:eastAsia="zh-CN"/>
              </w:rPr>
              <w:t>治理措施及影响分析</w:t>
            </w:r>
          </w:p>
          <w:p w14:paraId="76C8C14C">
            <w:pPr>
              <w:keepNext w:val="0"/>
              <w:keepLines w:val="0"/>
              <w:pageBreakBefore w:val="0"/>
              <w:suppressLineNumbers w:val="0"/>
              <w:kinsoku/>
              <w:wordWrap/>
              <w:overflowPunct/>
              <w:topLinePunct w:val="0"/>
              <w:bidi w:val="0"/>
              <w:spacing w:before="0" w:beforeAutospacing="0" w:after="0" w:afterAutospacing="0" w:line="500" w:lineRule="exact"/>
              <w:ind w:right="0" w:firstLine="482" w:firstLineChars="200"/>
              <w:rPr>
                <w:rFonts w:hint="default"/>
                <w:b/>
                <w:bCs/>
                <w:color w:val="auto"/>
                <w:sz w:val="24"/>
                <w:szCs w:val="24"/>
                <w:lang w:val="en-US" w:eastAsia="zh-CN"/>
              </w:rPr>
            </w:pPr>
            <w:r>
              <w:rPr>
                <w:rFonts w:hint="eastAsia"/>
                <w:b/>
                <w:bCs/>
                <w:color w:val="auto"/>
                <w:sz w:val="24"/>
                <w:szCs w:val="24"/>
                <w:lang w:val="en-US" w:eastAsia="zh-CN"/>
              </w:rPr>
              <w:t>1.2.1有组织粉尘</w:t>
            </w:r>
          </w:p>
          <w:p w14:paraId="0567BDD7">
            <w:pPr>
              <w:keepNext w:val="0"/>
              <w:keepLines w:val="0"/>
              <w:pageBreakBefore w:val="0"/>
              <w:widowControl w:val="0"/>
              <w:suppressLineNumbers w:val="0"/>
              <w:kinsoku w:val="0"/>
              <w:wordWrap w:val="0"/>
              <w:overflowPunct/>
              <w:topLinePunct w:val="0"/>
              <w:autoSpaceDE/>
              <w:autoSpaceDN/>
              <w:bidi w:val="0"/>
              <w:adjustRightInd/>
              <w:snapToGrid/>
              <w:spacing w:before="0" w:beforeAutospacing="0" w:after="0" w:afterAutospacing="0" w:line="520" w:lineRule="exact"/>
              <w:ind w:left="0" w:right="0"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本项目骨料破碎过程会产生一定的粉尘，根据项目特点，环评要求破碎机安装脉冲式布袋除尘器。</w:t>
            </w:r>
            <w:r>
              <w:rPr>
                <w:rFonts w:hint="eastAsia" w:cs="Times New Roman"/>
                <w:b w:val="0"/>
                <w:bCs w:val="0"/>
                <w:color w:val="auto"/>
                <w:kern w:val="2"/>
                <w:sz w:val="24"/>
                <w:szCs w:val="24"/>
                <w:lang w:val="en-US" w:eastAsia="zh-CN" w:bidi="ar-SA"/>
              </w:rPr>
              <w:t>破碎工序通过</w:t>
            </w:r>
            <w:r>
              <w:rPr>
                <w:rFonts w:hint="eastAsia"/>
                <w:color w:val="auto"/>
                <w:sz w:val="24"/>
                <w:szCs w:val="24"/>
                <w:lang w:val="en-US" w:eastAsia="zh-CN"/>
              </w:rPr>
              <w:t>颚式破碎机进行大破后，</w:t>
            </w:r>
            <w:r>
              <w:rPr>
                <w:rFonts w:hint="eastAsia" w:cs="Times New Roman"/>
                <w:b w:val="0"/>
                <w:bCs w:val="0"/>
                <w:color w:val="auto"/>
                <w:kern w:val="2"/>
                <w:sz w:val="24"/>
                <w:szCs w:val="24"/>
                <w:lang w:val="en-US" w:eastAsia="zh-CN" w:bidi="ar-SA"/>
              </w:rPr>
              <w:t>通过</w:t>
            </w:r>
            <w:r>
              <w:rPr>
                <w:rFonts w:hint="eastAsia"/>
                <w:color w:val="auto"/>
                <w:sz w:val="24"/>
                <w:szCs w:val="24"/>
                <w:lang w:val="en-US" w:eastAsia="zh-CN"/>
              </w:rPr>
              <w:t>颚式破碎机进行二破，</w:t>
            </w:r>
            <w:r>
              <w:rPr>
                <w:rFonts w:hint="eastAsia" w:ascii="Times New Roman" w:hAnsi="Times New Roman" w:eastAsia="宋体" w:cs="Times New Roman"/>
                <w:b w:val="0"/>
                <w:bCs w:val="0"/>
                <w:color w:val="auto"/>
                <w:kern w:val="2"/>
                <w:sz w:val="24"/>
                <w:szCs w:val="24"/>
                <w:lang w:val="en-US" w:eastAsia="zh-CN" w:bidi="ar-SA"/>
              </w:rPr>
              <w:t>在</w:t>
            </w:r>
            <w:r>
              <w:rPr>
                <w:rFonts w:hint="eastAsia" w:cs="Times New Roman"/>
                <w:b w:val="0"/>
                <w:bCs w:val="0"/>
                <w:color w:val="auto"/>
                <w:kern w:val="2"/>
                <w:sz w:val="24"/>
                <w:szCs w:val="24"/>
                <w:lang w:val="en-US" w:eastAsia="zh-CN" w:bidi="ar-SA"/>
              </w:rPr>
              <w:t>破碎</w:t>
            </w:r>
            <w:r>
              <w:rPr>
                <w:rFonts w:hint="eastAsia" w:ascii="Times New Roman" w:hAnsi="Times New Roman" w:eastAsia="宋体" w:cs="Times New Roman"/>
                <w:b w:val="0"/>
                <w:bCs w:val="0"/>
                <w:color w:val="auto"/>
                <w:kern w:val="2"/>
                <w:sz w:val="24"/>
                <w:szCs w:val="24"/>
                <w:lang w:val="en-US" w:eastAsia="zh-CN" w:bidi="ar-SA"/>
              </w:rPr>
              <w:t>过程中</w:t>
            </w:r>
            <w:r>
              <w:rPr>
                <w:rFonts w:hint="eastAsia" w:cs="Times New Roman"/>
                <w:b w:val="0"/>
                <w:bCs w:val="0"/>
                <w:color w:val="auto"/>
                <w:kern w:val="2"/>
                <w:sz w:val="24"/>
                <w:szCs w:val="24"/>
                <w:lang w:val="en-US" w:eastAsia="zh-CN" w:bidi="ar-SA"/>
              </w:rPr>
              <w:t>分别经集气罩收集至脉冲式布袋除尘器处理</w:t>
            </w:r>
            <w:r>
              <w:rPr>
                <w:rFonts w:hint="eastAsia"/>
                <w:color w:val="auto"/>
                <w:sz w:val="24"/>
                <w:szCs w:val="24"/>
                <w:lang w:val="en-US" w:eastAsia="zh-CN"/>
              </w:rPr>
              <w:t>，集气罩收集效率为90%、脉冲式布袋除尘器去除效率为99%，废气经15m高排气筒排放。经过除尘后，DA001排气筒排放浓度为4.39mg/m</w:t>
            </w:r>
            <w:r>
              <w:rPr>
                <w:rFonts w:hint="eastAsia"/>
                <w:color w:val="auto"/>
                <w:sz w:val="24"/>
                <w:szCs w:val="24"/>
                <w:vertAlign w:val="superscript"/>
                <w:lang w:val="en-US" w:eastAsia="zh-CN"/>
              </w:rPr>
              <w:t>3</w:t>
            </w:r>
            <w:r>
              <w:rPr>
                <w:rFonts w:hint="eastAsia"/>
                <w:color w:val="auto"/>
                <w:sz w:val="24"/>
                <w:szCs w:val="24"/>
                <w:lang w:val="en-US" w:eastAsia="zh-CN"/>
              </w:rPr>
              <w:t>，排放速率0.13kg/h；DA002排气筒排放浓度为2.03mg/m</w:t>
            </w:r>
            <w:r>
              <w:rPr>
                <w:rFonts w:hint="eastAsia"/>
                <w:color w:val="auto"/>
                <w:sz w:val="24"/>
                <w:szCs w:val="24"/>
                <w:vertAlign w:val="superscript"/>
                <w:lang w:val="en-US" w:eastAsia="zh-CN"/>
              </w:rPr>
              <w:t>3</w:t>
            </w:r>
            <w:r>
              <w:rPr>
                <w:rFonts w:hint="eastAsia"/>
                <w:color w:val="auto"/>
                <w:sz w:val="24"/>
                <w:szCs w:val="24"/>
                <w:lang w:val="en-US" w:eastAsia="zh-CN"/>
              </w:rPr>
              <w:t>，排放速率0.06kg/h，处理后的废气浓度均可满足《大气污染物综合排放标准》（GB16297-1996）中的排放限值120mg/m</w:t>
            </w:r>
            <w:r>
              <w:rPr>
                <w:rFonts w:hint="eastAsia"/>
                <w:color w:val="auto"/>
                <w:sz w:val="24"/>
                <w:szCs w:val="24"/>
                <w:vertAlign w:val="superscript"/>
                <w:lang w:val="en-US" w:eastAsia="zh-CN"/>
              </w:rPr>
              <w:t>3</w:t>
            </w:r>
            <w:r>
              <w:rPr>
                <w:rFonts w:hint="eastAsia"/>
                <w:color w:val="auto"/>
                <w:sz w:val="24"/>
                <w:szCs w:val="24"/>
                <w:lang w:val="en-US" w:eastAsia="zh-CN"/>
              </w:rPr>
              <w:t>以及排放速率3.5kg/h的要求。</w:t>
            </w:r>
          </w:p>
          <w:p w14:paraId="3A2065F1">
            <w:pPr>
              <w:keepNext w:val="0"/>
              <w:keepLines w:val="0"/>
              <w:pageBreakBefore w:val="0"/>
              <w:widowControl w:val="0"/>
              <w:suppressLineNumbers w:val="0"/>
              <w:kinsoku w:val="0"/>
              <w:wordWrap w:val="0"/>
              <w:overflowPunct/>
              <w:topLinePunct w:val="0"/>
              <w:autoSpaceDE/>
              <w:autoSpaceDN/>
              <w:bidi w:val="0"/>
              <w:adjustRightInd/>
              <w:snapToGrid/>
              <w:spacing w:before="0" w:beforeAutospacing="0" w:after="0" w:afterAutospacing="0" w:line="520" w:lineRule="exact"/>
              <w:ind w:left="0" w:right="0"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破碎工序皮带输送转接过程会产生散逸粉尘，收集后设置收集效率为90%的集气罩，收集破碎粉尘至“布袋除尘器（风机风量30000m</w:t>
            </w:r>
            <w:r>
              <w:rPr>
                <w:rFonts w:hint="eastAsia"/>
                <w:color w:val="auto"/>
                <w:sz w:val="24"/>
                <w:szCs w:val="24"/>
                <w:vertAlign w:val="superscript"/>
                <w:lang w:val="en-US" w:eastAsia="zh-CN"/>
              </w:rPr>
              <w:t>3</w:t>
            </w:r>
            <w:r>
              <w:rPr>
                <w:rFonts w:hint="eastAsia"/>
                <w:color w:val="auto"/>
                <w:sz w:val="24"/>
                <w:szCs w:val="24"/>
                <w:lang w:val="en-US" w:eastAsia="zh-CN"/>
              </w:rPr>
              <w:t>/h）”处理后经17m排气筒（DA003）排放，经过除尘后，排放浓度为0.34mg/m</w:t>
            </w:r>
            <w:r>
              <w:rPr>
                <w:rFonts w:hint="eastAsia"/>
                <w:color w:val="auto"/>
                <w:sz w:val="24"/>
                <w:szCs w:val="24"/>
                <w:vertAlign w:val="superscript"/>
                <w:lang w:val="en-US" w:eastAsia="zh-CN"/>
              </w:rPr>
              <w:t>3</w:t>
            </w:r>
            <w:r>
              <w:rPr>
                <w:rFonts w:hint="eastAsia"/>
                <w:color w:val="auto"/>
                <w:sz w:val="24"/>
                <w:szCs w:val="24"/>
                <w:lang w:val="en-US" w:eastAsia="zh-CN"/>
              </w:rPr>
              <w:t>，排放速率0.01kg/h，处理后的废气浓度可满足《大气污染物综合排放标准》（GB16297-1996）中的排放限值120mg/m</w:t>
            </w:r>
            <w:r>
              <w:rPr>
                <w:rFonts w:hint="eastAsia"/>
                <w:color w:val="auto"/>
                <w:sz w:val="24"/>
                <w:szCs w:val="24"/>
                <w:vertAlign w:val="superscript"/>
                <w:lang w:val="en-US" w:eastAsia="zh-CN"/>
              </w:rPr>
              <w:t>3</w:t>
            </w:r>
            <w:r>
              <w:rPr>
                <w:rFonts w:hint="eastAsia"/>
                <w:color w:val="auto"/>
                <w:sz w:val="24"/>
                <w:szCs w:val="24"/>
                <w:lang w:val="en-US" w:eastAsia="zh-CN"/>
              </w:rPr>
              <w:t>以及排放速率3.5kg/h的要求。</w:t>
            </w:r>
          </w:p>
          <w:p w14:paraId="42E6F667">
            <w:pPr>
              <w:keepNext w:val="0"/>
              <w:keepLines w:val="0"/>
              <w:pageBreakBefore w:val="0"/>
              <w:widowControl w:val="0"/>
              <w:suppressLineNumbers w:val="0"/>
              <w:kinsoku w:val="0"/>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olor w:val="auto"/>
                <w:sz w:val="24"/>
                <w:szCs w:val="24"/>
                <w:lang w:val="en-US" w:eastAsia="zh-CN"/>
              </w:rPr>
            </w:pPr>
            <w:r>
              <w:rPr>
                <w:rFonts w:hint="eastAsia"/>
                <w:color w:val="auto"/>
                <w:sz w:val="24"/>
                <w:szCs w:val="24"/>
                <w:lang w:val="en-US" w:eastAsia="zh-CN"/>
              </w:rPr>
              <w:t>混合搅拌、压制固化过程中产生一定的粉尘和有机废气，在搅拌过程中产生的粉尘</w:t>
            </w:r>
            <w:r>
              <w:rPr>
                <w:rFonts w:hint="eastAsia" w:cs="Times New Roman"/>
                <w:b w:val="0"/>
                <w:bCs w:val="0"/>
                <w:color w:val="auto"/>
                <w:kern w:val="2"/>
                <w:sz w:val="24"/>
                <w:szCs w:val="24"/>
                <w:lang w:val="en-US" w:eastAsia="zh-CN" w:bidi="ar-SA"/>
              </w:rPr>
              <w:t>经密闭管道收集至脉冲式布袋除尘器处理，除尘器收集效率90%、</w:t>
            </w:r>
            <w:r>
              <w:rPr>
                <w:rFonts w:hint="eastAsia"/>
                <w:color w:val="auto"/>
                <w:sz w:val="24"/>
                <w:szCs w:val="24"/>
                <w:lang w:val="en-US" w:eastAsia="zh-CN"/>
              </w:rPr>
              <w:t>去除效率为99%，废气经15m高排气筒（DA004）排放。经过除尘后，排放浓度为0.17mg/m</w:t>
            </w:r>
            <w:r>
              <w:rPr>
                <w:rFonts w:hint="eastAsia"/>
                <w:color w:val="auto"/>
                <w:sz w:val="24"/>
                <w:szCs w:val="24"/>
                <w:vertAlign w:val="superscript"/>
                <w:lang w:val="en-US" w:eastAsia="zh-CN"/>
              </w:rPr>
              <w:t>3</w:t>
            </w:r>
            <w:r>
              <w:rPr>
                <w:rFonts w:hint="eastAsia"/>
                <w:color w:val="auto"/>
                <w:sz w:val="24"/>
                <w:szCs w:val="24"/>
                <w:lang w:val="en-US" w:eastAsia="zh-CN"/>
              </w:rPr>
              <w:t>，排放速率0.0034kg/h，处理后的废气浓度可满足《大气污染物综合排放标准》（GB16297-1996）中的排放限值120mg/m</w:t>
            </w:r>
            <w:r>
              <w:rPr>
                <w:rFonts w:hint="eastAsia"/>
                <w:color w:val="auto"/>
                <w:sz w:val="24"/>
                <w:szCs w:val="24"/>
                <w:vertAlign w:val="superscript"/>
                <w:lang w:val="en-US" w:eastAsia="zh-CN"/>
              </w:rPr>
              <w:t>3</w:t>
            </w:r>
            <w:r>
              <w:rPr>
                <w:rFonts w:hint="eastAsia"/>
                <w:color w:val="auto"/>
                <w:sz w:val="24"/>
                <w:szCs w:val="24"/>
                <w:lang w:val="en-US" w:eastAsia="zh-CN"/>
              </w:rPr>
              <w:t>以及排放速率3.5kg/h的要求；有机废气（含苯乙烯）经除尘器收集后，经活性炭吸附措施进行处理，除尘器收集效率90%，活性炭吸附效率为50%，废气经15m高排气筒（DA004）排放，经吸附后，排放浓度为61.75mg/m</w:t>
            </w:r>
            <w:r>
              <w:rPr>
                <w:rFonts w:hint="eastAsia"/>
                <w:color w:val="auto"/>
                <w:sz w:val="24"/>
                <w:szCs w:val="24"/>
                <w:vertAlign w:val="superscript"/>
                <w:lang w:val="en-US" w:eastAsia="zh-CN"/>
              </w:rPr>
              <w:t>3</w:t>
            </w:r>
            <w:r>
              <w:rPr>
                <w:rFonts w:hint="eastAsia"/>
                <w:color w:val="auto"/>
                <w:sz w:val="24"/>
                <w:szCs w:val="24"/>
                <w:lang w:val="en-US" w:eastAsia="zh-CN"/>
              </w:rPr>
              <w:t>，排放速率1.24kg/h，处理后的废气浓度可满足《大气污染物综合排放标准》（GB16297-1996）中的排放限值120mg/m</w:t>
            </w:r>
            <w:r>
              <w:rPr>
                <w:rFonts w:hint="eastAsia"/>
                <w:color w:val="auto"/>
                <w:sz w:val="24"/>
                <w:szCs w:val="24"/>
                <w:vertAlign w:val="superscript"/>
                <w:lang w:val="en-US" w:eastAsia="zh-CN"/>
              </w:rPr>
              <w:t>3</w:t>
            </w:r>
            <w:r>
              <w:rPr>
                <w:rFonts w:hint="eastAsia"/>
                <w:color w:val="auto"/>
                <w:sz w:val="24"/>
                <w:szCs w:val="24"/>
                <w:lang w:val="en-US" w:eastAsia="zh-CN"/>
              </w:rPr>
              <w:t>以及排放速率10kg/h的要求；臭气浓度经活性炭吸附装置处理后排放，可满足《恶臭污染物排放标准》（GB14554-93）表2恶臭污染物排放标准值。</w:t>
            </w:r>
          </w:p>
          <w:p w14:paraId="6C3356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olor w:val="auto"/>
                <w:sz w:val="24"/>
                <w:szCs w:val="24"/>
                <w:lang w:val="en-US" w:eastAsia="zh-CN"/>
              </w:rPr>
            </w:pPr>
            <w:r>
              <w:rPr>
                <w:rFonts w:hint="eastAsia"/>
                <w:color w:val="auto"/>
                <w:sz w:val="24"/>
                <w:szCs w:val="24"/>
                <w:lang w:val="en-US" w:eastAsia="zh-CN"/>
              </w:rPr>
              <w:t>活性炭吸附处理装置主要是利用多孔性固体吸附剂活性炭的吸附作用，能有效去除工业废气中的有机类污染物质等，广泛应用于工业有机废气净化的末端处理，去除效率可达50%～80%，净化效果良好。</w:t>
            </w:r>
          </w:p>
          <w:p w14:paraId="53C85C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color w:val="auto"/>
                <w:sz w:val="24"/>
                <w:szCs w:val="24"/>
                <w:lang w:val="en-US" w:eastAsia="zh-CN"/>
              </w:rPr>
            </w:pPr>
            <w:r>
              <w:rPr>
                <w:rFonts w:hint="eastAsia"/>
                <w:color w:val="auto"/>
                <w:sz w:val="24"/>
                <w:szCs w:val="24"/>
                <w:lang w:val="en-US" w:eastAsia="zh-CN"/>
              </w:rPr>
              <w:t>采</w:t>
            </w:r>
            <w:r>
              <w:rPr>
                <w:rFonts w:hint="default"/>
                <w:color w:val="auto"/>
                <w:sz w:val="24"/>
                <w:szCs w:val="24"/>
                <w:lang w:val="en-US" w:eastAsia="zh-CN"/>
              </w:rPr>
              <w:t>用优质吸附活性炭作为吸附媒介，由于活性炭固体表面上存在着未平衡和未饱和的分子引力或化学键力，因此</w:t>
            </w:r>
            <w:r>
              <w:rPr>
                <w:rFonts w:hint="eastAsia"/>
                <w:color w:val="auto"/>
                <w:sz w:val="24"/>
                <w:szCs w:val="24"/>
                <w:lang w:val="en-US" w:eastAsia="zh-CN"/>
              </w:rPr>
              <w:t>当</w:t>
            </w:r>
            <w:r>
              <w:rPr>
                <w:rFonts w:hint="default"/>
                <w:color w:val="auto"/>
                <w:sz w:val="24"/>
                <w:szCs w:val="24"/>
                <w:lang w:val="en-US" w:eastAsia="zh-CN"/>
              </w:rPr>
              <w:t>固体表面与气体接触时，就能吸引气体分子，使其凝聚并保持在固体表面，废气中的污染物被吸附在活性炭表面上，使其与气体混合物分离，达到净化目的。活性炭吸附装置性能特点：设备投资少、运行费用低；性能稳定、可同时处理多种混合气体；采用新型活性炭吸附材料作为吸附剂，具有阻力低、寿命长、净化效率高等优点。</w:t>
            </w:r>
          </w:p>
          <w:p w14:paraId="044B63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扩建项目采用</w:t>
            </w:r>
            <w:r>
              <w:rPr>
                <w:rFonts w:hint="eastAsia"/>
                <w:color w:val="auto"/>
                <w:sz w:val="24"/>
                <w:szCs w:val="24"/>
                <w:lang w:val="en-US" w:eastAsia="zh-CN"/>
              </w:rPr>
              <w:t>“</w:t>
            </w:r>
            <w:r>
              <w:rPr>
                <w:rFonts w:hint="default"/>
                <w:color w:val="auto"/>
                <w:sz w:val="24"/>
                <w:szCs w:val="24"/>
                <w:lang w:val="en-US" w:eastAsia="zh-CN"/>
              </w:rPr>
              <w:t>布袋除尘+性炭吸附</w:t>
            </w:r>
            <w:r>
              <w:rPr>
                <w:rFonts w:hint="eastAsia"/>
                <w:color w:val="auto"/>
                <w:sz w:val="24"/>
                <w:szCs w:val="24"/>
                <w:lang w:val="en-US" w:eastAsia="zh-CN"/>
              </w:rPr>
              <w:t>装置”</w:t>
            </w:r>
            <w:r>
              <w:rPr>
                <w:rFonts w:hint="default"/>
                <w:color w:val="auto"/>
                <w:sz w:val="24"/>
                <w:szCs w:val="24"/>
                <w:lang w:val="en-US" w:eastAsia="zh-CN"/>
              </w:rPr>
              <w:t>对有机废气进行处理，一次性活性炭吸附去除率</w:t>
            </w:r>
            <w:r>
              <w:rPr>
                <w:rFonts w:hint="eastAsia"/>
                <w:color w:val="auto"/>
                <w:sz w:val="24"/>
                <w:szCs w:val="24"/>
                <w:lang w:val="en-US" w:eastAsia="zh-CN"/>
              </w:rPr>
              <w:t>取保守的50</w:t>
            </w:r>
            <w:r>
              <w:rPr>
                <w:rFonts w:hint="default"/>
                <w:color w:val="auto"/>
                <w:sz w:val="24"/>
                <w:szCs w:val="24"/>
                <w:lang w:val="en-US" w:eastAsia="zh-CN"/>
              </w:rPr>
              <w:t>%计算，</w:t>
            </w:r>
            <w:r>
              <w:rPr>
                <w:rFonts w:hint="eastAsia"/>
                <w:color w:val="auto"/>
                <w:sz w:val="24"/>
                <w:szCs w:val="24"/>
                <w:lang w:val="en-US" w:eastAsia="zh-CN"/>
              </w:rPr>
              <w:t>根据《低效失效大气污染治理设施排查整治工作方案（征求意见稿）》中规定，对于采用一次性吸附工艺的，吸附剂不宜采用蜂窝活性炭，本项目活性炭选用碘值不低于800mg/g的颗粒物活性炭作为吸附剂，企业足额充填</w:t>
            </w:r>
            <w:bookmarkStart w:id="4" w:name="_GoBack"/>
            <w:r>
              <w:rPr>
                <w:rFonts w:hint="eastAsia"/>
                <w:color w:val="auto"/>
                <w:sz w:val="24"/>
                <w:szCs w:val="24"/>
                <w:lang w:val="en-US" w:eastAsia="zh-CN"/>
              </w:rPr>
              <w:t>、及</w:t>
            </w:r>
            <w:bookmarkEnd w:id="4"/>
            <w:r>
              <w:rPr>
                <w:rFonts w:hint="eastAsia"/>
                <w:color w:val="auto"/>
                <w:sz w:val="24"/>
                <w:szCs w:val="24"/>
                <w:lang w:val="en-US" w:eastAsia="zh-CN"/>
              </w:rPr>
              <w:t>时更换。非甲烷总烃经处理后的废气浓度可满足《大气污染物综合排放标准》（GB16297-1996）中的排放限值120mg/m</w:t>
            </w:r>
            <w:r>
              <w:rPr>
                <w:rFonts w:hint="eastAsia"/>
                <w:color w:val="auto"/>
                <w:sz w:val="24"/>
                <w:szCs w:val="24"/>
                <w:vertAlign w:val="superscript"/>
                <w:lang w:val="en-US" w:eastAsia="zh-CN"/>
              </w:rPr>
              <w:t>3</w:t>
            </w:r>
            <w:r>
              <w:rPr>
                <w:rFonts w:hint="eastAsia"/>
                <w:color w:val="auto"/>
                <w:sz w:val="24"/>
                <w:szCs w:val="24"/>
                <w:lang w:val="en-US" w:eastAsia="zh-CN"/>
              </w:rPr>
              <w:t>以及排放速率10kg/h的要求。</w:t>
            </w:r>
          </w:p>
          <w:p w14:paraId="6059AA5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本项目在生产过程中产生的废气，末端治理设施为脉冲式布袋除尘器和活性炭措施，符合</w:t>
            </w:r>
            <w:r>
              <w:rPr>
                <w:rFonts w:hint="default"/>
                <w:color w:val="auto"/>
                <w:sz w:val="24"/>
                <w:szCs w:val="24"/>
                <w:lang w:val="en-US" w:eastAsia="zh-CN"/>
              </w:rPr>
              <w:t>《排污许可证申请与核发技术规范</w:t>
            </w:r>
            <w:r>
              <w:rPr>
                <w:rFonts w:hint="eastAsia"/>
                <w:color w:val="auto"/>
                <w:sz w:val="24"/>
                <w:szCs w:val="24"/>
                <w:lang w:val="en-US" w:eastAsia="zh-CN"/>
              </w:rPr>
              <w:t>专陶瓷砖瓦工业</w:t>
            </w:r>
            <w:r>
              <w:rPr>
                <w:rFonts w:hint="default"/>
                <w:color w:val="auto"/>
                <w:sz w:val="24"/>
                <w:szCs w:val="24"/>
                <w:lang w:val="en-US" w:eastAsia="zh-CN"/>
              </w:rPr>
              <w:t>》（HJ</w:t>
            </w:r>
            <w:r>
              <w:rPr>
                <w:rFonts w:hint="eastAsia"/>
                <w:color w:val="auto"/>
                <w:sz w:val="24"/>
                <w:szCs w:val="24"/>
                <w:lang w:val="en-US" w:eastAsia="zh-CN"/>
              </w:rPr>
              <w:t>954</w:t>
            </w:r>
            <w:r>
              <w:rPr>
                <w:rFonts w:hint="default"/>
                <w:color w:val="auto"/>
                <w:sz w:val="24"/>
                <w:szCs w:val="24"/>
                <w:lang w:val="en-US" w:eastAsia="zh-CN"/>
              </w:rPr>
              <w:t>-20</w:t>
            </w:r>
            <w:r>
              <w:rPr>
                <w:rFonts w:hint="eastAsia"/>
                <w:color w:val="auto"/>
                <w:sz w:val="24"/>
                <w:szCs w:val="24"/>
                <w:lang w:val="en-US" w:eastAsia="zh-CN"/>
              </w:rPr>
              <w:t>18</w:t>
            </w:r>
            <w:r>
              <w:rPr>
                <w:rFonts w:hint="default"/>
                <w:color w:val="auto"/>
                <w:sz w:val="24"/>
                <w:szCs w:val="24"/>
                <w:lang w:val="en-US" w:eastAsia="zh-CN"/>
              </w:rPr>
              <w:t>）</w:t>
            </w:r>
            <w:r>
              <w:rPr>
                <w:rFonts w:hint="eastAsia"/>
                <w:color w:val="auto"/>
                <w:sz w:val="24"/>
                <w:szCs w:val="24"/>
                <w:lang w:val="en-US" w:eastAsia="zh-CN"/>
              </w:rPr>
              <w:t>的可行技术规范。</w:t>
            </w:r>
          </w:p>
          <w:p w14:paraId="5A96E54C">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脉冲式布袋除尘器的基本工作原理是：含尘气体进入挂有一定数量滤袋的袋室后，被滤袋纤维过滤。随着阻留的粉尘不断增加，一部分粉尘嵌入滤料内部；一部分覆盖在滤袋表面形成一层粉尘层。此时，含尘气体的过滤主要依靠粉尘层进行。其除尘机理为含尘气体通过粉尘层与滤料时产生的筛分、惯性、黏附扩散与静电等作用，使粉尘得到捕集。当粉尘层加厚，压力损失达到一定程度时，需要进行清灰，清灰后压力降低，但仍有一部分粉尘残留在滤袋上，在下个过滤周期开始时，起良好的捕尘作用。</w:t>
            </w:r>
          </w:p>
          <w:p w14:paraId="629ED834">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脉冲式布袋除尘器的主要特点是：①除尘效率高，一般在90%以上，对亚微米粒径的细尘也具有较高净化效率；②处理风量范围广，小的仅每分钟数立方米，大的可达每分钟数万立方米，可用于尘源的通风除尘，改善作业场所的空气质量，减少大气污染物的排放；③结构比较简单，维护操作方便：④在保证同样高的除尘效率前提下，造价低于电除尘器；⑤对粉的特征不敏感，不受粉尘比电阻的影响。</w:t>
            </w:r>
          </w:p>
          <w:p w14:paraId="03A933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脉冲式布袋除尘器是各企业常用的环保设备之一，大部分产尘工序都可以采用，在生产设施的通风除尘系统中，脉冲式布袋除尘器占主导地位。在各个企业，该除尘设施的采用取得了明显的经济效益和社会环境效益，本项目产生废气其温度、湿度适宜，可充分发挥脉冲式布袋除尘器除尘效率高、运行稳定、维护方便的特点。</w:t>
            </w:r>
          </w:p>
          <w:p w14:paraId="6A7335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b/>
                <w:bCs/>
                <w:color w:val="auto"/>
                <w:sz w:val="24"/>
                <w:szCs w:val="24"/>
                <w:lang w:val="en-US" w:eastAsia="zh-CN"/>
              </w:rPr>
            </w:pPr>
            <w:r>
              <w:rPr>
                <w:rFonts w:hint="eastAsia"/>
                <w:b/>
                <w:bCs/>
                <w:color w:val="auto"/>
                <w:sz w:val="24"/>
                <w:szCs w:val="24"/>
                <w:lang w:val="en-US" w:eastAsia="zh-CN"/>
              </w:rPr>
              <w:t>1.2.2无组织粉尘</w:t>
            </w:r>
          </w:p>
          <w:p w14:paraId="4F732B1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（1）原料储存罐逸散粉尘</w:t>
            </w:r>
          </w:p>
          <w:p w14:paraId="018EDE0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破碎后的骨料经密闭的输送皮带分别输送收集至各原料储存罐，原料储存罐储存时可产生粉尘总量为6.08t/a，上方设置集气罩，收集粉尘至“布袋除尘器”处理后无组织排放。脉冲式布袋除尘器收集效率为90%、除去效率为99%，无组织排放量0.66t/a，排放速率为0.25kg/h。</w:t>
            </w:r>
          </w:p>
          <w:p w14:paraId="29189EC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（2）上料粉尘</w:t>
            </w:r>
          </w:p>
          <w:p w14:paraId="3E2C958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color w:val="auto"/>
                <w:sz w:val="24"/>
                <w:szCs w:val="24"/>
                <w:lang w:val="en-US" w:eastAsia="zh-CN"/>
              </w:rPr>
            </w:pPr>
            <w:r>
              <w:rPr>
                <w:rFonts w:hint="eastAsia"/>
                <w:color w:val="auto"/>
                <w:sz w:val="24"/>
                <w:szCs w:val="24"/>
                <w:lang w:val="en-US" w:eastAsia="zh-CN"/>
              </w:rPr>
              <w:t>项目上料过程在密闭的车间内进行，车间进行场地硬化，</w:t>
            </w:r>
            <w:r>
              <w:rPr>
                <w:rFonts w:hint="default"/>
                <w:color w:val="auto"/>
                <w:sz w:val="24"/>
                <w:szCs w:val="24"/>
                <w:lang w:val="en-US" w:eastAsia="zh-CN"/>
              </w:rPr>
              <w:t>地面做到一班一扫，每班生产结束，对场地进行</w:t>
            </w:r>
            <w:r>
              <w:rPr>
                <w:rFonts w:hint="eastAsia"/>
                <w:color w:val="auto"/>
                <w:sz w:val="24"/>
                <w:szCs w:val="24"/>
                <w:lang w:val="en-US" w:eastAsia="zh-CN"/>
              </w:rPr>
              <w:t>洒水降尘</w:t>
            </w:r>
            <w:r>
              <w:rPr>
                <w:rFonts w:hint="default"/>
                <w:color w:val="auto"/>
                <w:sz w:val="24"/>
                <w:szCs w:val="24"/>
                <w:lang w:val="en-US" w:eastAsia="zh-CN"/>
              </w:rPr>
              <w:t>，保持地面清洁，严防扬尘污染。</w:t>
            </w:r>
          </w:p>
          <w:p w14:paraId="347FE03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color w:val="auto"/>
                <w:sz w:val="24"/>
                <w:szCs w:val="24"/>
                <w:lang w:val="en-US" w:eastAsia="zh-CN"/>
              </w:rPr>
            </w:pPr>
            <w:r>
              <w:rPr>
                <w:rFonts w:hint="eastAsia"/>
                <w:color w:val="auto"/>
                <w:sz w:val="24"/>
                <w:szCs w:val="24"/>
                <w:lang w:val="en-US" w:eastAsia="zh-CN"/>
              </w:rPr>
              <w:t>（3）运输扬尘</w:t>
            </w:r>
          </w:p>
          <w:p w14:paraId="438FC0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本项目成品存于封闭库房，原料经运输汽车卸至原料堆场内。为减少运输扬尘，本环评提出以下几点措施和建议：</w:t>
            </w:r>
          </w:p>
          <w:p w14:paraId="7D8CF0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a.对厂内装载机、运输车辆等提出限速要求，在满足最大工作效率的前</w:t>
            </w:r>
          </w:p>
          <w:p w14:paraId="1DB0BC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jc w:val="left"/>
              <w:textAlignment w:val="auto"/>
              <w:rPr>
                <w:rFonts w:hint="default"/>
                <w:color w:val="auto"/>
                <w:sz w:val="24"/>
                <w:szCs w:val="24"/>
                <w:lang w:val="en-US" w:eastAsia="zh-CN"/>
              </w:rPr>
            </w:pPr>
            <w:r>
              <w:rPr>
                <w:rFonts w:hint="eastAsia"/>
                <w:color w:val="auto"/>
                <w:sz w:val="24"/>
                <w:szCs w:val="24"/>
                <w:lang w:val="en-US" w:eastAsia="zh-CN"/>
              </w:rPr>
              <w:t>提下，使用最小车速行驶。</w:t>
            </w:r>
          </w:p>
          <w:p w14:paraId="00D3BF70">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b.对装载机每次装卸的物料的量进行控制，不能超载。</w:t>
            </w:r>
          </w:p>
          <w:p w14:paraId="77BDA85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c.对厂区内道路进行经常性打扫和洒水，降低道路粉尘含量。</w:t>
            </w:r>
          </w:p>
          <w:p w14:paraId="1BD51B2F">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d.运输车辆在途经居民区时要求低速行驶，降低扬尘产生。</w:t>
            </w:r>
          </w:p>
          <w:p w14:paraId="788E4775">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通过对运输过程采取以上控制措施之后，可以减少道路扬尘对周边环境</w:t>
            </w:r>
          </w:p>
          <w:p w14:paraId="4F2A115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right="0"/>
              <w:jc w:val="left"/>
              <w:textAlignment w:val="auto"/>
              <w:rPr>
                <w:rFonts w:hint="eastAsia"/>
                <w:color w:val="auto"/>
                <w:sz w:val="24"/>
                <w:szCs w:val="24"/>
                <w:lang w:val="en-US" w:eastAsia="zh-CN"/>
              </w:rPr>
            </w:pPr>
            <w:r>
              <w:rPr>
                <w:rFonts w:hint="eastAsia"/>
                <w:color w:val="auto"/>
                <w:sz w:val="24"/>
                <w:szCs w:val="24"/>
                <w:lang w:val="en-US" w:eastAsia="zh-CN"/>
              </w:rPr>
              <w:t>造成的影响。</w:t>
            </w:r>
          </w:p>
          <w:p w14:paraId="7D1DA99F">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right="0" w:rightChars="0"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（4）物料储存、输送粉尘</w:t>
            </w:r>
          </w:p>
          <w:p w14:paraId="2B849A51">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right="0" w:rightChars="0" w:firstLine="480" w:firstLineChars="200"/>
              <w:jc w:val="left"/>
              <w:textAlignment w:val="auto"/>
              <w:rPr>
                <w:rFonts w:hint="default"/>
                <w:color w:val="auto"/>
                <w:sz w:val="24"/>
                <w:szCs w:val="24"/>
                <w:vertAlign w:val="baseline"/>
                <w:lang w:val="en-US" w:eastAsia="zh-CN"/>
              </w:rPr>
            </w:pPr>
            <w:r>
              <w:rPr>
                <w:rFonts w:hint="eastAsia"/>
                <w:color w:val="auto"/>
                <w:sz w:val="24"/>
                <w:szCs w:val="24"/>
                <w:lang w:val="en-US" w:eastAsia="zh-CN"/>
              </w:rPr>
              <w:t>本项目骨料堆放在项目区南侧新建荒料堆场，新建堆场占地1000m</w:t>
            </w:r>
            <w:r>
              <w:rPr>
                <w:rFonts w:hint="eastAsia"/>
                <w:color w:val="auto"/>
                <w:sz w:val="24"/>
                <w:szCs w:val="24"/>
                <w:vertAlign w:val="superscript"/>
                <w:lang w:val="en-US" w:eastAsia="zh-CN"/>
              </w:rPr>
              <w:t>2</w:t>
            </w:r>
            <w:r>
              <w:rPr>
                <w:rFonts w:hint="eastAsia"/>
                <w:color w:val="auto"/>
                <w:sz w:val="24"/>
                <w:szCs w:val="24"/>
                <w:vertAlign w:val="baseline"/>
                <w:lang w:val="en-US" w:eastAsia="zh-CN"/>
              </w:rPr>
              <w:t>，堆高不超过2m，</w:t>
            </w:r>
            <w:r>
              <w:rPr>
                <w:rFonts w:hint="eastAsia" w:ascii="Times New Roman" w:hAnsi="Times New Roman" w:eastAsia="宋体" w:cs="Times New Roman"/>
                <w:color w:val="auto"/>
                <w:sz w:val="24"/>
                <w:szCs w:val="24"/>
                <w:lang w:val="en-US" w:eastAsia="zh-CN"/>
              </w:rPr>
              <w:t>按照《工业料场堆场扬尘整治规范》（DB65/T4061-2017）中工业料堆场分类要求，本项目位于和硕经济开发区，属于一般控制区，堆场规模2000m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，和硕县平均风速2.75m/s，骨料粒径20</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100mm，确定本堆场为Ⅱ类堆场，根据《工业料场堆场扬尘整治规范》（DB65/T4061-2017）中表2工业料堆场扬尘防治方案选择参考表</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对新建</w:t>
            </w:r>
            <w:r>
              <w:rPr>
                <w:rFonts w:hint="eastAsia" w:cs="Times New Roman"/>
                <w:color w:val="auto"/>
                <w:sz w:val="24"/>
                <w:szCs w:val="24"/>
                <w:lang w:val="en-US" w:eastAsia="zh-CN"/>
              </w:rPr>
              <w:t>荒料堆场</w:t>
            </w:r>
            <w:r>
              <w:rPr>
                <w:rFonts w:hint="eastAsia" w:ascii="Times New Roman" w:hAnsi="Times New Roman" w:eastAsia="宋体" w:cs="Times New Roman"/>
                <w:color w:val="auto"/>
                <w:sz w:val="24"/>
                <w:szCs w:val="24"/>
                <w:lang w:val="en-US" w:eastAsia="zh-CN"/>
              </w:rPr>
              <w:t>采取防风抑尘网+</w:t>
            </w:r>
            <w:r>
              <w:rPr>
                <w:rFonts w:hint="eastAsia" w:cs="Times New Roman"/>
                <w:color w:val="auto"/>
                <w:sz w:val="24"/>
                <w:szCs w:val="24"/>
                <w:lang w:val="en-US" w:eastAsia="zh-CN"/>
              </w:rPr>
              <w:t>防尘网覆盖</w:t>
            </w:r>
            <w:r>
              <w:rPr>
                <w:rFonts w:hint="eastAsia" w:ascii="Times New Roman" w:hAnsi="Times New Roman" w:eastAsia="宋体" w:cs="Times New Roman"/>
                <w:color w:val="auto"/>
                <w:sz w:val="24"/>
                <w:szCs w:val="24"/>
                <w:lang w:val="en-US" w:eastAsia="zh-CN"/>
              </w:rPr>
              <w:t>的措施，可大大减少扬尘产生，减少扬尘污染对环境的影响。</w:t>
            </w:r>
          </w:p>
          <w:p w14:paraId="509C176F">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right="0" w:rightChars="0"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项目皮带输送机为全封闭式，物料输送过程粉尘产生较少，可粉尘可忽略不计。</w:t>
            </w:r>
          </w:p>
          <w:p w14:paraId="217A583B">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right="0" w:rightChars="0"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（5）汽车尾气</w:t>
            </w:r>
          </w:p>
          <w:p w14:paraId="7EAD7EDA">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right="0" w:rightChars="0" w:firstLine="480" w:firstLineChars="200"/>
              <w:jc w:val="left"/>
              <w:textAlignment w:val="auto"/>
              <w:rPr>
                <w:rFonts w:hint="default"/>
                <w:color w:val="auto"/>
                <w:sz w:val="24"/>
                <w:szCs w:val="24"/>
                <w:lang w:val="en-US" w:eastAsia="zh-CN"/>
              </w:rPr>
            </w:pPr>
            <w:r>
              <w:rPr>
                <w:rFonts w:hint="eastAsia"/>
                <w:color w:val="auto"/>
                <w:sz w:val="24"/>
                <w:szCs w:val="24"/>
                <w:lang w:val="en-US" w:eastAsia="zh-CN"/>
              </w:rPr>
              <w:t>车辆（运输挂车、叉车）、机械（装载机等）等一般采用柴油为原料，产生CO、HC、NOx等尾气污染物。车辆及机械分布较散，大部分为流动性，产生情况表现为局部和间歇性，其排放量也较小，经自然扩散后，其对大气环境影响不大。</w:t>
            </w:r>
          </w:p>
          <w:p w14:paraId="0EAFD77B">
            <w:pPr>
              <w:keepNext w:val="0"/>
              <w:keepLines w:val="0"/>
              <w:pageBreakBefore w:val="0"/>
              <w:suppressLineNumbers w:val="0"/>
              <w:kinsoku/>
              <w:wordWrap/>
              <w:overflowPunct/>
              <w:topLinePunct w:val="0"/>
              <w:bidi w:val="0"/>
              <w:spacing w:before="0" w:beforeAutospacing="0" w:after="0" w:afterAutospacing="0" w:line="360" w:lineRule="auto"/>
              <w:ind w:right="0" w:firstLine="482" w:firstLineChars="200"/>
              <w:rPr>
                <w:rFonts w:hint="default"/>
                <w:b/>
                <w:bCs/>
                <w:color w:val="auto"/>
                <w:sz w:val="24"/>
                <w:szCs w:val="24"/>
                <w:lang w:val="en-US" w:eastAsia="zh-CN"/>
              </w:rPr>
            </w:pPr>
            <w:r>
              <w:rPr>
                <w:rFonts w:hint="default"/>
                <w:b/>
                <w:bCs/>
                <w:color w:val="auto"/>
                <w:sz w:val="24"/>
                <w:szCs w:val="24"/>
                <w:lang w:val="en-US" w:eastAsia="zh-CN"/>
              </w:rPr>
              <w:t>1.</w:t>
            </w:r>
            <w:r>
              <w:rPr>
                <w:rFonts w:hint="eastAsia"/>
                <w:b/>
                <w:bCs/>
                <w:color w:val="auto"/>
                <w:sz w:val="24"/>
                <w:szCs w:val="24"/>
                <w:lang w:val="en-US" w:eastAsia="zh-CN"/>
              </w:rPr>
              <w:t>3废</w:t>
            </w:r>
            <w:r>
              <w:rPr>
                <w:rFonts w:hint="default"/>
                <w:b/>
                <w:bCs/>
                <w:color w:val="auto"/>
                <w:sz w:val="24"/>
                <w:szCs w:val="24"/>
                <w:lang w:val="en-US" w:eastAsia="zh-CN"/>
              </w:rPr>
              <w:t>气</w:t>
            </w:r>
            <w:r>
              <w:rPr>
                <w:rFonts w:hint="eastAsia"/>
                <w:b/>
                <w:bCs/>
                <w:color w:val="auto"/>
                <w:sz w:val="24"/>
                <w:szCs w:val="24"/>
                <w:lang w:val="en-US" w:eastAsia="zh-CN"/>
              </w:rPr>
              <w:t>自行监测</w:t>
            </w:r>
          </w:p>
          <w:p w14:paraId="63D716FF">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rPr>
                <w:rFonts w:hint="default"/>
                <w:color w:val="auto"/>
                <w:sz w:val="24"/>
                <w:szCs w:val="24"/>
              </w:rPr>
            </w:pPr>
            <w:r>
              <w:rPr>
                <w:rFonts w:hint="default"/>
                <w:color w:val="auto"/>
                <w:sz w:val="24"/>
                <w:szCs w:val="24"/>
              </w:rPr>
              <w:t>根据《排污单位自行监测技术指南总则》（HJ819-2017）以及</w:t>
            </w:r>
            <w:r>
              <w:rPr>
                <w:rFonts w:hint="default"/>
                <w:color w:val="auto"/>
                <w:sz w:val="24"/>
                <w:szCs w:val="24"/>
                <w:lang w:val="en-US" w:eastAsia="zh-CN"/>
              </w:rPr>
              <w:t>《排污许可证申请与核发技术规范</w:t>
            </w:r>
            <w:r>
              <w:rPr>
                <w:rFonts w:hint="eastAsia"/>
                <w:color w:val="auto"/>
                <w:sz w:val="24"/>
                <w:szCs w:val="24"/>
                <w:lang w:val="en-US" w:eastAsia="zh-CN"/>
              </w:rPr>
              <w:t>陶瓷砖瓦工业</w:t>
            </w:r>
            <w:r>
              <w:rPr>
                <w:rFonts w:hint="default"/>
                <w:color w:val="auto"/>
                <w:sz w:val="24"/>
                <w:szCs w:val="24"/>
                <w:lang w:val="en-US" w:eastAsia="zh-CN"/>
              </w:rPr>
              <w:t>》（HJ</w:t>
            </w:r>
            <w:r>
              <w:rPr>
                <w:rFonts w:hint="eastAsia"/>
                <w:color w:val="auto"/>
                <w:sz w:val="24"/>
                <w:szCs w:val="24"/>
                <w:lang w:val="en-US" w:eastAsia="zh-CN"/>
              </w:rPr>
              <w:t>954</w:t>
            </w:r>
            <w:r>
              <w:rPr>
                <w:rFonts w:hint="default"/>
                <w:color w:val="auto"/>
                <w:sz w:val="24"/>
                <w:szCs w:val="24"/>
                <w:lang w:val="en-US" w:eastAsia="zh-CN"/>
              </w:rPr>
              <w:t>-20</w:t>
            </w:r>
            <w:r>
              <w:rPr>
                <w:rFonts w:hint="eastAsia"/>
                <w:color w:val="auto"/>
                <w:sz w:val="24"/>
                <w:szCs w:val="24"/>
                <w:lang w:val="en-US" w:eastAsia="zh-CN"/>
              </w:rPr>
              <w:t>18</w:t>
            </w:r>
            <w:r>
              <w:rPr>
                <w:rFonts w:hint="default"/>
                <w:color w:val="auto"/>
                <w:sz w:val="24"/>
                <w:szCs w:val="24"/>
                <w:lang w:val="en-US" w:eastAsia="zh-CN"/>
              </w:rPr>
              <w:t>）</w:t>
            </w:r>
            <w:r>
              <w:rPr>
                <w:rFonts w:hint="default"/>
                <w:color w:val="auto"/>
                <w:sz w:val="24"/>
                <w:szCs w:val="24"/>
              </w:rPr>
              <w:t>的要求，本项目大气监测计划如下：</w:t>
            </w:r>
          </w:p>
          <w:p w14:paraId="1DA8D1E8">
            <w:pPr>
              <w:pStyle w:val="62"/>
              <w:keepNext w:val="0"/>
              <w:keepLines w:val="0"/>
              <w:pageBreakBefore w:val="0"/>
              <w:widowControl w:val="0"/>
              <w:suppressLineNumbers w:val="0"/>
              <w:tabs>
                <w:tab w:val="left" w:pos="2850"/>
                <w:tab w:val="left" w:pos="3918"/>
              </w:tabs>
              <w:kinsoku/>
              <w:wordWrap/>
              <w:overflowPunct/>
              <w:topLinePunct w:val="0"/>
              <w:autoSpaceDE/>
              <w:autoSpaceDN/>
              <w:bidi w:val="0"/>
              <w:adjustRightInd/>
              <w:snapToGrid/>
              <w:spacing w:before="0" w:beforeLines="0" w:after="0" w:afterAutospacing="0" w:line="500" w:lineRule="exact"/>
              <w:ind w:left="0" w:right="0" w:firstLine="482" w:firstLineChars="200"/>
              <w:jc w:val="center"/>
              <w:textAlignment w:val="auto"/>
              <w:outlineLvl w:val="9"/>
              <w:rPr>
                <w:rFonts w:hint="default"/>
                <w:color w:val="auto"/>
                <w:sz w:val="24"/>
                <w:szCs w:val="24"/>
                <w:lang w:val="en-US" w:eastAsia="zh-CN"/>
              </w:rPr>
            </w:pPr>
            <w:r>
              <w:rPr>
                <w:rFonts w:hint="default"/>
                <w:color w:val="auto"/>
                <w:sz w:val="24"/>
                <w:szCs w:val="24"/>
                <w:lang w:val="en-US" w:eastAsia="zh-CN"/>
              </w:rPr>
              <w:t>表4-</w:t>
            </w:r>
            <w:r>
              <w:rPr>
                <w:rFonts w:hint="eastAsia"/>
                <w:color w:val="auto"/>
                <w:sz w:val="24"/>
                <w:szCs w:val="24"/>
                <w:lang w:val="en-US" w:eastAsia="zh-CN"/>
              </w:rPr>
              <w:t>5  环境监测计划</w:t>
            </w:r>
          </w:p>
          <w:tbl>
            <w:tblPr>
              <w:tblStyle w:val="24"/>
              <w:tblW w:w="4998"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1337"/>
              <w:gridCol w:w="1089"/>
              <w:gridCol w:w="1115"/>
              <w:gridCol w:w="3265"/>
            </w:tblGrid>
            <w:tr w14:paraId="4435EE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noWrap w:val="0"/>
                  <w:vAlign w:val="center"/>
                </w:tcPr>
                <w:p w14:paraId="0BB07B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eastAsia="zh-CN"/>
                    </w:rPr>
                  </w:pPr>
                  <w:r>
                    <w:rPr>
                      <w:rFonts w:hint="default"/>
                      <w:color w:val="auto"/>
                      <w:sz w:val="21"/>
                      <w:szCs w:val="21"/>
                      <w:lang w:eastAsia="zh-CN"/>
                    </w:rPr>
                    <w:t>监测点位</w:t>
                  </w:r>
                </w:p>
              </w:tc>
              <w:tc>
                <w:tcPr>
                  <w:tcW w:w="841" w:type="pct"/>
                  <w:noWrap w:val="0"/>
                  <w:vAlign w:val="center"/>
                </w:tcPr>
                <w:p w14:paraId="32F36C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eastAsia="zh-CN"/>
                    </w:rPr>
                  </w:pPr>
                  <w:r>
                    <w:rPr>
                      <w:rFonts w:hint="default"/>
                      <w:color w:val="auto"/>
                      <w:sz w:val="21"/>
                      <w:szCs w:val="21"/>
                    </w:rPr>
                    <w:t>监测</w:t>
                  </w:r>
                  <w:r>
                    <w:rPr>
                      <w:rFonts w:hint="default"/>
                      <w:color w:val="auto"/>
                      <w:sz w:val="21"/>
                      <w:szCs w:val="21"/>
                      <w:lang w:eastAsia="zh-CN"/>
                    </w:rPr>
                    <w:t>指标</w:t>
                  </w:r>
                </w:p>
              </w:tc>
              <w:tc>
                <w:tcPr>
                  <w:tcW w:w="685" w:type="pct"/>
                  <w:noWrap w:val="0"/>
                  <w:vAlign w:val="center"/>
                </w:tcPr>
                <w:p w14:paraId="46D22E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eastAsia="zh-CN"/>
                    </w:rPr>
                  </w:pPr>
                  <w:r>
                    <w:rPr>
                      <w:rFonts w:hint="default"/>
                      <w:color w:val="auto"/>
                      <w:sz w:val="21"/>
                      <w:szCs w:val="21"/>
                    </w:rPr>
                    <w:t>监测</w:t>
                  </w:r>
                  <w:r>
                    <w:rPr>
                      <w:rFonts w:hint="default"/>
                      <w:color w:val="auto"/>
                      <w:sz w:val="21"/>
                      <w:szCs w:val="21"/>
                      <w:lang w:eastAsia="zh-CN"/>
                    </w:rPr>
                    <w:t>方式</w:t>
                  </w:r>
                </w:p>
              </w:tc>
              <w:tc>
                <w:tcPr>
                  <w:tcW w:w="701" w:type="pct"/>
                  <w:noWrap w:val="0"/>
                  <w:vAlign w:val="center"/>
                </w:tcPr>
                <w:p w14:paraId="61823C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rPr>
                  </w:pPr>
                  <w:r>
                    <w:rPr>
                      <w:rFonts w:hint="default"/>
                      <w:color w:val="auto"/>
                      <w:sz w:val="21"/>
                      <w:szCs w:val="21"/>
                    </w:rPr>
                    <w:t>监测频次</w:t>
                  </w:r>
                </w:p>
              </w:tc>
              <w:tc>
                <w:tcPr>
                  <w:tcW w:w="2055" w:type="pct"/>
                  <w:noWrap w:val="0"/>
                  <w:vAlign w:val="center"/>
                </w:tcPr>
                <w:p w14:paraId="171476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rPr>
                  </w:pPr>
                  <w:r>
                    <w:rPr>
                      <w:rFonts w:hint="default"/>
                      <w:color w:val="auto"/>
                      <w:sz w:val="21"/>
                      <w:szCs w:val="21"/>
                    </w:rPr>
                    <w:t>执行标准</w:t>
                  </w:r>
                </w:p>
              </w:tc>
            </w:tr>
            <w:tr w14:paraId="6D69BB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715" w:type="pct"/>
                  <w:noWrap w:val="0"/>
                  <w:vAlign w:val="center"/>
                </w:tcPr>
                <w:p w14:paraId="686C42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DA001</w:t>
                  </w:r>
                </w:p>
              </w:tc>
              <w:tc>
                <w:tcPr>
                  <w:tcW w:w="841" w:type="pct"/>
                  <w:noWrap w:val="0"/>
                  <w:vAlign w:val="center"/>
                </w:tcPr>
                <w:p w14:paraId="2D240F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颗粒物</w:t>
                  </w:r>
                </w:p>
              </w:tc>
              <w:tc>
                <w:tcPr>
                  <w:tcW w:w="685" w:type="pct"/>
                  <w:noWrap w:val="0"/>
                  <w:vAlign w:val="center"/>
                </w:tcPr>
                <w:p w14:paraId="3F6E40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rPr>
                  </w:pPr>
                  <w:r>
                    <w:rPr>
                      <w:rFonts w:hint="default"/>
                      <w:color w:val="auto"/>
                      <w:sz w:val="21"/>
                      <w:szCs w:val="21"/>
                    </w:rPr>
                    <w:t>手工监测</w:t>
                  </w:r>
                </w:p>
              </w:tc>
              <w:tc>
                <w:tcPr>
                  <w:tcW w:w="701" w:type="pct"/>
                  <w:noWrap w:val="0"/>
                  <w:vAlign w:val="center"/>
                </w:tcPr>
                <w:p w14:paraId="060CD5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年/次</w:t>
                  </w:r>
                </w:p>
              </w:tc>
              <w:tc>
                <w:tcPr>
                  <w:tcW w:w="2055" w:type="pct"/>
                  <w:vMerge w:val="restart"/>
                  <w:noWrap w:val="0"/>
                  <w:vAlign w:val="center"/>
                </w:tcPr>
                <w:p w14:paraId="5B6A30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eastAsia="zh-CN"/>
                    </w:rPr>
                    <w:t>《</w:t>
                  </w:r>
                  <w:r>
                    <w:rPr>
                      <w:rFonts w:hint="eastAsia"/>
                      <w:color w:val="auto"/>
                      <w:sz w:val="21"/>
                      <w:szCs w:val="21"/>
                      <w:lang w:val="en-US" w:eastAsia="zh-CN"/>
                    </w:rPr>
                    <w:t>大气污染物综合排放标准</w:t>
                  </w:r>
                  <w:r>
                    <w:rPr>
                      <w:rFonts w:hint="eastAsia"/>
                      <w:color w:val="auto"/>
                      <w:sz w:val="21"/>
                      <w:szCs w:val="21"/>
                      <w:lang w:eastAsia="zh-CN"/>
                    </w:rPr>
                    <w:t>》（</w:t>
                  </w:r>
                  <w:r>
                    <w:rPr>
                      <w:rFonts w:hint="eastAsia"/>
                      <w:color w:val="auto"/>
                      <w:sz w:val="21"/>
                      <w:szCs w:val="21"/>
                      <w:lang w:val="en-US" w:eastAsia="zh-CN"/>
                    </w:rPr>
                    <w:t>GB16297-1996</w:t>
                  </w:r>
                  <w:r>
                    <w:rPr>
                      <w:rFonts w:hint="eastAsia"/>
                      <w:color w:val="auto"/>
                      <w:sz w:val="21"/>
                      <w:szCs w:val="21"/>
                      <w:lang w:eastAsia="zh-CN"/>
                    </w:rPr>
                    <w:t>）</w:t>
                  </w:r>
                  <w:r>
                    <w:rPr>
                      <w:rFonts w:hint="eastAsia"/>
                      <w:color w:val="auto"/>
                      <w:sz w:val="21"/>
                      <w:szCs w:val="21"/>
                      <w:lang w:val="en-US" w:eastAsia="zh-CN"/>
                    </w:rPr>
                    <w:t>表2二级标准</w:t>
                  </w:r>
                </w:p>
              </w:tc>
            </w:tr>
            <w:tr w14:paraId="4AF733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715" w:type="pct"/>
                  <w:noWrap w:val="0"/>
                  <w:vAlign w:val="center"/>
                </w:tcPr>
                <w:p w14:paraId="2B59D3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DA002</w:t>
                  </w:r>
                </w:p>
              </w:tc>
              <w:tc>
                <w:tcPr>
                  <w:tcW w:w="841" w:type="pct"/>
                  <w:noWrap w:val="0"/>
                  <w:vAlign w:val="center"/>
                </w:tcPr>
                <w:p w14:paraId="382B89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颗粒物</w:t>
                  </w:r>
                </w:p>
              </w:tc>
              <w:tc>
                <w:tcPr>
                  <w:tcW w:w="685" w:type="pct"/>
                  <w:noWrap w:val="0"/>
                  <w:vAlign w:val="center"/>
                </w:tcPr>
                <w:p w14:paraId="4A4867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default"/>
                      <w:color w:val="auto"/>
                      <w:sz w:val="21"/>
                      <w:szCs w:val="21"/>
                    </w:rPr>
                    <w:t>手工监测</w:t>
                  </w:r>
                </w:p>
              </w:tc>
              <w:tc>
                <w:tcPr>
                  <w:tcW w:w="701" w:type="pct"/>
                  <w:noWrap w:val="0"/>
                  <w:vAlign w:val="center"/>
                </w:tcPr>
                <w:p w14:paraId="17F328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年/次</w:t>
                  </w:r>
                </w:p>
              </w:tc>
              <w:tc>
                <w:tcPr>
                  <w:tcW w:w="2055" w:type="pct"/>
                  <w:vMerge w:val="continue"/>
                  <w:noWrap w:val="0"/>
                  <w:vAlign w:val="center"/>
                </w:tcPr>
                <w:p w14:paraId="0B0CEC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color w:val="auto"/>
                      <w:sz w:val="21"/>
                      <w:szCs w:val="21"/>
                      <w:lang w:val="en-US" w:eastAsia="zh-CN"/>
                    </w:rPr>
                  </w:pPr>
                </w:p>
              </w:tc>
            </w:tr>
            <w:tr w14:paraId="54BD0B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715" w:type="pct"/>
                  <w:noWrap w:val="0"/>
                  <w:vAlign w:val="center"/>
                </w:tcPr>
                <w:p w14:paraId="3759E9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DA003</w:t>
                  </w:r>
                </w:p>
              </w:tc>
              <w:tc>
                <w:tcPr>
                  <w:tcW w:w="841" w:type="pct"/>
                  <w:noWrap w:val="0"/>
                  <w:vAlign w:val="center"/>
                </w:tcPr>
                <w:p w14:paraId="6B72B3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颗粒物</w:t>
                  </w:r>
                </w:p>
              </w:tc>
              <w:tc>
                <w:tcPr>
                  <w:tcW w:w="685" w:type="pct"/>
                  <w:noWrap w:val="0"/>
                  <w:vAlign w:val="center"/>
                </w:tcPr>
                <w:p w14:paraId="053DBB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default"/>
                      <w:color w:val="auto"/>
                      <w:sz w:val="21"/>
                      <w:szCs w:val="21"/>
                    </w:rPr>
                    <w:t>手工监测</w:t>
                  </w:r>
                </w:p>
              </w:tc>
              <w:tc>
                <w:tcPr>
                  <w:tcW w:w="701" w:type="pct"/>
                  <w:noWrap w:val="0"/>
                  <w:vAlign w:val="center"/>
                </w:tcPr>
                <w:p w14:paraId="77B1D5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年/次</w:t>
                  </w:r>
                </w:p>
              </w:tc>
              <w:tc>
                <w:tcPr>
                  <w:tcW w:w="2055" w:type="pct"/>
                  <w:vMerge w:val="continue"/>
                  <w:noWrap w:val="0"/>
                  <w:vAlign w:val="center"/>
                </w:tcPr>
                <w:p w14:paraId="0D4F9B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color w:val="auto"/>
                      <w:sz w:val="21"/>
                      <w:szCs w:val="21"/>
                      <w:lang w:val="en-US" w:eastAsia="zh-CN"/>
                    </w:rPr>
                  </w:pPr>
                </w:p>
              </w:tc>
            </w:tr>
            <w:tr w14:paraId="7CFD65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Merge w:val="restart"/>
                  <w:noWrap w:val="0"/>
                  <w:vAlign w:val="center"/>
                </w:tcPr>
                <w:p w14:paraId="26AD2B49">
                  <w:pPr>
                    <w:pStyle w:val="19"/>
                    <w:ind w:left="0" w:leftChars="0" w:firstLine="0" w:firstLineChars="0"/>
                    <w:jc w:val="center"/>
                    <w:rPr>
                      <w:rFonts w:hint="default"/>
                      <w:color w:val="auto"/>
                      <w:lang w:val="en-US" w:eastAsia="zh-CN"/>
                    </w:rPr>
                  </w:pPr>
                  <w:r>
                    <w:rPr>
                      <w:rFonts w:hint="eastAsia"/>
                      <w:color w:val="auto"/>
                      <w:lang w:val="en-US" w:eastAsia="zh-CN"/>
                    </w:rPr>
                    <w:t>DA004</w:t>
                  </w:r>
                </w:p>
              </w:tc>
              <w:tc>
                <w:tcPr>
                  <w:tcW w:w="841" w:type="pct"/>
                  <w:noWrap w:val="0"/>
                  <w:vAlign w:val="center"/>
                </w:tcPr>
                <w:p w14:paraId="1F9C59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default"/>
                      <w:color w:val="auto"/>
                      <w:sz w:val="21"/>
                      <w:szCs w:val="21"/>
                      <w:lang w:val="en-US" w:eastAsia="zh-CN"/>
                    </w:rPr>
                    <w:t>非甲烷总烃</w:t>
                  </w:r>
                </w:p>
              </w:tc>
              <w:tc>
                <w:tcPr>
                  <w:tcW w:w="685" w:type="pct"/>
                  <w:noWrap w:val="0"/>
                  <w:vAlign w:val="center"/>
                </w:tcPr>
                <w:p w14:paraId="44988D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rPr>
                  </w:pPr>
                  <w:r>
                    <w:rPr>
                      <w:rFonts w:hint="default"/>
                      <w:color w:val="auto"/>
                      <w:sz w:val="21"/>
                      <w:szCs w:val="21"/>
                    </w:rPr>
                    <w:t>手工监测</w:t>
                  </w:r>
                </w:p>
              </w:tc>
              <w:tc>
                <w:tcPr>
                  <w:tcW w:w="701" w:type="pct"/>
                  <w:noWrap w:val="0"/>
                  <w:vAlign w:val="center"/>
                </w:tcPr>
                <w:p w14:paraId="6A59D9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rPr>
                  </w:pPr>
                  <w:r>
                    <w:rPr>
                      <w:rFonts w:hint="eastAsia"/>
                      <w:color w:val="auto"/>
                      <w:sz w:val="21"/>
                      <w:szCs w:val="21"/>
                      <w:lang w:val="en-US" w:eastAsia="zh-CN"/>
                    </w:rPr>
                    <w:t>半年/次</w:t>
                  </w:r>
                </w:p>
              </w:tc>
              <w:tc>
                <w:tcPr>
                  <w:tcW w:w="2055" w:type="pct"/>
                  <w:vMerge w:val="continue"/>
                  <w:noWrap w:val="0"/>
                  <w:vAlign w:val="center"/>
                </w:tcPr>
                <w:p w14:paraId="05EB23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rPr>
                  </w:pPr>
                </w:p>
              </w:tc>
            </w:tr>
            <w:tr w14:paraId="27AA52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Merge w:val="continue"/>
                  <w:noWrap w:val="0"/>
                  <w:vAlign w:val="center"/>
                </w:tcPr>
                <w:p w14:paraId="2BF6FA9A">
                  <w:pPr>
                    <w:pStyle w:val="19"/>
                    <w:ind w:left="0" w:leftChars="0" w:firstLine="0" w:firstLineChars="0"/>
                    <w:jc w:val="center"/>
                    <w:rPr>
                      <w:rFonts w:hint="eastAsia"/>
                      <w:color w:val="auto"/>
                      <w:lang w:val="en-US" w:eastAsia="zh-CN"/>
                    </w:rPr>
                  </w:pPr>
                </w:p>
              </w:tc>
              <w:tc>
                <w:tcPr>
                  <w:tcW w:w="841" w:type="pct"/>
                  <w:noWrap w:val="0"/>
                  <w:vAlign w:val="center"/>
                </w:tcPr>
                <w:p w14:paraId="2EBF51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颗粒物</w:t>
                  </w:r>
                </w:p>
              </w:tc>
              <w:tc>
                <w:tcPr>
                  <w:tcW w:w="685" w:type="pct"/>
                  <w:noWrap w:val="0"/>
                  <w:vAlign w:val="center"/>
                </w:tcPr>
                <w:p w14:paraId="657B60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rPr>
                  </w:pPr>
                  <w:r>
                    <w:rPr>
                      <w:rFonts w:hint="default"/>
                      <w:color w:val="auto"/>
                      <w:sz w:val="21"/>
                      <w:szCs w:val="21"/>
                    </w:rPr>
                    <w:t>手工监测</w:t>
                  </w:r>
                </w:p>
              </w:tc>
              <w:tc>
                <w:tcPr>
                  <w:tcW w:w="701" w:type="pct"/>
                  <w:noWrap w:val="0"/>
                  <w:vAlign w:val="center"/>
                </w:tcPr>
                <w:p w14:paraId="068931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年/次</w:t>
                  </w:r>
                </w:p>
              </w:tc>
              <w:tc>
                <w:tcPr>
                  <w:tcW w:w="2055" w:type="pct"/>
                  <w:vMerge w:val="continue"/>
                  <w:noWrap w:val="0"/>
                  <w:vAlign w:val="center"/>
                </w:tcPr>
                <w:p w14:paraId="07F5AB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rPr>
                  </w:pPr>
                </w:p>
              </w:tc>
            </w:tr>
            <w:tr w14:paraId="0D7865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Merge w:val="continue"/>
                  <w:noWrap w:val="0"/>
                  <w:vAlign w:val="center"/>
                </w:tcPr>
                <w:p w14:paraId="5A48AD1A">
                  <w:pPr>
                    <w:pStyle w:val="19"/>
                    <w:ind w:left="0" w:leftChars="0" w:firstLine="0" w:firstLineChars="0"/>
                    <w:jc w:val="center"/>
                    <w:rPr>
                      <w:rFonts w:hint="eastAsia"/>
                      <w:color w:val="auto"/>
                      <w:lang w:val="en-US" w:eastAsia="zh-CN"/>
                    </w:rPr>
                  </w:pPr>
                </w:p>
              </w:tc>
              <w:tc>
                <w:tcPr>
                  <w:tcW w:w="841" w:type="pct"/>
                  <w:noWrap w:val="0"/>
                  <w:vAlign w:val="center"/>
                </w:tcPr>
                <w:p w14:paraId="59E93C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臭气浓度</w:t>
                  </w:r>
                </w:p>
              </w:tc>
              <w:tc>
                <w:tcPr>
                  <w:tcW w:w="685" w:type="pct"/>
                  <w:noWrap w:val="0"/>
                  <w:vAlign w:val="center"/>
                </w:tcPr>
                <w:p w14:paraId="7252E7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rPr>
                  </w:pPr>
                  <w:r>
                    <w:rPr>
                      <w:rFonts w:hint="default"/>
                      <w:color w:val="auto"/>
                      <w:sz w:val="21"/>
                      <w:szCs w:val="21"/>
                    </w:rPr>
                    <w:t>手工监测</w:t>
                  </w:r>
                </w:p>
              </w:tc>
              <w:tc>
                <w:tcPr>
                  <w:tcW w:w="701" w:type="pct"/>
                  <w:noWrap w:val="0"/>
                  <w:vAlign w:val="center"/>
                </w:tcPr>
                <w:p w14:paraId="453B23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年/次</w:t>
                  </w:r>
                </w:p>
              </w:tc>
              <w:tc>
                <w:tcPr>
                  <w:tcW w:w="2055" w:type="pct"/>
                  <w:vMerge w:val="restart"/>
                  <w:noWrap w:val="0"/>
                  <w:vAlign w:val="center"/>
                </w:tcPr>
                <w:p w14:paraId="4E3D87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eastAsia="zh-CN"/>
                    </w:rPr>
                  </w:pPr>
                  <w:r>
                    <w:rPr>
                      <w:rFonts w:hint="default"/>
                      <w:color w:val="auto"/>
                      <w:sz w:val="21"/>
                      <w:szCs w:val="21"/>
                      <w:lang w:val="en-US" w:eastAsia="zh-CN"/>
                    </w:rPr>
                    <w:t>《恶臭污染物排放标准》（GB14554-93）表2恶</w:t>
                  </w:r>
                </w:p>
                <w:p w14:paraId="3AC155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rPr>
                  </w:pPr>
                  <w:r>
                    <w:rPr>
                      <w:rFonts w:hint="default"/>
                      <w:color w:val="auto"/>
                      <w:sz w:val="21"/>
                      <w:szCs w:val="21"/>
                      <w:lang w:val="en-US" w:eastAsia="zh-CN"/>
                    </w:rPr>
                    <w:t>臭污染物排放标准值</w:t>
                  </w:r>
                </w:p>
              </w:tc>
            </w:tr>
            <w:tr w14:paraId="08C430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Merge w:val="continue"/>
                  <w:noWrap w:val="0"/>
                  <w:vAlign w:val="center"/>
                </w:tcPr>
                <w:p w14:paraId="699F1009">
                  <w:pPr>
                    <w:pStyle w:val="19"/>
                    <w:ind w:left="0" w:leftChars="0" w:firstLine="0" w:firstLineChars="0"/>
                    <w:jc w:val="center"/>
                    <w:rPr>
                      <w:rFonts w:hint="eastAsia"/>
                      <w:color w:val="auto"/>
                      <w:lang w:val="en-US" w:eastAsia="zh-CN"/>
                    </w:rPr>
                  </w:pPr>
                </w:p>
              </w:tc>
              <w:tc>
                <w:tcPr>
                  <w:tcW w:w="841" w:type="pct"/>
                  <w:noWrap w:val="0"/>
                  <w:vAlign w:val="center"/>
                </w:tcPr>
                <w:p w14:paraId="025ED1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苯乙烯</w:t>
                  </w:r>
                </w:p>
              </w:tc>
              <w:tc>
                <w:tcPr>
                  <w:tcW w:w="685" w:type="pct"/>
                  <w:noWrap w:val="0"/>
                  <w:vAlign w:val="center"/>
                </w:tcPr>
                <w:p w14:paraId="1067B0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rPr>
                  </w:pPr>
                  <w:r>
                    <w:rPr>
                      <w:rFonts w:hint="default"/>
                      <w:color w:val="auto"/>
                      <w:sz w:val="21"/>
                      <w:szCs w:val="21"/>
                    </w:rPr>
                    <w:t>手工监测</w:t>
                  </w:r>
                </w:p>
              </w:tc>
              <w:tc>
                <w:tcPr>
                  <w:tcW w:w="701" w:type="pct"/>
                  <w:noWrap w:val="0"/>
                  <w:vAlign w:val="center"/>
                </w:tcPr>
                <w:p w14:paraId="796AEE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年/次</w:t>
                  </w:r>
                </w:p>
              </w:tc>
              <w:tc>
                <w:tcPr>
                  <w:tcW w:w="2055" w:type="pct"/>
                  <w:vMerge w:val="continue"/>
                  <w:noWrap w:val="0"/>
                  <w:vAlign w:val="center"/>
                </w:tcPr>
                <w:p w14:paraId="7D7404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rPr>
                  </w:pPr>
                </w:p>
              </w:tc>
            </w:tr>
            <w:tr w14:paraId="21F20C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noWrap w:val="0"/>
                  <w:vAlign w:val="center"/>
                </w:tcPr>
                <w:p w14:paraId="7D21CD10">
                  <w:pPr>
                    <w:pStyle w:val="19"/>
                    <w:ind w:left="0" w:leftChars="0" w:firstLine="0" w:firstLineChars="0"/>
                    <w:jc w:val="center"/>
                    <w:rPr>
                      <w:rFonts w:hint="default"/>
                      <w:color w:val="auto"/>
                      <w:lang w:val="en-US" w:eastAsia="zh-CN"/>
                    </w:rPr>
                  </w:pPr>
                  <w:r>
                    <w:rPr>
                      <w:rFonts w:hint="eastAsia"/>
                      <w:color w:val="auto"/>
                      <w:lang w:val="en-US" w:eastAsia="zh-CN"/>
                    </w:rPr>
                    <w:t>厂界内</w:t>
                  </w:r>
                </w:p>
              </w:tc>
              <w:tc>
                <w:tcPr>
                  <w:tcW w:w="841" w:type="pct"/>
                  <w:noWrap w:val="0"/>
                  <w:vAlign w:val="center"/>
                </w:tcPr>
                <w:p w14:paraId="25F5DC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default"/>
                      <w:color w:val="auto"/>
                      <w:sz w:val="21"/>
                      <w:szCs w:val="21"/>
                      <w:lang w:val="en-US" w:eastAsia="zh-CN"/>
                    </w:rPr>
                    <w:t>非甲烷总烃</w:t>
                  </w:r>
                </w:p>
              </w:tc>
              <w:tc>
                <w:tcPr>
                  <w:tcW w:w="685" w:type="pct"/>
                  <w:noWrap w:val="0"/>
                  <w:vAlign w:val="center"/>
                </w:tcPr>
                <w:p w14:paraId="51065A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rPr>
                  </w:pPr>
                  <w:r>
                    <w:rPr>
                      <w:rFonts w:hint="default"/>
                      <w:color w:val="auto"/>
                      <w:sz w:val="21"/>
                      <w:szCs w:val="21"/>
                    </w:rPr>
                    <w:t>手工监测</w:t>
                  </w:r>
                </w:p>
              </w:tc>
              <w:tc>
                <w:tcPr>
                  <w:tcW w:w="701" w:type="pct"/>
                  <w:noWrap w:val="0"/>
                  <w:vAlign w:val="center"/>
                </w:tcPr>
                <w:p w14:paraId="0D0559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年/次</w:t>
                  </w:r>
                </w:p>
              </w:tc>
              <w:tc>
                <w:tcPr>
                  <w:tcW w:w="2055" w:type="pct"/>
                  <w:noWrap w:val="0"/>
                  <w:vAlign w:val="center"/>
                </w:tcPr>
                <w:p w14:paraId="5FCB56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rPr>
                  </w:pPr>
                  <w:r>
                    <w:rPr>
                      <w:rFonts w:hint="default"/>
                      <w:color w:val="auto"/>
                      <w:sz w:val="21"/>
                      <w:szCs w:val="21"/>
                      <w:lang w:val="en-US" w:eastAsia="zh-CN"/>
                    </w:rPr>
                    <w:t>《挥发性有机物无组织排放控制标准》（GB37822-2019）附录A.1</w:t>
                  </w:r>
                </w:p>
              </w:tc>
            </w:tr>
            <w:tr w14:paraId="634716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Merge w:val="restart"/>
                  <w:noWrap w:val="0"/>
                  <w:vAlign w:val="center"/>
                </w:tcPr>
                <w:p w14:paraId="0DA17EA5">
                  <w:pPr>
                    <w:pStyle w:val="19"/>
                    <w:ind w:left="0" w:leftChars="0" w:firstLine="0" w:firstLineChars="0"/>
                    <w:jc w:val="center"/>
                    <w:rPr>
                      <w:rFonts w:hint="default"/>
                      <w:color w:val="auto"/>
                      <w:lang w:val="en-US" w:eastAsia="zh-CN"/>
                    </w:rPr>
                  </w:pPr>
                  <w:r>
                    <w:rPr>
                      <w:rFonts w:hint="eastAsia"/>
                      <w:color w:val="auto"/>
                      <w:lang w:val="en-US" w:eastAsia="zh-CN"/>
                    </w:rPr>
                    <w:t>厂界</w:t>
                  </w:r>
                </w:p>
              </w:tc>
              <w:tc>
                <w:tcPr>
                  <w:tcW w:w="841" w:type="pct"/>
                  <w:noWrap w:val="0"/>
                  <w:vAlign w:val="center"/>
                </w:tcPr>
                <w:p w14:paraId="6993FF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颗粒物</w:t>
                  </w:r>
                </w:p>
              </w:tc>
              <w:tc>
                <w:tcPr>
                  <w:tcW w:w="685" w:type="pct"/>
                  <w:noWrap w:val="0"/>
                  <w:vAlign w:val="center"/>
                </w:tcPr>
                <w:p w14:paraId="5727AF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rPr>
                  </w:pPr>
                  <w:r>
                    <w:rPr>
                      <w:rFonts w:hint="default"/>
                      <w:color w:val="auto"/>
                      <w:sz w:val="21"/>
                      <w:szCs w:val="21"/>
                    </w:rPr>
                    <w:t>手工监测</w:t>
                  </w:r>
                </w:p>
              </w:tc>
              <w:tc>
                <w:tcPr>
                  <w:tcW w:w="701" w:type="pct"/>
                  <w:noWrap w:val="0"/>
                  <w:vAlign w:val="center"/>
                </w:tcPr>
                <w:p w14:paraId="2C3C7E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年/次</w:t>
                  </w:r>
                </w:p>
              </w:tc>
              <w:tc>
                <w:tcPr>
                  <w:tcW w:w="2055" w:type="pct"/>
                  <w:vMerge w:val="restart"/>
                  <w:noWrap w:val="0"/>
                  <w:vAlign w:val="center"/>
                </w:tcPr>
                <w:p w14:paraId="43F0B3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rPr>
                  </w:pPr>
                  <w:r>
                    <w:rPr>
                      <w:rFonts w:hint="default"/>
                      <w:color w:val="auto"/>
                      <w:sz w:val="21"/>
                      <w:szCs w:val="21"/>
                      <w:lang w:val="en-US" w:eastAsia="zh-CN"/>
                    </w:rPr>
                    <w:t>《大气污染物综合排放标准》（GB16297-1996）</w:t>
                  </w:r>
                </w:p>
                <w:p w14:paraId="244D7F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rPr>
                  </w:pPr>
                  <w:r>
                    <w:rPr>
                      <w:rFonts w:hint="default"/>
                      <w:color w:val="auto"/>
                      <w:sz w:val="21"/>
                      <w:szCs w:val="21"/>
                      <w:lang w:val="en-US" w:eastAsia="zh-CN"/>
                    </w:rPr>
                    <w:t>表2无组织排放监控浓度限值</w:t>
                  </w:r>
                </w:p>
              </w:tc>
            </w:tr>
            <w:tr w14:paraId="62D4DA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Merge w:val="continue"/>
                  <w:noWrap w:val="0"/>
                  <w:vAlign w:val="center"/>
                </w:tcPr>
                <w:p w14:paraId="4B82A0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p>
              </w:tc>
              <w:tc>
                <w:tcPr>
                  <w:tcW w:w="841" w:type="pct"/>
                  <w:noWrap w:val="0"/>
                  <w:vAlign w:val="center"/>
                </w:tcPr>
                <w:p w14:paraId="37347A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default"/>
                      <w:color w:val="auto"/>
                      <w:sz w:val="21"/>
                      <w:szCs w:val="21"/>
                      <w:lang w:val="en-US" w:eastAsia="zh-CN"/>
                    </w:rPr>
                    <w:t>非甲烷总烃</w:t>
                  </w:r>
                </w:p>
              </w:tc>
              <w:tc>
                <w:tcPr>
                  <w:tcW w:w="685" w:type="pct"/>
                  <w:noWrap w:val="0"/>
                  <w:vAlign w:val="center"/>
                </w:tcPr>
                <w:p w14:paraId="048606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rPr>
                  </w:pPr>
                  <w:r>
                    <w:rPr>
                      <w:rFonts w:hint="default"/>
                      <w:color w:val="auto"/>
                      <w:sz w:val="21"/>
                      <w:szCs w:val="21"/>
                    </w:rPr>
                    <w:t>手工监测</w:t>
                  </w:r>
                </w:p>
              </w:tc>
              <w:tc>
                <w:tcPr>
                  <w:tcW w:w="701" w:type="pct"/>
                  <w:noWrap w:val="0"/>
                  <w:vAlign w:val="center"/>
                </w:tcPr>
                <w:p w14:paraId="481C2F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年/次</w:t>
                  </w:r>
                </w:p>
              </w:tc>
              <w:tc>
                <w:tcPr>
                  <w:tcW w:w="2055" w:type="pct"/>
                  <w:vMerge w:val="continue"/>
                  <w:noWrap w:val="0"/>
                  <w:vAlign w:val="center"/>
                </w:tcPr>
                <w:p w14:paraId="6F2E09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rPr>
                  </w:pPr>
                </w:p>
              </w:tc>
            </w:tr>
          </w:tbl>
          <w:p w14:paraId="6C2D355C">
            <w:pPr>
              <w:keepNext w:val="0"/>
              <w:keepLines w:val="0"/>
              <w:pageBreakBefore w:val="0"/>
              <w:suppressLineNumbers w:val="0"/>
              <w:kinsoku/>
              <w:wordWrap/>
              <w:overflowPunct/>
              <w:topLinePunct w:val="0"/>
              <w:bidi w:val="0"/>
              <w:spacing w:before="0" w:beforeAutospacing="0" w:after="0" w:afterAutospacing="0" w:line="500" w:lineRule="exact"/>
              <w:ind w:right="0"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w:t>
            </w:r>
            <w:r>
              <w:rPr>
                <w:rFonts w:hint="eastAsia" w:ascii="Times New Roman" w:hAnsi="Times New Roman" w:eastAsia="宋体" w:cs="Times New Roman"/>
                <w:b/>
                <w:bCs/>
                <w:color w:val="auto"/>
                <w:sz w:val="24"/>
                <w:szCs w:val="24"/>
                <w:lang w:val="en-US" w:eastAsia="zh-CN"/>
              </w:rPr>
              <w:t>4非正常工况影响分析</w:t>
            </w:r>
          </w:p>
          <w:p w14:paraId="0BEAB228">
            <w:pPr>
              <w:keepNext w:val="0"/>
              <w:keepLines w:val="0"/>
              <w:pageBreakBefore w:val="0"/>
              <w:suppressLineNumbers w:val="0"/>
              <w:kinsoku/>
              <w:wordWrap/>
              <w:overflowPunct/>
              <w:topLinePunct w:val="0"/>
              <w:bidi w:val="0"/>
              <w:adjustRightInd w:val="0"/>
              <w:snapToGrid w:val="0"/>
              <w:spacing w:before="0" w:beforeAutospacing="0" w:after="0" w:afterAutospacing="0" w:line="500" w:lineRule="exact"/>
              <w:ind w:left="0" w:right="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非正常排放情况是指生产车间废气治理设施运行出现事故，达不到设计要求时的处理效率导致废气处理不完全而超标排放。引起非正常排放因素主要有设备因素和人为因素，根据项目生产工艺特征和污染物产生情况，确定项目非正常工况为废气治理设施非正常运行导致颗粒物</w:t>
            </w:r>
            <w:r>
              <w:rPr>
                <w:rFonts w:hint="eastAsia" w:cs="Times New Roman"/>
                <w:color w:val="auto"/>
                <w:sz w:val="24"/>
                <w:szCs w:val="24"/>
                <w:lang w:val="en-US" w:eastAsia="zh-CN"/>
              </w:rPr>
              <w:t>去除率为正常工况的50%处理效率时的情况，作为非正常工况下的污染源强，单次持续时间1h，年发生频次为1次</w:t>
            </w:r>
            <w:r>
              <w:rPr>
                <w:rFonts w:hint="eastAsia" w:ascii="Times New Roman" w:hAnsi="Times New Roman" w:eastAsia="宋体" w:cs="Times New Roman"/>
                <w:color w:val="auto"/>
                <w:sz w:val="24"/>
                <w:szCs w:val="24"/>
                <w:lang w:val="en-US" w:eastAsia="zh-CN"/>
              </w:rPr>
              <w:t>。</w:t>
            </w:r>
          </w:p>
          <w:p w14:paraId="75D967EA">
            <w:pPr>
              <w:keepNext w:val="0"/>
              <w:keepLines w:val="0"/>
              <w:pageBreakBefore w:val="0"/>
              <w:suppressLineNumbers w:val="0"/>
              <w:kinsoku/>
              <w:wordWrap/>
              <w:overflowPunct/>
              <w:topLinePunct w:val="0"/>
              <w:bidi w:val="0"/>
              <w:adjustRightInd w:val="0"/>
              <w:snapToGrid w:val="0"/>
              <w:spacing w:before="0" w:beforeAutospacing="0" w:after="0" w:afterAutospacing="0" w:line="500" w:lineRule="exact"/>
              <w:ind w:left="0" w:right="0" w:firstLine="480" w:firstLineChars="200"/>
              <w:rPr>
                <w:rFonts w:hint="eastAsia"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在日常生产运营过程中，建设单位应加强各种废气处理设备的管理，一旦发现异常立即通知相关部门启动车间紧急停车程序，并查明事故工段，派专业维修人员进行维修，可最大限度避免了非正常工况下废气无法正常处理的情况发生。废气非正常工况源强情况见表4-</w:t>
            </w:r>
            <w:r>
              <w:rPr>
                <w:rFonts w:hint="eastAsia" w:cs="Times New Roman"/>
                <w:color w:val="auto"/>
                <w:sz w:val="24"/>
                <w:szCs w:val="24"/>
                <w:lang w:val="en-US" w:eastAsia="zh-CN"/>
              </w:rPr>
              <w:t>6。</w:t>
            </w:r>
          </w:p>
          <w:p w14:paraId="40E90BA3">
            <w:pPr>
              <w:pStyle w:val="62"/>
              <w:keepNext w:val="0"/>
              <w:keepLines w:val="0"/>
              <w:pageBreakBefore w:val="0"/>
              <w:widowControl w:val="0"/>
              <w:suppressLineNumbers w:val="0"/>
              <w:tabs>
                <w:tab w:val="left" w:pos="2850"/>
                <w:tab w:val="left" w:pos="3918"/>
              </w:tabs>
              <w:kinsoku/>
              <w:wordWrap/>
              <w:overflowPunct/>
              <w:topLinePunct w:val="0"/>
              <w:autoSpaceDE/>
              <w:autoSpaceDN/>
              <w:bidi w:val="0"/>
              <w:adjustRightInd/>
              <w:snapToGrid/>
              <w:spacing w:before="0" w:beforeLines="0" w:after="0" w:afterAutospacing="0" w:line="240" w:lineRule="auto"/>
              <w:ind w:left="0" w:right="0" w:firstLine="422" w:firstLineChars="200"/>
              <w:jc w:val="center"/>
              <w:textAlignment w:val="auto"/>
              <w:outlineLvl w:val="9"/>
              <w:rPr>
                <w:rFonts w:hint="eastAsia"/>
                <w:color w:val="auto"/>
                <w:sz w:val="24"/>
                <w:szCs w:val="24"/>
                <w:lang w:val="en-US" w:eastAsia="zh-CN"/>
              </w:rPr>
            </w:pPr>
            <w:r>
              <w:rPr>
                <w:rFonts w:hint="default"/>
                <w:color w:val="auto"/>
                <w:sz w:val="21"/>
                <w:szCs w:val="21"/>
                <w:lang w:val="en-US" w:eastAsia="zh-CN"/>
              </w:rPr>
              <w:t>表</w:t>
            </w:r>
            <w:r>
              <w:rPr>
                <w:rFonts w:hint="eastAsia"/>
                <w:color w:val="auto"/>
                <w:sz w:val="21"/>
                <w:szCs w:val="21"/>
                <w:lang w:val="en-US" w:eastAsia="zh-CN"/>
              </w:rPr>
              <w:t>4-6非正常工况一览表</w:t>
            </w:r>
          </w:p>
          <w:tbl>
            <w:tblPr>
              <w:tblStyle w:val="25"/>
              <w:tblW w:w="7896"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082"/>
              <w:gridCol w:w="1148"/>
              <w:gridCol w:w="1036"/>
              <w:gridCol w:w="1288"/>
              <w:gridCol w:w="1304"/>
              <w:gridCol w:w="1162"/>
            </w:tblGrid>
            <w:tr w14:paraId="4A4A35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876" w:type="dxa"/>
                  <w:vAlign w:val="center"/>
                </w:tcPr>
                <w:p w14:paraId="79A90A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工况</w:t>
                  </w:r>
                </w:p>
              </w:tc>
              <w:tc>
                <w:tcPr>
                  <w:tcW w:w="1082" w:type="dxa"/>
                  <w:vAlign w:val="center"/>
                </w:tcPr>
                <w:p w14:paraId="5D0FE0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排放口</w:t>
                  </w:r>
                </w:p>
              </w:tc>
              <w:tc>
                <w:tcPr>
                  <w:tcW w:w="1148" w:type="dxa"/>
                  <w:vAlign w:val="center"/>
                </w:tcPr>
                <w:p w14:paraId="385555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持续时间</w:t>
                  </w:r>
                </w:p>
              </w:tc>
              <w:tc>
                <w:tcPr>
                  <w:tcW w:w="1036" w:type="dxa"/>
                  <w:vAlign w:val="center"/>
                </w:tcPr>
                <w:p w14:paraId="0E33F3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污染物</w:t>
                  </w:r>
                </w:p>
              </w:tc>
              <w:tc>
                <w:tcPr>
                  <w:tcW w:w="1288" w:type="dxa"/>
                  <w:vAlign w:val="center"/>
                </w:tcPr>
                <w:p w14:paraId="72368C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排放方式</w:t>
                  </w:r>
                </w:p>
              </w:tc>
              <w:tc>
                <w:tcPr>
                  <w:tcW w:w="1304" w:type="dxa"/>
                  <w:vAlign w:val="center"/>
                </w:tcPr>
                <w:p w14:paraId="49F94A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排放浓度</w:t>
                  </w:r>
                </w:p>
              </w:tc>
              <w:tc>
                <w:tcPr>
                  <w:tcW w:w="1162" w:type="dxa"/>
                  <w:vAlign w:val="center"/>
                </w:tcPr>
                <w:p w14:paraId="356E15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排放量</w:t>
                  </w:r>
                </w:p>
              </w:tc>
            </w:tr>
            <w:tr w14:paraId="4E7666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876" w:type="dxa"/>
                  <w:vAlign w:val="center"/>
                </w:tcPr>
                <w:p w14:paraId="0674DF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非正常</w:t>
                  </w:r>
                </w:p>
              </w:tc>
              <w:tc>
                <w:tcPr>
                  <w:tcW w:w="1082" w:type="dxa"/>
                  <w:vAlign w:val="center"/>
                </w:tcPr>
                <w:p w14:paraId="7CC82B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DA001</w:t>
                  </w:r>
                </w:p>
              </w:tc>
              <w:tc>
                <w:tcPr>
                  <w:tcW w:w="1148" w:type="dxa"/>
                  <w:vAlign w:val="center"/>
                </w:tcPr>
                <w:p w14:paraId="485418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1h</w:t>
                  </w:r>
                </w:p>
              </w:tc>
              <w:tc>
                <w:tcPr>
                  <w:tcW w:w="1036" w:type="dxa"/>
                  <w:vAlign w:val="center"/>
                </w:tcPr>
                <w:p w14:paraId="000DC0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颗粒物</w:t>
                  </w:r>
                </w:p>
              </w:tc>
              <w:tc>
                <w:tcPr>
                  <w:tcW w:w="1288" w:type="dxa"/>
                  <w:vAlign w:val="center"/>
                </w:tcPr>
                <w:p w14:paraId="30BFD3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有组织排放</w:t>
                  </w:r>
                </w:p>
              </w:tc>
              <w:tc>
                <w:tcPr>
                  <w:tcW w:w="1304" w:type="dxa"/>
                  <w:vAlign w:val="center"/>
                </w:tcPr>
                <w:p w14:paraId="0E9163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s="Times New Roman"/>
                      <w:bCs/>
                      <w:color w:val="auto"/>
                      <w:szCs w:val="21"/>
                      <w:lang w:val="en-US" w:eastAsia="zh-CN"/>
                    </w:rPr>
                    <w:t>244mg/m</w:t>
                  </w:r>
                  <w:r>
                    <w:rPr>
                      <w:rFonts w:hint="eastAsia" w:cs="Times New Roman"/>
                      <w:bCs/>
                      <w:color w:val="auto"/>
                      <w:szCs w:val="21"/>
                      <w:vertAlign w:val="superscript"/>
                      <w:lang w:val="en-US" w:eastAsia="zh-CN"/>
                    </w:rPr>
                    <w:t>3</w:t>
                  </w:r>
                </w:p>
              </w:tc>
              <w:tc>
                <w:tcPr>
                  <w:tcW w:w="1162" w:type="dxa"/>
                  <w:vAlign w:val="center"/>
                </w:tcPr>
                <w:p w14:paraId="7D5456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7.31kg</w:t>
                  </w:r>
                </w:p>
              </w:tc>
            </w:tr>
            <w:tr w14:paraId="73C25C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876" w:type="dxa"/>
                  <w:vAlign w:val="center"/>
                </w:tcPr>
                <w:p w14:paraId="621219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非正常</w:t>
                  </w:r>
                </w:p>
              </w:tc>
              <w:tc>
                <w:tcPr>
                  <w:tcW w:w="1082" w:type="dxa"/>
                  <w:vAlign w:val="center"/>
                </w:tcPr>
                <w:p w14:paraId="0A8E70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DA002</w:t>
                  </w:r>
                </w:p>
              </w:tc>
              <w:tc>
                <w:tcPr>
                  <w:tcW w:w="1148" w:type="dxa"/>
                  <w:vAlign w:val="center"/>
                </w:tcPr>
                <w:p w14:paraId="20A672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1h</w:t>
                  </w:r>
                </w:p>
              </w:tc>
              <w:tc>
                <w:tcPr>
                  <w:tcW w:w="1036" w:type="dxa"/>
                  <w:vAlign w:val="center"/>
                </w:tcPr>
                <w:p w14:paraId="2D290F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颗粒物</w:t>
                  </w:r>
                </w:p>
              </w:tc>
              <w:tc>
                <w:tcPr>
                  <w:tcW w:w="1288" w:type="dxa"/>
                  <w:vAlign w:val="center"/>
                </w:tcPr>
                <w:p w14:paraId="164534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有组织排放</w:t>
                  </w:r>
                </w:p>
              </w:tc>
              <w:tc>
                <w:tcPr>
                  <w:tcW w:w="1304" w:type="dxa"/>
                  <w:vAlign w:val="center"/>
                </w:tcPr>
                <w:p w14:paraId="564699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s="Times New Roman"/>
                      <w:bCs/>
                      <w:color w:val="auto"/>
                      <w:szCs w:val="21"/>
                      <w:lang w:val="en-US" w:eastAsia="zh-CN"/>
                    </w:rPr>
                    <w:t>112mg/m</w:t>
                  </w:r>
                  <w:r>
                    <w:rPr>
                      <w:rFonts w:hint="eastAsia" w:cs="Times New Roman"/>
                      <w:bCs/>
                      <w:color w:val="auto"/>
                      <w:szCs w:val="21"/>
                      <w:vertAlign w:val="superscript"/>
                      <w:lang w:val="en-US" w:eastAsia="zh-CN"/>
                    </w:rPr>
                    <w:t>3</w:t>
                  </w:r>
                </w:p>
              </w:tc>
              <w:tc>
                <w:tcPr>
                  <w:tcW w:w="1162" w:type="dxa"/>
                  <w:vAlign w:val="center"/>
                </w:tcPr>
                <w:p w14:paraId="548826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3.37kg</w:t>
                  </w:r>
                </w:p>
              </w:tc>
            </w:tr>
            <w:tr w14:paraId="65BE15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876" w:type="dxa"/>
                  <w:vAlign w:val="center"/>
                </w:tcPr>
                <w:p w14:paraId="64C77A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非正常</w:t>
                  </w:r>
                </w:p>
              </w:tc>
              <w:tc>
                <w:tcPr>
                  <w:tcW w:w="1082" w:type="dxa"/>
                  <w:vAlign w:val="center"/>
                </w:tcPr>
                <w:p w14:paraId="6CACBA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DA003</w:t>
                  </w:r>
                </w:p>
              </w:tc>
              <w:tc>
                <w:tcPr>
                  <w:tcW w:w="1148" w:type="dxa"/>
                  <w:vAlign w:val="center"/>
                </w:tcPr>
                <w:p w14:paraId="56B189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1h</w:t>
                  </w:r>
                </w:p>
              </w:tc>
              <w:tc>
                <w:tcPr>
                  <w:tcW w:w="1036" w:type="dxa"/>
                  <w:vAlign w:val="center"/>
                </w:tcPr>
                <w:p w14:paraId="799BE2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颗粒物</w:t>
                  </w:r>
                </w:p>
              </w:tc>
              <w:tc>
                <w:tcPr>
                  <w:tcW w:w="1288" w:type="dxa"/>
                  <w:vAlign w:val="center"/>
                </w:tcPr>
                <w:p w14:paraId="16FD03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有组织排放</w:t>
                  </w:r>
                </w:p>
              </w:tc>
              <w:tc>
                <w:tcPr>
                  <w:tcW w:w="1304" w:type="dxa"/>
                  <w:vAlign w:val="center"/>
                </w:tcPr>
                <w:p w14:paraId="44F84D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s="Times New Roman"/>
                      <w:bCs/>
                      <w:color w:val="auto"/>
                      <w:szCs w:val="21"/>
                      <w:lang w:val="en-US" w:eastAsia="zh-CN"/>
                    </w:rPr>
                    <w:t>19mg/m</w:t>
                  </w:r>
                  <w:r>
                    <w:rPr>
                      <w:rFonts w:hint="eastAsia" w:cs="Times New Roman"/>
                      <w:bCs/>
                      <w:color w:val="auto"/>
                      <w:szCs w:val="21"/>
                      <w:vertAlign w:val="superscript"/>
                      <w:lang w:val="en-US" w:eastAsia="zh-CN"/>
                    </w:rPr>
                    <w:t>3</w:t>
                  </w:r>
                </w:p>
              </w:tc>
              <w:tc>
                <w:tcPr>
                  <w:tcW w:w="1162" w:type="dxa"/>
                  <w:vAlign w:val="center"/>
                </w:tcPr>
                <w:p w14:paraId="07C19D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0.56kg</w:t>
                  </w:r>
                </w:p>
              </w:tc>
            </w:tr>
            <w:tr w14:paraId="5E3690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876" w:type="dxa"/>
                  <w:vMerge w:val="restart"/>
                  <w:vAlign w:val="center"/>
                </w:tcPr>
                <w:p w14:paraId="634D97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非正常</w:t>
                  </w:r>
                </w:p>
              </w:tc>
              <w:tc>
                <w:tcPr>
                  <w:tcW w:w="1082" w:type="dxa"/>
                  <w:vAlign w:val="center"/>
                </w:tcPr>
                <w:p w14:paraId="73AA1D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DA004</w:t>
                  </w:r>
                </w:p>
              </w:tc>
              <w:tc>
                <w:tcPr>
                  <w:tcW w:w="1148" w:type="dxa"/>
                  <w:vAlign w:val="center"/>
                </w:tcPr>
                <w:p w14:paraId="2C6DF7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1h</w:t>
                  </w:r>
                </w:p>
              </w:tc>
              <w:tc>
                <w:tcPr>
                  <w:tcW w:w="1036" w:type="dxa"/>
                  <w:vAlign w:val="center"/>
                </w:tcPr>
                <w:p w14:paraId="1A2BAC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颗粒物</w:t>
                  </w:r>
                </w:p>
              </w:tc>
              <w:tc>
                <w:tcPr>
                  <w:tcW w:w="1288" w:type="dxa"/>
                  <w:vAlign w:val="center"/>
                </w:tcPr>
                <w:p w14:paraId="0BC9D3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有组织排放</w:t>
                  </w:r>
                </w:p>
              </w:tc>
              <w:tc>
                <w:tcPr>
                  <w:tcW w:w="1304" w:type="dxa"/>
                  <w:vAlign w:val="center"/>
                </w:tcPr>
                <w:p w14:paraId="23FCC1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s="Times New Roman"/>
                      <w:bCs/>
                      <w:color w:val="auto"/>
                      <w:szCs w:val="21"/>
                      <w:lang w:val="en-US" w:eastAsia="zh-CN"/>
                    </w:rPr>
                    <w:t>9mg/m</w:t>
                  </w:r>
                  <w:r>
                    <w:rPr>
                      <w:rFonts w:hint="eastAsia" w:cs="Times New Roman"/>
                      <w:bCs/>
                      <w:color w:val="auto"/>
                      <w:szCs w:val="21"/>
                      <w:vertAlign w:val="superscript"/>
                      <w:lang w:val="en-US" w:eastAsia="zh-CN"/>
                    </w:rPr>
                    <w:t>3</w:t>
                  </w:r>
                </w:p>
              </w:tc>
              <w:tc>
                <w:tcPr>
                  <w:tcW w:w="1162" w:type="dxa"/>
                  <w:vAlign w:val="center"/>
                </w:tcPr>
                <w:p w14:paraId="0BE289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0.19kg</w:t>
                  </w:r>
                </w:p>
              </w:tc>
            </w:tr>
            <w:tr w14:paraId="655B62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876" w:type="dxa"/>
                  <w:vMerge w:val="continue"/>
                  <w:vAlign w:val="center"/>
                </w:tcPr>
                <w:p w14:paraId="089643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color w:val="auto"/>
                      <w:sz w:val="21"/>
                      <w:szCs w:val="21"/>
                      <w:lang w:val="en-US" w:eastAsia="zh-CN"/>
                    </w:rPr>
                  </w:pPr>
                </w:p>
              </w:tc>
              <w:tc>
                <w:tcPr>
                  <w:tcW w:w="1082" w:type="dxa"/>
                  <w:vAlign w:val="center"/>
                </w:tcPr>
                <w:p w14:paraId="69BCB9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DA004</w:t>
                  </w:r>
                </w:p>
              </w:tc>
              <w:tc>
                <w:tcPr>
                  <w:tcW w:w="1148" w:type="dxa"/>
                  <w:vAlign w:val="center"/>
                </w:tcPr>
                <w:p w14:paraId="1E07B0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1h</w:t>
                  </w:r>
                </w:p>
              </w:tc>
              <w:tc>
                <w:tcPr>
                  <w:tcW w:w="1036" w:type="dxa"/>
                  <w:vAlign w:val="center"/>
                </w:tcPr>
                <w:p w14:paraId="086AC9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default"/>
                      <w:color w:val="auto"/>
                      <w:sz w:val="21"/>
                      <w:szCs w:val="21"/>
                      <w:lang w:val="en-US" w:eastAsia="zh-CN"/>
                    </w:rPr>
                    <w:t>非甲烷总烃</w:t>
                  </w:r>
                </w:p>
              </w:tc>
              <w:tc>
                <w:tcPr>
                  <w:tcW w:w="1288" w:type="dxa"/>
                  <w:shd w:val="clear" w:color="auto" w:fill="auto"/>
                  <w:vAlign w:val="center"/>
                </w:tcPr>
                <w:p w14:paraId="5A897D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有组织排放</w:t>
                  </w:r>
                </w:p>
              </w:tc>
              <w:tc>
                <w:tcPr>
                  <w:tcW w:w="1304" w:type="dxa"/>
                  <w:vAlign w:val="center"/>
                </w:tcPr>
                <w:p w14:paraId="6249CA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s="Times New Roman"/>
                      <w:bCs/>
                      <w:color w:val="auto"/>
                      <w:szCs w:val="21"/>
                      <w:lang w:val="en-US" w:eastAsia="zh-CN"/>
                    </w:rPr>
                  </w:pPr>
                  <w:r>
                    <w:rPr>
                      <w:rFonts w:hint="eastAsia" w:cs="Times New Roman"/>
                      <w:bCs/>
                      <w:color w:val="auto"/>
                      <w:szCs w:val="21"/>
                      <w:lang w:val="en-US" w:eastAsia="zh-CN"/>
                    </w:rPr>
                    <w:t>69mg/m</w:t>
                  </w:r>
                  <w:r>
                    <w:rPr>
                      <w:rFonts w:hint="eastAsia" w:cs="Times New Roman"/>
                      <w:bCs/>
                      <w:color w:val="auto"/>
                      <w:szCs w:val="21"/>
                      <w:vertAlign w:val="superscript"/>
                      <w:lang w:val="en-US" w:eastAsia="zh-CN"/>
                    </w:rPr>
                    <w:t>3</w:t>
                  </w:r>
                </w:p>
              </w:tc>
              <w:tc>
                <w:tcPr>
                  <w:tcW w:w="1162" w:type="dxa"/>
                  <w:vAlign w:val="center"/>
                </w:tcPr>
                <w:p w14:paraId="007D41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1.37kg</w:t>
                  </w:r>
                </w:p>
              </w:tc>
            </w:tr>
            <w:tr w14:paraId="632C37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876" w:type="dxa"/>
                  <w:vMerge w:val="continue"/>
                  <w:vAlign w:val="center"/>
                </w:tcPr>
                <w:p w14:paraId="5EAC5F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color w:val="auto"/>
                      <w:sz w:val="21"/>
                      <w:szCs w:val="21"/>
                      <w:lang w:val="en-US" w:eastAsia="zh-CN"/>
                    </w:rPr>
                  </w:pPr>
                </w:p>
              </w:tc>
              <w:tc>
                <w:tcPr>
                  <w:tcW w:w="1082" w:type="dxa"/>
                  <w:vAlign w:val="center"/>
                </w:tcPr>
                <w:p w14:paraId="79D25B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DA004</w:t>
                  </w:r>
                </w:p>
              </w:tc>
              <w:tc>
                <w:tcPr>
                  <w:tcW w:w="1148" w:type="dxa"/>
                  <w:vAlign w:val="center"/>
                </w:tcPr>
                <w:p w14:paraId="0833AD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1h</w:t>
                  </w:r>
                </w:p>
              </w:tc>
              <w:tc>
                <w:tcPr>
                  <w:tcW w:w="1036" w:type="dxa"/>
                  <w:vAlign w:val="center"/>
                </w:tcPr>
                <w:p w14:paraId="66A950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苯乙烯</w:t>
                  </w:r>
                </w:p>
              </w:tc>
              <w:tc>
                <w:tcPr>
                  <w:tcW w:w="1288" w:type="dxa"/>
                  <w:shd w:val="clear" w:color="auto" w:fill="auto"/>
                  <w:vAlign w:val="center"/>
                </w:tcPr>
                <w:p w14:paraId="7279B2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有组织排放</w:t>
                  </w:r>
                </w:p>
              </w:tc>
              <w:tc>
                <w:tcPr>
                  <w:tcW w:w="1304" w:type="dxa"/>
                  <w:vAlign w:val="center"/>
                </w:tcPr>
                <w:p w14:paraId="14436F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67</w:t>
                  </w:r>
                  <w:r>
                    <w:rPr>
                      <w:rFonts w:hint="eastAsia" w:cs="Times New Roman"/>
                      <w:bCs/>
                      <w:color w:val="auto"/>
                      <w:szCs w:val="21"/>
                      <w:lang w:val="en-US" w:eastAsia="zh-CN"/>
                    </w:rPr>
                    <w:t>mg/m</w:t>
                  </w:r>
                  <w:r>
                    <w:rPr>
                      <w:rFonts w:hint="eastAsia" w:cs="Times New Roman"/>
                      <w:bCs/>
                      <w:color w:val="auto"/>
                      <w:szCs w:val="21"/>
                      <w:vertAlign w:val="superscript"/>
                      <w:lang w:val="en-US" w:eastAsia="zh-CN"/>
                    </w:rPr>
                    <w:t>3</w:t>
                  </w:r>
                </w:p>
              </w:tc>
              <w:tc>
                <w:tcPr>
                  <w:tcW w:w="1162" w:type="dxa"/>
                  <w:vAlign w:val="center"/>
                </w:tcPr>
                <w:p w14:paraId="4FF323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1.35kg</w:t>
                  </w:r>
                </w:p>
              </w:tc>
            </w:tr>
            <w:tr w14:paraId="6D74A1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876" w:type="dxa"/>
                  <w:vMerge w:val="continue"/>
                  <w:vAlign w:val="center"/>
                </w:tcPr>
                <w:p w14:paraId="6B7DA6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color w:val="auto"/>
                      <w:sz w:val="21"/>
                      <w:szCs w:val="21"/>
                      <w:lang w:val="en-US" w:eastAsia="zh-CN"/>
                    </w:rPr>
                  </w:pPr>
                </w:p>
              </w:tc>
              <w:tc>
                <w:tcPr>
                  <w:tcW w:w="1082" w:type="dxa"/>
                  <w:vAlign w:val="center"/>
                </w:tcPr>
                <w:p w14:paraId="295193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b w:val="0"/>
                      <w:bCs w:val="0"/>
                      <w:color w:val="auto"/>
                      <w:sz w:val="21"/>
                      <w:szCs w:val="21"/>
                      <w:lang w:val="en-US" w:eastAsia="zh-CN"/>
                    </w:rPr>
                  </w:pPr>
                  <w:r>
                    <w:rPr>
                      <w:rFonts w:hint="eastAsia"/>
                      <w:color w:val="auto"/>
                      <w:sz w:val="21"/>
                      <w:szCs w:val="21"/>
                      <w:lang w:val="en-US" w:eastAsia="zh-CN"/>
                    </w:rPr>
                    <w:t>DA004</w:t>
                  </w:r>
                </w:p>
              </w:tc>
              <w:tc>
                <w:tcPr>
                  <w:tcW w:w="1148" w:type="dxa"/>
                  <w:vAlign w:val="center"/>
                </w:tcPr>
                <w:p w14:paraId="100673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1h</w:t>
                  </w:r>
                </w:p>
              </w:tc>
              <w:tc>
                <w:tcPr>
                  <w:tcW w:w="1036" w:type="dxa"/>
                  <w:vAlign w:val="center"/>
                </w:tcPr>
                <w:p w14:paraId="05B3CC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臭气浓度</w:t>
                  </w:r>
                </w:p>
              </w:tc>
              <w:tc>
                <w:tcPr>
                  <w:tcW w:w="1288" w:type="dxa"/>
                  <w:vAlign w:val="center"/>
                </w:tcPr>
                <w:p w14:paraId="5F8868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color w:val="auto"/>
                      <w:sz w:val="21"/>
                      <w:szCs w:val="21"/>
                      <w:lang w:val="en-US" w:eastAsia="zh-CN"/>
                    </w:rPr>
                  </w:pPr>
                  <w:r>
                    <w:rPr>
                      <w:rFonts w:hint="eastAsia"/>
                      <w:color w:val="auto"/>
                      <w:sz w:val="21"/>
                      <w:szCs w:val="21"/>
                      <w:lang w:val="en-US" w:eastAsia="zh-CN"/>
                    </w:rPr>
                    <w:t>有组织排放</w:t>
                  </w:r>
                </w:p>
              </w:tc>
              <w:tc>
                <w:tcPr>
                  <w:tcW w:w="1304" w:type="dxa"/>
                  <w:vAlign w:val="center"/>
                </w:tcPr>
                <w:p w14:paraId="0CE072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1162" w:type="dxa"/>
                  <w:vAlign w:val="center"/>
                </w:tcPr>
                <w:p w14:paraId="042599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w:t>
                  </w:r>
                </w:p>
              </w:tc>
            </w:tr>
          </w:tbl>
          <w:p w14:paraId="31D218B6">
            <w:pPr>
              <w:keepNext w:val="0"/>
              <w:keepLines w:val="0"/>
              <w:pageBreakBefore w:val="0"/>
              <w:suppressLineNumbers w:val="0"/>
              <w:kinsoku/>
              <w:wordWrap/>
              <w:overflowPunct/>
              <w:topLinePunct w:val="0"/>
              <w:bidi w:val="0"/>
              <w:adjustRightInd w:val="0"/>
              <w:snapToGrid w:val="0"/>
              <w:spacing w:before="0" w:beforeAutospacing="0" w:after="0" w:afterAutospacing="0" w:line="500" w:lineRule="exact"/>
              <w:ind w:left="0" w:right="0" w:firstLine="480" w:firstLineChars="200"/>
              <w:rPr>
                <w:rFonts w:hint="default"/>
                <w:color w:val="auto"/>
                <w:sz w:val="24"/>
                <w:szCs w:val="24"/>
                <w:lang w:val="en-US" w:eastAsia="zh-CN"/>
              </w:rPr>
            </w:pPr>
            <w:r>
              <w:rPr>
                <w:rFonts w:hint="eastAsia"/>
                <w:color w:val="auto"/>
                <w:sz w:val="24"/>
                <w:szCs w:val="24"/>
                <w:lang w:val="en-US" w:eastAsia="zh-CN"/>
              </w:rPr>
              <w:t>措施：加强设备保养，定期开展自行监测，存储必要的配件，发生故障时及时维修，尽快恢复设备运行。</w:t>
            </w:r>
          </w:p>
          <w:p w14:paraId="50002818">
            <w:pPr>
              <w:keepNext w:val="0"/>
              <w:keepLines w:val="0"/>
              <w:pageBreakBefore w:val="0"/>
              <w:suppressLineNumbers w:val="0"/>
              <w:kinsoku/>
              <w:wordWrap/>
              <w:overflowPunct/>
              <w:topLinePunct w:val="0"/>
              <w:bidi w:val="0"/>
              <w:spacing w:before="0" w:beforeAutospacing="0" w:after="0" w:afterAutospacing="0" w:line="500" w:lineRule="exact"/>
              <w:ind w:left="0" w:right="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2水污染物</w:t>
            </w:r>
          </w:p>
          <w:p w14:paraId="17A8D1E5">
            <w:pPr>
              <w:keepNext w:val="0"/>
              <w:keepLines w:val="0"/>
              <w:pageBreakBefore w:val="0"/>
              <w:suppressLineNumbers w:val="0"/>
              <w:kinsoku/>
              <w:wordWrap/>
              <w:overflowPunct/>
              <w:topLinePunct w:val="0"/>
              <w:bidi w:val="0"/>
              <w:spacing w:before="0" w:beforeAutospacing="0" w:after="0" w:afterAutospacing="0" w:line="500" w:lineRule="exact"/>
              <w:ind w:left="0" w:right="0" w:firstLine="482" w:firstLineChars="200"/>
              <w:rPr>
                <w:rFonts w:hint="default" w:cs="Times New Roman"/>
                <w:b/>
                <w:bCs/>
                <w:color w:val="auto"/>
                <w:sz w:val="24"/>
                <w:szCs w:val="24"/>
                <w:lang w:val="en-US" w:eastAsia="zh-CN"/>
              </w:rPr>
            </w:pPr>
            <w:r>
              <w:rPr>
                <w:rFonts w:hint="eastAsia" w:cs="Times New Roman"/>
                <w:b/>
                <w:bCs/>
                <w:color w:val="auto"/>
                <w:sz w:val="24"/>
                <w:szCs w:val="24"/>
                <w:lang w:val="en-US" w:eastAsia="zh-CN"/>
              </w:rPr>
              <w:t>2.1水污染</w:t>
            </w:r>
            <w:r>
              <w:rPr>
                <w:rFonts w:hint="default" w:cs="Times New Roman"/>
                <w:b/>
                <w:bCs/>
                <w:color w:val="auto"/>
                <w:sz w:val="24"/>
                <w:szCs w:val="24"/>
                <w:lang w:val="en-US" w:eastAsia="zh-CN"/>
              </w:rPr>
              <w:t>分析</w:t>
            </w:r>
          </w:p>
          <w:p w14:paraId="6785628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color w:val="auto"/>
                <w:sz w:val="24"/>
                <w:szCs w:val="24"/>
                <w:lang w:val="en-US" w:eastAsia="zh-CN"/>
              </w:rPr>
            </w:pPr>
            <w:r>
              <w:rPr>
                <w:rFonts w:hint="eastAsia"/>
                <w:color w:val="auto"/>
                <w:sz w:val="24"/>
                <w:szCs w:val="24"/>
                <w:lang w:val="en-US" w:eastAsia="zh-CN"/>
              </w:rPr>
              <w:t>生活污水：本项目劳动定员为44人，均在厂区内食宿，根据《新疆维吾尔自治区行业用水定额》中新疆维吾尔自治区生活用水定额，本项目生活用水用水量按照每人平均80L/d计算，则厂区生活用水量为3.52m</w:t>
            </w:r>
            <w:r>
              <w:rPr>
                <w:rFonts w:hint="eastAsia"/>
                <w:color w:val="auto"/>
                <w:sz w:val="24"/>
                <w:szCs w:val="24"/>
                <w:vertAlign w:val="superscript"/>
                <w:lang w:val="en-US" w:eastAsia="zh-CN"/>
              </w:rPr>
              <w:t>3</w:t>
            </w:r>
            <w:r>
              <w:rPr>
                <w:rFonts w:hint="eastAsia"/>
                <w:color w:val="auto"/>
                <w:sz w:val="24"/>
                <w:szCs w:val="24"/>
                <w:lang w:val="en-US" w:eastAsia="zh-CN"/>
              </w:rPr>
              <w:t>/d，（591.36m</w:t>
            </w:r>
            <w:r>
              <w:rPr>
                <w:rFonts w:hint="eastAsia"/>
                <w:color w:val="auto"/>
                <w:sz w:val="24"/>
                <w:szCs w:val="24"/>
                <w:vertAlign w:val="superscript"/>
                <w:lang w:val="en-US" w:eastAsia="zh-CN"/>
              </w:rPr>
              <w:t>3</w:t>
            </w:r>
            <w:r>
              <w:rPr>
                <w:rFonts w:hint="eastAsia"/>
                <w:color w:val="auto"/>
                <w:sz w:val="24"/>
                <w:szCs w:val="24"/>
                <w:lang w:val="en-US" w:eastAsia="zh-CN"/>
              </w:rPr>
              <w:t>/a），排水量按80%计算，为473.09m</w:t>
            </w:r>
            <w:r>
              <w:rPr>
                <w:rFonts w:hint="eastAsia"/>
                <w:color w:val="auto"/>
                <w:sz w:val="24"/>
                <w:szCs w:val="24"/>
                <w:vertAlign w:val="superscript"/>
                <w:lang w:val="en-US" w:eastAsia="zh-CN"/>
              </w:rPr>
              <w:t>3</w:t>
            </w:r>
            <w:r>
              <w:rPr>
                <w:rFonts w:hint="eastAsia"/>
                <w:color w:val="auto"/>
                <w:sz w:val="24"/>
                <w:szCs w:val="24"/>
                <w:lang w:val="en-US" w:eastAsia="zh-CN"/>
              </w:rPr>
              <w:t>/a。生活污水排入项目区化粪池，定期清运至和硕县污水处理厂处理。各类排水污染物浓度及排放量见表4-7。</w:t>
            </w:r>
          </w:p>
          <w:p w14:paraId="09D4A928">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rPr>
                <w:rFonts w:hint="eastAsia"/>
                <w:b/>
                <w:bCs/>
                <w:color w:val="auto"/>
                <w:sz w:val="24"/>
                <w:szCs w:val="24"/>
                <w:lang w:val="en-US" w:eastAsia="zh-CN"/>
              </w:rPr>
            </w:pPr>
            <w:r>
              <w:rPr>
                <w:rFonts w:hint="default"/>
                <w:b/>
                <w:bCs/>
                <w:color w:val="auto"/>
                <w:sz w:val="21"/>
                <w:szCs w:val="21"/>
                <w:lang w:val="en-US" w:eastAsia="zh-CN"/>
              </w:rPr>
              <w:t>表</w:t>
            </w:r>
            <w:r>
              <w:rPr>
                <w:rFonts w:hint="eastAsia"/>
                <w:b/>
                <w:bCs/>
                <w:color w:val="auto"/>
                <w:sz w:val="21"/>
                <w:szCs w:val="21"/>
                <w:lang w:val="en-US" w:eastAsia="zh-CN"/>
              </w:rPr>
              <w:t>4-7非正常工况一览表</w:t>
            </w:r>
          </w:p>
          <w:tbl>
            <w:tblPr>
              <w:tblStyle w:val="25"/>
              <w:tblW w:w="7918"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2"/>
              <w:gridCol w:w="1061"/>
              <w:gridCol w:w="1669"/>
              <w:gridCol w:w="1032"/>
              <w:gridCol w:w="1131"/>
              <w:gridCol w:w="1131"/>
              <w:gridCol w:w="1132"/>
            </w:tblGrid>
            <w:tr w14:paraId="157A34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762" w:type="dxa"/>
                  <w:vMerge w:val="restart"/>
                  <w:vAlign w:val="center"/>
                </w:tcPr>
                <w:p w14:paraId="7791A6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废水类别</w:t>
                  </w:r>
                </w:p>
              </w:tc>
              <w:tc>
                <w:tcPr>
                  <w:tcW w:w="1061" w:type="dxa"/>
                  <w:vMerge w:val="restart"/>
                  <w:vAlign w:val="center"/>
                </w:tcPr>
                <w:p w14:paraId="4D7070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废水量m</w:t>
                  </w:r>
                  <w:r>
                    <w:rPr>
                      <w:rFonts w:hint="eastAsia"/>
                      <w:color w:val="auto"/>
                      <w:sz w:val="21"/>
                      <w:szCs w:val="21"/>
                      <w:vertAlign w:val="superscript"/>
                      <w:lang w:val="en-US" w:eastAsia="zh-CN"/>
                    </w:rPr>
                    <w:t>3</w:t>
                  </w:r>
                  <w:r>
                    <w:rPr>
                      <w:rFonts w:hint="eastAsia"/>
                      <w:color w:val="auto"/>
                      <w:sz w:val="21"/>
                      <w:szCs w:val="21"/>
                      <w:lang w:val="en-US" w:eastAsia="zh-CN"/>
                    </w:rPr>
                    <w:t>/a</w:t>
                  </w:r>
                </w:p>
              </w:tc>
              <w:tc>
                <w:tcPr>
                  <w:tcW w:w="1669" w:type="dxa"/>
                  <w:vMerge w:val="restart"/>
                  <w:vAlign w:val="center"/>
                </w:tcPr>
                <w:p w14:paraId="29A521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项目</w:t>
                  </w:r>
                </w:p>
              </w:tc>
              <w:tc>
                <w:tcPr>
                  <w:tcW w:w="4426" w:type="dxa"/>
                  <w:gridSpan w:val="4"/>
                  <w:vAlign w:val="center"/>
                </w:tcPr>
                <w:p w14:paraId="094592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水质组成</w:t>
                  </w:r>
                </w:p>
              </w:tc>
            </w:tr>
            <w:tr w14:paraId="01FA9D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762" w:type="dxa"/>
                  <w:vMerge w:val="continue"/>
                  <w:vAlign w:val="center"/>
                </w:tcPr>
                <w:p w14:paraId="4E7046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p>
              </w:tc>
              <w:tc>
                <w:tcPr>
                  <w:tcW w:w="1061" w:type="dxa"/>
                  <w:vMerge w:val="continue"/>
                  <w:vAlign w:val="center"/>
                </w:tcPr>
                <w:p w14:paraId="618AD4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p>
              </w:tc>
              <w:tc>
                <w:tcPr>
                  <w:tcW w:w="1669" w:type="dxa"/>
                  <w:vMerge w:val="continue"/>
                  <w:vAlign w:val="center"/>
                </w:tcPr>
                <w:p w14:paraId="60E833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p>
              </w:tc>
              <w:tc>
                <w:tcPr>
                  <w:tcW w:w="1032" w:type="dxa"/>
                  <w:vAlign w:val="center"/>
                </w:tcPr>
                <w:p w14:paraId="024738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COD</w:t>
                  </w:r>
                </w:p>
              </w:tc>
              <w:tc>
                <w:tcPr>
                  <w:tcW w:w="1131" w:type="dxa"/>
                  <w:vAlign w:val="center"/>
                </w:tcPr>
                <w:p w14:paraId="4DB2C1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BOD</w:t>
                  </w:r>
                  <w:r>
                    <w:rPr>
                      <w:rFonts w:hint="eastAsia"/>
                      <w:color w:val="auto"/>
                      <w:sz w:val="21"/>
                      <w:szCs w:val="21"/>
                      <w:vertAlign w:val="subscript"/>
                      <w:lang w:val="en-US" w:eastAsia="zh-CN"/>
                    </w:rPr>
                    <w:t>5</w:t>
                  </w:r>
                </w:p>
              </w:tc>
              <w:tc>
                <w:tcPr>
                  <w:tcW w:w="1131" w:type="dxa"/>
                  <w:vAlign w:val="center"/>
                </w:tcPr>
                <w:p w14:paraId="16609E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氨氮</w:t>
                  </w:r>
                </w:p>
              </w:tc>
              <w:tc>
                <w:tcPr>
                  <w:tcW w:w="1132" w:type="dxa"/>
                  <w:vAlign w:val="center"/>
                </w:tcPr>
                <w:p w14:paraId="38E82C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SS</w:t>
                  </w:r>
                </w:p>
              </w:tc>
            </w:tr>
            <w:tr w14:paraId="3B40FF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762" w:type="dxa"/>
                  <w:vMerge w:val="restart"/>
                  <w:vAlign w:val="center"/>
                </w:tcPr>
                <w:p w14:paraId="5C8D62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生活污水</w:t>
                  </w:r>
                </w:p>
              </w:tc>
              <w:tc>
                <w:tcPr>
                  <w:tcW w:w="1061" w:type="dxa"/>
                  <w:vMerge w:val="restart"/>
                  <w:vAlign w:val="center"/>
                </w:tcPr>
                <w:p w14:paraId="4BB893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473.09</w:t>
                  </w:r>
                </w:p>
              </w:tc>
              <w:tc>
                <w:tcPr>
                  <w:tcW w:w="1669" w:type="dxa"/>
                  <w:vAlign w:val="center"/>
                </w:tcPr>
                <w:p w14:paraId="624FF3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产生浓度（mg/L）</w:t>
                  </w:r>
                </w:p>
              </w:tc>
              <w:tc>
                <w:tcPr>
                  <w:tcW w:w="1032" w:type="dxa"/>
                  <w:vAlign w:val="center"/>
                </w:tcPr>
                <w:p w14:paraId="1F03CF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350</w:t>
                  </w:r>
                </w:p>
              </w:tc>
              <w:tc>
                <w:tcPr>
                  <w:tcW w:w="1131" w:type="dxa"/>
                  <w:vAlign w:val="center"/>
                </w:tcPr>
                <w:p w14:paraId="6ED264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250</w:t>
                  </w:r>
                </w:p>
              </w:tc>
              <w:tc>
                <w:tcPr>
                  <w:tcW w:w="1131" w:type="dxa"/>
                  <w:vAlign w:val="center"/>
                </w:tcPr>
                <w:p w14:paraId="61B235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30</w:t>
                  </w:r>
                </w:p>
              </w:tc>
              <w:tc>
                <w:tcPr>
                  <w:tcW w:w="1132" w:type="dxa"/>
                  <w:vAlign w:val="center"/>
                </w:tcPr>
                <w:p w14:paraId="0AC7A1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280</w:t>
                  </w:r>
                </w:p>
              </w:tc>
            </w:tr>
            <w:tr w14:paraId="6CDDA2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762" w:type="dxa"/>
                  <w:vMerge w:val="continue"/>
                  <w:vAlign w:val="center"/>
                </w:tcPr>
                <w:p w14:paraId="719B0A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p>
              </w:tc>
              <w:tc>
                <w:tcPr>
                  <w:tcW w:w="1061" w:type="dxa"/>
                  <w:vMerge w:val="continue"/>
                  <w:vAlign w:val="center"/>
                </w:tcPr>
                <w:p w14:paraId="6D68C3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p>
              </w:tc>
              <w:tc>
                <w:tcPr>
                  <w:tcW w:w="1669" w:type="dxa"/>
                  <w:vAlign w:val="center"/>
                </w:tcPr>
                <w:p w14:paraId="29A54F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产生量（t/a）</w:t>
                  </w:r>
                </w:p>
              </w:tc>
              <w:tc>
                <w:tcPr>
                  <w:tcW w:w="1032" w:type="dxa"/>
                  <w:vAlign w:val="center"/>
                </w:tcPr>
                <w:p w14:paraId="35E96E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0.166</w:t>
                  </w:r>
                </w:p>
              </w:tc>
              <w:tc>
                <w:tcPr>
                  <w:tcW w:w="1131" w:type="dxa"/>
                  <w:vAlign w:val="center"/>
                </w:tcPr>
                <w:p w14:paraId="28B8AF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0.118</w:t>
                  </w:r>
                </w:p>
              </w:tc>
              <w:tc>
                <w:tcPr>
                  <w:tcW w:w="1131" w:type="dxa"/>
                  <w:vAlign w:val="center"/>
                </w:tcPr>
                <w:p w14:paraId="17F150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0.0142</w:t>
                  </w:r>
                </w:p>
              </w:tc>
              <w:tc>
                <w:tcPr>
                  <w:tcW w:w="1132" w:type="dxa"/>
                  <w:vAlign w:val="center"/>
                </w:tcPr>
                <w:p w14:paraId="1917F6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0.132</w:t>
                  </w:r>
                </w:p>
              </w:tc>
            </w:tr>
          </w:tbl>
          <w:p w14:paraId="2B67B657">
            <w:pPr>
              <w:keepNext w:val="0"/>
              <w:keepLines w:val="0"/>
              <w:pageBreakBefore w:val="0"/>
              <w:suppressLineNumbers w:val="0"/>
              <w:kinsoku/>
              <w:wordWrap/>
              <w:overflowPunct/>
              <w:topLinePunct w:val="0"/>
              <w:bidi w:val="0"/>
              <w:spacing w:before="0" w:beforeAutospacing="0" w:after="0" w:afterAutospacing="0" w:line="500" w:lineRule="exact"/>
              <w:ind w:left="0" w:right="0" w:firstLine="482" w:firstLineChars="200"/>
              <w:rPr>
                <w:rFonts w:hint="default" w:cs="Times New Roman"/>
                <w:b/>
                <w:bCs/>
                <w:color w:val="auto"/>
                <w:sz w:val="24"/>
                <w:szCs w:val="24"/>
                <w:lang w:val="en-US" w:eastAsia="zh-CN"/>
              </w:rPr>
            </w:pPr>
            <w:r>
              <w:rPr>
                <w:rFonts w:hint="default" w:cs="Times New Roman"/>
                <w:b/>
                <w:bCs/>
                <w:color w:val="auto"/>
                <w:sz w:val="24"/>
                <w:szCs w:val="24"/>
                <w:lang w:val="en-US" w:eastAsia="zh-CN"/>
              </w:rPr>
              <w:t>2.</w:t>
            </w:r>
            <w:r>
              <w:rPr>
                <w:rFonts w:hint="eastAsia" w:cs="Times New Roman"/>
                <w:b/>
                <w:bCs/>
                <w:color w:val="auto"/>
                <w:sz w:val="24"/>
                <w:szCs w:val="24"/>
                <w:lang w:val="en-US" w:eastAsia="zh-CN"/>
              </w:rPr>
              <w:t>2</w:t>
            </w:r>
            <w:r>
              <w:rPr>
                <w:rFonts w:hint="default" w:cs="Times New Roman"/>
                <w:b/>
                <w:bCs/>
                <w:color w:val="auto"/>
                <w:sz w:val="24"/>
                <w:szCs w:val="24"/>
                <w:lang w:val="en-US" w:eastAsia="zh-CN"/>
              </w:rPr>
              <w:t>依托污水处理设施可行性分析</w:t>
            </w:r>
          </w:p>
          <w:p w14:paraId="0C1212B7">
            <w:pPr>
              <w:keepNext w:val="0"/>
              <w:keepLines w:val="0"/>
              <w:pageBreakBefore w:val="0"/>
              <w:suppressLineNumbers w:val="0"/>
              <w:kinsoku/>
              <w:wordWrap/>
              <w:overflowPunct/>
              <w:topLinePunct w:val="0"/>
              <w:bidi w:val="0"/>
              <w:spacing w:before="0" w:beforeAutospacing="0" w:after="0" w:afterAutospacing="0" w:line="500" w:lineRule="exact"/>
              <w:ind w:left="0" w:right="0" w:firstLine="480" w:firstLineChars="200"/>
              <w:rPr>
                <w:rFonts w:hint="eastAsia"/>
                <w:color w:val="auto"/>
                <w:sz w:val="24"/>
                <w:szCs w:val="24"/>
                <w:lang w:val="en-US" w:eastAsia="zh-CN"/>
              </w:rPr>
            </w:pPr>
            <w:r>
              <w:rPr>
                <w:rFonts w:hint="eastAsia"/>
                <w:color w:val="auto"/>
                <w:sz w:val="24"/>
                <w:szCs w:val="24"/>
                <w:lang w:val="en-US" w:eastAsia="zh-CN"/>
              </w:rPr>
              <w:t>和硕县污水处理厂位于和硕县城西南角，地理位置坐标为：东经86°50</w:t>
            </w:r>
            <w:r>
              <w:rPr>
                <w:rFonts w:hint="eastAsia" w:ascii="宋体" w:hAnsi="宋体" w:eastAsia="宋体" w:cs="宋体"/>
                <w:color w:val="auto"/>
                <w:sz w:val="24"/>
                <w:szCs w:val="24"/>
                <w:lang w:val="en-US" w:eastAsia="zh-CN"/>
              </w:rPr>
              <w:t>′</w:t>
            </w:r>
            <w:r>
              <w:rPr>
                <w:rFonts w:hint="eastAsia"/>
                <w:color w:val="auto"/>
                <w:sz w:val="24"/>
                <w:szCs w:val="24"/>
                <w:lang w:val="en-US" w:eastAsia="zh-CN"/>
              </w:rPr>
              <w:t>16.30</w:t>
            </w:r>
            <w:r>
              <w:rPr>
                <w:rFonts w:hint="eastAsia" w:ascii="宋体" w:hAnsi="宋体" w:eastAsia="宋体" w:cs="宋体"/>
                <w:color w:val="auto"/>
                <w:sz w:val="24"/>
                <w:szCs w:val="24"/>
                <w:lang w:val="en-US" w:eastAsia="zh-CN"/>
              </w:rPr>
              <w:t>″</w:t>
            </w:r>
            <w:r>
              <w:rPr>
                <w:rFonts w:hint="eastAsia"/>
                <w:color w:val="auto"/>
                <w:sz w:val="24"/>
                <w:szCs w:val="24"/>
                <w:lang w:val="en-US" w:eastAsia="zh-CN"/>
              </w:rPr>
              <w:t>，北纬41°15</w:t>
            </w:r>
            <w:r>
              <w:rPr>
                <w:rFonts w:hint="eastAsia" w:ascii="宋体" w:hAnsi="宋体" w:eastAsia="宋体" w:cs="宋体"/>
                <w:color w:val="auto"/>
                <w:sz w:val="24"/>
                <w:szCs w:val="24"/>
                <w:lang w:val="en-US" w:eastAsia="zh-CN"/>
              </w:rPr>
              <w:t>′</w:t>
            </w:r>
            <w:r>
              <w:rPr>
                <w:rFonts w:hint="eastAsia"/>
                <w:color w:val="auto"/>
                <w:sz w:val="24"/>
                <w:szCs w:val="24"/>
                <w:lang w:val="en-US" w:eastAsia="zh-CN"/>
              </w:rPr>
              <w:t>34.92</w:t>
            </w:r>
            <w:r>
              <w:rPr>
                <w:rFonts w:hint="eastAsia" w:ascii="宋体" w:hAnsi="宋体" w:eastAsia="宋体" w:cs="宋体"/>
                <w:color w:val="auto"/>
                <w:sz w:val="24"/>
                <w:szCs w:val="24"/>
                <w:lang w:val="en-US" w:eastAsia="zh-CN"/>
              </w:rPr>
              <w:t>″</w:t>
            </w:r>
            <w:r>
              <w:rPr>
                <w:rFonts w:hint="eastAsia"/>
                <w:color w:val="auto"/>
                <w:sz w:val="24"/>
                <w:szCs w:val="24"/>
                <w:lang w:val="en-US" w:eastAsia="zh-CN"/>
              </w:rPr>
              <w:t>，主要接纳和硕县县城，和硕县经济开发区清水河综合工业园、塔哈其镇、苏哈特乡生活污水。污水处理厂设计最大处理规模为2.5万m</w:t>
            </w:r>
            <w:r>
              <w:rPr>
                <w:rFonts w:hint="eastAsia"/>
                <w:color w:val="auto"/>
                <w:sz w:val="24"/>
                <w:szCs w:val="24"/>
                <w:vertAlign w:val="superscript"/>
                <w:lang w:val="en-US" w:eastAsia="zh-CN"/>
              </w:rPr>
              <w:t>3</w:t>
            </w:r>
            <w:r>
              <w:rPr>
                <w:rFonts w:hint="eastAsia"/>
                <w:color w:val="auto"/>
                <w:sz w:val="24"/>
                <w:szCs w:val="24"/>
                <w:lang w:val="en-US" w:eastAsia="zh-CN"/>
              </w:rPr>
              <w:t>/d，采用A20+MBR池处理工艺，废水经污水处理厂处理达到《城镇污水处理厂污染物排放标准》（GB 18918-2002）中一级A标准后用于城市景观湖及绿化灌溉用水。目前和硕县污水处理厂运行正常，且已取得排污许可证（证书号：91652828MA776Y3E5U001V）。</w:t>
            </w:r>
          </w:p>
          <w:p w14:paraId="59A0FB21">
            <w:pPr>
              <w:keepNext w:val="0"/>
              <w:keepLines w:val="0"/>
              <w:pageBreakBefore w:val="0"/>
              <w:suppressLineNumbers w:val="0"/>
              <w:kinsoku/>
              <w:wordWrap/>
              <w:overflowPunct/>
              <w:topLinePunct w:val="0"/>
              <w:bidi w:val="0"/>
              <w:spacing w:before="0" w:beforeAutospacing="0" w:after="0" w:afterAutospacing="0" w:line="500" w:lineRule="exact"/>
              <w:ind w:left="0" w:right="0" w:firstLine="480" w:firstLineChars="200"/>
              <w:rPr>
                <w:rFonts w:hint="default"/>
                <w:color w:val="auto"/>
                <w:sz w:val="24"/>
                <w:szCs w:val="24"/>
                <w:lang w:val="en-US" w:eastAsia="zh-CN"/>
              </w:rPr>
            </w:pPr>
            <w:r>
              <w:rPr>
                <w:rFonts w:hint="eastAsia"/>
                <w:color w:val="auto"/>
                <w:sz w:val="24"/>
                <w:szCs w:val="24"/>
                <w:lang w:val="en-US" w:eastAsia="zh-CN"/>
              </w:rPr>
              <w:t>本项目污水产生量为</w:t>
            </w:r>
            <w:r>
              <w:rPr>
                <w:rFonts w:hint="eastAsia" w:cs="Times New Roman"/>
                <w:color w:val="auto"/>
                <w:sz w:val="24"/>
                <w:szCs w:val="24"/>
                <w:lang w:val="en-US" w:eastAsia="zh-CN"/>
              </w:rPr>
              <w:t>2.82</w:t>
            </w:r>
            <w:r>
              <w:rPr>
                <w:rFonts w:hint="eastAsia"/>
                <w:color w:val="auto"/>
                <w:sz w:val="24"/>
                <w:szCs w:val="24"/>
                <w:lang w:val="en-US" w:eastAsia="zh-CN"/>
              </w:rPr>
              <w:t>m</w:t>
            </w:r>
            <w:r>
              <w:rPr>
                <w:rFonts w:hint="eastAsia"/>
                <w:color w:val="auto"/>
                <w:sz w:val="24"/>
                <w:szCs w:val="24"/>
                <w:vertAlign w:val="superscript"/>
                <w:lang w:val="en-US" w:eastAsia="zh-CN"/>
              </w:rPr>
              <w:t>3</w:t>
            </w:r>
            <w:r>
              <w:rPr>
                <w:rFonts w:hint="eastAsia"/>
                <w:color w:val="auto"/>
                <w:sz w:val="24"/>
                <w:szCs w:val="24"/>
                <w:lang w:val="en-US" w:eastAsia="zh-CN"/>
              </w:rPr>
              <w:t>/d，（473.09m</w:t>
            </w:r>
            <w:r>
              <w:rPr>
                <w:rFonts w:hint="eastAsia"/>
                <w:color w:val="auto"/>
                <w:sz w:val="24"/>
                <w:szCs w:val="24"/>
                <w:vertAlign w:val="superscript"/>
                <w:lang w:val="en-US" w:eastAsia="zh-CN"/>
              </w:rPr>
              <w:t>3</w:t>
            </w:r>
            <w:r>
              <w:rPr>
                <w:rFonts w:hint="eastAsia"/>
                <w:color w:val="auto"/>
                <w:sz w:val="24"/>
                <w:szCs w:val="24"/>
                <w:lang w:val="en-US" w:eastAsia="zh-CN"/>
              </w:rPr>
              <w:t>/a），产生量较小，不会对污水处理厂产生冲击影响，污水去向可行。</w:t>
            </w:r>
          </w:p>
          <w:p w14:paraId="4912026D">
            <w:pPr>
              <w:keepNext w:val="0"/>
              <w:keepLines w:val="0"/>
              <w:pageBreakBefore w:val="0"/>
              <w:suppressLineNumbers w:val="0"/>
              <w:kinsoku/>
              <w:wordWrap/>
              <w:overflowPunct/>
              <w:topLinePunct w:val="0"/>
              <w:bidi w:val="0"/>
              <w:spacing w:before="0" w:beforeAutospacing="0" w:after="0" w:afterAutospacing="0" w:line="500" w:lineRule="exact"/>
              <w:ind w:left="0" w:right="0" w:firstLine="482" w:firstLineChars="200"/>
              <w:rPr>
                <w:rFonts w:hint="default" w:cs="Times New Roman"/>
                <w:b/>
                <w:bCs/>
                <w:color w:val="auto"/>
                <w:sz w:val="24"/>
                <w:szCs w:val="24"/>
                <w:lang w:val="en-US" w:eastAsia="zh-CN"/>
              </w:rPr>
            </w:pPr>
            <w:r>
              <w:rPr>
                <w:rFonts w:hint="default" w:cs="Times New Roman"/>
                <w:b/>
                <w:bCs/>
                <w:color w:val="auto"/>
                <w:sz w:val="24"/>
                <w:szCs w:val="24"/>
                <w:lang w:val="en-US" w:eastAsia="zh-CN"/>
              </w:rPr>
              <w:t>3.噪声环境影响和保护措施</w:t>
            </w:r>
          </w:p>
          <w:p w14:paraId="773DF808">
            <w:pPr>
              <w:keepNext w:val="0"/>
              <w:keepLines w:val="0"/>
              <w:pageBreakBefore w:val="0"/>
              <w:suppressLineNumbers w:val="0"/>
              <w:kinsoku/>
              <w:wordWrap/>
              <w:overflowPunct/>
              <w:topLinePunct w:val="0"/>
              <w:bidi w:val="0"/>
              <w:spacing w:before="0" w:beforeAutospacing="0" w:after="0" w:afterAutospacing="0" w:line="500" w:lineRule="exact"/>
              <w:ind w:left="0" w:right="0" w:firstLine="482" w:firstLineChars="200"/>
              <w:rPr>
                <w:rFonts w:hint="default" w:cs="Times New Roman"/>
                <w:b/>
                <w:bCs/>
                <w:color w:val="auto"/>
                <w:sz w:val="24"/>
                <w:szCs w:val="24"/>
                <w:lang w:val="en-US" w:eastAsia="zh-CN"/>
              </w:rPr>
            </w:pPr>
            <w:r>
              <w:rPr>
                <w:rFonts w:hint="default" w:cs="Times New Roman"/>
                <w:b/>
                <w:bCs/>
                <w:color w:val="auto"/>
                <w:sz w:val="24"/>
                <w:szCs w:val="24"/>
                <w:lang w:val="en-US" w:eastAsia="zh-CN"/>
              </w:rPr>
              <w:t>3.1噪声源强核算及保护措施</w:t>
            </w:r>
          </w:p>
          <w:p w14:paraId="26C28D24">
            <w:pPr>
              <w:keepNext w:val="0"/>
              <w:keepLines w:val="0"/>
              <w:pageBreakBefore w:val="0"/>
              <w:widowControl/>
              <w:suppressLineNumbers w:val="0"/>
              <w:kinsoku/>
              <w:wordWrap/>
              <w:overflowPunct/>
              <w:topLinePunct w:val="0"/>
              <w:bidi w:val="0"/>
              <w:spacing w:before="0" w:beforeAutospacing="0" w:after="0" w:afterAutospacing="0" w:line="500" w:lineRule="exact"/>
              <w:ind w:left="0" w:right="0" w:firstLine="480" w:firstLineChars="200"/>
              <w:jc w:val="left"/>
              <w:rPr>
                <w:rFonts w:hint="default"/>
                <w:color w:val="auto"/>
                <w:sz w:val="24"/>
                <w:szCs w:val="24"/>
              </w:rPr>
            </w:pPr>
            <w:r>
              <w:rPr>
                <w:rFonts w:hint="default"/>
                <w:color w:val="auto"/>
                <w:sz w:val="24"/>
                <w:szCs w:val="24"/>
              </w:rPr>
              <w:t>（1）设备噪声</w:t>
            </w:r>
          </w:p>
          <w:p w14:paraId="0557A4CA">
            <w:pPr>
              <w:keepNext w:val="0"/>
              <w:keepLines w:val="0"/>
              <w:pageBreakBefore w:val="0"/>
              <w:widowControl/>
              <w:suppressLineNumbers w:val="0"/>
              <w:kinsoku/>
              <w:wordWrap/>
              <w:overflowPunct/>
              <w:topLinePunct w:val="0"/>
              <w:bidi w:val="0"/>
              <w:spacing w:before="0" w:beforeAutospacing="0" w:after="0" w:afterAutospacing="0" w:line="500" w:lineRule="exact"/>
              <w:ind w:left="0" w:right="0" w:firstLine="480" w:firstLineChars="200"/>
              <w:jc w:val="left"/>
              <w:rPr>
                <w:rFonts w:hint="default"/>
                <w:color w:val="auto"/>
                <w:sz w:val="24"/>
                <w:szCs w:val="24"/>
              </w:rPr>
            </w:pPr>
            <w:r>
              <w:rPr>
                <w:rFonts w:hint="default"/>
                <w:color w:val="auto"/>
                <w:sz w:val="24"/>
                <w:szCs w:val="24"/>
              </w:rPr>
              <w:t>本项目</w:t>
            </w:r>
            <w:r>
              <w:rPr>
                <w:rFonts w:hint="eastAsia"/>
                <w:color w:val="auto"/>
                <w:sz w:val="24"/>
                <w:szCs w:val="24"/>
                <w:lang w:val="en-US" w:eastAsia="zh-CN"/>
              </w:rPr>
              <w:t>生产设备较少，主要为磨粉机、空压机、搅拌机、破碎机、提升机、洗石机、双轴洗砂机、方形摇摆筛</w:t>
            </w:r>
            <w:r>
              <w:rPr>
                <w:rFonts w:hint="default"/>
                <w:color w:val="auto"/>
                <w:sz w:val="24"/>
                <w:szCs w:val="24"/>
              </w:rPr>
              <w:t>运转时产生的噪声，噪声级在</w:t>
            </w:r>
            <w:r>
              <w:rPr>
                <w:rFonts w:hint="eastAsia"/>
                <w:color w:val="auto"/>
                <w:sz w:val="24"/>
                <w:szCs w:val="24"/>
                <w:lang w:val="en-US" w:eastAsia="zh-CN"/>
              </w:rPr>
              <w:t>75-95</w:t>
            </w:r>
            <w:r>
              <w:rPr>
                <w:rFonts w:hint="default"/>
                <w:color w:val="auto"/>
                <w:sz w:val="24"/>
                <w:szCs w:val="24"/>
              </w:rPr>
              <w:t>dB（A）</w:t>
            </w:r>
            <w:r>
              <w:rPr>
                <w:rFonts w:hint="eastAsia"/>
                <w:color w:val="auto"/>
                <w:sz w:val="24"/>
                <w:szCs w:val="24"/>
                <w:lang w:val="en-US" w:eastAsia="zh-CN"/>
              </w:rPr>
              <w:t>之间</w:t>
            </w:r>
            <w:r>
              <w:rPr>
                <w:rFonts w:hint="default"/>
                <w:color w:val="auto"/>
                <w:sz w:val="24"/>
                <w:szCs w:val="24"/>
              </w:rPr>
              <w:t>。</w:t>
            </w:r>
          </w:p>
          <w:p w14:paraId="2FAC74A9">
            <w:pPr>
              <w:keepNext w:val="0"/>
              <w:keepLines w:val="0"/>
              <w:pageBreakBefore w:val="0"/>
              <w:widowControl/>
              <w:suppressLineNumbers w:val="0"/>
              <w:kinsoku/>
              <w:wordWrap/>
              <w:overflowPunct/>
              <w:topLinePunct w:val="0"/>
              <w:bidi w:val="0"/>
              <w:spacing w:before="0" w:beforeAutospacing="0" w:after="0" w:afterAutospacing="0" w:line="500" w:lineRule="exact"/>
              <w:ind w:left="0" w:right="0" w:firstLine="480" w:firstLineChars="200"/>
              <w:jc w:val="left"/>
              <w:rPr>
                <w:rFonts w:hint="default"/>
                <w:color w:val="auto"/>
                <w:sz w:val="24"/>
                <w:szCs w:val="24"/>
              </w:rPr>
            </w:pPr>
            <w:r>
              <w:rPr>
                <w:rFonts w:hint="eastAsia"/>
                <w:color w:val="auto"/>
                <w:sz w:val="24"/>
                <w:szCs w:val="24"/>
                <w:lang w:val="en-US" w:eastAsia="zh-CN"/>
              </w:rPr>
              <w:t>本项目主要噪声源基本布置在厂房内，加上项目区周围无敏感区，周围主要是道路及厂房等，因此本次噪声预测按照《环境影响评价技术导则 声环境》（HJ2.4-2021）中“工业噪声预测模式”的预测方法，采用点声源的衰减公式和预测点噪声叠加公式进行计算。</w:t>
            </w:r>
            <w:r>
              <w:rPr>
                <w:rFonts w:hint="default"/>
                <w:color w:val="auto"/>
                <w:sz w:val="24"/>
                <w:szCs w:val="24"/>
              </w:rPr>
              <w:t>各生产设备噪声值详见下表</w:t>
            </w:r>
            <w:r>
              <w:rPr>
                <w:rFonts w:hint="eastAsia"/>
                <w:color w:val="auto"/>
                <w:sz w:val="24"/>
                <w:szCs w:val="24"/>
                <w:lang w:val="en-US" w:eastAsia="zh-CN"/>
              </w:rPr>
              <w:t>4-8</w:t>
            </w:r>
            <w:r>
              <w:rPr>
                <w:rFonts w:hint="default"/>
                <w:color w:val="auto"/>
                <w:sz w:val="24"/>
                <w:szCs w:val="24"/>
              </w:rPr>
              <w:t>。</w:t>
            </w:r>
          </w:p>
          <w:p w14:paraId="68598DE1">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rPr>
                <w:rFonts w:hint="default"/>
                <w:b/>
                <w:bCs/>
                <w:color w:val="auto"/>
                <w:sz w:val="21"/>
                <w:szCs w:val="21"/>
              </w:rPr>
            </w:pPr>
          </w:p>
          <w:p w14:paraId="7ADCD6B1">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rPr>
                <w:rFonts w:hint="default"/>
                <w:b/>
                <w:bCs/>
                <w:color w:val="auto"/>
                <w:sz w:val="21"/>
                <w:szCs w:val="21"/>
              </w:rPr>
            </w:pPr>
          </w:p>
          <w:p w14:paraId="6E4A9391">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rPr>
                <w:rFonts w:hint="default"/>
                <w:b/>
                <w:bCs/>
                <w:color w:val="auto"/>
                <w:sz w:val="21"/>
                <w:szCs w:val="21"/>
              </w:rPr>
            </w:pPr>
          </w:p>
          <w:p w14:paraId="6FC73FD1">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rPr>
                <w:rFonts w:hint="default"/>
                <w:b/>
                <w:bCs/>
                <w:color w:val="auto"/>
                <w:sz w:val="21"/>
                <w:szCs w:val="21"/>
              </w:rPr>
            </w:pPr>
          </w:p>
          <w:p w14:paraId="73B3E187">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rPr>
                <w:rFonts w:hint="default"/>
                <w:b/>
                <w:bCs/>
                <w:color w:val="auto"/>
                <w:sz w:val="21"/>
                <w:szCs w:val="21"/>
              </w:rPr>
            </w:pPr>
          </w:p>
          <w:p w14:paraId="7FBADE3D">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rPr>
                <w:rFonts w:hint="default"/>
                <w:b/>
                <w:bCs/>
                <w:color w:val="auto"/>
                <w:sz w:val="21"/>
                <w:szCs w:val="21"/>
              </w:rPr>
            </w:pPr>
          </w:p>
          <w:p w14:paraId="07F7D4D7">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rPr>
                <w:rFonts w:hint="default"/>
                <w:b/>
                <w:bCs/>
                <w:color w:val="auto"/>
                <w:sz w:val="21"/>
                <w:szCs w:val="21"/>
              </w:rPr>
            </w:pPr>
          </w:p>
          <w:p w14:paraId="459DD174">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rPr>
                <w:rFonts w:hint="default"/>
                <w:b/>
                <w:bCs/>
                <w:color w:val="auto"/>
                <w:sz w:val="21"/>
                <w:szCs w:val="21"/>
              </w:rPr>
            </w:pPr>
          </w:p>
          <w:p w14:paraId="1F711302">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rPr>
                <w:rFonts w:hint="default"/>
                <w:b/>
                <w:bCs/>
                <w:color w:val="auto"/>
                <w:sz w:val="21"/>
                <w:szCs w:val="21"/>
              </w:rPr>
            </w:pPr>
          </w:p>
          <w:p w14:paraId="3915FA98">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rPr>
                <w:rFonts w:hint="default"/>
                <w:b/>
                <w:bCs/>
                <w:color w:val="auto"/>
                <w:sz w:val="21"/>
                <w:szCs w:val="21"/>
              </w:rPr>
            </w:pPr>
          </w:p>
          <w:p w14:paraId="6AE9FA18">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rPr>
                <w:rFonts w:hint="default"/>
                <w:b/>
                <w:bCs/>
                <w:color w:val="auto"/>
                <w:sz w:val="21"/>
                <w:szCs w:val="21"/>
              </w:rPr>
            </w:pPr>
          </w:p>
          <w:p w14:paraId="49B7883C">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rPr>
                <w:rFonts w:hint="default"/>
                <w:b/>
                <w:bCs/>
                <w:color w:val="auto"/>
                <w:sz w:val="21"/>
                <w:szCs w:val="21"/>
              </w:rPr>
            </w:pPr>
          </w:p>
          <w:p w14:paraId="58E26AB3">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rPr>
                <w:rFonts w:hint="default"/>
                <w:b/>
                <w:bCs/>
                <w:color w:val="auto"/>
                <w:sz w:val="21"/>
                <w:szCs w:val="21"/>
              </w:rPr>
            </w:pPr>
          </w:p>
          <w:p w14:paraId="441288C3">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rPr>
                <w:rFonts w:hint="default"/>
                <w:b/>
                <w:bCs/>
                <w:color w:val="auto"/>
                <w:sz w:val="21"/>
                <w:szCs w:val="21"/>
              </w:rPr>
            </w:pPr>
          </w:p>
          <w:p w14:paraId="56EC127A">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rPr>
                <w:rFonts w:hint="default"/>
                <w:b/>
                <w:bCs/>
                <w:color w:val="auto"/>
                <w:sz w:val="21"/>
                <w:szCs w:val="21"/>
              </w:rPr>
            </w:pPr>
          </w:p>
          <w:p w14:paraId="058FA497">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rPr>
                <w:rFonts w:hint="default"/>
                <w:b/>
                <w:bCs/>
                <w:color w:val="auto"/>
                <w:sz w:val="21"/>
                <w:szCs w:val="21"/>
              </w:rPr>
            </w:pPr>
          </w:p>
          <w:p w14:paraId="0B9B67AF">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rPr>
                <w:rFonts w:hint="default"/>
                <w:b/>
                <w:bCs/>
                <w:color w:val="auto"/>
                <w:sz w:val="21"/>
                <w:szCs w:val="21"/>
              </w:rPr>
            </w:pPr>
            <w:r>
              <w:rPr>
                <w:rFonts w:hint="default"/>
                <w:b/>
                <w:bCs/>
                <w:color w:val="auto"/>
                <w:sz w:val="21"/>
                <w:szCs w:val="21"/>
              </w:rPr>
              <w:t>表</w:t>
            </w:r>
            <w:r>
              <w:rPr>
                <w:rFonts w:hint="eastAsia"/>
                <w:b/>
                <w:bCs/>
                <w:color w:val="auto"/>
                <w:sz w:val="21"/>
                <w:szCs w:val="21"/>
                <w:lang w:val="en-US" w:eastAsia="zh-CN"/>
              </w:rPr>
              <w:t>4-8</w:t>
            </w:r>
            <w:r>
              <w:rPr>
                <w:rFonts w:hint="default"/>
                <w:b/>
                <w:bCs/>
                <w:color w:val="auto"/>
                <w:sz w:val="21"/>
                <w:szCs w:val="21"/>
              </w:rPr>
              <w:t>项目主要设备噪声源强单位：dB(A)</w:t>
            </w:r>
          </w:p>
          <w:tbl>
            <w:tblPr>
              <w:tblStyle w:val="24"/>
              <w:tblW w:w="5013"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084"/>
              <w:gridCol w:w="801"/>
              <w:gridCol w:w="685"/>
              <w:gridCol w:w="1117"/>
              <w:gridCol w:w="1151"/>
              <w:gridCol w:w="2411"/>
            </w:tblGrid>
            <w:tr w14:paraId="7DBEF9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450" w:type="pct"/>
                  <w:noWrap w:val="0"/>
                  <w:vAlign w:val="center"/>
                </w:tcPr>
                <w:p w14:paraId="60A2E9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default"/>
                      <w:color w:val="auto"/>
                      <w:sz w:val="21"/>
                      <w:szCs w:val="21"/>
                      <w:lang w:val="en-US" w:eastAsia="zh-CN"/>
                    </w:rPr>
                    <w:t>序号</w:t>
                  </w:r>
                </w:p>
              </w:tc>
              <w:tc>
                <w:tcPr>
                  <w:tcW w:w="680" w:type="pct"/>
                  <w:noWrap w:val="0"/>
                  <w:vAlign w:val="center"/>
                </w:tcPr>
                <w:p w14:paraId="5885AD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default"/>
                      <w:color w:val="auto"/>
                      <w:sz w:val="21"/>
                      <w:szCs w:val="21"/>
                      <w:lang w:val="en-US" w:eastAsia="zh-CN"/>
                    </w:rPr>
                    <w:t>设备名称</w:t>
                  </w:r>
                </w:p>
              </w:tc>
              <w:tc>
                <w:tcPr>
                  <w:tcW w:w="502" w:type="pct"/>
                  <w:noWrap w:val="0"/>
                  <w:vAlign w:val="center"/>
                </w:tcPr>
                <w:p w14:paraId="4FE09B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color w:val="auto"/>
                      <w:sz w:val="21"/>
                      <w:szCs w:val="21"/>
                      <w:lang w:val="en-US" w:eastAsia="zh-CN"/>
                    </w:rPr>
                  </w:pPr>
                  <w:r>
                    <w:rPr>
                      <w:rFonts w:hint="eastAsia"/>
                      <w:color w:val="auto"/>
                      <w:sz w:val="21"/>
                      <w:szCs w:val="21"/>
                      <w:lang w:val="en-US" w:eastAsia="zh-CN"/>
                    </w:rPr>
                    <w:t>单位</w:t>
                  </w:r>
                </w:p>
              </w:tc>
              <w:tc>
                <w:tcPr>
                  <w:tcW w:w="429" w:type="pct"/>
                  <w:noWrap w:val="0"/>
                  <w:vAlign w:val="center"/>
                </w:tcPr>
                <w:p w14:paraId="402C42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color w:val="auto"/>
                      <w:sz w:val="21"/>
                      <w:szCs w:val="21"/>
                      <w:lang w:val="en-US" w:eastAsia="zh-CN"/>
                    </w:rPr>
                  </w:pPr>
                  <w:r>
                    <w:rPr>
                      <w:rFonts w:hint="eastAsia"/>
                      <w:color w:val="auto"/>
                      <w:sz w:val="21"/>
                      <w:szCs w:val="21"/>
                      <w:lang w:val="en-US" w:eastAsia="zh-CN"/>
                    </w:rPr>
                    <w:t>数量</w:t>
                  </w:r>
                </w:p>
              </w:tc>
              <w:tc>
                <w:tcPr>
                  <w:tcW w:w="701" w:type="pct"/>
                  <w:noWrap w:val="0"/>
                  <w:vAlign w:val="center"/>
                </w:tcPr>
                <w:p w14:paraId="5E8F40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color w:val="auto"/>
                      <w:sz w:val="21"/>
                      <w:szCs w:val="21"/>
                      <w:lang w:val="en-US" w:eastAsia="zh-CN"/>
                    </w:rPr>
                  </w:pPr>
                  <w:r>
                    <w:rPr>
                      <w:rFonts w:hint="eastAsia"/>
                      <w:color w:val="auto"/>
                      <w:sz w:val="21"/>
                      <w:szCs w:val="21"/>
                      <w:lang w:val="en-US" w:eastAsia="zh-CN"/>
                    </w:rPr>
                    <w:t>等效声级</w:t>
                  </w:r>
                  <w:r>
                    <w:rPr>
                      <w:rFonts w:hint="default"/>
                      <w:color w:val="auto"/>
                      <w:sz w:val="21"/>
                      <w:szCs w:val="21"/>
                      <w:lang w:val="en-US" w:eastAsia="zh-CN"/>
                    </w:rPr>
                    <w:t>dB(A)</w:t>
                  </w:r>
                </w:p>
              </w:tc>
              <w:tc>
                <w:tcPr>
                  <w:tcW w:w="722" w:type="pct"/>
                  <w:noWrap w:val="0"/>
                  <w:vAlign w:val="center"/>
                </w:tcPr>
                <w:p w14:paraId="521915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color w:val="auto"/>
                      <w:sz w:val="21"/>
                      <w:szCs w:val="21"/>
                      <w:lang w:val="en-US" w:eastAsia="zh-CN"/>
                    </w:rPr>
                  </w:pPr>
                  <w:r>
                    <w:rPr>
                      <w:rFonts w:hint="eastAsia"/>
                      <w:color w:val="auto"/>
                      <w:sz w:val="21"/>
                      <w:szCs w:val="21"/>
                      <w:lang w:val="en-US" w:eastAsia="zh-CN"/>
                    </w:rPr>
                    <w:t>排放方式</w:t>
                  </w:r>
                </w:p>
              </w:tc>
              <w:tc>
                <w:tcPr>
                  <w:tcW w:w="1513" w:type="pct"/>
                  <w:noWrap w:val="0"/>
                  <w:vAlign w:val="center"/>
                </w:tcPr>
                <w:p w14:paraId="650EE3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color w:val="auto"/>
                      <w:sz w:val="21"/>
                      <w:szCs w:val="21"/>
                      <w:lang w:val="en-US" w:eastAsia="zh-CN"/>
                    </w:rPr>
                  </w:pPr>
                  <w:r>
                    <w:rPr>
                      <w:rFonts w:hint="default"/>
                      <w:color w:val="auto"/>
                      <w:sz w:val="21"/>
                      <w:szCs w:val="21"/>
                      <w:lang w:val="en-US" w:eastAsia="zh-CN"/>
                    </w:rPr>
                    <w:t>降噪措施</w:t>
                  </w:r>
                </w:p>
              </w:tc>
            </w:tr>
            <w:tr w14:paraId="14CD5F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450" w:type="pct"/>
                  <w:noWrap w:val="0"/>
                  <w:vAlign w:val="center"/>
                </w:tcPr>
                <w:p w14:paraId="174CE2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default"/>
                      <w:color w:val="auto"/>
                      <w:sz w:val="21"/>
                      <w:szCs w:val="21"/>
                      <w:lang w:val="en-US" w:eastAsia="zh-CN"/>
                    </w:rPr>
                    <w:t>1</w:t>
                  </w:r>
                </w:p>
              </w:tc>
              <w:tc>
                <w:tcPr>
                  <w:tcW w:w="680" w:type="pct"/>
                  <w:noWrap w:val="0"/>
                  <w:vAlign w:val="center"/>
                </w:tcPr>
                <w:p w14:paraId="74F7DC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default"/>
                      <w:color w:val="auto"/>
                      <w:sz w:val="21"/>
                      <w:szCs w:val="21"/>
                      <w:lang w:val="en-US" w:eastAsia="zh-CN"/>
                    </w:rPr>
                    <w:t>磨粉机</w:t>
                  </w:r>
                </w:p>
              </w:tc>
              <w:tc>
                <w:tcPr>
                  <w:tcW w:w="801" w:type="dxa"/>
                  <w:noWrap w:val="0"/>
                  <w:vAlign w:val="center"/>
                </w:tcPr>
                <w:p w14:paraId="0EE9D9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台/套</w:t>
                  </w:r>
                </w:p>
              </w:tc>
              <w:tc>
                <w:tcPr>
                  <w:tcW w:w="429" w:type="pct"/>
                  <w:noWrap w:val="0"/>
                  <w:vAlign w:val="center"/>
                </w:tcPr>
                <w:p w14:paraId="1280A4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1</w:t>
                  </w:r>
                </w:p>
              </w:tc>
              <w:tc>
                <w:tcPr>
                  <w:tcW w:w="1117" w:type="dxa"/>
                  <w:noWrap w:val="0"/>
                  <w:vAlign w:val="center"/>
                </w:tcPr>
                <w:p w14:paraId="2D36B5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95</w:t>
                  </w:r>
                </w:p>
              </w:tc>
              <w:tc>
                <w:tcPr>
                  <w:tcW w:w="1151" w:type="dxa"/>
                  <w:noWrap w:val="0"/>
                  <w:vAlign w:val="center"/>
                </w:tcPr>
                <w:p w14:paraId="1810BE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非连续</w:t>
                  </w:r>
                </w:p>
              </w:tc>
              <w:tc>
                <w:tcPr>
                  <w:tcW w:w="2411" w:type="dxa"/>
                  <w:noWrap w:val="0"/>
                  <w:vAlign w:val="center"/>
                </w:tcPr>
                <w:p w14:paraId="14C766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default"/>
                      <w:color w:val="auto"/>
                      <w:sz w:val="21"/>
                      <w:szCs w:val="21"/>
                      <w:lang w:val="en-US" w:eastAsia="zh-CN"/>
                    </w:rPr>
                    <w:t>基础减振、厂房隔声和距离衰减</w:t>
                  </w:r>
                </w:p>
              </w:tc>
            </w:tr>
            <w:tr w14:paraId="70640E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450" w:type="pct"/>
                  <w:noWrap w:val="0"/>
                  <w:vAlign w:val="center"/>
                </w:tcPr>
                <w:p w14:paraId="2382C9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2</w:t>
                  </w:r>
                </w:p>
              </w:tc>
              <w:tc>
                <w:tcPr>
                  <w:tcW w:w="680" w:type="pct"/>
                  <w:noWrap w:val="0"/>
                  <w:vAlign w:val="center"/>
                </w:tcPr>
                <w:p w14:paraId="38FDA0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default"/>
                      <w:color w:val="auto"/>
                      <w:sz w:val="21"/>
                      <w:szCs w:val="21"/>
                      <w:lang w:val="en-US" w:eastAsia="zh-CN"/>
                    </w:rPr>
                    <w:t>空压机</w:t>
                  </w:r>
                </w:p>
              </w:tc>
              <w:tc>
                <w:tcPr>
                  <w:tcW w:w="801" w:type="dxa"/>
                  <w:noWrap w:val="0"/>
                  <w:vAlign w:val="center"/>
                </w:tcPr>
                <w:p w14:paraId="52E26A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台/套</w:t>
                  </w:r>
                </w:p>
              </w:tc>
              <w:tc>
                <w:tcPr>
                  <w:tcW w:w="429" w:type="pct"/>
                  <w:noWrap w:val="0"/>
                  <w:vAlign w:val="center"/>
                </w:tcPr>
                <w:p w14:paraId="02D850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1</w:t>
                  </w:r>
                </w:p>
              </w:tc>
              <w:tc>
                <w:tcPr>
                  <w:tcW w:w="1117" w:type="dxa"/>
                  <w:noWrap w:val="0"/>
                  <w:vAlign w:val="center"/>
                </w:tcPr>
                <w:p w14:paraId="10698C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75</w:t>
                  </w:r>
                </w:p>
              </w:tc>
              <w:tc>
                <w:tcPr>
                  <w:tcW w:w="1151" w:type="dxa"/>
                  <w:noWrap w:val="0"/>
                  <w:vAlign w:val="center"/>
                </w:tcPr>
                <w:p w14:paraId="0E3684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非连续</w:t>
                  </w:r>
                </w:p>
              </w:tc>
              <w:tc>
                <w:tcPr>
                  <w:tcW w:w="2411" w:type="dxa"/>
                  <w:noWrap w:val="0"/>
                  <w:vAlign w:val="center"/>
                </w:tcPr>
                <w:p w14:paraId="0AE846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default"/>
                      <w:color w:val="auto"/>
                      <w:sz w:val="21"/>
                      <w:szCs w:val="21"/>
                      <w:lang w:val="en-US" w:eastAsia="zh-CN"/>
                    </w:rPr>
                    <w:t>基础减振、厂房隔声和距离衰减</w:t>
                  </w:r>
                </w:p>
              </w:tc>
            </w:tr>
            <w:tr w14:paraId="2DC7CF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450" w:type="pct"/>
                  <w:noWrap w:val="0"/>
                  <w:vAlign w:val="center"/>
                </w:tcPr>
                <w:p w14:paraId="2A5A0D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3</w:t>
                  </w:r>
                </w:p>
              </w:tc>
              <w:tc>
                <w:tcPr>
                  <w:tcW w:w="680" w:type="pct"/>
                  <w:noWrap w:val="0"/>
                  <w:vAlign w:val="center"/>
                </w:tcPr>
                <w:p w14:paraId="7F1736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default"/>
                      <w:color w:val="auto"/>
                      <w:sz w:val="21"/>
                      <w:szCs w:val="21"/>
                      <w:lang w:val="en-US" w:eastAsia="zh-CN"/>
                    </w:rPr>
                    <w:t>搅拌机</w:t>
                  </w:r>
                </w:p>
              </w:tc>
              <w:tc>
                <w:tcPr>
                  <w:tcW w:w="801" w:type="dxa"/>
                  <w:noWrap w:val="0"/>
                  <w:vAlign w:val="center"/>
                </w:tcPr>
                <w:p w14:paraId="046E3A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台/套</w:t>
                  </w:r>
                </w:p>
              </w:tc>
              <w:tc>
                <w:tcPr>
                  <w:tcW w:w="429" w:type="pct"/>
                  <w:noWrap w:val="0"/>
                  <w:vAlign w:val="center"/>
                </w:tcPr>
                <w:p w14:paraId="41F007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9</w:t>
                  </w:r>
                </w:p>
              </w:tc>
              <w:tc>
                <w:tcPr>
                  <w:tcW w:w="1117" w:type="dxa"/>
                  <w:noWrap w:val="0"/>
                  <w:vAlign w:val="center"/>
                </w:tcPr>
                <w:p w14:paraId="503BBD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80</w:t>
                  </w:r>
                </w:p>
              </w:tc>
              <w:tc>
                <w:tcPr>
                  <w:tcW w:w="1151" w:type="dxa"/>
                  <w:noWrap w:val="0"/>
                  <w:vAlign w:val="center"/>
                </w:tcPr>
                <w:p w14:paraId="681F11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非连续</w:t>
                  </w:r>
                </w:p>
              </w:tc>
              <w:tc>
                <w:tcPr>
                  <w:tcW w:w="2411" w:type="dxa"/>
                  <w:noWrap w:val="0"/>
                  <w:vAlign w:val="center"/>
                </w:tcPr>
                <w:p w14:paraId="27F979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default"/>
                      <w:color w:val="auto"/>
                      <w:sz w:val="21"/>
                      <w:szCs w:val="21"/>
                      <w:lang w:val="en-US" w:eastAsia="zh-CN"/>
                    </w:rPr>
                    <w:t>基础减振、厂房隔声和距离衰减</w:t>
                  </w:r>
                </w:p>
              </w:tc>
            </w:tr>
            <w:tr w14:paraId="4A1F0C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450" w:type="pct"/>
                  <w:noWrap w:val="0"/>
                  <w:vAlign w:val="center"/>
                </w:tcPr>
                <w:p w14:paraId="7C10CD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4</w:t>
                  </w:r>
                </w:p>
              </w:tc>
              <w:tc>
                <w:tcPr>
                  <w:tcW w:w="680" w:type="pct"/>
                  <w:shd w:val="clear" w:color="auto" w:fill="auto"/>
                  <w:noWrap w:val="0"/>
                  <w:vAlign w:val="center"/>
                </w:tcPr>
                <w:p w14:paraId="7A688F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破碎机</w:t>
                  </w:r>
                </w:p>
              </w:tc>
              <w:tc>
                <w:tcPr>
                  <w:tcW w:w="502" w:type="pct"/>
                  <w:shd w:val="clear" w:color="auto" w:fill="auto"/>
                  <w:noWrap w:val="0"/>
                  <w:vAlign w:val="center"/>
                </w:tcPr>
                <w:p w14:paraId="5821E2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台/套</w:t>
                  </w:r>
                </w:p>
              </w:tc>
              <w:tc>
                <w:tcPr>
                  <w:tcW w:w="429" w:type="pct"/>
                  <w:shd w:val="clear" w:color="auto" w:fill="auto"/>
                  <w:noWrap w:val="0"/>
                  <w:vAlign w:val="center"/>
                </w:tcPr>
                <w:p w14:paraId="195FDF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3</w:t>
                  </w:r>
                </w:p>
              </w:tc>
              <w:tc>
                <w:tcPr>
                  <w:tcW w:w="701" w:type="pct"/>
                  <w:shd w:val="clear" w:color="auto" w:fill="auto"/>
                  <w:noWrap w:val="0"/>
                  <w:vAlign w:val="center"/>
                </w:tcPr>
                <w:p w14:paraId="5F4241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95</w:t>
                  </w:r>
                </w:p>
              </w:tc>
              <w:tc>
                <w:tcPr>
                  <w:tcW w:w="722" w:type="pct"/>
                  <w:shd w:val="clear" w:color="auto" w:fill="auto"/>
                  <w:noWrap w:val="0"/>
                  <w:vAlign w:val="center"/>
                </w:tcPr>
                <w:p w14:paraId="7534A7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非连续</w:t>
                  </w:r>
                </w:p>
              </w:tc>
              <w:tc>
                <w:tcPr>
                  <w:tcW w:w="1513" w:type="pct"/>
                  <w:shd w:val="clear" w:color="auto" w:fill="auto"/>
                  <w:noWrap w:val="0"/>
                  <w:vAlign w:val="center"/>
                </w:tcPr>
                <w:p w14:paraId="589A2D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color w:val="auto"/>
                      <w:sz w:val="21"/>
                      <w:szCs w:val="21"/>
                      <w:lang w:val="en-US" w:eastAsia="zh-CN"/>
                    </w:rPr>
                    <w:t>基础减振、厂房隔声和距离衰减</w:t>
                  </w:r>
                </w:p>
              </w:tc>
            </w:tr>
            <w:tr w14:paraId="7E2284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450" w:type="pct"/>
                  <w:noWrap w:val="0"/>
                  <w:vAlign w:val="center"/>
                </w:tcPr>
                <w:p w14:paraId="02C845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5</w:t>
                  </w:r>
                </w:p>
              </w:tc>
              <w:tc>
                <w:tcPr>
                  <w:tcW w:w="680" w:type="pct"/>
                  <w:shd w:val="clear" w:color="auto" w:fill="auto"/>
                  <w:noWrap w:val="0"/>
                  <w:vAlign w:val="center"/>
                </w:tcPr>
                <w:p w14:paraId="4EFF7F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提升机</w:t>
                  </w:r>
                </w:p>
              </w:tc>
              <w:tc>
                <w:tcPr>
                  <w:tcW w:w="502" w:type="pct"/>
                  <w:shd w:val="clear" w:color="auto" w:fill="auto"/>
                  <w:noWrap w:val="0"/>
                  <w:vAlign w:val="center"/>
                </w:tcPr>
                <w:p w14:paraId="325FA7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台/套</w:t>
                  </w:r>
                </w:p>
              </w:tc>
              <w:tc>
                <w:tcPr>
                  <w:tcW w:w="429" w:type="pct"/>
                  <w:shd w:val="clear" w:color="auto" w:fill="auto"/>
                  <w:noWrap w:val="0"/>
                  <w:vAlign w:val="center"/>
                </w:tcPr>
                <w:p w14:paraId="2A395E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4</w:t>
                  </w:r>
                </w:p>
              </w:tc>
              <w:tc>
                <w:tcPr>
                  <w:tcW w:w="701" w:type="pct"/>
                  <w:shd w:val="clear" w:color="auto" w:fill="auto"/>
                  <w:noWrap w:val="0"/>
                  <w:vAlign w:val="center"/>
                </w:tcPr>
                <w:p w14:paraId="0C47DC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80</w:t>
                  </w:r>
                </w:p>
              </w:tc>
              <w:tc>
                <w:tcPr>
                  <w:tcW w:w="722" w:type="pct"/>
                  <w:shd w:val="clear" w:color="auto" w:fill="auto"/>
                  <w:noWrap w:val="0"/>
                  <w:vAlign w:val="center"/>
                </w:tcPr>
                <w:p w14:paraId="5FCC6E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非连续</w:t>
                  </w:r>
                </w:p>
              </w:tc>
              <w:tc>
                <w:tcPr>
                  <w:tcW w:w="1513" w:type="pct"/>
                  <w:shd w:val="clear" w:color="auto" w:fill="auto"/>
                  <w:noWrap w:val="0"/>
                  <w:vAlign w:val="center"/>
                </w:tcPr>
                <w:p w14:paraId="06D6FC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color w:val="auto"/>
                      <w:sz w:val="21"/>
                      <w:szCs w:val="21"/>
                      <w:lang w:val="en-US" w:eastAsia="zh-CN"/>
                    </w:rPr>
                    <w:t>基础减振、厂房隔声和距离衰减</w:t>
                  </w:r>
                </w:p>
              </w:tc>
            </w:tr>
            <w:tr w14:paraId="4AAAE4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450" w:type="pct"/>
                  <w:noWrap w:val="0"/>
                  <w:vAlign w:val="center"/>
                </w:tcPr>
                <w:p w14:paraId="25E6E7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6</w:t>
                  </w:r>
                </w:p>
              </w:tc>
              <w:tc>
                <w:tcPr>
                  <w:tcW w:w="680" w:type="pct"/>
                  <w:shd w:val="clear" w:color="auto" w:fill="auto"/>
                  <w:noWrap w:val="0"/>
                  <w:vAlign w:val="center"/>
                </w:tcPr>
                <w:p w14:paraId="0E29EC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洗石机</w:t>
                  </w:r>
                </w:p>
              </w:tc>
              <w:tc>
                <w:tcPr>
                  <w:tcW w:w="502" w:type="pct"/>
                  <w:shd w:val="clear" w:color="auto" w:fill="auto"/>
                  <w:noWrap w:val="0"/>
                  <w:vAlign w:val="center"/>
                </w:tcPr>
                <w:p w14:paraId="7E626E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台/套</w:t>
                  </w:r>
                </w:p>
              </w:tc>
              <w:tc>
                <w:tcPr>
                  <w:tcW w:w="429" w:type="pct"/>
                  <w:shd w:val="clear" w:color="auto" w:fill="auto"/>
                  <w:noWrap w:val="0"/>
                  <w:vAlign w:val="center"/>
                </w:tcPr>
                <w:p w14:paraId="37BA83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w:t>
                  </w:r>
                </w:p>
              </w:tc>
              <w:tc>
                <w:tcPr>
                  <w:tcW w:w="701" w:type="pct"/>
                  <w:shd w:val="clear" w:color="auto" w:fill="auto"/>
                  <w:noWrap w:val="0"/>
                  <w:vAlign w:val="center"/>
                </w:tcPr>
                <w:p w14:paraId="7E73EE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85</w:t>
                  </w:r>
                </w:p>
              </w:tc>
              <w:tc>
                <w:tcPr>
                  <w:tcW w:w="722" w:type="pct"/>
                  <w:shd w:val="clear" w:color="auto" w:fill="auto"/>
                  <w:noWrap w:val="0"/>
                  <w:vAlign w:val="center"/>
                </w:tcPr>
                <w:p w14:paraId="101370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非连续</w:t>
                  </w:r>
                </w:p>
              </w:tc>
              <w:tc>
                <w:tcPr>
                  <w:tcW w:w="1513" w:type="pct"/>
                  <w:shd w:val="clear" w:color="auto" w:fill="auto"/>
                  <w:noWrap w:val="0"/>
                  <w:vAlign w:val="center"/>
                </w:tcPr>
                <w:p w14:paraId="0C861C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color w:val="auto"/>
                      <w:sz w:val="21"/>
                      <w:szCs w:val="21"/>
                      <w:lang w:val="en-US" w:eastAsia="zh-CN"/>
                    </w:rPr>
                    <w:t>基础减振、厂房隔声和距离衰减</w:t>
                  </w:r>
                </w:p>
              </w:tc>
            </w:tr>
            <w:tr w14:paraId="06FF45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450" w:type="pct"/>
                  <w:noWrap w:val="0"/>
                  <w:vAlign w:val="center"/>
                </w:tcPr>
                <w:p w14:paraId="33E1A8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7</w:t>
                  </w:r>
                </w:p>
              </w:tc>
              <w:tc>
                <w:tcPr>
                  <w:tcW w:w="680" w:type="pct"/>
                  <w:shd w:val="clear" w:color="auto" w:fill="auto"/>
                  <w:noWrap w:val="0"/>
                  <w:vAlign w:val="center"/>
                </w:tcPr>
                <w:p w14:paraId="07CBB7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双轴洗砂机</w:t>
                  </w:r>
                </w:p>
              </w:tc>
              <w:tc>
                <w:tcPr>
                  <w:tcW w:w="502" w:type="pct"/>
                  <w:shd w:val="clear" w:color="auto" w:fill="auto"/>
                  <w:noWrap w:val="0"/>
                  <w:vAlign w:val="center"/>
                </w:tcPr>
                <w:p w14:paraId="3C05C0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台/套</w:t>
                  </w:r>
                </w:p>
              </w:tc>
              <w:tc>
                <w:tcPr>
                  <w:tcW w:w="429" w:type="pct"/>
                  <w:shd w:val="clear" w:color="auto" w:fill="auto"/>
                  <w:noWrap w:val="0"/>
                  <w:vAlign w:val="center"/>
                </w:tcPr>
                <w:p w14:paraId="516EA1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w:t>
                  </w:r>
                </w:p>
              </w:tc>
              <w:tc>
                <w:tcPr>
                  <w:tcW w:w="701" w:type="pct"/>
                  <w:shd w:val="clear" w:color="auto" w:fill="auto"/>
                  <w:noWrap w:val="0"/>
                  <w:vAlign w:val="center"/>
                </w:tcPr>
                <w:p w14:paraId="26E8FB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85</w:t>
                  </w:r>
                </w:p>
              </w:tc>
              <w:tc>
                <w:tcPr>
                  <w:tcW w:w="722" w:type="pct"/>
                  <w:shd w:val="clear" w:color="auto" w:fill="auto"/>
                  <w:noWrap w:val="0"/>
                  <w:vAlign w:val="center"/>
                </w:tcPr>
                <w:p w14:paraId="73EBB5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非连续</w:t>
                  </w:r>
                </w:p>
              </w:tc>
              <w:tc>
                <w:tcPr>
                  <w:tcW w:w="1513" w:type="pct"/>
                  <w:shd w:val="clear" w:color="auto" w:fill="auto"/>
                  <w:noWrap w:val="0"/>
                  <w:vAlign w:val="center"/>
                </w:tcPr>
                <w:p w14:paraId="57CEC1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color w:val="auto"/>
                      <w:sz w:val="21"/>
                      <w:szCs w:val="21"/>
                      <w:lang w:val="en-US" w:eastAsia="zh-CN"/>
                    </w:rPr>
                    <w:t>基础减振、厂房隔声和距离衰减</w:t>
                  </w:r>
                </w:p>
              </w:tc>
            </w:tr>
            <w:tr w14:paraId="7D1FFC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450" w:type="pct"/>
                  <w:noWrap w:val="0"/>
                  <w:vAlign w:val="center"/>
                </w:tcPr>
                <w:p w14:paraId="574EE1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eastAsia"/>
                      <w:color w:val="auto"/>
                      <w:sz w:val="21"/>
                      <w:szCs w:val="21"/>
                      <w:lang w:val="en-US" w:eastAsia="zh-CN"/>
                    </w:rPr>
                    <w:t>8</w:t>
                  </w:r>
                </w:p>
              </w:tc>
              <w:tc>
                <w:tcPr>
                  <w:tcW w:w="680" w:type="pct"/>
                  <w:shd w:val="clear" w:color="auto" w:fill="auto"/>
                  <w:noWrap w:val="0"/>
                  <w:vAlign w:val="center"/>
                </w:tcPr>
                <w:p w14:paraId="4D0D85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方形摇摆筛</w:t>
                  </w:r>
                </w:p>
              </w:tc>
              <w:tc>
                <w:tcPr>
                  <w:tcW w:w="502" w:type="pct"/>
                  <w:shd w:val="clear" w:color="auto" w:fill="auto"/>
                  <w:noWrap w:val="0"/>
                  <w:vAlign w:val="center"/>
                </w:tcPr>
                <w:p w14:paraId="580E60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台/套</w:t>
                  </w:r>
                </w:p>
              </w:tc>
              <w:tc>
                <w:tcPr>
                  <w:tcW w:w="429" w:type="pct"/>
                  <w:shd w:val="clear" w:color="auto" w:fill="auto"/>
                  <w:noWrap w:val="0"/>
                  <w:vAlign w:val="center"/>
                </w:tcPr>
                <w:p w14:paraId="1341AB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3</w:t>
                  </w:r>
                </w:p>
              </w:tc>
              <w:tc>
                <w:tcPr>
                  <w:tcW w:w="701" w:type="pct"/>
                  <w:shd w:val="clear" w:color="auto" w:fill="auto"/>
                  <w:noWrap w:val="0"/>
                  <w:vAlign w:val="center"/>
                </w:tcPr>
                <w:p w14:paraId="217BDE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80</w:t>
                  </w:r>
                </w:p>
              </w:tc>
              <w:tc>
                <w:tcPr>
                  <w:tcW w:w="722" w:type="pct"/>
                  <w:shd w:val="clear" w:color="auto" w:fill="auto"/>
                  <w:noWrap w:val="0"/>
                  <w:vAlign w:val="center"/>
                </w:tcPr>
                <w:p w14:paraId="53A27A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非连续</w:t>
                  </w:r>
                </w:p>
              </w:tc>
              <w:tc>
                <w:tcPr>
                  <w:tcW w:w="1513" w:type="pct"/>
                  <w:shd w:val="clear" w:color="auto" w:fill="auto"/>
                  <w:noWrap w:val="0"/>
                  <w:vAlign w:val="center"/>
                </w:tcPr>
                <w:p w14:paraId="717BBA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color w:val="auto"/>
                      <w:sz w:val="21"/>
                      <w:szCs w:val="21"/>
                      <w:lang w:val="en-US" w:eastAsia="zh-CN"/>
                    </w:rPr>
                    <w:t>基础减振、厂房隔声和距离衰减</w:t>
                  </w:r>
                </w:p>
              </w:tc>
            </w:tr>
          </w:tbl>
          <w:p w14:paraId="256636B4">
            <w:pPr>
              <w:pStyle w:val="6"/>
              <w:rPr>
                <w:color w:val="auto"/>
                <w:sz w:val="24"/>
                <w:szCs w:val="24"/>
              </w:rPr>
            </w:pPr>
          </w:p>
        </w:tc>
      </w:tr>
      <w:tr w14:paraId="4873A2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6" w:type="dxa"/>
            <w:vMerge w:val="continue"/>
            <w:noWrap w:val="0"/>
            <w:tcMar>
              <w:left w:w="28" w:type="dxa"/>
              <w:right w:w="28" w:type="dxa"/>
            </w:tcMar>
            <w:vAlign w:val="center"/>
          </w:tcPr>
          <w:p w14:paraId="556D65B6">
            <w:pPr>
              <w:pStyle w:val="6"/>
            </w:pPr>
          </w:p>
        </w:tc>
        <w:tc>
          <w:tcPr>
            <w:tcW w:w="8162" w:type="dxa"/>
            <w:noWrap w:val="0"/>
            <w:vAlign w:val="center"/>
          </w:tcPr>
          <w:p w14:paraId="312DA3F8">
            <w:pPr>
              <w:pStyle w:val="6"/>
              <w:rPr>
                <w:color w:val="auto"/>
                <w:sz w:val="24"/>
                <w:szCs w:val="24"/>
              </w:rPr>
            </w:pPr>
          </w:p>
        </w:tc>
      </w:tr>
    </w:tbl>
    <w:p w14:paraId="016415FF">
      <w:pPr>
        <w:adjustRightInd w:val="0"/>
        <w:snapToGrid w:val="0"/>
        <w:spacing w:line="360" w:lineRule="auto"/>
        <w:rPr>
          <w:rFonts w:hint="eastAsia" w:ascii="宋体" w:cs="宋体"/>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6740CC9A">
      <w:pPr>
        <w:keepNext w:val="0"/>
        <w:keepLines w:val="0"/>
        <w:pageBreakBefore w:val="0"/>
        <w:suppressLineNumbers w:val="0"/>
        <w:kinsoku/>
        <w:wordWrap/>
        <w:overflowPunct/>
        <w:topLinePunct w:val="0"/>
        <w:bidi w:val="0"/>
        <w:spacing w:before="0" w:beforeAutospacing="0" w:after="0" w:afterAutospacing="0" w:line="240" w:lineRule="auto"/>
        <w:ind w:left="0" w:right="0" w:firstLine="482" w:firstLineChars="200"/>
        <w:jc w:val="center"/>
        <w:rPr>
          <w:rFonts w:hint="default" w:ascii="Times New Roman" w:hAnsi="Times New Roman" w:eastAsia="宋体" w:cs="Times New Roman"/>
          <w:b/>
          <w:bCs/>
          <w:color w:val="auto"/>
          <w:sz w:val="24"/>
          <w:szCs w:val="32"/>
          <w:lang w:val="en-US" w:eastAsia="zh-CN"/>
        </w:rPr>
      </w:pPr>
      <w:r>
        <w:rPr>
          <w:rFonts w:hint="eastAsia"/>
          <w:b/>
          <w:bCs/>
          <w:color w:val="auto"/>
          <w:sz w:val="24"/>
          <w:szCs w:val="32"/>
          <w:lang w:val="en-US" w:eastAsia="zh-CN"/>
        </w:rPr>
        <w:t xml:space="preserve"> </w:t>
      </w:r>
      <w:r>
        <w:rPr>
          <w:rFonts w:hint="default"/>
          <w:b/>
          <w:bCs/>
          <w:color w:val="auto"/>
          <w:sz w:val="21"/>
          <w:szCs w:val="21"/>
        </w:rPr>
        <w:t>表</w:t>
      </w:r>
      <w:r>
        <w:rPr>
          <w:rFonts w:hint="eastAsia"/>
          <w:b/>
          <w:bCs/>
          <w:color w:val="auto"/>
          <w:sz w:val="21"/>
          <w:szCs w:val="21"/>
          <w:lang w:val="en-US" w:eastAsia="zh-CN"/>
        </w:rPr>
        <w:t>4-9</w:t>
      </w:r>
      <w:r>
        <w:rPr>
          <w:rFonts w:cs="Times New Roman" w:asciiTheme="minorEastAsia" w:hAnsiTheme="minorEastAsia" w:eastAsiaTheme="minorEastAsia"/>
          <w:b/>
          <w:bCs/>
          <w:color w:val="auto"/>
          <w:sz w:val="21"/>
          <w:szCs w:val="21"/>
          <w:lang w:eastAsia="zh-CN"/>
        </w:rPr>
        <w:t>工业企业噪声源强调查清单（室内声源）</w:t>
      </w:r>
    </w:p>
    <w:tbl>
      <w:tblPr>
        <w:tblStyle w:val="24"/>
        <w:tblW w:w="163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49"/>
        <w:gridCol w:w="643"/>
        <w:gridCol w:w="707"/>
        <w:gridCol w:w="836"/>
        <w:gridCol w:w="879"/>
        <w:gridCol w:w="750"/>
        <w:gridCol w:w="621"/>
        <w:gridCol w:w="664"/>
        <w:gridCol w:w="579"/>
        <w:gridCol w:w="793"/>
        <w:gridCol w:w="750"/>
        <w:gridCol w:w="707"/>
        <w:gridCol w:w="600"/>
        <w:gridCol w:w="608"/>
        <w:gridCol w:w="570"/>
        <w:gridCol w:w="600"/>
        <w:gridCol w:w="729"/>
        <w:gridCol w:w="836"/>
        <w:gridCol w:w="971"/>
        <w:gridCol w:w="555"/>
        <w:gridCol w:w="555"/>
        <w:gridCol w:w="555"/>
        <w:gridCol w:w="557"/>
        <w:gridCol w:w="820"/>
      </w:tblGrid>
      <w:tr w14:paraId="631F9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exact"/>
          <w:jc w:val="center"/>
        </w:trPr>
        <w:tc>
          <w:tcPr>
            <w:tcW w:w="449" w:type="dxa"/>
            <w:vMerge w:val="restart"/>
            <w:shd w:val="clear" w:color="auto" w:fill="auto"/>
            <w:vAlign w:val="center"/>
          </w:tcPr>
          <w:p w14:paraId="6FF54D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default"/>
                <w:color w:val="auto"/>
                <w:sz w:val="21"/>
                <w:szCs w:val="21"/>
                <w:lang w:val="en-US" w:eastAsia="zh-CN"/>
              </w:rPr>
              <w:t>序号</w:t>
            </w:r>
          </w:p>
        </w:tc>
        <w:tc>
          <w:tcPr>
            <w:tcW w:w="643" w:type="dxa"/>
            <w:vMerge w:val="restart"/>
            <w:shd w:val="clear" w:color="auto" w:fill="auto"/>
            <w:vAlign w:val="center"/>
          </w:tcPr>
          <w:p w14:paraId="787217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default"/>
                <w:color w:val="auto"/>
                <w:sz w:val="21"/>
                <w:szCs w:val="21"/>
                <w:lang w:val="en-US" w:eastAsia="zh-CN"/>
              </w:rPr>
              <w:t>建筑物名称</w:t>
            </w:r>
          </w:p>
        </w:tc>
        <w:tc>
          <w:tcPr>
            <w:tcW w:w="707" w:type="dxa"/>
            <w:vMerge w:val="restart"/>
            <w:shd w:val="clear" w:color="auto" w:fill="auto"/>
            <w:vAlign w:val="center"/>
          </w:tcPr>
          <w:p w14:paraId="5DEECB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default"/>
                <w:color w:val="auto"/>
                <w:sz w:val="21"/>
                <w:szCs w:val="21"/>
                <w:lang w:val="en-US" w:eastAsia="zh-CN"/>
              </w:rPr>
              <w:t>声源名称</w:t>
            </w:r>
          </w:p>
        </w:tc>
        <w:tc>
          <w:tcPr>
            <w:tcW w:w="836" w:type="dxa"/>
            <w:vMerge w:val="restart"/>
            <w:shd w:val="clear" w:color="auto" w:fill="auto"/>
            <w:vAlign w:val="center"/>
          </w:tcPr>
          <w:p w14:paraId="7179BE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default"/>
                <w:color w:val="auto"/>
                <w:sz w:val="21"/>
                <w:szCs w:val="21"/>
                <w:lang w:val="en-US" w:eastAsia="zh-CN"/>
              </w:rPr>
              <w:t>型号</w:t>
            </w:r>
          </w:p>
        </w:tc>
        <w:tc>
          <w:tcPr>
            <w:tcW w:w="879" w:type="dxa"/>
            <w:shd w:val="clear" w:color="auto" w:fill="auto"/>
            <w:vAlign w:val="center"/>
          </w:tcPr>
          <w:p w14:paraId="75833C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default"/>
                <w:color w:val="auto"/>
                <w:sz w:val="21"/>
                <w:szCs w:val="21"/>
                <w:lang w:val="en-US" w:eastAsia="zh-CN"/>
              </w:rPr>
              <w:t>声源源强</w:t>
            </w:r>
          </w:p>
        </w:tc>
        <w:tc>
          <w:tcPr>
            <w:tcW w:w="750" w:type="dxa"/>
            <w:vMerge w:val="restart"/>
            <w:shd w:val="clear" w:color="auto" w:fill="auto"/>
            <w:vAlign w:val="center"/>
          </w:tcPr>
          <w:p w14:paraId="7AEAD8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default"/>
                <w:color w:val="auto"/>
                <w:sz w:val="21"/>
                <w:szCs w:val="21"/>
                <w:lang w:val="en-US" w:eastAsia="zh-CN"/>
              </w:rPr>
              <w:t>声源控制措施</w:t>
            </w:r>
          </w:p>
        </w:tc>
        <w:tc>
          <w:tcPr>
            <w:tcW w:w="1864" w:type="dxa"/>
            <w:gridSpan w:val="3"/>
            <w:shd w:val="clear" w:color="auto" w:fill="auto"/>
            <w:vAlign w:val="center"/>
          </w:tcPr>
          <w:p w14:paraId="4B063C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default"/>
                <w:color w:val="auto"/>
                <w:sz w:val="21"/>
                <w:szCs w:val="21"/>
                <w:lang w:val="en-US" w:eastAsia="zh-CN"/>
              </w:rPr>
              <w:t>空间相对位置/m</w:t>
            </w:r>
          </w:p>
        </w:tc>
        <w:tc>
          <w:tcPr>
            <w:tcW w:w="2850" w:type="dxa"/>
            <w:gridSpan w:val="4"/>
            <w:shd w:val="clear" w:color="auto" w:fill="auto"/>
            <w:vAlign w:val="center"/>
          </w:tcPr>
          <w:p w14:paraId="6B4185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default"/>
                <w:color w:val="auto"/>
                <w:sz w:val="21"/>
                <w:szCs w:val="21"/>
                <w:lang w:val="en-US" w:eastAsia="zh-CN"/>
              </w:rPr>
              <w:t>距室内边界距离/m</w:t>
            </w:r>
          </w:p>
        </w:tc>
        <w:tc>
          <w:tcPr>
            <w:tcW w:w="2507" w:type="dxa"/>
            <w:gridSpan w:val="4"/>
            <w:shd w:val="clear" w:color="auto" w:fill="auto"/>
            <w:vAlign w:val="center"/>
          </w:tcPr>
          <w:p w14:paraId="66461D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default"/>
                <w:color w:val="auto"/>
                <w:sz w:val="21"/>
                <w:szCs w:val="21"/>
                <w:lang w:val="en-US" w:eastAsia="zh-CN"/>
              </w:rPr>
              <w:t>室内边界声级/dB(A)</w:t>
            </w:r>
          </w:p>
        </w:tc>
        <w:tc>
          <w:tcPr>
            <w:tcW w:w="836" w:type="dxa"/>
            <w:vMerge w:val="restart"/>
            <w:shd w:val="clear" w:color="auto" w:fill="auto"/>
            <w:vAlign w:val="center"/>
          </w:tcPr>
          <w:p w14:paraId="72CF96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default"/>
                <w:color w:val="auto"/>
                <w:sz w:val="21"/>
                <w:szCs w:val="21"/>
                <w:lang w:val="en-US" w:eastAsia="zh-CN"/>
              </w:rPr>
              <w:t>运行时段</w:t>
            </w:r>
          </w:p>
        </w:tc>
        <w:tc>
          <w:tcPr>
            <w:tcW w:w="971" w:type="dxa"/>
            <w:vMerge w:val="restart"/>
            <w:shd w:val="clear" w:color="auto" w:fill="auto"/>
            <w:vAlign w:val="center"/>
          </w:tcPr>
          <w:p w14:paraId="73D5C9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default"/>
                <w:color w:val="auto"/>
                <w:sz w:val="21"/>
                <w:szCs w:val="21"/>
                <w:lang w:val="en-US" w:eastAsia="zh-CN"/>
              </w:rPr>
              <w:t>建筑物插入损失/dB(A)</w:t>
            </w:r>
          </w:p>
        </w:tc>
        <w:tc>
          <w:tcPr>
            <w:tcW w:w="3042" w:type="dxa"/>
            <w:gridSpan w:val="5"/>
            <w:shd w:val="clear" w:color="auto" w:fill="auto"/>
            <w:vAlign w:val="center"/>
          </w:tcPr>
          <w:p w14:paraId="59F477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default"/>
                <w:color w:val="auto"/>
                <w:sz w:val="21"/>
                <w:szCs w:val="21"/>
                <w:lang w:val="en-US" w:eastAsia="zh-CN"/>
              </w:rPr>
              <w:t>建筑物外噪声声压级/dB(A)</w:t>
            </w:r>
          </w:p>
        </w:tc>
      </w:tr>
      <w:tr w14:paraId="0CA4A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0" w:hRule="atLeast"/>
          <w:jc w:val="center"/>
        </w:trPr>
        <w:tc>
          <w:tcPr>
            <w:tcW w:w="449" w:type="dxa"/>
            <w:vMerge w:val="continue"/>
            <w:shd w:val="clear" w:color="auto" w:fill="auto"/>
            <w:tcMar>
              <w:top w:w="0" w:type="dxa"/>
              <w:left w:w="0" w:type="dxa"/>
              <w:bottom w:w="0" w:type="dxa"/>
              <w:right w:w="0" w:type="dxa"/>
            </w:tcMar>
            <w:vAlign w:val="center"/>
          </w:tcPr>
          <w:p w14:paraId="35B92D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p>
        </w:tc>
        <w:tc>
          <w:tcPr>
            <w:tcW w:w="643" w:type="dxa"/>
            <w:vMerge w:val="continue"/>
            <w:shd w:val="clear" w:color="auto" w:fill="auto"/>
            <w:tcMar>
              <w:top w:w="0" w:type="dxa"/>
              <w:left w:w="0" w:type="dxa"/>
              <w:bottom w:w="0" w:type="dxa"/>
              <w:right w:w="0" w:type="dxa"/>
            </w:tcMar>
            <w:vAlign w:val="center"/>
          </w:tcPr>
          <w:p w14:paraId="4CB7D1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p>
        </w:tc>
        <w:tc>
          <w:tcPr>
            <w:tcW w:w="707" w:type="dxa"/>
            <w:vMerge w:val="continue"/>
            <w:shd w:val="clear" w:color="auto" w:fill="auto"/>
            <w:tcMar>
              <w:top w:w="0" w:type="dxa"/>
              <w:left w:w="0" w:type="dxa"/>
              <w:bottom w:w="0" w:type="dxa"/>
              <w:right w:w="0" w:type="dxa"/>
            </w:tcMar>
            <w:vAlign w:val="center"/>
          </w:tcPr>
          <w:p w14:paraId="10ED44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p>
        </w:tc>
        <w:tc>
          <w:tcPr>
            <w:tcW w:w="836" w:type="dxa"/>
            <w:vMerge w:val="continue"/>
            <w:shd w:val="clear" w:color="auto" w:fill="auto"/>
            <w:tcMar>
              <w:top w:w="0" w:type="dxa"/>
              <w:left w:w="0" w:type="dxa"/>
              <w:bottom w:w="0" w:type="dxa"/>
              <w:right w:w="0" w:type="dxa"/>
            </w:tcMar>
            <w:vAlign w:val="center"/>
          </w:tcPr>
          <w:p w14:paraId="0A29BC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p>
        </w:tc>
        <w:tc>
          <w:tcPr>
            <w:tcW w:w="879" w:type="dxa"/>
            <w:shd w:val="clear" w:color="auto" w:fill="auto"/>
            <w:tcMar>
              <w:top w:w="0" w:type="dxa"/>
              <w:left w:w="0" w:type="dxa"/>
              <w:bottom w:w="0" w:type="dxa"/>
              <w:right w:w="0" w:type="dxa"/>
            </w:tcMar>
            <w:vAlign w:val="center"/>
          </w:tcPr>
          <w:p w14:paraId="2B7DB3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default"/>
                <w:color w:val="auto"/>
                <w:sz w:val="21"/>
                <w:szCs w:val="21"/>
                <w:lang w:val="en-US" w:eastAsia="zh-CN"/>
              </w:rPr>
              <w:t>声功率级/dB(A)</w:t>
            </w:r>
          </w:p>
        </w:tc>
        <w:tc>
          <w:tcPr>
            <w:tcW w:w="750" w:type="dxa"/>
            <w:vMerge w:val="continue"/>
            <w:shd w:val="clear" w:color="auto" w:fill="auto"/>
            <w:tcMar>
              <w:top w:w="0" w:type="dxa"/>
              <w:left w:w="0" w:type="dxa"/>
              <w:bottom w:w="0" w:type="dxa"/>
              <w:right w:w="0" w:type="dxa"/>
            </w:tcMar>
            <w:vAlign w:val="center"/>
          </w:tcPr>
          <w:p w14:paraId="5E629F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p>
        </w:tc>
        <w:tc>
          <w:tcPr>
            <w:tcW w:w="621" w:type="dxa"/>
            <w:shd w:val="clear" w:color="auto" w:fill="auto"/>
            <w:tcMar>
              <w:top w:w="0" w:type="dxa"/>
              <w:left w:w="0" w:type="dxa"/>
              <w:bottom w:w="0" w:type="dxa"/>
              <w:right w:w="0" w:type="dxa"/>
            </w:tcMar>
            <w:vAlign w:val="center"/>
          </w:tcPr>
          <w:p w14:paraId="6903B0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default"/>
                <w:color w:val="auto"/>
                <w:sz w:val="21"/>
                <w:szCs w:val="21"/>
                <w:lang w:val="en-US" w:eastAsia="zh-CN"/>
              </w:rPr>
              <w:t>X</w:t>
            </w:r>
          </w:p>
        </w:tc>
        <w:tc>
          <w:tcPr>
            <w:tcW w:w="664" w:type="dxa"/>
            <w:shd w:val="clear" w:color="auto" w:fill="auto"/>
            <w:tcMar>
              <w:top w:w="0" w:type="dxa"/>
              <w:left w:w="0" w:type="dxa"/>
              <w:bottom w:w="0" w:type="dxa"/>
              <w:right w:w="0" w:type="dxa"/>
            </w:tcMar>
            <w:vAlign w:val="center"/>
          </w:tcPr>
          <w:p w14:paraId="4D3C0F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default"/>
                <w:color w:val="auto"/>
                <w:sz w:val="21"/>
                <w:szCs w:val="21"/>
                <w:lang w:val="en-US" w:eastAsia="zh-CN"/>
              </w:rPr>
              <w:t>Y</w:t>
            </w:r>
          </w:p>
        </w:tc>
        <w:tc>
          <w:tcPr>
            <w:tcW w:w="579" w:type="dxa"/>
            <w:shd w:val="clear" w:color="auto" w:fill="auto"/>
            <w:tcMar>
              <w:top w:w="0" w:type="dxa"/>
              <w:left w:w="0" w:type="dxa"/>
              <w:bottom w:w="0" w:type="dxa"/>
              <w:right w:w="0" w:type="dxa"/>
            </w:tcMar>
            <w:vAlign w:val="center"/>
          </w:tcPr>
          <w:p w14:paraId="79258B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default"/>
                <w:color w:val="auto"/>
                <w:sz w:val="21"/>
                <w:szCs w:val="21"/>
                <w:lang w:val="en-US" w:eastAsia="zh-CN"/>
              </w:rPr>
              <w:t>Z</w:t>
            </w:r>
          </w:p>
        </w:tc>
        <w:tc>
          <w:tcPr>
            <w:tcW w:w="793" w:type="dxa"/>
            <w:shd w:val="clear" w:color="auto" w:fill="auto"/>
            <w:tcMar>
              <w:top w:w="0" w:type="dxa"/>
              <w:left w:w="0" w:type="dxa"/>
              <w:bottom w:w="0" w:type="dxa"/>
              <w:right w:w="0" w:type="dxa"/>
            </w:tcMar>
            <w:vAlign w:val="center"/>
          </w:tcPr>
          <w:p w14:paraId="714603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东</w:t>
            </w:r>
          </w:p>
        </w:tc>
        <w:tc>
          <w:tcPr>
            <w:tcW w:w="750" w:type="dxa"/>
            <w:shd w:val="clear" w:color="auto" w:fill="auto"/>
            <w:tcMar>
              <w:top w:w="0" w:type="dxa"/>
              <w:left w:w="0" w:type="dxa"/>
              <w:bottom w:w="0" w:type="dxa"/>
              <w:right w:w="0" w:type="dxa"/>
            </w:tcMar>
            <w:vAlign w:val="center"/>
          </w:tcPr>
          <w:p w14:paraId="0DE19B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南</w:t>
            </w:r>
          </w:p>
        </w:tc>
        <w:tc>
          <w:tcPr>
            <w:tcW w:w="707" w:type="dxa"/>
            <w:shd w:val="clear" w:color="auto" w:fill="auto"/>
            <w:tcMar>
              <w:top w:w="0" w:type="dxa"/>
              <w:left w:w="0" w:type="dxa"/>
              <w:bottom w:w="0" w:type="dxa"/>
              <w:right w:w="0" w:type="dxa"/>
            </w:tcMar>
            <w:vAlign w:val="center"/>
          </w:tcPr>
          <w:p w14:paraId="62D1B5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西</w:t>
            </w:r>
          </w:p>
        </w:tc>
        <w:tc>
          <w:tcPr>
            <w:tcW w:w="600" w:type="dxa"/>
            <w:shd w:val="clear" w:color="auto" w:fill="auto"/>
            <w:tcMar>
              <w:top w:w="0" w:type="dxa"/>
              <w:left w:w="0" w:type="dxa"/>
              <w:bottom w:w="0" w:type="dxa"/>
              <w:right w:w="0" w:type="dxa"/>
            </w:tcMar>
            <w:vAlign w:val="center"/>
          </w:tcPr>
          <w:p w14:paraId="5EBF06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北</w:t>
            </w:r>
          </w:p>
        </w:tc>
        <w:tc>
          <w:tcPr>
            <w:tcW w:w="608" w:type="dxa"/>
            <w:shd w:val="clear" w:color="auto" w:fill="auto"/>
            <w:tcMar>
              <w:top w:w="0" w:type="dxa"/>
              <w:left w:w="0" w:type="dxa"/>
              <w:bottom w:w="0" w:type="dxa"/>
              <w:right w:w="0" w:type="dxa"/>
            </w:tcMar>
            <w:vAlign w:val="center"/>
          </w:tcPr>
          <w:p w14:paraId="542751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东</w:t>
            </w:r>
          </w:p>
        </w:tc>
        <w:tc>
          <w:tcPr>
            <w:tcW w:w="570" w:type="dxa"/>
            <w:shd w:val="clear" w:color="auto" w:fill="auto"/>
            <w:tcMar>
              <w:top w:w="0" w:type="dxa"/>
              <w:left w:w="0" w:type="dxa"/>
              <w:bottom w:w="0" w:type="dxa"/>
              <w:right w:w="0" w:type="dxa"/>
            </w:tcMar>
            <w:vAlign w:val="center"/>
          </w:tcPr>
          <w:p w14:paraId="758C95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南</w:t>
            </w:r>
          </w:p>
        </w:tc>
        <w:tc>
          <w:tcPr>
            <w:tcW w:w="600" w:type="dxa"/>
            <w:shd w:val="clear" w:color="auto" w:fill="auto"/>
            <w:tcMar>
              <w:top w:w="0" w:type="dxa"/>
              <w:left w:w="0" w:type="dxa"/>
              <w:bottom w:w="0" w:type="dxa"/>
              <w:right w:w="0" w:type="dxa"/>
            </w:tcMar>
            <w:vAlign w:val="center"/>
          </w:tcPr>
          <w:p w14:paraId="0D1B13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西</w:t>
            </w:r>
          </w:p>
        </w:tc>
        <w:tc>
          <w:tcPr>
            <w:tcW w:w="729" w:type="dxa"/>
            <w:shd w:val="clear" w:color="auto" w:fill="auto"/>
            <w:tcMar>
              <w:top w:w="0" w:type="dxa"/>
              <w:left w:w="0" w:type="dxa"/>
              <w:bottom w:w="0" w:type="dxa"/>
              <w:right w:w="0" w:type="dxa"/>
            </w:tcMar>
            <w:vAlign w:val="center"/>
          </w:tcPr>
          <w:p w14:paraId="4B5626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北</w:t>
            </w:r>
          </w:p>
        </w:tc>
        <w:tc>
          <w:tcPr>
            <w:tcW w:w="836" w:type="dxa"/>
            <w:vMerge w:val="continue"/>
            <w:shd w:val="clear" w:color="auto" w:fill="auto"/>
            <w:tcMar>
              <w:top w:w="0" w:type="dxa"/>
              <w:left w:w="0" w:type="dxa"/>
              <w:bottom w:w="0" w:type="dxa"/>
              <w:right w:w="0" w:type="dxa"/>
            </w:tcMar>
            <w:vAlign w:val="center"/>
          </w:tcPr>
          <w:p w14:paraId="40DEA6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p>
        </w:tc>
        <w:tc>
          <w:tcPr>
            <w:tcW w:w="971" w:type="dxa"/>
            <w:vMerge w:val="continue"/>
            <w:shd w:val="clear" w:color="auto" w:fill="auto"/>
            <w:tcMar>
              <w:top w:w="0" w:type="dxa"/>
              <w:left w:w="0" w:type="dxa"/>
              <w:bottom w:w="0" w:type="dxa"/>
              <w:right w:w="0" w:type="dxa"/>
            </w:tcMar>
            <w:vAlign w:val="center"/>
          </w:tcPr>
          <w:p w14:paraId="77157A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p>
        </w:tc>
        <w:tc>
          <w:tcPr>
            <w:tcW w:w="555" w:type="dxa"/>
            <w:shd w:val="clear" w:color="auto" w:fill="auto"/>
            <w:tcMar>
              <w:top w:w="0" w:type="dxa"/>
              <w:left w:w="0" w:type="dxa"/>
              <w:bottom w:w="0" w:type="dxa"/>
              <w:right w:w="0" w:type="dxa"/>
            </w:tcMar>
            <w:vAlign w:val="center"/>
          </w:tcPr>
          <w:p w14:paraId="080779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东</w:t>
            </w:r>
          </w:p>
        </w:tc>
        <w:tc>
          <w:tcPr>
            <w:tcW w:w="555" w:type="dxa"/>
            <w:shd w:val="clear" w:color="auto" w:fill="auto"/>
            <w:tcMar>
              <w:top w:w="0" w:type="dxa"/>
              <w:left w:w="0" w:type="dxa"/>
              <w:bottom w:w="0" w:type="dxa"/>
              <w:right w:w="0" w:type="dxa"/>
            </w:tcMar>
            <w:vAlign w:val="center"/>
          </w:tcPr>
          <w:p w14:paraId="1F229B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南</w:t>
            </w:r>
          </w:p>
        </w:tc>
        <w:tc>
          <w:tcPr>
            <w:tcW w:w="555" w:type="dxa"/>
            <w:shd w:val="clear" w:color="auto" w:fill="auto"/>
            <w:tcMar>
              <w:top w:w="0" w:type="dxa"/>
              <w:left w:w="0" w:type="dxa"/>
              <w:bottom w:w="0" w:type="dxa"/>
              <w:right w:w="0" w:type="dxa"/>
            </w:tcMar>
            <w:vAlign w:val="center"/>
          </w:tcPr>
          <w:p w14:paraId="0DED95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西</w:t>
            </w:r>
          </w:p>
        </w:tc>
        <w:tc>
          <w:tcPr>
            <w:tcW w:w="557" w:type="dxa"/>
            <w:shd w:val="clear" w:color="auto" w:fill="auto"/>
            <w:tcMar>
              <w:top w:w="0" w:type="dxa"/>
              <w:left w:w="0" w:type="dxa"/>
              <w:bottom w:w="0" w:type="dxa"/>
              <w:right w:w="0" w:type="dxa"/>
            </w:tcMar>
            <w:vAlign w:val="center"/>
          </w:tcPr>
          <w:p w14:paraId="75B579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北</w:t>
            </w:r>
          </w:p>
        </w:tc>
        <w:tc>
          <w:tcPr>
            <w:tcW w:w="820" w:type="dxa"/>
            <w:shd w:val="clear" w:color="auto" w:fill="auto"/>
            <w:tcMar>
              <w:top w:w="0" w:type="dxa"/>
              <w:left w:w="0" w:type="dxa"/>
              <w:bottom w:w="0" w:type="dxa"/>
              <w:right w:w="0" w:type="dxa"/>
            </w:tcMar>
            <w:vAlign w:val="center"/>
          </w:tcPr>
          <w:p w14:paraId="0B0600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default"/>
                <w:color w:val="auto"/>
                <w:sz w:val="21"/>
                <w:szCs w:val="21"/>
                <w:lang w:val="en-US" w:eastAsia="zh-CN"/>
              </w:rPr>
              <w:t>建筑物外距离</w:t>
            </w:r>
          </w:p>
        </w:tc>
      </w:tr>
      <w:tr w14:paraId="0E483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0" w:hRule="atLeast"/>
          <w:jc w:val="center"/>
        </w:trPr>
        <w:tc>
          <w:tcPr>
            <w:tcW w:w="449" w:type="dxa"/>
            <w:shd w:val="clear" w:color="auto" w:fill="auto"/>
            <w:tcMar>
              <w:top w:w="0" w:type="dxa"/>
              <w:left w:w="0" w:type="dxa"/>
              <w:bottom w:w="0" w:type="dxa"/>
              <w:right w:w="0" w:type="dxa"/>
            </w:tcMar>
            <w:vAlign w:val="center"/>
          </w:tcPr>
          <w:p w14:paraId="204E01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default"/>
                <w:color w:val="auto"/>
                <w:sz w:val="21"/>
                <w:szCs w:val="21"/>
                <w:lang w:val="en-US" w:eastAsia="zh-CN"/>
              </w:rPr>
              <w:t>1</w:t>
            </w:r>
          </w:p>
        </w:tc>
        <w:tc>
          <w:tcPr>
            <w:tcW w:w="643" w:type="dxa"/>
            <w:vMerge w:val="restart"/>
            <w:shd w:val="clear" w:color="auto" w:fill="auto"/>
            <w:tcMar>
              <w:top w:w="0" w:type="dxa"/>
              <w:left w:w="0" w:type="dxa"/>
              <w:bottom w:w="0" w:type="dxa"/>
              <w:right w:w="0" w:type="dxa"/>
            </w:tcMar>
            <w:vAlign w:val="center"/>
          </w:tcPr>
          <w:p w14:paraId="19AC8B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5#</w:t>
            </w:r>
            <w:r>
              <w:rPr>
                <w:rFonts w:hint="default"/>
                <w:color w:val="auto"/>
                <w:sz w:val="21"/>
                <w:szCs w:val="21"/>
                <w:lang w:val="en-US" w:eastAsia="zh-CN"/>
              </w:rPr>
              <w:t>厂房</w:t>
            </w:r>
          </w:p>
        </w:tc>
        <w:tc>
          <w:tcPr>
            <w:tcW w:w="707" w:type="dxa"/>
            <w:shd w:val="clear" w:color="auto" w:fill="auto"/>
            <w:tcMar>
              <w:top w:w="0" w:type="dxa"/>
              <w:left w:w="0" w:type="dxa"/>
              <w:bottom w:w="0" w:type="dxa"/>
              <w:right w:w="0" w:type="dxa"/>
            </w:tcMar>
            <w:vAlign w:val="center"/>
          </w:tcPr>
          <w:p w14:paraId="46EAB9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default"/>
                <w:color w:val="auto"/>
                <w:sz w:val="21"/>
                <w:szCs w:val="21"/>
                <w:lang w:val="en-US" w:eastAsia="zh-CN"/>
              </w:rPr>
              <w:t>磨粉机</w:t>
            </w:r>
          </w:p>
        </w:tc>
        <w:tc>
          <w:tcPr>
            <w:tcW w:w="836" w:type="dxa"/>
            <w:shd w:val="clear" w:color="auto" w:fill="auto"/>
            <w:tcMar>
              <w:top w:w="0" w:type="dxa"/>
              <w:left w:w="0" w:type="dxa"/>
              <w:bottom w:w="0" w:type="dxa"/>
              <w:right w:w="0" w:type="dxa"/>
            </w:tcMar>
            <w:vAlign w:val="center"/>
          </w:tcPr>
          <w:p w14:paraId="57C034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879" w:type="dxa"/>
            <w:shd w:val="clear" w:color="auto" w:fill="auto"/>
            <w:tcMar>
              <w:top w:w="0" w:type="dxa"/>
              <w:left w:w="0" w:type="dxa"/>
              <w:bottom w:w="0" w:type="dxa"/>
              <w:right w:w="0" w:type="dxa"/>
            </w:tcMar>
            <w:vAlign w:val="center"/>
          </w:tcPr>
          <w:p w14:paraId="76993F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95</w:t>
            </w:r>
          </w:p>
        </w:tc>
        <w:tc>
          <w:tcPr>
            <w:tcW w:w="750" w:type="dxa"/>
            <w:vMerge w:val="restart"/>
            <w:shd w:val="clear" w:color="auto" w:fill="auto"/>
            <w:tcMar>
              <w:top w:w="0" w:type="dxa"/>
              <w:left w:w="0" w:type="dxa"/>
              <w:bottom w:w="0" w:type="dxa"/>
              <w:right w:w="0" w:type="dxa"/>
            </w:tcMar>
            <w:vAlign w:val="center"/>
          </w:tcPr>
          <w:p w14:paraId="74BD6E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default"/>
                <w:color w:val="auto"/>
                <w:sz w:val="21"/>
                <w:szCs w:val="21"/>
                <w:lang w:val="en-US" w:eastAsia="zh-CN"/>
              </w:rPr>
              <w:t>基础减振、厂房隔声和距离衰减</w:t>
            </w:r>
          </w:p>
        </w:tc>
        <w:tc>
          <w:tcPr>
            <w:tcW w:w="621" w:type="dxa"/>
            <w:shd w:val="clear" w:color="auto" w:fill="auto"/>
            <w:tcMar>
              <w:top w:w="0" w:type="dxa"/>
              <w:left w:w="0" w:type="dxa"/>
              <w:bottom w:w="0" w:type="dxa"/>
              <w:right w:w="0" w:type="dxa"/>
            </w:tcMar>
            <w:vAlign w:val="center"/>
          </w:tcPr>
          <w:p w14:paraId="0FBFAD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-87.5</w:t>
            </w:r>
          </w:p>
        </w:tc>
        <w:tc>
          <w:tcPr>
            <w:tcW w:w="664" w:type="dxa"/>
            <w:shd w:val="clear" w:color="auto" w:fill="auto"/>
            <w:tcMar>
              <w:top w:w="0" w:type="dxa"/>
              <w:left w:w="0" w:type="dxa"/>
              <w:bottom w:w="0" w:type="dxa"/>
              <w:right w:w="0" w:type="dxa"/>
            </w:tcMar>
            <w:vAlign w:val="center"/>
          </w:tcPr>
          <w:p w14:paraId="113918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-20</w:t>
            </w:r>
          </w:p>
        </w:tc>
        <w:tc>
          <w:tcPr>
            <w:tcW w:w="579" w:type="dxa"/>
            <w:shd w:val="clear" w:color="auto" w:fill="auto"/>
            <w:tcMar>
              <w:top w:w="0" w:type="dxa"/>
              <w:left w:w="0" w:type="dxa"/>
              <w:bottom w:w="0" w:type="dxa"/>
              <w:right w:w="0" w:type="dxa"/>
            </w:tcMar>
            <w:vAlign w:val="center"/>
          </w:tcPr>
          <w:p w14:paraId="7A61B8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1.5</w:t>
            </w:r>
          </w:p>
        </w:tc>
        <w:tc>
          <w:tcPr>
            <w:tcW w:w="793" w:type="dxa"/>
            <w:shd w:val="clear" w:color="auto" w:fill="auto"/>
            <w:tcMar>
              <w:top w:w="0" w:type="dxa"/>
              <w:left w:w="0" w:type="dxa"/>
              <w:bottom w:w="0" w:type="dxa"/>
              <w:right w:w="0" w:type="dxa"/>
            </w:tcMar>
            <w:vAlign w:val="center"/>
          </w:tcPr>
          <w:p w14:paraId="75DA1D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185</w:t>
            </w:r>
          </w:p>
        </w:tc>
        <w:tc>
          <w:tcPr>
            <w:tcW w:w="750" w:type="dxa"/>
            <w:shd w:val="clear" w:color="auto" w:fill="auto"/>
            <w:tcMar>
              <w:top w:w="0" w:type="dxa"/>
              <w:left w:w="0" w:type="dxa"/>
              <w:bottom w:w="0" w:type="dxa"/>
              <w:right w:w="0" w:type="dxa"/>
            </w:tcMar>
            <w:vAlign w:val="center"/>
          </w:tcPr>
          <w:p w14:paraId="7E25B1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10</w:t>
            </w:r>
          </w:p>
        </w:tc>
        <w:tc>
          <w:tcPr>
            <w:tcW w:w="707" w:type="dxa"/>
            <w:shd w:val="clear" w:color="auto" w:fill="auto"/>
            <w:tcMar>
              <w:top w:w="0" w:type="dxa"/>
              <w:left w:w="0" w:type="dxa"/>
              <w:bottom w:w="0" w:type="dxa"/>
              <w:right w:w="0" w:type="dxa"/>
            </w:tcMar>
            <w:vAlign w:val="center"/>
          </w:tcPr>
          <w:p w14:paraId="1001E0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20</w:t>
            </w:r>
          </w:p>
        </w:tc>
        <w:tc>
          <w:tcPr>
            <w:tcW w:w="600" w:type="dxa"/>
            <w:shd w:val="clear" w:color="auto" w:fill="auto"/>
            <w:tcMar>
              <w:top w:w="0" w:type="dxa"/>
              <w:left w:w="0" w:type="dxa"/>
              <w:bottom w:w="0" w:type="dxa"/>
              <w:right w:w="0" w:type="dxa"/>
            </w:tcMar>
            <w:vAlign w:val="center"/>
          </w:tcPr>
          <w:p w14:paraId="0DA278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45</w:t>
            </w:r>
          </w:p>
        </w:tc>
        <w:tc>
          <w:tcPr>
            <w:tcW w:w="608" w:type="dxa"/>
            <w:shd w:val="clear" w:color="auto" w:fill="auto"/>
            <w:tcMar>
              <w:top w:w="0" w:type="dxa"/>
              <w:left w:w="0" w:type="dxa"/>
              <w:bottom w:w="0" w:type="dxa"/>
              <w:right w:w="0" w:type="dxa"/>
            </w:tcMar>
            <w:vAlign w:val="center"/>
          </w:tcPr>
          <w:p w14:paraId="1DD57D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49.7</w:t>
            </w:r>
          </w:p>
        </w:tc>
        <w:tc>
          <w:tcPr>
            <w:tcW w:w="570" w:type="dxa"/>
            <w:shd w:val="clear" w:color="auto" w:fill="auto"/>
            <w:tcMar>
              <w:top w:w="0" w:type="dxa"/>
              <w:left w:w="0" w:type="dxa"/>
              <w:bottom w:w="0" w:type="dxa"/>
              <w:right w:w="0" w:type="dxa"/>
            </w:tcMar>
            <w:vAlign w:val="center"/>
          </w:tcPr>
          <w:p w14:paraId="36DB1F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75.0</w:t>
            </w:r>
          </w:p>
        </w:tc>
        <w:tc>
          <w:tcPr>
            <w:tcW w:w="600" w:type="dxa"/>
            <w:shd w:val="clear" w:color="auto" w:fill="auto"/>
            <w:tcMar>
              <w:top w:w="0" w:type="dxa"/>
              <w:left w:w="0" w:type="dxa"/>
              <w:bottom w:w="0" w:type="dxa"/>
              <w:right w:w="0" w:type="dxa"/>
            </w:tcMar>
            <w:vAlign w:val="center"/>
          </w:tcPr>
          <w:p w14:paraId="741124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69.0</w:t>
            </w:r>
          </w:p>
        </w:tc>
        <w:tc>
          <w:tcPr>
            <w:tcW w:w="729" w:type="dxa"/>
            <w:shd w:val="clear" w:color="auto" w:fill="auto"/>
            <w:tcMar>
              <w:top w:w="0" w:type="dxa"/>
              <w:left w:w="0" w:type="dxa"/>
              <w:bottom w:w="0" w:type="dxa"/>
              <w:right w:w="0" w:type="dxa"/>
            </w:tcMar>
            <w:vAlign w:val="center"/>
          </w:tcPr>
          <w:p w14:paraId="631906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61.9</w:t>
            </w:r>
          </w:p>
        </w:tc>
        <w:tc>
          <w:tcPr>
            <w:tcW w:w="836" w:type="dxa"/>
            <w:vMerge w:val="restart"/>
            <w:shd w:val="clear" w:color="auto" w:fill="auto"/>
            <w:tcMar>
              <w:top w:w="0" w:type="dxa"/>
              <w:left w:w="0" w:type="dxa"/>
              <w:bottom w:w="0" w:type="dxa"/>
              <w:right w:w="0" w:type="dxa"/>
            </w:tcMar>
            <w:vAlign w:val="center"/>
          </w:tcPr>
          <w:p w14:paraId="43DF78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8：00~</w:t>
            </w:r>
          </w:p>
          <w:p w14:paraId="7672EE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0：00</w:t>
            </w:r>
          </w:p>
        </w:tc>
        <w:tc>
          <w:tcPr>
            <w:tcW w:w="971" w:type="dxa"/>
            <w:shd w:val="clear" w:color="auto" w:fill="auto"/>
            <w:tcMar>
              <w:top w:w="0" w:type="dxa"/>
              <w:left w:w="0" w:type="dxa"/>
              <w:bottom w:w="0" w:type="dxa"/>
              <w:right w:w="0" w:type="dxa"/>
            </w:tcMar>
            <w:vAlign w:val="center"/>
          </w:tcPr>
          <w:p w14:paraId="0DEDE9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default"/>
                <w:color w:val="auto"/>
                <w:sz w:val="21"/>
                <w:szCs w:val="21"/>
                <w:lang w:val="en-US" w:eastAsia="zh-CN"/>
              </w:rPr>
              <w:t>26.0</w:t>
            </w:r>
          </w:p>
        </w:tc>
        <w:tc>
          <w:tcPr>
            <w:tcW w:w="555" w:type="dxa"/>
            <w:shd w:val="clear" w:color="auto" w:fill="auto"/>
            <w:tcMar>
              <w:top w:w="0" w:type="dxa"/>
              <w:left w:w="0" w:type="dxa"/>
              <w:bottom w:w="0" w:type="dxa"/>
              <w:right w:w="0" w:type="dxa"/>
            </w:tcMar>
            <w:vAlign w:val="center"/>
          </w:tcPr>
          <w:p w14:paraId="313DD8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23.7</w:t>
            </w:r>
          </w:p>
        </w:tc>
        <w:tc>
          <w:tcPr>
            <w:tcW w:w="555" w:type="dxa"/>
            <w:shd w:val="clear" w:color="auto" w:fill="auto"/>
            <w:tcMar>
              <w:top w:w="0" w:type="dxa"/>
              <w:left w:w="0" w:type="dxa"/>
              <w:bottom w:w="0" w:type="dxa"/>
              <w:right w:w="0" w:type="dxa"/>
            </w:tcMar>
            <w:vAlign w:val="center"/>
          </w:tcPr>
          <w:p w14:paraId="130BFE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49.0</w:t>
            </w:r>
          </w:p>
        </w:tc>
        <w:tc>
          <w:tcPr>
            <w:tcW w:w="555" w:type="dxa"/>
            <w:shd w:val="clear" w:color="auto" w:fill="auto"/>
            <w:tcMar>
              <w:top w:w="0" w:type="dxa"/>
              <w:left w:w="0" w:type="dxa"/>
              <w:bottom w:w="0" w:type="dxa"/>
              <w:right w:w="0" w:type="dxa"/>
            </w:tcMar>
            <w:vAlign w:val="center"/>
          </w:tcPr>
          <w:p w14:paraId="5A0198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43.0</w:t>
            </w:r>
          </w:p>
        </w:tc>
        <w:tc>
          <w:tcPr>
            <w:tcW w:w="557" w:type="dxa"/>
            <w:shd w:val="clear" w:color="auto" w:fill="auto"/>
            <w:tcMar>
              <w:top w:w="0" w:type="dxa"/>
              <w:left w:w="0" w:type="dxa"/>
              <w:bottom w:w="0" w:type="dxa"/>
              <w:right w:w="0" w:type="dxa"/>
            </w:tcMar>
            <w:vAlign w:val="center"/>
          </w:tcPr>
          <w:p w14:paraId="7F342A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35.9</w:t>
            </w:r>
          </w:p>
        </w:tc>
        <w:tc>
          <w:tcPr>
            <w:tcW w:w="820" w:type="dxa"/>
            <w:shd w:val="clear" w:color="auto" w:fill="auto"/>
            <w:tcMar>
              <w:top w:w="0" w:type="dxa"/>
              <w:left w:w="0" w:type="dxa"/>
              <w:bottom w:w="0" w:type="dxa"/>
              <w:right w:w="0" w:type="dxa"/>
            </w:tcMar>
            <w:vAlign w:val="center"/>
          </w:tcPr>
          <w:p w14:paraId="141F41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default"/>
                <w:color w:val="auto"/>
                <w:sz w:val="21"/>
                <w:szCs w:val="21"/>
                <w:lang w:val="en-US" w:eastAsia="zh-CN"/>
              </w:rPr>
              <w:t>1</w:t>
            </w:r>
          </w:p>
        </w:tc>
      </w:tr>
      <w:tr w14:paraId="5403E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449" w:type="dxa"/>
            <w:shd w:val="clear" w:color="auto" w:fill="auto"/>
            <w:tcMar>
              <w:top w:w="0" w:type="dxa"/>
              <w:left w:w="0" w:type="dxa"/>
              <w:bottom w:w="0" w:type="dxa"/>
              <w:right w:w="0" w:type="dxa"/>
            </w:tcMar>
            <w:vAlign w:val="center"/>
          </w:tcPr>
          <w:p w14:paraId="0F4C86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2</w:t>
            </w:r>
          </w:p>
        </w:tc>
        <w:tc>
          <w:tcPr>
            <w:tcW w:w="643" w:type="dxa"/>
            <w:vMerge w:val="continue"/>
            <w:shd w:val="clear" w:color="auto" w:fill="auto"/>
            <w:tcMar>
              <w:top w:w="0" w:type="dxa"/>
              <w:left w:w="0" w:type="dxa"/>
              <w:bottom w:w="0" w:type="dxa"/>
              <w:right w:w="0" w:type="dxa"/>
            </w:tcMar>
            <w:vAlign w:val="center"/>
          </w:tcPr>
          <w:p w14:paraId="78784D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p>
        </w:tc>
        <w:tc>
          <w:tcPr>
            <w:tcW w:w="707" w:type="dxa"/>
            <w:shd w:val="clear" w:color="auto" w:fill="auto"/>
            <w:tcMar>
              <w:top w:w="0" w:type="dxa"/>
              <w:left w:w="0" w:type="dxa"/>
              <w:bottom w:w="0" w:type="dxa"/>
              <w:right w:w="0" w:type="dxa"/>
            </w:tcMar>
            <w:vAlign w:val="center"/>
          </w:tcPr>
          <w:p w14:paraId="274E1F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空压机</w:t>
            </w:r>
          </w:p>
        </w:tc>
        <w:tc>
          <w:tcPr>
            <w:tcW w:w="836" w:type="dxa"/>
            <w:shd w:val="clear" w:color="auto" w:fill="auto"/>
            <w:tcMar>
              <w:top w:w="0" w:type="dxa"/>
              <w:left w:w="0" w:type="dxa"/>
              <w:bottom w:w="0" w:type="dxa"/>
              <w:right w:w="0" w:type="dxa"/>
            </w:tcMar>
            <w:vAlign w:val="center"/>
          </w:tcPr>
          <w:p w14:paraId="184722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s="Times New Roman"/>
                <w:color w:val="auto"/>
                <w:lang w:val="en-US" w:eastAsia="zh-CN"/>
              </w:rPr>
              <w:t>75kW</w:t>
            </w:r>
          </w:p>
        </w:tc>
        <w:tc>
          <w:tcPr>
            <w:tcW w:w="879" w:type="dxa"/>
            <w:shd w:val="clear" w:color="auto" w:fill="auto"/>
            <w:tcMar>
              <w:top w:w="0" w:type="dxa"/>
              <w:left w:w="0" w:type="dxa"/>
              <w:bottom w:w="0" w:type="dxa"/>
              <w:right w:w="0" w:type="dxa"/>
            </w:tcMar>
            <w:vAlign w:val="center"/>
          </w:tcPr>
          <w:p w14:paraId="32A4CC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75</w:t>
            </w:r>
          </w:p>
        </w:tc>
        <w:tc>
          <w:tcPr>
            <w:tcW w:w="750" w:type="dxa"/>
            <w:vMerge w:val="continue"/>
            <w:shd w:val="clear" w:color="auto" w:fill="auto"/>
            <w:tcMar>
              <w:top w:w="0" w:type="dxa"/>
              <w:left w:w="0" w:type="dxa"/>
              <w:bottom w:w="0" w:type="dxa"/>
              <w:right w:w="0" w:type="dxa"/>
            </w:tcMar>
            <w:vAlign w:val="center"/>
          </w:tcPr>
          <w:p w14:paraId="350779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p>
        </w:tc>
        <w:tc>
          <w:tcPr>
            <w:tcW w:w="621" w:type="dxa"/>
            <w:shd w:val="clear" w:color="auto" w:fill="auto"/>
            <w:tcMar>
              <w:top w:w="0" w:type="dxa"/>
              <w:left w:w="0" w:type="dxa"/>
              <w:bottom w:w="0" w:type="dxa"/>
              <w:right w:w="0" w:type="dxa"/>
            </w:tcMar>
            <w:vAlign w:val="center"/>
          </w:tcPr>
          <w:p w14:paraId="127F4C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-87.5</w:t>
            </w:r>
          </w:p>
        </w:tc>
        <w:tc>
          <w:tcPr>
            <w:tcW w:w="664" w:type="dxa"/>
            <w:shd w:val="clear" w:color="auto" w:fill="auto"/>
            <w:tcMar>
              <w:top w:w="0" w:type="dxa"/>
              <w:left w:w="0" w:type="dxa"/>
              <w:bottom w:w="0" w:type="dxa"/>
              <w:right w:w="0" w:type="dxa"/>
            </w:tcMar>
            <w:vAlign w:val="center"/>
          </w:tcPr>
          <w:p w14:paraId="0ED188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-10</w:t>
            </w:r>
          </w:p>
        </w:tc>
        <w:tc>
          <w:tcPr>
            <w:tcW w:w="579" w:type="dxa"/>
            <w:shd w:val="clear" w:color="auto" w:fill="auto"/>
            <w:tcMar>
              <w:top w:w="0" w:type="dxa"/>
              <w:left w:w="0" w:type="dxa"/>
              <w:bottom w:w="0" w:type="dxa"/>
              <w:right w:w="0" w:type="dxa"/>
            </w:tcMar>
            <w:vAlign w:val="center"/>
          </w:tcPr>
          <w:p w14:paraId="5840CE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2</w:t>
            </w:r>
          </w:p>
        </w:tc>
        <w:tc>
          <w:tcPr>
            <w:tcW w:w="793" w:type="dxa"/>
            <w:shd w:val="clear" w:color="auto" w:fill="auto"/>
            <w:tcMar>
              <w:top w:w="0" w:type="dxa"/>
              <w:left w:w="0" w:type="dxa"/>
              <w:bottom w:w="0" w:type="dxa"/>
              <w:right w:w="0" w:type="dxa"/>
            </w:tcMar>
            <w:vAlign w:val="center"/>
          </w:tcPr>
          <w:p w14:paraId="3A6312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185</w:t>
            </w:r>
          </w:p>
        </w:tc>
        <w:tc>
          <w:tcPr>
            <w:tcW w:w="750" w:type="dxa"/>
            <w:shd w:val="clear" w:color="auto" w:fill="auto"/>
            <w:tcMar>
              <w:top w:w="0" w:type="dxa"/>
              <w:left w:w="0" w:type="dxa"/>
              <w:bottom w:w="0" w:type="dxa"/>
              <w:right w:w="0" w:type="dxa"/>
            </w:tcMar>
            <w:vAlign w:val="center"/>
          </w:tcPr>
          <w:p w14:paraId="498AD4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15</w:t>
            </w:r>
          </w:p>
        </w:tc>
        <w:tc>
          <w:tcPr>
            <w:tcW w:w="707" w:type="dxa"/>
            <w:shd w:val="clear" w:color="auto" w:fill="auto"/>
            <w:tcMar>
              <w:top w:w="0" w:type="dxa"/>
              <w:left w:w="0" w:type="dxa"/>
              <w:bottom w:w="0" w:type="dxa"/>
              <w:right w:w="0" w:type="dxa"/>
            </w:tcMar>
            <w:vAlign w:val="center"/>
          </w:tcPr>
          <w:p w14:paraId="481E28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10</w:t>
            </w:r>
          </w:p>
        </w:tc>
        <w:tc>
          <w:tcPr>
            <w:tcW w:w="600" w:type="dxa"/>
            <w:shd w:val="clear" w:color="auto" w:fill="auto"/>
            <w:tcMar>
              <w:top w:w="0" w:type="dxa"/>
              <w:left w:w="0" w:type="dxa"/>
              <w:bottom w:w="0" w:type="dxa"/>
              <w:right w:w="0" w:type="dxa"/>
            </w:tcMar>
            <w:vAlign w:val="center"/>
          </w:tcPr>
          <w:p w14:paraId="7D199F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35</w:t>
            </w:r>
          </w:p>
        </w:tc>
        <w:tc>
          <w:tcPr>
            <w:tcW w:w="608" w:type="dxa"/>
            <w:shd w:val="clear" w:color="auto" w:fill="auto"/>
            <w:tcMar>
              <w:top w:w="0" w:type="dxa"/>
              <w:left w:w="0" w:type="dxa"/>
              <w:bottom w:w="0" w:type="dxa"/>
              <w:right w:w="0" w:type="dxa"/>
            </w:tcMar>
            <w:vAlign w:val="center"/>
          </w:tcPr>
          <w:p w14:paraId="32A9B8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29.7</w:t>
            </w:r>
          </w:p>
        </w:tc>
        <w:tc>
          <w:tcPr>
            <w:tcW w:w="570" w:type="dxa"/>
            <w:shd w:val="clear" w:color="auto" w:fill="auto"/>
            <w:tcMar>
              <w:top w:w="0" w:type="dxa"/>
              <w:left w:w="0" w:type="dxa"/>
              <w:bottom w:w="0" w:type="dxa"/>
              <w:right w:w="0" w:type="dxa"/>
            </w:tcMar>
            <w:vAlign w:val="center"/>
          </w:tcPr>
          <w:p w14:paraId="59222A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51.5</w:t>
            </w:r>
          </w:p>
        </w:tc>
        <w:tc>
          <w:tcPr>
            <w:tcW w:w="600" w:type="dxa"/>
            <w:shd w:val="clear" w:color="auto" w:fill="auto"/>
            <w:tcMar>
              <w:top w:w="0" w:type="dxa"/>
              <w:left w:w="0" w:type="dxa"/>
              <w:bottom w:w="0" w:type="dxa"/>
              <w:right w:w="0" w:type="dxa"/>
            </w:tcMar>
            <w:vAlign w:val="center"/>
          </w:tcPr>
          <w:p w14:paraId="155580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55.0</w:t>
            </w:r>
          </w:p>
        </w:tc>
        <w:tc>
          <w:tcPr>
            <w:tcW w:w="729" w:type="dxa"/>
            <w:shd w:val="clear" w:color="auto" w:fill="auto"/>
            <w:tcMar>
              <w:top w:w="0" w:type="dxa"/>
              <w:left w:w="0" w:type="dxa"/>
              <w:bottom w:w="0" w:type="dxa"/>
              <w:right w:w="0" w:type="dxa"/>
            </w:tcMar>
            <w:vAlign w:val="center"/>
          </w:tcPr>
          <w:p w14:paraId="5E05E6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44.1</w:t>
            </w:r>
          </w:p>
        </w:tc>
        <w:tc>
          <w:tcPr>
            <w:tcW w:w="836" w:type="dxa"/>
            <w:vMerge w:val="continue"/>
            <w:shd w:val="clear" w:color="auto" w:fill="auto"/>
            <w:tcMar>
              <w:top w:w="0" w:type="dxa"/>
              <w:left w:w="0" w:type="dxa"/>
              <w:bottom w:w="0" w:type="dxa"/>
              <w:right w:w="0" w:type="dxa"/>
            </w:tcMar>
            <w:vAlign w:val="center"/>
          </w:tcPr>
          <w:p w14:paraId="7181C8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p>
        </w:tc>
        <w:tc>
          <w:tcPr>
            <w:tcW w:w="971" w:type="dxa"/>
            <w:shd w:val="clear" w:color="auto" w:fill="auto"/>
            <w:tcMar>
              <w:top w:w="0" w:type="dxa"/>
              <w:left w:w="0" w:type="dxa"/>
              <w:bottom w:w="0" w:type="dxa"/>
              <w:right w:w="0" w:type="dxa"/>
            </w:tcMar>
            <w:vAlign w:val="center"/>
          </w:tcPr>
          <w:p w14:paraId="1EF1A4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default"/>
                <w:color w:val="auto"/>
                <w:sz w:val="21"/>
                <w:szCs w:val="21"/>
                <w:lang w:val="en-US" w:eastAsia="zh-CN"/>
              </w:rPr>
              <w:t>26.0</w:t>
            </w:r>
          </w:p>
        </w:tc>
        <w:tc>
          <w:tcPr>
            <w:tcW w:w="555" w:type="dxa"/>
            <w:shd w:val="clear" w:color="auto" w:fill="auto"/>
            <w:tcMar>
              <w:top w:w="0" w:type="dxa"/>
              <w:left w:w="0" w:type="dxa"/>
              <w:bottom w:w="0" w:type="dxa"/>
              <w:right w:w="0" w:type="dxa"/>
            </w:tcMar>
            <w:vAlign w:val="center"/>
          </w:tcPr>
          <w:p w14:paraId="7AD212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3.7</w:t>
            </w:r>
          </w:p>
        </w:tc>
        <w:tc>
          <w:tcPr>
            <w:tcW w:w="555" w:type="dxa"/>
            <w:shd w:val="clear" w:color="auto" w:fill="auto"/>
            <w:tcMar>
              <w:top w:w="0" w:type="dxa"/>
              <w:left w:w="0" w:type="dxa"/>
              <w:bottom w:w="0" w:type="dxa"/>
              <w:right w:w="0" w:type="dxa"/>
            </w:tcMar>
            <w:vAlign w:val="center"/>
          </w:tcPr>
          <w:p w14:paraId="135AD5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25.5</w:t>
            </w:r>
          </w:p>
        </w:tc>
        <w:tc>
          <w:tcPr>
            <w:tcW w:w="555" w:type="dxa"/>
            <w:shd w:val="clear" w:color="auto" w:fill="auto"/>
            <w:tcMar>
              <w:top w:w="0" w:type="dxa"/>
              <w:left w:w="0" w:type="dxa"/>
              <w:bottom w:w="0" w:type="dxa"/>
              <w:right w:w="0" w:type="dxa"/>
            </w:tcMar>
            <w:vAlign w:val="center"/>
          </w:tcPr>
          <w:p w14:paraId="069859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29.0</w:t>
            </w:r>
          </w:p>
        </w:tc>
        <w:tc>
          <w:tcPr>
            <w:tcW w:w="557" w:type="dxa"/>
            <w:shd w:val="clear" w:color="auto" w:fill="auto"/>
            <w:tcMar>
              <w:top w:w="0" w:type="dxa"/>
              <w:left w:w="0" w:type="dxa"/>
              <w:bottom w:w="0" w:type="dxa"/>
              <w:right w:w="0" w:type="dxa"/>
            </w:tcMar>
            <w:vAlign w:val="center"/>
          </w:tcPr>
          <w:p w14:paraId="61F7BA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18.1</w:t>
            </w:r>
          </w:p>
        </w:tc>
        <w:tc>
          <w:tcPr>
            <w:tcW w:w="820" w:type="dxa"/>
            <w:shd w:val="clear" w:color="auto" w:fill="auto"/>
            <w:tcMar>
              <w:top w:w="0" w:type="dxa"/>
              <w:left w:w="0" w:type="dxa"/>
              <w:bottom w:w="0" w:type="dxa"/>
              <w:right w:w="0" w:type="dxa"/>
            </w:tcMar>
            <w:vAlign w:val="center"/>
          </w:tcPr>
          <w:p w14:paraId="57C41F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default"/>
                <w:color w:val="auto"/>
                <w:sz w:val="21"/>
                <w:szCs w:val="21"/>
                <w:lang w:val="en-US" w:eastAsia="zh-CN"/>
              </w:rPr>
              <w:t>1</w:t>
            </w:r>
          </w:p>
        </w:tc>
      </w:tr>
      <w:tr w14:paraId="1A117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6" w:hRule="atLeast"/>
          <w:jc w:val="center"/>
        </w:trPr>
        <w:tc>
          <w:tcPr>
            <w:tcW w:w="449" w:type="dxa"/>
            <w:shd w:val="clear" w:color="auto" w:fill="auto"/>
            <w:tcMar>
              <w:top w:w="0" w:type="dxa"/>
              <w:left w:w="0" w:type="dxa"/>
              <w:bottom w:w="0" w:type="dxa"/>
              <w:right w:w="0" w:type="dxa"/>
            </w:tcMar>
            <w:vAlign w:val="center"/>
          </w:tcPr>
          <w:p w14:paraId="4788E3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3</w:t>
            </w:r>
          </w:p>
        </w:tc>
        <w:tc>
          <w:tcPr>
            <w:tcW w:w="643" w:type="dxa"/>
            <w:vMerge w:val="continue"/>
            <w:shd w:val="clear" w:color="auto" w:fill="auto"/>
            <w:tcMar>
              <w:top w:w="0" w:type="dxa"/>
              <w:left w:w="0" w:type="dxa"/>
              <w:bottom w:w="0" w:type="dxa"/>
              <w:right w:w="0" w:type="dxa"/>
            </w:tcMar>
            <w:vAlign w:val="center"/>
          </w:tcPr>
          <w:p w14:paraId="2AF2D8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p>
        </w:tc>
        <w:tc>
          <w:tcPr>
            <w:tcW w:w="707" w:type="dxa"/>
            <w:shd w:val="clear" w:color="auto" w:fill="auto"/>
            <w:tcMar>
              <w:top w:w="0" w:type="dxa"/>
              <w:left w:w="0" w:type="dxa"/>
              <w:bottom w:w="0" w:type="dxa"/>
              <w:right w:w="0" w:type="dxa"/>
            </w:tcMar>
            <w:vAlign w:val="center"/>
          </w:tcPr>
          <w:p w14:paraId="3119DE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搅拌机</w:t>
            </w:r>
          </w:p>
        </w:tc>
        <w:tc>
          <w:tcPr>
            <w:tcW w:w="836" w:type="dxa"/>
            <w:shd w:val="clear" w:color="auto" w:fill="auto"/>
            <w:tcMar>
              <w:top w:w="0" w:type="dxa"/>
              <w:left w:w="0" w:type="dxa"/>
              <w:bottom w:w="0" w:type="dxa"/>
              <w:right w:w="0" w:type="dxa"/>
            </w:tcMar>
            <w:vAlign w:val="center"/>
          </w:tcPr>
          <w:p w14:paraId="1A72E5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s="Times New Roman"/>
                <w:color w:val="auto"/>
                <w:lang w:val="en-US" w:eastAsia="zh-CN"/>
              </w:rPr>
              <w:t>/</w:t>
            </w:r>
          </w:p>
        </w:tc>
        <w:tc>
          <w:tcPr>
            <w:tcW w:w="879" w:type="dxa"/>
            <w:shd w:val="clear" w:color="auto" w:fill="auto"/>
            <w:tcMar>
              <w:top w:w="0" w:type="dxa"/>
              <w:left w:w="0" w:type="dxa"/>
              <w:bottom w:w="0" w:type="dxa"/>
              <w:right w:w="0" w:type="dxa"/>
            </w:tcMar>
            <w:vAlign w:val="center"/>
          </w:tcPr>
          <w:p w14:paraId="015281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89</w:t>
            </w:r>
          </w:p>
        </w:tc>
        <w:tc>
          <w:tcPr>
            <w:tcW w:w="750" w:type="dxa"/>
            <w:vMerge w:val="continue"/>
            <w:shd w:val="clear" w:color="auto" w:fill="auto"/>
            <w:tcMar>
              <w:top w:w="0" w:type="dxa"/>
              <w:left w:w="0" w:type="dxa"/>
              <w:bottom w:w="0" w:type="dxa"/>
              <w:right w:w="0" w:type="dxa"/>
            </w:tcMar>
            <w:vAlign w:val="center"/>
          </w:tcPr>
          <w:p w14:paraId="7B44C9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p>
        </w:tc>
        <w:tc>
          <w:tcPr>
            <w:tcW w:w="621" w:type="dxa"/>
            <w:shd w:val="clear" w:color="auto" w:fill="auto"/>
            <w:tcMar>
              <w:top w:w="0" w:type="dxa"/>
              <w:left w:w="0" w:type="dxa"/>
              <w:bottom w:w="0" w:type="dxa"/>
              <w:right w:w="0" w:type="dxa"/>
            </w:tcMar>
            <w:vAlign w:val="center"/>
          </w:tcPr>
          <w:p w14:paraId="4590D3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-42.5</w:t>
            </w:r>
          </w:p>
        </w:tc>
        <w:tc>
          <w:tcPr>
            <w:tcW w:w="664" w:type="dxa"/>
            <w:shd w:val="clear" w:color="auto" w:fill="auto"/>
            <w:tcMar>
              <w:top w:w="0" w:type="dxa"/>
              <w:left w:w="0" w:type="dxa"/>
              <w:bottom w:w="0" w:type="dxa"/>
              <w:right w:w="0" w:type="dxa"/>
            </w:tcMar>
            <w:vAlign w:val="center"/>
          </w:tcPr>
          <w:p w14:paraId="150461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-10</w:t>
            </w:r>
          </w:p>
        </w:tc>
        <w:tc>
          <w:tcPr>
            <w:tcW w:w="579" w:type="dxa"/>
            <w:shd w:val="clear" w:color="auto" w:fill="auto"/>
            <w:tcMar>
              <w:top w:w="0" w:type="dxa"/>
              <w:left w:w="0" w:type="dxa"/>
              <w:bottom w:w="0" w:type="dxa"/>
              <w:right w:w="0" w:type="dxa"/>
            </w:tcMar>
            <w:vAlign w:val="center"/>
          </w:tcPr>
          <w:p w14:paraId="389C14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2</w:t>
            </w:r>
          </w:p>
        </w:tc>
        <w:tc>
          <w:tcPr>
            <w:tcW w:w="793" w:type="dxa"/>
            <w:shd w:val="clear" w:color="auto" w:fill="auto"/>
            <w:tcMar>
              <w:top w:w="0" w:type="dxa"/>
              <w:left w:w="0" w:type="dxa"/>
              <w:bottom w:w="0" w:type="dxa"/>
              <w:right w:w="0" w:type="dxa"/>
            </w:tcMar>
            <w:vAlign w:val="center"/>
          </w:tcPr>
          <w:p w14:paraId="427C7E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140</w:t>
            </w:r>
          </w:p>
        </w:tc>
        <w:tc>
          <w:tcPr>
            <w:tcW w:w="750" w:type="dxa"/>
            <w:shd w:val="clear" w:color="auto" w:fill="auto"/>
            <w:tcMar>
              <w:top w:w="0" w:type="dxa"/>
              <w:left w:w="0" w:type="dxa"/>
              <w:bottom w:w="0" w:type="dxa"/>
              <w:right w:w="0" w:type="dxa"/>
            </w:tcMar>
            <w:vAlign w:val="center"/>
          </w:tcPr>
          <w:p w14:paraId="63B97A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15</w:t>
            </w:r>
          </w:p>
        </w:tc>
        <w:tc>
          <w:tcPr>
            <w:tcW w:w="707" w:type="dxa"/>
            <w:shd w:val="clear" w:color="auto" w:fill="auto"/>
            <w:tcMar>
              <w:top w:w="0" w:type="dxa"/>
              <w:left w:w="0" w:type="dxa"/>
              <w:bottom w:w="0" w:type="dxa"/>
              <w:right w:w="0" w:type="dxa"/>
            </w:tcMar>
            <w:vAlign w:val="center"/>
          </w:tcPr>
          <w:p w14:paraId="490F08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55</w:t>
            </w:r>
          </w:p>
        </w:tc>
        <w:tc>
          <w:tcPr>
            <w:tcW w:w="600" w:type="dxa"/>
            <w:shd w:val="clear" w:color="auto" w:fill="auto"/>
            <w:tcMar>
              <w:top w:w="0" w:type="dxa"/>
              <w:left w:w="0" w:type="dxa"/>
              <w:bottom w:w="0" w:type="dxa"/>
              <w:right w:w="0" w:type="dxa"/>
            </w:tcMar>
            <w:vAlign w:val="center"/>
          </w:tcPr>
          <w:p w14:paraId="5D7DCB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35</w:t>
            </w:r>
          </w:p>
        </w:tc>
        <w:tc>
          <w:tcPr>
            <w:tcW w:w="608" w:type="dxa"/>
            <w:shd w:val="clear" w:color="auto" w:fill="auto"/>
            <w:tcMar>
              <w:top w:w="0" w:type="dxa"/>
              <w:left w:w="0" w:type="dxa"/>
              <w:bottom w:w="0" w:type="dxa"/>
              <w:right w:w="0" w:type="dxa"/>
            </w:tcMar>
            <w:vAlign w:val="center"/>
          </w:tcPr>
          <w:p w14:paraId="629FE6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46.6</w:t>
            </w:r>
          </w:p>
        </w:tc>
        <w:tc>
          <w:tcPr>
            <w:tcW w:w="570" w:type="dxa"/>
            <w:shd w:val="clear" w:color="auto" w:fill="auto"/>
            <w:tcMar>
              <w:top w:w="0" w:type="dxa"/>
              <w:left w:w="0" w:type="dxa"/>
              <w:bottom w:w="0" w:type="dxa"/>
              <w:right w:w="0" w:type="dxa"/>
            </w:tcMar>
            <w:vAlign w:val="center"/>
          </w:tcPr>
          <w:p w14:paraId="774882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66.0</w:t>
            </w:r>
          </w:p>
        </w:tc>
        <w:tc>
          <w:tcPr>
            <w:tcW w:w="600" w:type="dxa"/>
            <w:shd w:val="clear" w:color="auto" w:fill="auto"/>
            <w:tcMar>
              <w:top w:w="0" w:type="dxa"/>
              <w:left w:w="0" w:type="dxa"/>
              <w:bottom w:w="0" w:type="dxa"/>
              <w:right w:w="0" w:type="dxa"/>
            </w:tcMar>
            <w:vAlign w:val="center"/>
          </w:tcPr>
          <w:p w14:paraId="4239A0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54.7</w:t>
            </w:r>
          </w:p>
        </w:tc>
        <w:tc>
          <w:tcPr>
            <w:tcW w:w="729" w:type="dxa"/>
            <w:shd w:val="clear" w:color="auto" w:fill="auto"/>
            <w:tcMar>
              <w:top w:w="0" w:type="dxa"/>
              <w:left w:w="0" w:type="dxa"/>
              <w:bottom w:w="0" w:type="dxa"/>
              <w:right w:w="0" w:type="dxa"/>
            </w:tcMar>
            <w:vAlign w:val="center"/>
          </w:tcPr>
          <w:p w14:paraId="4F4B4E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58.7</w:t>
            </w:r>
          </w:p>
        </w:tc>
        <w:tc>
          <w:tcPr>
            <w:tcW w:w="836" w:type="dxa"/>
            <w:vMerge w:val="continue"/>
            <w:shd w:val="clear" w:color="auto" w:fill="auto"/>
            <w:tcMar>
              <w:top w:w="0" w:type="dxa"/>
              <w:left w:w="0" w:type="dxa"/>
              <w:bottom w:w="0" w:type="dxa"/>
              <w:right w:w="0" w:type="dxa"/>
            </w:tcMar>
            <w:vAlign w:val="center"/>
          </w:tcPr>
          <w:p w14:paraId="5AB17C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p>
        </w:tc>
        <w:tc>
          <w:tcPr>
            <w:tcW w:w="971" w:type="dxa"/>
            <w:shd w:val="clear" w:color="auto" w:fill="auto"/>
            <w:tcMar>
              <w:top w:w="0" w:type="dxa"/>
              <w:left w:w="0" w:type="dxa"/>
              <w:bottom w:w="0" w:type="dxa"/>
              <w:right w:w="0" w:type="dxa"/>
            </w:tcMar>
            <w:vAlign w:val="center"/>
          </w:tcPr>
          <w:p w14:paraId="0E9454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default"/>
                <w:color w:val="auto"/>
                <w:sz w:val="21"/>
                <w:szCs w:val="21"/>
                <w:lang w:val="en-US" w:eastAsia="zh-CN"/>
              </w:rPr>
              <w:t>26.0</w:t>
            </w:r>
          </w:p>
        </w:tc>
        <w:tc>
          <w:tcPr>
            <w:tcW w:w="555" w:type="dxa"/>
            <w:shd w:val="clear" w:color="auto" w:fill="auto"/>
            <w:tcMar>
              <w:top w:w="0" w:type="dxa"/>
              <w:left w:w="0" w:type="dxa"/>
              <w:bottom w:w="0" w:type="dxa"/>
              <w:right w:w="0" w:type="dxa"/>
            </w:tcMar>
            <w:vAlign w:val="center"/>
          </w:tcPr>
          <w:p w14:paraId="2AAB40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20.6</w:t>
            </w:r>
          </w:p>
        </w:tc>
        <w:tc>
          <w:tcPr>
            <w:tcW w:w="555" w:type="dxa"/>
            <w:shd w:val="clear" w:color="auto" w:fill="auto"/>
            <w:tcMar>
              <w:top w:w="0" w:type="dxa"/>
              <w:left w:w="0" w:type="dxa"/>
              <w:bottom w:w="0" w:type="dxa"/>
              <w:right w:w="0" w:type="dxa"/>
            </w:tcMar>
            <w:vAlign w:val="center"/>
          </w:tcPr>
          <w:p w14:paraId="66ECE0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40.0</w:t>
            </w:r>
          </w:p>
        </w:tc>
        <w:tc>
          <w:tcPr>
            <w:tcW w:w="555" w:type="dxa"/>
            <w:shd w:val="clear" w:color="auto" w:fill="auto"/>
            <w:tcMar>
              <w:top w:w="0" w:type="dxa"/>
              <w:left w:w="0" w:type="dxa"/>
              <w:bottom w:w="0" w:type="dxa"/>
              <w:right w:w="0" w:type="dxa"/>
            </w:tcMar>
            <w:vAlign w:val="center"/>
          </w:tcPr>
          <w:p w14:paraId="37017F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28.7</w:t>
            </w:r>
          </w:p>
        </w:tc>
        <w:tc>
          <w:tcPr>
            <w:tcW w:w="557" w:type="dxa"/>
            <w:shd w:val="clear" w:color="auto" w:fill="auto"/>
            <w:tcMar>
              <w:top w:w="0" w:type="dxa"/>
              <w:left w:w="0" w:type="dxa"/>
              <w:bottom w:w="0" w:type="dxa"/>
              <w:right w:w="0" w:type="dxa"/>
            </w:tcMar>
            <w:vAlign w:val="center"/>
          </w:tcPr>
          <w:p w14:paraId="3340C5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32.7</w:t>
            </w:r>
          </w:p>
        </w:tc>
        <w:tc>
          <w:tcPr>
            <w:tcW w:w="820" w:type="dxa"/>
            <w:shd w:val="clear" w:color="auto" w:fill="auto"/>
            <w:tcMar>
              <w:top w:w="0" w:type="dxa"/>
              <w:left w:w="0" w:type="dxa"/>
              <w:bottom w:w="0" w:type="dxa"/>
              <w:right w:w="0" w:type="dxa"/>
            </w:tcMar>
            <w:vAlign w:val="center"/>
          </w:tcPr>
          <w:p w14:paraId="00FE9C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default"/>
                <w:color w:val="auto"/>
                <w:sz w:val="21"/>
                <w:szCs w:val="21"/>
                <w:lang w:val="en-US" w:eastAsia="zh-CN"/>
              </w:rPr>
              <w:t>1</w:t>
            </w:r>
          </w:p>
        </w:tc>
      </w:tr>
      <w:tr w14:paraId="0B0FF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8" w:hRule="atLeast"/>
          <w:jc w:val="center"/>
        </w:trPr>
        <w:tc>
          <w:tcPr>
            <w:tcW w:w="449" w:type="dxa"/>
            <w:shd w:val="clear" w:color="auto" w:fill="auto"/>
            <w:tcMar>
              <w:top w:w="0" w:type="dxa"/>
              <w:left w:w="0" w:type="dxa"/>
              <w:bottom w:w="0" w:type="dxa"/>
              <w:right w:w="0" w:type="dxa"/>
            </w:tcMar>
            <w:vAlign w:val="center"/>
          </w:tcPr>
          <w:p w14:paraId="77E6BA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4</w:t>
            </w:r>
          </w:p>
        </w:tc>
        <w:tc>
          <w:tcPr>
            <w:tcW w:w="643" w:type="dxa"/>
            <w:vMerge w:val="restart"/>
            <w:shd w:val="clear" w:color="auto" w:fill="auto"/>
            <w:tcMar>
              <w:top w:w="0" w:type="dxa"/>
              <w:left w:w="0" w:type="dxa"/>
              <w:bottom w:w="0" w:type="dxa"/>
              <w:right w:w="0" w:type="dxa"/>
            </w:tcMar>
            <w:vAlign w:val="center"/>
          </w:tcPr>
          <w:p w14:paraId="3FFD34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default"/>
                <w:color w:val="auto"/>
                <w:sz w:val="21"/>
                <w:szCs w:val="21"/>
                <w:lang w:val="en-US" w:eastAsia="zh-CN"/>
              </w:rPr>
              <w:t>破碎厂房</w:t>
            </w:r>
          </w:p>
        </w:tc>
        <w:tc>
          <w:tcPr>
            <w:tcW w:w="707" w:type="dxa"/>
            <w:shd w:val="clear" w:color="auto" w:fill="auto"/>
            <w:tcMar>
              <w:top w:w="0" w:type="dxa"/>
              <w:left w:w="0" w:type="dxa"/>
              <w:bottom w:w="0" w:type="dxa"/>
              <w:right w:w="0" w:type="dxa"/>
            </w:tcMar>
            <w:vAlign w:val="center"/>
          </w:tcPr>
          <w:p w14:paraId="4EC300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破碎机</w:t>
            </w:r>
          </w:p>
        </w:tc>
        <w:tc>
          <w:tcPr>
            <w:tcW w:w="836" w:type="dxa"/>
            <w:shd w:val="clear" w:color="auto" w:fill="auto"/>
            <w:tcMar>
              <w:top w:w="0" w:type="dxa"/>
              <w:left w:w="0" w:type="dxa"/>
              <w:bottom w:w="0" w:type="dxa"/>
              <w:right w:w="0" w:type="dxa"/>
            </w:tcMar>
            <w:vAlign w:val="center"/>
          </w:tcPr>
          <w:p w14:paraId="5EA462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color w:val="auto"/>
                <w:lang w:val="en-US" w:eastAsia="zh-CN"/>
              </w:rPr>
            </w:pPr>
            <w:r>
              <w:rPr>
                <w:rFonts w:hint="eastAsia" w:cs="Times New Roman"/>
                <w:color w:val="auto"/>
                <w:lang w:val="en-US" w:eastAsia="zh-CN"/>
              </w:rPr>
              <w:t>/</w:t>
            </w:r>
          </w:p>
        </w:tc>
        <w:tc>
          <w:tcPr>
            <w:tcW w:w="879" w:type="dxa"/>
            <w:shd w:val="clear" w:color="auto" w:fill="auto"/>
            <w:tcMar>
              <w:top w:w="0" w:type="dxa"/>
              <w:left w:w="0" w:type="dxa"/>
              <w:bottom w:w="0" w:type="dxa"/>
              <w:right w:w="0" w:type="dxa"/>
            </w:tcMar>
            <w:vAlign w:val="center"/>
          </w:tcPr>
          <w:p w14:paraId="772E24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99</w:t>
            </w:r>
          </w:p>
        </w:tc>
        <w:tc>
          <w:tcPr>
            <w:tcW w:w="750" w:type="dxa"/>
            <w:vMerge w:val="continue"/>
            <w:shd w:val="clear" w:color="auto" w:fill="auto"/>
            <w:tcMar>
              <w:top w:w="0" w:type="dxa"/>
              <w:left w:w="0" w:type="dxa"/>
              <w:bottom w:w="0" w:type="dxa"/>
              <w:right w:w="0" w:type="dxa"/>
            </w:tcMar>
            <w:vAlign w:val="center"/>
          </w:tcPr>
          <w:p w14:paraId="26A433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p>
        </w:tc>
        <w:tc>
          <w:tcPr>
            <w:tcW w:w="621" w:type="dxa"/>
            <w:shd w:val="clear" w:color="auto" w:fill="auto"/>
            <w:tcMar>
              <w:top w:w="0" w:type="dxa"/>
              <w:left w:w="0" w:type="dxa"/>
              <w:bottom w:w="0" w:type="dxa"/>
              <w:right w:w="0" w:type="dxa"/>
            </w:tcMar>
            <w:vAlign w:val="center"/>
          </w:tcPr>
          <w:p w14:paraId="7ACB69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-21</w:t>
            </w:r>
          </w:p>
        </w:tc>
        <w:tc>
          <w:tcPr>
            <w:tcW w:w="664" w:type="dxa"/>
            <w:shd w:val="clear" w:color="auto" w:fill="auto"/>
            <w:tcMar>
              <w:top w:w="0" w:type="dxa"/>
              <w:left w:w="0" w:type="dxa"/>
              <w:bottom w:w="0" w:type="dxa"/>
              <w:right w:w="0" w:type="dxa"/>
            </w:tcMar>
            <w:vAlign w:val="center"/>
          </w:tcPr>
          <w:p w14:paraId="3F541F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lang w:val="en-US" w:eastAsia="zh-CN"/>
              </w:rPr>
            </w:pPr>
            <w:r>
              <w:rPr>
                <w:rFonts w:hint="eastAsia"/>
                <w:color w:val="auto"/>
                <w:sz w:val="21"/>
                <w:szCs w:val="21"/>
                <w:lang w:val="en-US" w:eastAsia="zh-CN"/>
              </w:rPr>
              <w:t>-38</w:t>
            </w:r>
          </w:p>
        </w:tc>
        <w:tc>
          <w:tcPr>
            <w:tcW w:w="579" w:type="dxa"/>
            <w:shd w:val="clear" w:color="auto" w:fill="auto"/>
            <w:tcMar>
              <w:top w:w="0" w:type="dxa"/>
              <w:left w:w="0" w:type="dxa"/>
              <w:bottom w:w="0" w:type="dxa"/>
              <w:right w:w="0" w:type="dxa"/>
            </w:tcMar>
            <w:vAlign w:val="center"/>
          </w:tcPr>
          <w:p w14:paraId="335BB7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2</w:t>
            </w:r>
          </w:p>
        </w:tc>
        <w:tc>
          <w:tcPr>
            <w:tcW w:w="793" w:type="dxa"/>
            <w:shd w:val="clear" w:color="auto" w:fill="auto"/>
            <w:tcMar>
              <w:top w:w="0" w:type="dxa"/>
              <w:left w:w="0" w:type="dxa"/>
              <w:bottom w:w="0" w:type="dxa"/>
              <w:right w:w="0" w:type="dxa"/>
            </w:tcMar>
            <w:vAlign w:val="center"/>
          </w:tcPr>
          <w:p w14:paraId="2E0651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80</w:t>
            </w:r>
          </w:p>
        </w:tc>
        <w:tc>
          <w:tcPr>
            <w:tcW w:w="750" w:type="dxa"/>
            <w:shd w:val="clear" w:color="auto" w:fill="auto"/>
            <w:tcMar>
              <w:top w:w="0" w:type="dxa"/>
              <w:left w:w="0" w:type="dxa"/>
              <w:bottom w:w="0" w:type="dxa"/>
              <w:right w:w="0" w:type="dxa"/>
            </w:tcMar>
            <w:vAlign w:val="center"/>
          </w:tcPr>
          <w:p w14:paraId="4DA9AB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15</w:t>
            </w:r>
          </w:p>
        </w:tc>
        <w:tc>
          <w:tcPr>
            <w:tcW w:w="707" w:type="dxa"/>
            <w:shd w:val="clear" w:color="auto" w:fill="auto"/>
            <w:tcMar>
              <w:top w:w="0" w:type="dxa"/>
              <w:left w:w="0" w:type="dxa"/>
              <w:bottom w:w="0" w:type="dxa"/>
              <w:right w:w="0" w:type="dxa"/>
            </w:tcMar>
            <w:vAlign w:val="center"/>
          </w:tcPr>
          <w:p w14:paraId="6168C0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15</w:t>
            </w:r>
          </w:p>
        </w:tc>
        <w:tc>
          <w:tcPr>
            <w:tcW w:w="600" w:type="dxa"/>
            <w:shd w:val="clear" w:color="auto" w:fill="auto"/>
            <w:tcMar>
              <w:top w:w="0" w:type="dxa"/>
              <w:left w:w="0" w:type="dxa"/>
              <w:bottom w:w="0" w:type="dxa"/>
              <w:right w:w="0" w:type="dxa"/>
            </w:tcMar>
            <w:vAlign w:val="center"/>
          </w:tcPr>
          <w:p w14:paraId="37A503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70</w:t>
            </w:r>
          </w:p>
        </w:tc>
        <w:tc>
          <w:tcPr>
            <w:tcW w:w="608" w:type="dxa"/>
            <w:shd w:val="clear" w:color="auto" w:fill="auto"/>
            <w:tcMar>
              <w:top w:w="0" w:type="dxa"/>
              <w:left w:w="0" w:type="dxa"/>
              <w:bottom w:w="0" w:type="dxa"/>
              <w:right w:w="0" w:type="dxa"/>
            </w:tcMar>
            <w:vAlign w:val="center"/>
          </w:tcPr>
          <w:p w14:paraId="4D1FF0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61.7</w:t>
            </w:r>
          </w:p>
        </w:tc>
        <w:tc>
          <w:tcPr>
            <w:tcW w:w="570" w:type="dxa"/>
            <w:shd w:val="clear" w:color="auto" w:fill="auto"/>
            <w:tcMar>
              <w:top w:w="0" w:type="dxa"/>
              <w:left w:w="0" w:type="dxa"/>
              <w:bottom w:w="0" w:type="dxa"/>
              <w:right w:w="0" w:type="dxa"/>
            </w:tcMar>
            <w:vAlign w:val="center"/>
          </w:tcPr>
          <w:p w14:paraId="2A81AD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76.2</w:t>
            </w:r>
          </w:p>
        </w:tc>
        <w:tc>
          <w:tcPr>
            <w:tcW w:w="600" w:type="dxa"/>
            <w:shd w:val="clear" w:color="auto" w:fill="auto"/>
            <w:tcMar>
              <w:top w:w="0" w:type="dxa"/>
              <w:left w:w="0" w:type="dxa"/>
              <w:bottom w:w="0" w:type="dxa"/>
              <w:right w:w="0" w:type="dxa"/>
            </w:tcMar>
            <w:vAlign w:val="center"/>
          </w:tcPr>
          <w:p w14:paraId="3E76CA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76.2</w:t>
            </w:r>
          </w:p>
        </w:tc>
        <w:tc>
          <w:tcPr>
            <w:tcW w:w="729" w:type="dxa"/>
            <w:shd w:val="clear" w:color="auto" w:fill="auto"/>
            <w:tcMar>
              <w:top w:w="0" w:type="dxa"/>
              <w:left w:w="0" w:type="dxa"/>
              <w:bottom w:w="0" w:type="dxa"/>
              <w:right w:w="0" w:type="dxa"/>
            </w:tcMar>
            <w:vAlign w:val="center"/>
          </w:tcPr>
          <w:p w14:paraId="1D7035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62.9</w:t>
            </w:r>
          </w:p>
        </w:tc>
        <w:tc>
          <w:tcPr>
            <w:tcW w:w="836" w:type="dxa"/>
            <w:vMerge w:val="restart"/>
            <w:shd w:val="clear" w:color="auto" w:fill="auto"/>
            <w:tcMar>
              <w:top w:w="0" w:type="dxa"/>
              <w:left w:w="0" w:type="dxa"/>
              <w:bottom w:w="0" w:type="dxa"/>
              <w:right w:w="0" w:type="dxa"/>
            </w:tcMar>
            <w:vAlign w:val="center"/>
          </w:tcPr>
          <w:p w14:paraId="3BE03E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8：00~</w:t>
            </w:r>
          </w:p>
          <w:p w14:paraId="3A4953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0：00</w:t>
            </w:r>
          </w:p>
        </w:tc>
        <w:tc>
          <w:tcPr>
            <w:tcW w:w="971" w:type="dxa"/>
            <w:shd w:val="clear" w:color="auto" w:fill="auto"/>
            <w:tcMar>
              <w:top w:w="0" w:type="dxa"/>
              <w:left w:w="0" w:type="dxa"/>
              <w:bottom w:w="0" w:type="dxa"/>
              <w:right w:w="0" w:type="dxa"/>
            </w:tcMar>
            <w:vAlign w:val="center"/>
          </w:tcPr>
          <w:p w14:paraId="431523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default"/>
                <w:color w:val="auto"/>
                <w:sz w:val="21"/>
                <w:szCs w:val="21"/>
                <w:lang w:val="en-US" w:eastAsia="zh-CN"/>
              </w:rPr>
              <w:t>26.0</w:t>
            </w:r>
          </w:p>
        </w:tc>
        <w:tc>
          <w:tcPr>
            <w:tcW w:w="555" w:type="dxa"/>
            <w:shd w:val="clear" w:color="auto" w:fill="auto"/>
            <w:tcMar>
              <w:top w:w="0" w:type="dxa"/>
              <w:left w:w="0" w:type="dxa"/>
              <w:bottom w:w="0" w:type="dxa"/>
              <w:right w:w="0" w:type="dxa"/>
            </w:tcMar>
            <w:vAlign w:val="center"/>
          </w:tcPr>
          <w:p w14:paraId="29CA77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35.7</w:t>
            </w:r>
          </w:p>
        </w:tc>
        <w:tc>
          <w:tcPr>
            <w:tcW w:w="555" w:type="dxa"/>
            <w:shd w:val="clear" w:color="auto" w:fill="auto"/>
            <w:tcMar>
              <w:top w:w="0" w:type="dxa"/>
              <w:left w:w="0" w:type="dxa"/>
              <w:bottom w:w="0" w:type="dxa"/>
              <w:right w:w="0" w:type="dxa"/>
            </w:tcMar>
            <w:vAlign w:val="center"/>
          </w:tcPr>
          <w:p w14:paraId="347C11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50.2</w:t>
            </w:r>
          </w:p>
        </w:tc>
        <w:tc>
          <w:tcPr>
            <w:tcW w:w="555" w:type="dxa"/>
            <w:shd w:val="clear" w:color="auto" w:fill="auto"/>
            <w:tcMar>
              <w:top w:w="0" w:type="dxa"/>
              <w:left w:w="0" w:type="dxa"/>
              <w:bottom w:w="0" w:type="dxa"/>
              <w:right w:w="0" w:type="dxa"/>
            </w:tcMar>
            <w:vAlign w:val="center"/>
          </w:tcPr>
          <w:p w14:paraId="443038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50.2</w:t>
            </w:r>
          </w:p>
        </w:tc>
        <w:tc>
          <w:tcPr>
            <w:tcW w:w="557" w:type="dxa"/>
            <w:shd w:val="clear" w:color="auto" w:fill="auto"/>
            <w:tcMar>
              <w:top w:w="0" w:type="dxa"/>
              <w:left w:w="0" w:type="dxa"/>
              <w:bottom w:w="0" w:type="dxa"/>
              <w:right w:w="0" w:type="dxa"/>
            </w:tcMar>
            <w:vAlign w:val="center"/>
          </w:tcPr>
          <w:p w14:paraId="461523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36.9</w:t>
            </w:r>
          </w:p>
        </w:tc>
        <w:tc>
          <w:tcPr>
            <w:tcW w:w="820" w:type="dxa"/>
            <w:shd w:val="clear" w:color="auto" w:fill="auto"/>
            <w:tcMar>
              <w:top w:w="0" w:type="dxa"/>
              <w:left w:w="0" w:type="dxa"/>
              <w:bottom w:w="0" w:type="dxa"/>
              <w:right w:w="0" w:type="dxa"/>
            </w:tcMar>
            <w:vAlign w:val="center"/>
          </w:tcPr>
          <w:p w14:paraId="303F02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default"/>
                <w:color w:val="auto"/>
                <w:sz w:val="21"/>
                <w:szCs w:val="21"/>
                <w:lang w:val="en-US" w:eastAsia="zh-CN"/>
              </w:rPr>
              <w:t>1</w:t>
            </w:r>
          </w:p>
        </w:tc>
      </w:tr>
      <w:tr w14:paraId="45288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jc w:val="center"/>
        </w:trPr>
        <w:tc>
          <w:tcPr>
            <w:tcW w:w="449" w:type="dxa"/>
            <w:shd w:val="clear" w:color="auto" w:fill="auto"/>
            <w:tcMar>
              <w:top w:w="0" w:type="dxa"/>
              <w:left w:w="0" w:type="dxa"/>
              <w:bottom w:w="0" w:type="dxa"/>
              <w:right w:w="0" w:type="dxa"/>
            </w:tcMar>
            <w:vAlign w:val="center"/>
          </w:tcPr>
          <w:p w14:paraId="002674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5</w:t>
            </w:r>
          </w:p>
        </w:tc>
        <w:tc>
          <w:tcPr>
            <w:tcW w:w="643" w:type="dxa"/>
            <w:vMerge w:val="continue"/>
            <w:shd w:val="clear" w:color="auto" w:fill="auto"/>
            <w:tcMar>
              <w:top w:w="0" w:type="dxa"/>
              <w:left w:w="0" w:type="dxa"/>
              <w:bottom w:w="0" w:type="dxa"/>
              <w:right w:w="0" w:type="dxa"/>
            </w:tcMar>
            <w:vAlign w:val="center"/>
          </w:tcPr>
          <w:p w14:paraId="43A40A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p>
        </w:tc>
        <w:tc>
          <w:tcPr>
            <w:tcW w:w="707" w:type="dxa"/>
            <w:shd w:val="clear" w:color="auto" w:fill="auto"/>
            <w:tcMar>
              <w:top w:w="0" w:type="dxa"/>
              <w:left w:w="0" w:type="dxa"/>
              <w:bottom w:w="0" w:type="dxa"/>
              <w:right w:w="0" w:type="dxa"/>
            </w:tcMar>
            <w:vAlign w:val="center"/>
          </w:tcPr>
          <w:p w14:paraId="7AD096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提升机</w:t>
            </w:r>
          </w:p>
        </w:tc>
        <w:tc>
          <w:tcPr>
            <w:tcW w:w="836" w:type="dxa"/>
            <w:shd w:val="clear" w:color="auto" w:fill="auto"/>
            <w:tcMar>
              <w:top w:w="0" w:type="dxa"/>
              <w:left w:w="0" w:type="dxa"/>
              <w:bottom w:w="0" w:type="dxa"/>
              <w:right w:w="0" w:type="dxa"/>
            </w:tcMar>
            <w:vAlign w:val="center"/>
          </w:tcPr>
          <w:p w14:paraId="378D79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color w:val="auto"/>
                <w:lang w:val="en-US" w:eastAsia="zh-CN"/>
              </w:rPr>
            </w:pPr>
            <w:r>
              <w:rPr>
                <w:rFonts w:hint="eastAsia" w:cs="Times New Roman"/>
                <w:color w:val="auto"/>
                <w:lang w:val="en-US" w:eastAsia="zh-CN"/>
              </w:rPr>
              <w:t>/</w:t>
            </w:r>
          </w:p>
        </w:tc>
        <w:tc>
          <w:tcPr>
            <w:tcW w:w="879" w:type="dxa"/>
            <w:shd w:val="clear" w:color="auto" w:fill="auto"/>
            <w:tcMar>
              <w:top w:w="0" w:type="dxa"/>
              <w:left w:w="0" w:type="dxa"/>
              <w:bottom w:w="0" w:type="dxa"/>
              <w:right w:w="0" w:type="dxa"/>
            </w:tcMar>
            <w:vAlign w:val="center"/>
          </w:tcPr>
          <w:p w14:paraId="1E3C44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86</w:t>
            </w:r>
          </w:p>
        </w:tc>
        <w:tc>
          <w:tcPr>
            <w:tcW w:w="750" w:type="dxa"/>
            <w:vMerge w:val="continue"/>
            <w:shd w:val="clear" w:color="auto" w:fill="auto"/>
            <w:tcMar>
              <w:top w:w="0" w:type="dxa"/>
              <w:left w:w="0" w:type="dxa"/>
              <w:bottom w:w="0" w:type="dxa"/>
              <w:right w:w="0" w:type="dxa"/>
            </w:tcMar>
            <w:vAlign w:val="center"/>
          </w:tcPr>
          <w:p w14:paraId="3C84C1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p>
        </w:tc>
        <w:tc>
          <w:tcPr>
            <w:tcW w:w="621" w:type="dxa"/>
            <w:shd w:val="clear" w:color="auto" w:fill="auto"/>
            <w:tcMar>
              <w:top w:w="0" w:type="dxa"/>
              <w:left w:w="0" w:type="dxa"/>
              <w:bottom w:w="0" w:type="dxa"/>
              <w:right w:w="0" w:type="dxa"/>
            </w:tcMar>
            <w:vAlign w:val="center"/>
          </w:tcPr>
          <w:p w14:paraId="4563C5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22</w:t>
            </w:r>
          </w:p>
        </w:tc>
        <w:tc>
          <w:tcPr>
            <w:tcW w:w="664" w:type="dxa"/>
            <w:shd w:val="clear" w:color="auto" w:fill="auto"/>
            <w:tcMar>
              <w:top w:w="0" w:type="dxa"/>
              <w:left w:w="0" w:type="dxa"/>
              <w:bottom w:w="0" w:type="dxa"/>
              <w:right w:w="0" w:type="dxa"/>
            </w:tcMar>
            <w:vAlign w:val="center"/>
          </w:tcPr>
          <w:p w14:paraId="7D06F1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-40</w:t>
            </w:r>
          </w:p>
        </w:tc>
        <w:tc>
          <w:tcPr>
            <w:tcW w:w="579" w:type="dxa"/>
            <w:shd w:val="clear" w:color="auto" w:fill="auto"/>
            <w:tcMar>
              <w:top w:w="0" w:type="dxa"/>
              <w:left w:w="0" w:type="dxa"/>
              <w:bottom w:w="0" w:type="dxa"/>
              <w:right w:w="0" w:type="dxa"/>
            </w:tcMar>
            <w:vAlign w:val="center"/>
          </w:tcPr>
          <w:p w14:paraId="490ABF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1.5</w:t>
            </w:r>
          </w:p>
        </w:tc>
        <w:tc>
          <w:tcPr>
            <w:tcW w:w="793" w:type="dxa"/>
            <w:shd w:val="clear" w:color="auto" w:fill="auto"/>
            <w:tcMar>
              <w:top w:w="0" w:type="dxa"/>
              <w:left w:w="0" w:type="dxa"/>
              <w:bottom w:w="0" w:type="dxa"/>
              <w:right w:w="0" w:type="dxa"/>
            </w:tcMar>
            <w:vAlign w:val="center"/>
          </w:tcPr>
          <w:p w14:paraId="4BB432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52</w:t>
            </w:r>
          </w:p>
        </w:tc>
        <w:tc>
          <w:tcPr>
            <w:tcW w:w="750" w:type="dxa"/>
            <w:shd w:val="clear" w:color="auto" w:fill="auto"/>
            <w:tcMar>
              <w:top w:w="0" w:type="dxa"/>
              <w:left w:w="0" w:type="dxa"/>
              <w:bottom w:w="0" w:type="dxa"/>
              <w:right w:w="0" w:type="dxa"/>
            </w:tcMar>
            <w:vAlign w:val="center"/>
          </w:tcPr>
          <w:p w14:paraId="229801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8</w:t>
            </w:r>
          </w:p>
        </w:tc>
        <w:tc>
          <w:tcPr>
            <w:tcW w:w="707" w:type="dxa"/>
            <w:shd w:val="clear" w:color="auto" w:fill="auto"/>
            <w:tcMar>
              <w:top w:w="0" w:type="dxa"/>
              <w:left w:w="0" w:type="dxa"/>
              <w:bottom w:w="0" w:type="dxa"/>
              <w:right w:w="0" w:type="dxa"/>
            </w:tcMar>
            <w:vAlign w:val="center"/>
          </w:tcPr>
          <w:p w14:paraId="2194AF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98</w:t>
            </w:r>
          </w:p>
        </w:tc>
        <w:tc>
          <w:tcPr>
            <w:tcW w:w="600" w:type="dxa"/>
            <w:shd w:val="clear" w:color="auto" w:fill="auto"/>
            <w:tcMar>
              <w:top w:w="0" w:type="dxa"/>
              <w:left w:w="0" w:type="dxa"/>
              <w:bottom w:w="0" w:type="dxa"/>
              <w:right w:w="0" w:type="dxa"/>
            </w:tcMar>
            <w:vAlign w:val="center"/>
          </w:tcPr>
          <w:p w14:paraId="2C316D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8</w:t>
            </w:r>
          </w:p>
        </w:tc>
        <w:tc>
          <w:tcPr>
            <w:tcW w:w="608" w:type="dxa"/>
            <w:shd w:val="clear" w:color="auto" w:fill="auto"/>
            <w:tcMar>
              <w:top w:w="0" w:type="dxa"/>
              <w:left w:w="0" w:type="dxa"/>
              <w:bottom w:w="0" w:type="dxa"/>
              <w:right w:w="0" w:type="dxa"/>
            </w:tcMar>
            <w:vAlign w:val="center"/>
          </w:tcPr>
          <w:p w14:paraId="18634F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51.7</w:t>
            </w:r>
          </w:p>
        </w:tc>
        <w:tc>
          <w:tcPr>
            <w:tcW w:w="570" w:type="dxa"/>
            <w:shd w:val="clear" w:color="auto" w:fill="auto"/>
            <w:tcMar>
              <w:top w:w="0" w:type="dxa"/>
              <w:left w:w="0" w:type="dxa"/>
              <w:bottom w:w="0" w:type="dxa"/>
              <w:right w:w="0" w:type="dxa"/>
            </w:tcMar>
            <w:vAlign w:val="center"/>
          </w:tcPr>
          <w:p w14:paraId="54845C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68.0</w:t>
            </w:r>
          </w:p>
        </w:tc>
        <w:tc>
          <w:tcPr>
            <w:tcW w:w="600" w:type="dxa"/>
            <w:shd w:val="clear" w:color="auto" w:fill="auto"/>
            <w:tcMar>
              <w:top w:w="0" w:type="dxa"/>
              <w:left w:w="0" w:type="dxa"/>
              <w:bottom w:w="0" w:type="dxa"/>
              <w:right w:w="0" w:type="dxa"/>
            </w:tcMar>
            <w:vAlign w:val="center"/>
          </w:tcPr>
          <w:p w14:paraId="65D0EA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46.2</w:t>
            </w:r>
          </w:p>
        </w:tc>
        <w:tc>
          <w:tcPr>
            <w:tcW w:w="729" w:type="dxa"/>
            <w:shd w:val="clear" w:color="auto" w:fill="auto"/>
            <w:tcMar>
              <w:top w:w="0" w:type="dxa"/>
              <w:left w:w="0" w:type="dxa"/>
              <w:bottom w:w="0" w:type="dxa"/>
              <w:right w:w="0" w:type="dxa"/>
            </w:tcMar>
            <w:vAlign w:val="center"/>
          </w:tcPr>
          <w:p w14:paraId="7C151B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68.0</w:t>
            </w:r>
          </w:p>
        </w:tc>
        <w:tc>
          <w:tcPr>
            <w:tcW w:w="836" w:type="dxa"/>
            <w:vMerge w:val="continue"/>
            <w:shd w:val="clear" w:color="auto" w:fill="auto"/>
            <w:tcMar>
              <w:top w:w="0" w:type="dxa"/>
              <w:left w:w="0" w:type="dxa"/>
              <w:bottom w:w="0" w:type="dxa"/>
              <w:right w:w="0" w:type="dxa"/>
            </w:tcMar>
            <w:vAlign w:val="center"/>
          </w:tcPr>
          <w:p w14:paraId="304396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p>
        </w:tc>
        <w:tc>
          <w:tcPr>
            <w:tcW w:w="971" w:type="dxa"/>
            <w:shd w:val="clear" w:color="auto" w:fill="auto"/>
            <w:tcMar>
              <w:top w:w="0" w:type="dxa"/>
              <w:left w:w="0" w:type="dxa"/>
              <w:bottom w:w="0" w:type="dxa"/>
              <w:right w:w="0" w:type="dxa"/>
            </w:tcMar>
            <w:vAlign w:val="center"/>
          </w:tcPr>
          <w:p w14:paraId="09D877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default"/>
                <w:color w:val="auto"/>
                <w:sz w:val="21"/>
                <w:szCs w:val="21"/>
                <w:lang w:val="en-US" w:eastAsia="zh-CN"/>
              </w:rPr>
              <w:t>26.0</w:t>
            </w:r>
          </w:p>
        </w:tc>
        <w:tc>
          <w:tcPr>
            <w:tcW w:w="555" w:type="dxa"/>
            <w:shd w:val="clear" w:color="auto" w:fill="auto"/>
            <w:tcMar>
              <w:top w:w="0" w:type="dxa"/>
              <w:left w:w="0" w:type="dxa"/>
              <w:bottom w:w="0" w:type="dxa"/>
              <w:right w:w="0" w:type="dxa"/>
            </w:tcMar>
            <w:vAlign w:val="center"/>
          </w:tcPr>
          <w:p w14:paraId="2161F4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25.7</w:t>
            </w:r>
          </w:p>
        </w:tc>
        <w:tc>
          <w:tcPr>
            <w:tcW w:w="555" w:type="dxa"/>
            <w:shd w:val="clear" w:color="auto" w:fill="auto"/>
            <w:tcMar>
              <w:top w:w="0" w:type="dxa"/>
              <w:left w:w="0" w:type="dxa"/>
              <w:bottom w:w="0" w:type="dxa"/>
              <w:right w:w="0" w:type="dxa"/>
            </w:tcMar>
            <w:vAlign w:val="center"/>
          </w:tcPr>
          <w:p w14:paraId="4C9F95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42.0</w:t>
            </w:r>
          </w:p>
        </w:tc>
        <w:tc>
          <w:tcPr>
            <w:tcW w:w="555" w:type="dxa"/>
            <w:shd w:val="clear" w:color="auto" w:fill="auto"/>
            <w:tcMar>
              <w:top w:w="0" w:type="dxa"/>
              <w:left w:w="0" w:type="dxa"/>
              <w:bottom w:w="0" w:type="dxa"/>
              <w:right w:w="0" w:type="dxa"/>
            </w:tcMar>
            <w:vAlign w:val="center"/>
          </w:tcPr>
          <w:p w14:paraId="40A81F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20.2</w:t>
            </w:r>
          </w:p>
        </w:tc>
        <w:tc>
          <w:tcPr>
            <w:tcW w:w="557" w:type="dxa"/>
            <w:shd w:val="clear" w:color="auto" w:fill="auto"/>
            <w:tcMar>
              <w:top w:w="0" w:type="dxa"/>
              <w:left w:w="0" w:type="dxa"/>
              <w:bottom w:w="0" w:type="dxa"/>
              <w:right w:w="0" w:type="dxa"/>
            </w:tcMar>
            <w:vAlign w:val="center"/>
          </w:tcPr>
          <w:p w14:paraId="4A59CD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42.0</w:t>
            </w:r>
          </w:p>
        </w:tc>
        <w:tc>
          <w:tcPr>
            <w:tcW w:w="820" w:type="dxa"/>
            <w:shd w:val="clear" w:color="auto" w:fill="auto"/>
            <w:tcMar>
              <w:top w:w="0" w:type="dxa"/>
              <w:left w:w="0" w:type="dxa"/>
              <w:bottom w:w="0" w:type="dxa"/>
              <w:right w:w="0" w:type="dxa"/>
            </w:tcMar>
            <w:vAlign w:val="center"/>
          </w:tcPr>
          <w:p w14:paraId="25BF24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default"/>
                <w:color w:val="auto"/>
                <w:sz w:val="21"/>
                <w:szCs w:val="21"/>
                <w:lang w:val="en-US" w:eastAsia="zh-CN"/>
              </w:rPr>
              <w:t>1</w:t>
            </w:r>
          </w:p>
        </w:tc>
      </w:tr>
      <w:tr w14:paraId="1D5B3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49" w:type="dxa"/>
            <w:shd w:val="clear" w:color="auto" w:fill="auto"/>
            <w:tcMar>
              <w:top w:w="0" w:type="dxa"/>
              <w:left w:w="0" w:type="dxa"/>
              <w:bottom w:w="0" w:type="dxa"/>
              <w:right w:w="0" w:type="dxa"/>
            </w:tcMar>
            <w:vAlign w:val="center"/>
          </w:tcPr>
          <w:p w14:paraId="7B82D5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6</w:t>
            </w:r>
          </w:p>
        </w:tc>
        <w:tc>
          <w:tcPr>
            <w:tcW w:w="643" w:type="dxa"/>
            <w:vMerge w:val="continue"/>
            <w:shd w:val="clear" w:color="auto" w:fill="auto"/>
            <w:tcMar>
              <w:top w:w="0" w:type="dxa"/>
              <w:left w:w="0" w:type="dxa"/>
              <w:bottom w:w="0" w:type="dxa"/>
              <w:right w:w="0" w:type="dxa"/>
            </w:tcMar>
            <w:vAlign w:val="center"/>
          </w:tcPr>
          <w:p w14:paraId="6DC420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p>
        </w:tc>
        <w:tc>
          <w:tcPr>
            <w:tcW w:w="707" w:type="dxa"/>
            <w:shd w:val="clear" w:color="auto" w:fill="auto"/>
            <w:tcMar>
              <w:top w:w="0" w:type="dxa"/>
              <w:left w:w="0" w:type="dxa"/>
              <w:bottom w:w="0" w:type="dxa"/>
              <w:right w:w="0" w:type="dxa"/>
            </w:tcMar>
            <w:vAlign w:val="center"/>
          </w:tcPr>
          <w:p w14:paraId="68BA6F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洗石机</w:t>
            </w:r>
          </w:p>
        </w:tc>
        <w:tc>
          <w:tcPr>
            <w:tcW w:w="836" w:type="dxa"/>
            <w:shd w:val="clear" w:color="auto" w:fill="auto"/>
            <w:tcMar>
              <w:top w:w="0" w:type="dxa"/>
              <w:left w:w="0" w:type="dxa"/>
              <w:bottom w:w="0" w:type="dxa"/>
              <w:right w:w="0" w:type="dxa"/>
            </w:tcMar>
            <w:vAlign w:val="center"/>
          </w:tcPr>
          <w:p w14:paraId="11B3DB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color w:val="auto"/>
                <w:lang w:val="en-US" w:eastAsia="zh-CN"/>
              </w:rPr>
            </w:pPr>
            <w:r>
              <w:rPr>
                <w:rFonts w:hint="eastAsia" w:cs="Times New Roman"/>
                <w:color w:val="auto"/>
                <w:lang w:val="en-US" w:eastAsia="zh-CN"/>
              </w:rPr>
              <w:t>1260型</w:t>
            </w:r>
          </w:p>
        </w:tc>
        <w:tc>
          <w:tcPr>
            <w:tcW w:w="879" w:type="dxa"/>
            <w:shd w:val="clear" w:color="auto" w:fill="auto"/>
            <w:tcMar>
              <w:top w:w="0" w:type="dxa"/>
              <w:left w:w="0" w:type="dxa"/>
              <w:bottom w:w="0" w:type="dxa"/>
              <w:right w:w="0" w:type="dxa"/>
            </w:tcMar>
            <w:vAlign w:val="center"/>
          </w:tcPr>
          <w:p w14:paraId="068174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85</w:t>
            </w:r>
          </w:p>
        </w:tc>
        <w:tc>
          <w:tcPr>
            <w:tcW w:w="750" w:type="dxa"/>
            <w:vMerge w:val="continue"/>
            <w:shd w:val="clear" w:color="auto" w:fill="auto"/>
            <w:tcMar>
              <w:top w:w="0" w:type="dxa"/>
              <w:left w:w="0" w:type="dxa"/>
              <w:bottom w:w="0" w:type="dxa"/>
              <w:right w:w="0" w:type="dxa"/>
            </w:tcMar>
            <w:vAlign w:val="center"/>
          </w:tcPr>
          <w:p w14:paraId="0BEB6E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p>
        </w:tc>
        <w:tc>
          <w:tcPr>
            <w:tcW w:w="621" w:type="dxa"/>
            <w:shd w:val="clear" w:color="auto" w:fill="auto"/>
            <w:tcMar>
              <w:top w:w="0" w:type="dxa"/>
              <w:left w:w="0" w:type="dxa"/>
              <w:bottom w:w="0" w:type="dxa"/>
              <w:right w:w="0" w:type="dxa"/>
            </w:tcMar>
            <w:vAlign w:val="center"/>
          </w:tcPr>
          <w:p w14:paraId="6C5AC9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45</w:t>
            </w:r>
          </w:p>
        </w:tc>
        <w:tc>
          <w:tcPr>
            <w:tcW w:w="664" w:type="dxa"/>
            <w:shd w:val="clear" w:color="auto" w:fill="auto"/>
            <w:tcMar>
              <w:top w:w="0" w:type="dxa"/>
              <w:left w:w="0" w:type="dxa"/>
              <w:bottom w:w="0" w:type="dxa"/>
              <w:right w:w="0" w:type="dxa"/>
            </w:tcMar>
            <w:vAlign w:val="center"/>
          </w:tcPr>
          <w:p w14:paraId="66993C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-40</w:t>
            </w:r>
          </w:p>
        </w:tc>
        <w:tc>
          <w:tcPr>
            <w:tcW w:w="579" w:type="dxa"/>
            <w:shd w:val="clear" w:color="auto" w:fill="auto"/>
            <w:tcMar>
              <w:top w:w="0" w:type="dxa"/>
              <w:left w:w="0" w:type="dxa"/>
              <w:bottom w:w="0" w:type="dxa"/>
              <w:right w:w="0" w:type="dxa"/>
            </w:tcMar>
            <w:vAlign w:val="center"/>
          </w:tcPr>
          <w:p w14:paraId="622A0F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2</w:t>
            </w:r>
          </w:p>
        </w:tc>
        <w:tc>
          <w:tcPr>
            <w:tcW w:w="793" w:type="dxa"/>
            <w:shd w:val="clear" w:color="auto" w:fill="auto"/>
            <w:tcMar>
              <w:top w:w="0" w:type="dxa"/>
              <w:left w:w="0" w:type="dxa"/>
              <w:bottom w:w="0" w:type="dxa"/>
              <w:right w:w="0" w:type="dxa"/>
            </w:tcMar>
            <w:vAlign w:val="center"/>
          </w:tcPr>
          <w:p w14:paraId="2E9B26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10</w:t>
            </w:r>
          </w:p>
        </w:tc>
        <w:tc>
          <w:tcPr>
            <w:tcW w:w="750" w:type="dxa"/>
            <w:shd w:val="clear" w:color="auto" w:fill="auto"/>
            <w:tcMar>
              <w:top w:w="0" w:type="dxa"/>
              <w:left w:w="0" w:type="dxa"/>
              <w:bottom w:w="0" w:type="dxa"/>
              <w:right w:w="0" w:type="dxa"/>
            </w:tcMar>
            <w:vAlign w:val="center"/>
          </w:tcPr>
          <w:p w14:paraId="24612F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10</w:t>
            </w:r>
          </w:p>
        </w:tc>
        <w:tc>
          <w:tcPr>
            <w:tcW w:w="707" w:type="dxa"/>
            <w:shd w:val="clear" w:color="auto" w:fill="auto"/>
            <w:tcMar>
              <w:top w:w="0" w:type="dxa"/>
              <w:left w:w="0" w:type="dxa"/>
              <w:bottom w:w="0" w:type="dxa"/>
              <w:right w:w="0" w:type="dxa"/>
            </w:tcMar>
            <w:vAlign w:val="center"/>
          </w:tcPr>
          <w:p w14:paraId="15F7DE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140</w:t>
            </w:r>
          </w:p>
        </w:tc>
        <w:tc>
          <w:tcPr>
            <w:tcW w:w="600" w:type="dxa"/>
            <w:shd w:val="clear" w:color="auto" w:fill="auto"/>
            <w:tcMar>
              <w:top w:w="0" w:type="dxa"/>
              <w:left w:w="0" w:type="dxa"/>
              <w:bottom w:w="0" w:type="dxa"/>
              <w:right w:w="0" w:type="dxa"/>
            </w:tcMar>
            <w:vAlign w:val="center"/>
          </w:tcPr>
          <w:p w14:paraId="102333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6</w:t>
            </w:r>
          </w:p>
        </w:tc>
        <w:tc>
          <w:tcPr>
            <w:tcW w:w="608" w:type="dxa"/>
            <w:shd w:val="clear" w:color="auto" w:fill="auto"/>
            <w:tcMar>
              <w:top w:w="0" w:type="dxa"/>
              <w:left w:w="0" w:type="dxa"/>
              <w:bottom w:w="0" w:type="dxa"/>
              <w:right w:w="0" w:type="dxa"/>
            </w:tcMar>
            <w:vAlign w:val="center"/>
          </w:tcPr>
          <w:p w14:paraId="6737C4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65.0</w:t>
            </w:r>
          </w:p>
        </w:tc>
        <w:tc>
          <w:tcPr>
            <w:tcW w:w="570" w:type="dxa"/>
            <w:shd w:val="clear" w:color="auto" w:fill="auto"/>
            <w:tcMar>
              <w:top w:w="0" w:type="dxa"/>
              <w:left w:w="0" w:type="dxa"/>
              <w:bottom w:w="0" w:type="dxa"/>
              <w:right w:w="0" w:type="dxa"/>
            </w:tcMar>
            <w:vAlign w:val="center"/>
          </w:tcPr>
          <w:p w14:paraId="2B8B1D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65.0</w:t>
            </w:r>
          </w:p>
        </w:tc>
        <w:tc>
          <w:tcPr>
            <w:tcW w:w="600" w:type="dxa"/>
            <w:shd w:val="clear" w:color="auto" w:fill="auto"/>
            <w:tcMar>
              <w:top w:w="0" w:type="dxa"/>
              <w:left w:w="0" w:type="dxa"/>
              <w:bottom w:w="0" w:type="dxa"/>
              <w:right w:w="0" w:type="dxa"/>
            </w:tcMar>
            <w:vAlign w:val="center"/>
          </w:tcPr>
          <w:p w14:paraId="5EE7E1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42.1</w:t>
            </w:r>
          </w:p>
        </w:tc>
        <w:tc>
          <w:tcPr>
            <w:tcW w:w="729" w:type="dxa"/>
            <w:shd w:val="clear" w:color="auto" w:fill="auto"/>
            <w:tcMar>
              <w:top w:w="0" w:type="dxa"/>
              <w:left w:w="0" w:type="dxa"/>
              <w:bottom w:w="0" w:type="dxa"/>
              <w:right w:w="0" w:type="dxa"/>
            </w:tcMar>
            <w:vAlign w:val="center"/>
          </w:tcPr>
          <w:p w14:paraId="2FD36B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69.4</w:t>
            </w:r>
          </w:p>
        </w:tc>
        <w:tc>
          <w:tcPr>
            <w:tcW w:w="836" w:type="dxa"/>
            <w:vMerge w:val="continue"/>
            <w:shd w:val="clear" w:color="auto" w:fill="auto"/>
            <w:tcMar>
              <w:top w:w="0" w:type="dxa"/>
              <w:left w:w="0" w:type="dxa"/>
              <w:bottom w:w="0" w:type="dxa"/>
              <w:right w:w="0" w:type="dxa"/>
            </w:tcMar>
            <w:vAlign w:val="center"/>
          </w:tcPr>
          <w:p w14:paraId="392263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p>
        </w:tc>
        <w:tc>
          <w:tcPr>
            <w:tcW w:w="971" w:type="dxa"/>
            <w:shd w:val="clear" w:color="auto" w:fill="auto"/>
            <w:tcMar>
              <w:top w:w="0" w:type="dxa"/>
              <w:left w:w="0" w:type="dxa"/>
              <w:bottom w:w="0" w:type="dxa"/>
              <w:right w:w="0" w:type="dxa"/>
            </w:tcMar>
            <w:vAlign w:val="center"/>
          </w:tcPr>
          <w:p w14:paraId="167EA0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default"/>
                <w:color w:val="auto"/>
                <w:sz w:val="21"/>
                <w:szCs w:val="21"/>
                <w:lang w:val="en-US" w:eastAsia="zh-CN"/>
              </w:rPr>
              <w:t>26.0</w:t>
            </w:r>
          </w:p>
        </w:tc>
        <w:tc>
          <w:tcPr>
            <w:tcW w:w="555" w:type="dxa"/>
            <w:shd w:val="clear" w:color="auto" w:fill="auto"/>
            <w:tcMar>
              <w:top w:w="0" w:type="dxa"/>
              <w:left w:w="0" w:type="dxa"/>
              <w:bottom w:w="0" w:type="dxa"/>
              <w:right w:w="0" w:type="dxa"/>
            </w:tcMar>
            <w:vAlign w:val="center"/>
          </w:tcPr>
          <w:p w14:paraId="642F25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39.0</w:t>
            </w:r>
          </w:p>
        </w:tc>
        <w:tc>
          <w:tcPr>
            <w:tcW w:w="555" w:type="dxa"/>
            <w:shd w:val="clear" w:color="auto" w:fill="auto"/>
            <w:tcMar>
              <w:top w:w="0" w:type="dxa"/>
              <w:left w:w="0" w:type="dxa"/>
              <w:bottom w:w="0" w:type="dxa"/>
              <w:right w:w="0" w:type="dxa"/>
            </w:tcMar>
            <w:vAlign w:val="center"/>
          </w:tcPr>
          <w:p w14:paraId="3875B2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39.0</w:t>
            </w:r>
          </w:p>
        </w:tc>
        <w:tc>
          <w:tcPr>
            <w:tcW w:w="555" w:type="dxa"/>
            <w:shd w:val="clear" w:color="auto" w:fill="auto"/>
            <w:tcMar>
              <w:top w:w="0" w:type="dxa"/>
              <w:left w:w="0" w:type="dxa"/>
              <w:bottom w:w="0" w:type="dxa"/>
              <w:right w:w="0" w:type="dxa"/>
            </w:tcMar>
            <w:vAlign w:val="center"/>
          </w:tcPr>
          <w:p w14:paraId="0C2B98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16.1</w:t>
            </w:r>
          </w:p>
        </w:tc>
        <w:tc>
          <w:tcPr>
            <w:tcW w:w="557" w:type="dxa"/>
            <w:shd w:val="clear" w:color="auto" w:fill="auto"/>
            <w:tcMar>
              <w:top w:w="0" w:type="dxa"/>
              <w:left w:w="0" w:type="dxa"/>
              <w:bottom w:w="0" w:type="dxa"/>
              <w:right w:w="0" w:type="dxa"/>
            </w:tcMar>
            <w:vAlign w:val="center"/>
          </w:tcPr>
          <w:p w14:paraId="0C6291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43.4</w:t>
            </w:r>
          </w:p>
        </w:tc>
        <w:tc>
          <w:tcPr>
            <w:tcW w:w="820" w:type="dxa"/>
            <w:shd w:val="clear" w:color="auto" w:fill="auto"/>
            <w:tcMar>
              <w:top w:w="0" w:type="dxa"/>
              <w:left w:w="0" w:type="dxa"/>
              <w:bottom w:w="0" w:type="dxa"/>
              <w:right w:w="0" w:type="dxa"/>
            </w:tcMar>
            <w:vAlign w:val="center"/>
          </w:tcPr>
          <w:p w14:paraId="3EED7C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default"/>
                <w:color w:val="auto"/>
                <w:sz w:val="21"/>
                <w:szCs w:val="21"/>
                <w:lang w:val="en-US" w:eastAsia="zh-CN"/>
              </w:rPr>
              <w:t>1</w:t>
            </w:r>
          </w:p>
        </w:tc>
      </w:tr>
      <w:tr w14:paraId="71A52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7" w:hRule="atLeast"/>
          <w:jc w:val="center"/>
        </w:trPr>
        <w:tc>
          <w:tcPr>
            <w:tcW w:w="449" w:type="dxa"/>
            <w:shd w:val="clear" w:color="auto" w:fill="auto"/>
            <w:tcMar>
              <w:top w:w="0" w:type="dxa"/>
              <w:left w:w="0" w:type="dxa"/>
              <w:bottom w:w="0" w:type="dxa"/>
              <w:right w:w="0" w:type="dxa"/>
            </w:tcMar>
            <w:vAlign w:val="center"/>
          </w:tcPr>
          <w:p w14:paraId="7CDD81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7</w:t>
            </w:r>
          </w:p>
        </w:tc>
        <w:tc>
          <w:tcPr>
            <w:tcW w:w="643" w:type="dxa"/>
            <w:vMerge w:val="continue"/>
            <w:shd w:val="clear" w:color="auto" w:fill="auto"/>
            <w:tcMar>
              <w:top w:w="0" w:type="dxa"/>
              <w:left w:w="0" w:type="dxa"/>
              <w:bottom w:w="0" w:type="dxa"/>
              <w:right w:w="0" w:type="dxa"/>
            </w:tcMar>
            <w:vAlign w:val="center"/>
          </w:tcPr>
          <w:p w14:paraId="17C0C6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p>
        </w:tc>
        <w:tc>
          <w:tcPr>
            <w:tcW w:w="707" w:type="dxa"/>
            <w:shd w:val="clear" w:color="auto" w:fill="auto"/>
            <w:tcMar>
              <w:top w:w="0" w:type="dxa"/>
              <w:left w:w="0" w:type="dxa"/>
              <w:bottom w:w="0" w:type="dxa"/>
              <w:right w:w="0" w:type="dxa"/>
            </w:tcMar>
            <w:vAlign w:val="center"/>
          </w:tcPr>
          <w:p w14:paraId="054D86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双轴洗砂机</w:t>
            </w:r>
          </w:p>
        </w:tc>
        <w:tc>
          <w:tcPr>
            <w:tcW w:w="836" w:type="dxa"/>
            <w:shd w:val="clear" w:color="auto" w:fill="auto"/>
            <w:tcMar>
              <w:top w:w="0" w:type="dxa"/>
              <w:left w:w="0" w:type="dxa"/>
              <w:bottom w:w="0" w:type="dxa"/>
              <w:right w:w="0" w:type="dxa"/>
            </w:tcMar>
            <w:vAlign w:val="center"/>
          </w:tcPr>
          <w:p w14:paraId="50D701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color w:val="auto"/>
                <w:lang w:val="en-US" w:eastAsia="zh-CN"/>
              </w:rPr>
            </w:pPr>
            <w:r>
              <w:rPr>
                <w:rFonts w:hint="eastAsia" w:cs="Times New Roman"/>
                <w:color w:val="auto"/>
                <w:lang w:val="en-US" w:eastAsia="zh-CN"/>
              </w:rPr>
              <w:t>1160型</w:t>
            </w:r>
          </w:p>
        </w:tc>
        <w:tc>
          <w:tcPr>
            <w:tcW w:w="879" w:type="dxa"/>
            <w:shd w:val="clear" w:color="auto" w:fill="auto"/>
            <w:tcMar>
              <w:top w:w="0" w:type="dxa"/>
              <w:left w:w="0" w:type="dxa"/>
              <w:bottom w:w="0" w:type="dxa"/>
              <w:right w:w="0" w:type="dxa"/>
            </w:tcMar>
            <w:vAlign w:val="center"/>
          </w:tcPr>
          <w:p w14:paraId="3D28FE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85</w:t>
            </w:r>
          </w:p>
        </w:tc>
        <w:tc>
          <w:tcPr>
            <w:tcW w:w="750" w:type="dxa"/>
            <w:vMerge w:val="continue"/>
            <w:shd w:val="clear" w:color="auto" w:fill="auto"/>
            <w:tcMar>
              <w:top w:w="0" w:type="dxa"/>
              <w:left w:w="0" w:type="dxa"/>
              <w:bottom w:w="0" w:type="dxa"/>
              <w:right w:w="0" w:type="dxa"/>
            </w:tcMar>
            <w:vAlign w:val="center"/>
          </w:tcPr>
          <w:p w14:paraId="7B1D95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p>
        </w:tc>
        <w:tc>
          <w:tcPr>
            <w:tcW w:w="621" w:type="dxa"/>
            <w:shd w:val="clear" w:color="auto" w:fill="auto"/>
            <w:tcMar>
              <w:top w:w="0" w:type="dxa"/>
              <w:left w:w="0" w:type="dxa"/>
              <w:bottom w:w="0" w:type="dxa"/>
              <w:right w:w="0" w:type="dxa"/>
            </w:tcMar>
            <w:vAlign w:val="center"/>
          </w:tcPr>
          <w:p w14:paraId="19D383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49</w:t>
            </w:r>
          </w:p>
        </w:tc>
        <w:tc>
          <w:tcPr>
            <w:tcW w:w="664" w:type="dxa"/>
            <w:shd w:val="clear" w:color="auto" w:fill="auto"/>
            <w:tcMar>
              <w:top w:w="0" w:type="dxa"/>
              <w:left w:w="0" w:type="dxa"/>
              <w:bottom w:w="0" w:type="dxa"/>
              <w:right w:w="0" w:type="dxa"/>
            </w:tcMar>
            <w:vAlign w:val="center"/>
          </w:tcPr>
          <w:p w14:paraId="515D74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-40</w:t>
            </w:r>
          </w:p>
        </w:tc>
        <w:tc>
          <w:tcPr>
            <w:tcW w:w="579" w:type="dxa"/>
            <w:shd w:val="clear" w:color="auto" w:fill="auto"/>
            <w:tcMar>
              <w:top w:w="0" w:type="dxa"/>
              <w:left w:w="0" w:type="dxa"/>
              <w:bottom w:w="0" w:type="dxa"/>
              <w:right w:w="0" w:type="dxa"/>
            </w:tcMar>
            <w:vAlign w:val="center"/>
          </w:tcPr>
          <w:p w14:paraId="705F82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2</w:t>
            </w:r>
          </w:p>
        </w:tc>
        <w:tc>
          <w:tcPr>
            <w:tcW w:w="793" w:type="dxa"/>
            <w:shd w:val="clear" w:color="auto" w:fill="auto"/>
            <w:tcMar>
              <w:top w:w="0" w:type="dxa"/>
              <w:left w:w="0" w:type="dxa"/>
              <w:bottom w:w="0" w:type="dxa"/>
              <w:right w:w="0" w:type="dxa"/>
            </w:tcMar>
            <w:vAlign w:val="center"/>
          </w:tcPr>
          <w:p w14:paraId="15CBBA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8</w:t>
            </w:r>
          </w:p>
        </w:tc>
        <w:tc>
          <w:tcPr>
            <w:tcW w:w="750" w:type="dxa"/>
            <w:shd w:val="clear" w:color="auto" w:fill="auto"/>
            <w:tcMar>
              <w:top w:w="0" w:type="dxa"/>
              <w:left w:w="0" w:type="dxa"/>
              <w:bottom w:w="0" w:type="dxa"/>
              <w:right w:w="0" w:type="dxa"/>
            </w:tcMar>
            <w:vAlign w:val="center"/>
          </w:tcPr>
          <w:p w14:paraId="54E2BB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10</w:t>
            </w:r>
          </w:p>
        </w:tc>
        <w:tc>
          <w:tcPr>
            <w:tcW w:w="707" w:type="dxa"/>
            <w:shd w:val="clear" w:color="auto" w:fill="auto"/>
            <w:tcMar>
              <w:top w:w="0" w:type="dxa"/>
              <w:left w:w="0" w:type="dxa"/>
              <w:bottom w:w="0" w:type="dxa"/>
              <w:right w:w="0" w:type="dxa"/>
            </w:tcMar>
            <w:vAlign w:val="center"/>
          </w:tcPr>
          <w:p w14:paraId="063BD9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142</w:t>
            </w:r>
          </w:p>
        </w:tc>
        <w:tc>
          <w:tcPr>
            <w:tcW w:w="600" w:type="dxa"/>
            <w:shd w:val="clear" w:color="auto" w:fill="auto"/>
            <w:tcMar>
              <w:top w:w="0" w:type="dxa"/>
              <w:left w:w="0" w:type="dxa"/>
              <w:bottom w:w="0" w:type="dxa"/>
              <w:right w:w="0" w:type="dxa"/>
            </w:tcMar>
            <w:vAlign w:val="center"/>
          </w:tcPr>
          <w:p w14:paraId="0541EA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6</w:t>
            </w:r>
          </w:p>
        </w:tc>
        <w:tc>
          <w:tcPr>
            <w:tcW w:w="608" w:type="dxa"/>
            <w:shd w:val="clear" w:color="auto" w:fill="auto"/>
            <w:tcMar>
              <w:top w:w="0" w:type="dxa"/>
              <w:left w:w="0" w:type="dxa"/>
              <w:bottom w:w="0" w:type="dxa"/>
              <w:right w:w="0" w:type="dxa"/>
            </w:tcMar>
            <w:vAlign w:val="center"/>
          </w:tcPr>
          <w:p w14:paraId="28D4EE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66.9</w:t>
            </w:r>
          </w:p>
        </w:tc>
        <w:tc>
          <w:tcPr>
            <w:tcW w:w="570" w:type="dxa"/>
            <w:shd w:val="clear" w:color="auto" w:fill="auto"/>
            <w:tcMar>
              <w:top w:w="0" w:type="dxa"/>
              <w:left w:w="0" w:type="dxa"/>
              <w:bottom w:w="0" w:type="dxa"/>
              <w:right w:w="0" w:type="dxa"/>
            </w:tcMar>
            <w:vAlign w:val="center"/>
          </w:tcPr>
          <w:p w14:paraId="72DA03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65.0</w:t>
            </w:r>
          </w:p>
        </w:tc>
        <w:tc>
          <w:tcPr>
            <w:tcW w:w="600" w:type="dxa"/>
            <w:shd w:val="clear" w:color="auto" w:fill="auto"/>
            <w:tcMar>
              <w:top w:w="0" w:type="dxa"/>
              <w:left w:w="0" w:type="dxa"/>
              <w:bottom w:w="0" w:type="dxa"/>
              <w:right w:w="0" w:type="dxa"/>
            </w:tcMar>
            <w:vAlign w:val="center"/>
          </w:tcPr>
          <w:p w14:paraId="573450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42.0</w:t>
            </w:r>
          </w:p>
        </w:tc>
        <w:tc>
          <w:tcPr>
            <w:tcW w:w="729" w:type="dxa"/>
            <w:shd w:val="clear" w:color="auto" w:fill="auto"/>
            <w:tcMar>
              <w:top w:w="0" w:type="dxa"/>
              <w:left w:w="0" w:type="dxa"/>
              <w:bottom w:w="0" w:type="dxa"/>
              <w:right w:w="0" w:type="dxa"/>
            </w:tcMar>
            <w:vAlign w:val="center"/>
          </w:tcPr>
          <w:p w14:paraId="2D5462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69.4</w:t>
            </w:r>
          </w:p>
        </w:tc>
        <w:tc>
          <w:tcPr>
            <w:tcW w:w="836" w:type="dxa"/>
            <w:vMerge w:val="continue"/>
            <w:shd w:val="clear" w:color="auto" w:fill="auto"/>
            <w:tcMar>
              <w:top w:w="0" w:type="dxa"/>
              <w:left w:w="0" w:type="dxa"/>
              <w:bottom w:w="0" w:type="dxa"/>
              <w:right w:w="0" w:type="dxa"/>
            </w:tcMar>
            <w:vAlign w:val="center"/>
          </w:tcPr>
          <w:p w14:paraId="713CAB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p>
        </w:tc>
        <w:tc>
          <w:tcPr>
            <w:tcW w:w="971" w:type="dxa"/>
            <w:shd w:val="clear" w:color="auto" w:fill="auto"/>
            <w:tcMar>
              <w:top w:w="0" w:type="dxa"/>
              <w:left w:w="0" w:type="dxa"/>
              <w:bottom w:w="0" w:type="dxa"/>
              <w:right w:w="0" w:type="dxa"/>
            </w:tcMar>
            <w:vAlign w:val="center"/>
          </w:tcPr>
          <w:p w14:paraId="2F2AA9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default"/>
                <w:color w:val="auto"/>
                <w:sz w:val="21"/>
                <w:szCs w:val="21"/>
                <w:lang w:val="en-US" w:eastAsia="zh-CN"/>
              </w:rPr>
              <w:t>26.0</w:t>
            </w:r>
          </w:p>
        </w:tc>
        <w:tc>
          <w:tcPr>
            <w:tcW w:w="555" w:type="dxa"/>
            <w:shd w:val="clear" w:color="auto" w:fill="auto"/>
            <w:tcMar>
              <w:top w:w="0" w:type="dxa"/>
              <w:left w:w="0" w:type="dxa"/>
              <w:bottom w:w="0" w:type="dxa"/>
              <w:right w:w="0" w:type="dxa"/>
            </w:tcMar>
            <w:vAlign w:val="center"/>
          </w:tcPr>
          <w:p w14:paraId="5CBA0E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40.9</w:t>
            </w:r>
          </w:p>
        </w:tc>
        <w:tc>
          <w:tcPr>
            <w:tcW w:w="555" w:type="dxa"/>
            <w:shd w:val="clear" w:color="auto" w:fill="auto"/>
            <w:tcMar>
              <w:top w:w="0" w:type="dxa"/>
              <w:left w:w="0" w:type="dxa"/>
              <w:bottom w:w="0" w:type="dxa"/>
              <w:right w:w="0" w:type="dxa"/>
            </w:tcMar>
            <w:vAlign w:val="center"/>
          </w:tcPr>
          <w:p w14:paraId="6D65FF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39.0</w:t>
            </w:r>
          </w:p>
        </w:tc>
        <w:tc>
          <w:tcPr>
            <w:tcW w:w="555" w:type="dxa"/>
            <w:shd w:val="clear" w:color="auto" w:fill="auto"/>
            <w:tcMar>
              <w:top w:w="0" w:type="dxa"/>
              <w:left w:w="0" w:type="dxa"/>
              <w:bottom w:w="0" w:type="dxa"/>
              <w:right w:w="0" w:type="dxa"/>
            </w:tcMar>
            <w:vAlign w:val="center"/>
          </w:tcPr>
          <w:p w14:paraId="2F9DE7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16.0</w:t>
            </w:r>
          </w:p>
        </w:tc>
        <w:tc>
          <w:tcPr>
            <w:tcW w:w="557" w:type="dxa"/>
            <w:shd w:val="clear" w:color="auto" w:fill="auto"/>
            <w:tcMar>
              <w:top w:w="0" w:type="dxa"/>
              <w:left w:w="0" w:type="dxa"/>
              <w:bottom w:w="0" w:type="dxa"/>
              <w:right w:w="0" w:type="dxa"/>
            </w:tcMar>
            <w:vAlign w:val="center"/>
          </w:tcPr>
          <w:p w14:paraId="47DDBE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43.4</w:t>
            </w:r>
          </w:p>
        </w:tc>
        <w:tc>
          <w:tcPr>
            <w:tcW w:w="820" w:type="dxa"/>
            <w:shd w:val="clear" w:color="auto" w:fill="auto"/>
            <w:tcMar>
              <w:top w:w="0" w:type="dxa"/>
              <w:left w:w="0" w:type="dxa"/>
              <w:bottom w:w="0" w:type="dxa"/>
              <w:right w:w="0" w:type="dxa"/>
            </w:tcMar>
            <w:vAlign w:val="center"/>
          </w:tcPr>
          <w:p w14:paraId="20F0CA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default"/>
                <w:color w:val="auto"/>
                <w:sz w:val="21"/>
                <w:szCs w:val="21"/>
                <w:lang w:val="en-US" w:eastAsia="zh-CN"/>
              </w:rPr>
              <w:t>1</w:t>
            </w:r>
          </w:p>
        </w:tc>
      </w:tr>
      <w:tr w14:paraId="201E9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0" w:hRule="atLeast"/>
          <w:jc w:val="center"/>
        </w:trPr>
        <w:tc>
          <w:tcPr>
            <w:tcW w:w="449" w:type="dxa"/>
            <w:shd w:val="clear" w:color="auto" w:fill="auto"/>
            <w:tcMar>
              <w:top w:w="0" w:type="dxa"/>
              <w:left w:w="0" w:type="dxa"/>
              <w:bottom w:w="0" w:type="dxa"/>
              <w:right w:w="0" w:type="dxa"/>
            </w:tcMar>
            <w:vAlign w:val="center"/>
          </w:tcPr>
          <w:p w14:paraId="106EDD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8</w:t>
            </w:r>
          </w:p>
        </w:tc>
        <w:tc>
          <w:tcPr>
            <w:tcW w:w="643" w:type="dxa"/>
            <w:vMerge w:val="continue"/>
            <w:shd w:val="clear" w:color="auto" w:fill="auto"/>
            <w:tcMar>
              <w:top w:w="0" w:type="dxa"/>
              <w:left w:w="0" w:type="dxa"/>
              <w:bottom w:w="0" w:type="dxa"/>
              <w:right w:w="0" w:type="dxa"/>
            </w:tcMar>
            <w:vAlign w:val="center"/>
          </w:tcPr>
          <w:p w14:paraId="6483E2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p>
        </w:tc>
        <w:tc>
          <w:tcPr>
            <w:tcW w:w="707" w:type="dxa"/>
            <w:shd w:val="clear" w:color="auto" w:fill="auto"/>
            <w:tcMar>
              <w:top w:w="0" w:type="dxa"/>
              <w:left w:w="0" w:type="dxa"/>
              <w:bottom w:w="0" w:type="dxa"/>
              <w:right w:w="0" w:type="dxa"/>
            </w:tcMar>
            <w:vAlign w:val="center"/>
          </w:tcPr>
          <w:p w14:paraId="70ADBD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方形摇摆筛</w:t>
            </w:r>
          </w:p>
        </w:tc>
        <w:tc>
          <w:tcPr>
            <w:tcW w:w="836" w:type="dxa"/>
            <w:shd w:val="clear" w:color="auto" w:fill="auto"/>
            <w:tcMar>
              <w:top w:w="0" w:type="dxa"/>
              <w:left w:w="0" w:type="dxa"/>
              <w:bottom w:w="0" w:type="dxa"/>
              <w:right w:w="0" w:type="dxa"/>
            </w:tcMar>
            <w:vAlign w:val="center"/>
          </w:tcPr>
          <w:p w14:paraId="3D649C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color w:val="auto"/>
                <w:lang w:val="en-US" w:eastAsia="zh-CN"/>
              </w:rPr>
            </w:pPr>
            <w:r>
              <w:rPr>
                <w:rFonts w:hint="eastAsia" w:cs="Times New Roman"/>
                <w:color w:val="auto"/>
                <w:lang w:val="en-US" w:eastAsia="zh-CN"/>
              </w:rPr>
              <w:t>/</w:t>
            </w:r>
          </w:p>
        </w:tc>
        <w:tc>
          <w:tcPr>
            <w:tcW w:w="879" w:type="dxa"/>
            <w:shd w:val="clear" w:color="auto" w:fill="auto"/>
            <w:tcMar>
              <w:top w:w="0" w:type="dxa"/>
              <w:left w:w="0" w:type="dxa"/>
              <w:bottom w:w="0" w:type="dxa"/>
              <w:right w:w="0" w:type="dxa"/>
            </w:tcMar>
            <w:vAlign w:val="center"/>
          </w:tcPr>
          <w:p w14:paraId="0200D7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85</w:t>
            </w:r>
          </w:p>
        </w:tc>
        <w:tc>
          <w:tcPr>
            <w:tcW w:w="750" w:type="dxa"/>
            <w:vMerge w:val="continue"/>
            <w:shd w:val="clear" w:color="auto" w:fill="auto"/>
            <w:tcMar>
              <w:top w:w="0" w:type="dxa"/>
              <w:left w:w="0" w:type="dxa"/>
              <w:bottom w:w="0" w:type="dxa"/>
              <w:right w:w="0" w:type="dxa"/>
            </w:tcMar>
            <w:vAlign w:val="center"/>
          </w:tcPr>
          <w:p w14:paraId="1A40E9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p>
        </w:tc>
        <w:tc>
          <w:tcPr>
            <w:tcW w:w="621" w:type="dxa"/>
            <w:shd w:val="clear" w:color="auto" w:fill="auto"/>
            <w:tcMar>
              <w:top w:w="0" w:type="dxa"/>
              <w:left w:w="0" w:type="dxa"/>
              <w:bottom w:w="0" w:type="dxa"/>
              <w:right w:w="0" w:type="dxa"/>
            </w:tcMar>
            <w:vAlign w:val="center"/>
          </w:tcPr>
          <w:p w14:paraId="017D2F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-71</w:t>
            </w:r>
          </w:p>
        </w:tc>
        <w:tc>
          <w:tcPr>
            <w:tcW w:w="664" w:type="dxa"/>
            <w:shd w:val="clear" w:color="auto" w:fill="auto"/>
            <w:tcMar>
              <w:top w:w="0" w:type="dxa"/>
              <w:left w:w="0" w:type="dxa"/>
              <w:bottom w:w="0" w:type="dxa"/>
              <w:right w:w="0" w:type="dxa"/>
            </w:tcMar>
            <w:vAlign w:val="center"/>
          </w:tcPr>
          <w:p w14:paraId="2CA7D5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-34</w:t>
            </w:r>
          </w:p>
        </w:tc>
        <w:tc>
          <w:tcPr>
            <w:tcW w:w="579" w:type="dxa"/>
            <w:shd w:val="clear" w:color="auto" w:fill="auto"/>
            <w:tcMar>
              <w:top w:w="0" w:type="dxa"/>
              <w:left w:w="0" w:type="dxa"/>
              <w:bottom w:w="0" w:type="dxa"/>
              <w:right w:w="0" w:type="dxa"/>
            </w:tcMar>
            <w:vAlign w:val="center"/>
          </w:tcPr>
          <w:p w14:paraId="4777AA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lang w:val="en-US" w:eastAsia="zh-CN"/>
              </w:rPr>
            </w:pPr>
            <w:r>
              <w:rPr>
                <w:rFonts w:hint="eastAsia"/>
                <w:color w:val="auto"/>
                <w:sz w:val="21"/>
                <w:szCs w:val="21"/>
                <w:lang w:val="en-US" w:eastAsia="zh-CN"/>
              </w:rPr>
              <w:t>2</w:t>
            </w:r>
          </w:p>
        </w:tc>
        <w:tc>
          <w:tcPr>
            <w:tcW w:w="793" w:type="dxa"/>
            <w:shd w:val="clear" w:color="auto" w:fill="auto"/>
            <w:tcMar>
              <w:top w:w="0" w:type="dxa"/>
              <w:left w:w="0" w:type="dxa"/>
              <w:bottom w:w="0" w:type="dxa"/>
              <w:right w:w="0" w:type="dxa"/>
            </w:tcMar>
            <w:vAlign w:val="center"/>
          </w:tcPr>
          <w:p w14:paraId="5028BD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138</w:t>
            </w:r>
          </w:p>
        </w:tc>
        <w:tc>
          <w:tcPr>
            <w:tcW w:w="750" w:type="dxa"/>
            <w:shd w:val="clear" w:color="auto" w:fill="auto"/>
            <w:tcMar>
              <w:top w:w="0" w:type="dxa"/>
              <w:left w:w="0" w:type="dxa"/>
              <w:bottom w:w="0" w:type="dxa"/>
              <w:right w:w="0" w:type="dxa"/>
            </w:tcMar>
            <w:vAlign w:val="center"/>
          </w:tcPr>
          <w:p w14:paraId="5D24DB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8</w:t>
            </w:r>
          </w:p>
        </w:tc>
        <w:tc>
          <w:tcPr>
            <w:tcW w:w="707" w:type="dxa"/>
            <w:shd w:val="clear" w:color="auto" w:fill="auto"/>
            <w:tcMar>
              <w:top w:w="0" w:type="dxa"/>
              <w:left w:w="0" w:type="dxa"/>
              <w:bottom w:w="0" w:type="dxa"/>
              <w:right w:w="0" w:type="dxa"/>
            </w:tcMar>
            <w:vAlign w:val="center"/>
          </w:tcPr>
          <w:p w14:paraId="1105B9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12</w:t>
            </w:r>
          </w:p>
        </w:tc>
        <w:tc>
          <w:tcPr>
            <w:tcW w:w="600" w:type="dxa"/>
            <w:shd w:val="clear" w:color="auto" w:fill="auto"/>
            <w:tcMar>
              <w:top w:w="0" w:type="dxa"/>
              <w:left w:w="0" w:type="dxa"/>
              <w:bottom w:w="0" w:type="dxa"/>
              <w:right w:w="0" w:type="dxa"/>
            </w:tcMar>
            <w:vAlign w:val="center"/>
          </w:tcPr>
          <w:p w14:paraId="1E5FCC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8</w:t>
            </w:r>
          </w:p>
        </w:tc>
        <w:tc>
          <w:tcPr>
            <w:tcW w:w="608" w:type="dxa"/>
            <w:shd w:val="clear" w:color="auto" w:fill="auto"/>
            <w:tcMar>
              <w:top w:w="0" w:type="dxa"/>
              <w:left w:w="0" w:type="dxa"/>
              <w:bottom w:w="0" w:type="dxa"/>
              <w:right w:w="0" w:type="dxa"/>
            </w:tcMar>
            <w:vAlign w:val="center"/>
          </w:tcPr>
          <w:p w14:paraId="682B3B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42.0</w:t>
            </w:r>
          </w:p>
        </w:tc>
        <w:tc>
          <w:tcPr>
            <w:tcW w:w="570" w:type="dxa"/>
            <w:shd w:val="clear" w:color="auto" w:fill="auto"/>
            <w:tcMar>
              <w:top w:w="0" w:type="dxa"/>
              <w:left w:w="0" w:type="dxa"/>
              <w:bottom w:w="0" w:type="dxa"/>
              <w:right w:w="0" w:type="dxa"/>
            </w:tcMar>
            <w:vAlign w:val="center"/>
          </w:tcPr>
          <w:p w14:paraId="6B8DD7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66.7</w:t>
            </w:r>
          </w:p>
        </w:tc>
        <w:tc>
          <w:tcPr>
            <w:tcW w:w="600" w:type="dxa"/>
            <w:shd w:val="clear" w:color="auto" w:fill="auto"/>
            <w:tcMar>
              <w:top w:w="0" w:type="dxa"/>
              <w:left w:w="0" w:type="dxa"/>
              <w:bottom w:w="0" w:type="dxa"/>
              <w:right w:w="0" w:type="dxa"/>
            </w:tcMar>
            <w:vAlign w:val="center"/>
          </w:tcPr>
          <w:p w14:paraId="2D5621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63.2</w:t>
            </w:r>
          </w:p>
        </w:tc>
        <w:tc>
          <w:tcPr>
            <w:tcW w:w="729" w:type="dxa"/>
            <w:shd w:val="clear" w:color="auto" w:fill="auto"/>
            <w:tcMar>
              <w:top w:w="0" w:type="dxa"/>
              <w:left w:w="0" w:type="dxa"/>
              <w:bottom w:w="0" w:type="dxa"/>
              <w:right w:w="0" w:type="dxa"/>
            </w:tcMar>
            <w:vAlign w:val="center"/>
          </w:tcPr>
          <w:p w14:paraId="269A61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66.7</w:t>
            </w:r>
          </w:p>
        </w:tc>
        <w:tc>
          <w:tcPr>
            <w:tcW w:w="836" w:type="dxa"/>
            <w:vMerge w:val="continue"/>
            <w:shd w:val="clear" w:color="auto" w:fill="auto"/>
            <w:tcMar>
              <w:top w:w="0" w:type="dxa"/>
              <w:left w:w="0" w:type="dxa"/>
              <w:bottom w:w="0" w:type="dxa"/>
              <w:right w:w="0" w:type="dxa"/>
            </w:tcMar>
            <w:vAlign w:val="center"/>
          </w:tcPr>
          <w:p w14:paraId="6C2E05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p>
        </w:tc>
        <w:tc>
          <w:tcPr>
            <w:tcW w:w="971" w:type="dxa"/>
            <w:shd w:val="clear" w:color="auto" w:fill="auto"/>
            <w:tcMar>
              <w:top w:w="0" w:type="dxa"/>
              <w:left w:w="0" w:type="dxa"/>
              <w:bottom w:w="0" w:type="dxa"/>
              <w:right w:w="0" w:type="dxa"/>
            </w:tcMar>
            <w:vAlign w:val="center"/>
          </w:tcPr>
          <w:p w14:paraId="6D0A2C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default"/>
                <w:color w:val="auto"/>
                <w:sz w:val="21"/>
                <w:szCs w:val="21"/>
                <w:lang w:val="en-US" w:eastAsia="zh-CN"/>
              </w:rPr>
              <w:t>26.0</w:t>
            </w:r>
          </w:p>
        </w:tc>
        <w:tc>
          <w:tcPr>
            <w:tcW w:w="555" w:type="dxa"/>
            <w:shd w:val="clear" w:color="auto" w:fill="auto"/>
            <w:tcMar>
              <w:top w:w="0" w:type="dxa"/>
              <w:left w:w="0" w:type="dxa"/>
              <w:bottom w:w="0" w:type="dxa"/>
              <w:right w:w="0" w:type="dxa"/>
            </w:tcMar>
            <w:vAlign w:val="center"/>
          </w:tcPr>
          <w:p w14:paraId="6B9FE9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16.0</w:t>
            </w:r>
          </w:p>
        </w:tc>
        <w:tc>
          <w:tcPr>
            <w:tcW w:w="555" w:type="dxa"/>
            <w:shd w:val="clear" w:color="auto" w:fill="auto"/>
            <w:tcMar>
              <w:top w:w="0" w:type="dxa"/>
              <w:left w:w="0" w:type="dxa"/>
              <w:bottom w:w="0" w:type="dxa"/>
              <w:right w:w="0" w:type="dxa"/>
            </w:tcMar>
            <w:vAlign w:val="center"/>
          </w:tcPr>
          <w:p w14:paraId="732DC4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40.7</w:t>
            </w:r>
          </w:p>
        </w:tc>
        <w:tc>
          <w:tcPr>
            <w:tcW w:w="555" w:type="dxa"/>
            <w:shd w:val="clear" w:color="auto" w:fill="auto"/>
            <w:tcMar>
              <w:top w:w="0" w:type="dxa"/>
              <w:left w:w="0" w:type="dxa"/>
              <w:bottom w:w="0" w:type="dxa"/>
              <w:right w:w="0" w:type="dxa"/>
            </w:tcMar>
            <w:vAlign w:val="center"/>
          </w:tcPr>
          <w:p w14:paraId="6BF72F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37.2</w:t>
            </w:r>
          </w:p>
        </w:tc>
        <w:tc>
          <w:tcPr>
            <w:tcW w:w="557" w:type="dxa"/>
            <w:shd w:val="clear" w:color="auto" w:fill="auto"/>
            <w:tcMar>
              <w:top w:w="0" w:type="dxa"/>
              <w:left w:w="0" w:type="dxa"/>
              <w:bottom w:w="0" w:type="dxa"/>
              <w:right w:w="0" w:type="dxa"/>
            </w:tcMar>
            <w:vAlign w:val="center"/>
          </w:tcPr>
          <w:p w14:paraId="7F2B80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40.7</w:t>
            </w:r>
          </w:p>
        </w:tc>
        <w:tc>
          <w:tcPr>
            <w:tcW w:w="820" w:type="dxa"/>
            <w:shd w:val="clear" w:color="auto" w:fill="auto"/>
            <w:tcMar>
              <w:top w:w="0" w:type="dxa"/>
              <w:left w:w="0" w:type="dxa"/>
              <w:bottom w:w="0" w:type="dxa"/>
              <w:right w:w="0" w:type="dxa"/>
            </w:tcMar>
            <w:vAlign w:val="center"/>
          </w:tcPr>
          <w:p w14:paraId="1C366C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sz w:val="21"/>
                <w:szCs w:val="21"/>
                <w:lang w:val="en-US" w:eastAsia="zh-CN"/>
              </w:rPr>
            </w:pPr>
            <w:r>
              <w:rPr>
                <w:rFonts w:hint="default"/>
                <w:color w:val="auto"/>
                <w:sz w:val="21"/>
                <w:szCs w:val="21"/>
                <w:lang w:val="en-US" w:eastAsia="zh-CN"/>
              </w:rPr>
              <w:t>1</w:t>
            </w:r>
          </w:p>
        </w:tc>
      </w:tr>
    </w:tbl>
    <w:p w14:paraId="6E9E97B2">
      <w:pPr>
        <w:pStyle w:val="6"/>
        <w:rPr>
          <w:rFonts w:hint="eastAsia"/>
          <w:color w:val="auto"/>
        </w:rPr>
      </w:pPr>
    </w:p>
    <w:p w14:paraId="17F48A26">
      <w:pPr>
        <w:rPr>
          <w:rFonts w:hint="eastAsia"/>
          <w:color w:val="auto"/>
        </w:rPr>
      </w:pPr>
    </w:p>
    <w:p w14:paraId="248A78F8">
      <w:pPr>
        <w:pStyle w:val="19"/>
        <w:rPr>
          <w:rFonts w:hint="eastAsia"/>
          <w:color w:val="auto"/>
        </w:rPr>
        <w:sectPr>
          <w:pgSz w:w="16840" w:h="11907" w:orient="landscape"/>
          <w:pgMar w:top="1531" w:right="2126"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5"/>
        <w:tblW w:w="8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3"/>
        <w:gridCol w:w="8596"/>
      </w:tblGrid>
      <w:tr w14:paraId="6DD8E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1" w:hRule="atLeast"/>
        </w:trPr>
        <w:tc>
          <w:tcPr>
            <w:tcW w:w="363" w:type="dxa"/>
            <w:vAlign w:val="center"/>
          </w:tcPr>
          <w:p w14:paraId="074B0FEA">
            <w:pPr>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eastAsia" w:ascii="宋体" w:hAnsi="宋体" w:cs="宋体"/>
                <w:bCs/>
                <w:color w:val="auto"/>
                <w:szCs w:val="21"/>
              </w:rPr>
            </w:pPr>
            <w:r>
              <w:rPr>
                <w:rFonts w:hint="eastAsia" w:ascii="宋体" w:hAnsi="宋体" w:cs="宋体"/>
                <w:bCs/>
                <w:color w:val="auto"/>
                <w:szCs w:val="21"/>
              </w:rPr>
              <w:t>运营</w:t>
            </w:r>
          </w:p>
          <w:p w14:paraId="477080D8">
            <w:pPr>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eastAsia" w:ascii="宋体" w:hAnsi="宋体" w:cs="宋体"/>
                <w:bCs/>
                <w:color w:val="auto"/>
                <w:szCs w:val="21"/>
              </w:rPr>
            </w:pPr>
            <w:r>
              <w:rPr>
                <w:rFonts w:hint="eastAsia" w:ascii="宋体" w:hAnsi="宋体" w:cs="宋体"/>
                <w:bCs/>
                <w:color w:val="auto"/>
                <w:szCs w:val="21"/>
              </w:rPr>
              <w:t>期环</w:t>
            </w:r>
          </w:p>
          <w:p w14:paraId="78CDF644">
            <w:pPr>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eastAsia" w:ascii="宋体" w:hAnsi="宋体" w:cs="宋体"/>
                <w:bCs/>
                <w:color w:val="auto"/>
                <w:szCs w:val="21"/>
              </w:rPr>
            </w:pPr>
            <w:r>
              <w:rPr>
                <w:rFonts w:hint="eastAsia" w:ascii="宋体" w:hAnsi="宋体" w:cs="宋体"/>
                <w:bCs/>
                <w:color w:val="auto"/>
                <w:szCs w:val="21"/>
              </w:rPr>
              <w:t>境影</w:t>
            </w:r>
          </w:p>
          <w:p w14:paraId="598115C8">
            <w:pPr>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eastAsia" w:ascii="宋体" w:hAnsi="宋体" w:cs="宋体"/>
                <w:bCs/>
                <w:color w:val="auto"/>
                <w:szCs w:val="21"/>
              </w:rPr>
            </w:pPr>
            <w:r>
              <w:rPr>
                <w:rFonts w:hint="eastAsia" w:ascii="宋体" w:hAnsi="宋体" w:cs="宋体"/>
                <w:bCs/>
                <w:color w:val="auto"/>
                <w:szCs w:val="21"/>
              </w:rPr>
              <w:t>响和</w:t>
            </w:r>
          </w:p>
          <w:p w14:paraId="7C371EC2">
            <w:pPr>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eastAsia" w:ascii="宋体" w:hAnsi="宋体" w:cs="宋体"/>
                <w:bCs/>
                <w:color w:val="auto"/>
                <w:szCs w:val="21"/>
              </w:rPr>
            </w:pPr>
            <w:r>
              <w:rPr>
                <w:rFonts w:hint="eastAsia" w:ascii="宋体" w:hAnsi="宋体" w:cs="宋体"/>
                <w:bCs/>
                <w:color w:val="auto"/>
                <w:szCs w:val="21"/>
              </w:rPr>
              <w:t>保护</w:t>
            </w:r>
          </w:p>
          <w:p w14:paraId="73D60FED">
            <w:pPr>
              <w:keepNext w:val="0"/>
              <w:keepLines w:val="0"/>
              <w:pageBreakBefore w:val="0"/>
              <w:widowControl w:val="0"/>
              <w:kinsoku/>
              <w:wordWrap/>
              <w:overflowPunct/>
              <w:topLinePunct w:val="0"/>
              <w:autoSpaceDE/>
              <w:autoSpaceDN/>
              <w:bidi w:val="0"/>
              <w:jc w:val="center"/>
              <w:textAlignment w:val="auto"/>
              <w:rPr>
                <w:rFonts w:hint="eastAsia"/>
                <w:color w:val="auto"/>
                <w:vertAlign w:val="baseline"/>
              </w:rPr>
            </w:pPr>
            <w:r>
              <w:rPr>
                <w:rFonts w:hint="eastAsia" w:ascii="宋体" w:hAnsi="宋体" w:cs="宋体"/>
                <w:bCs/>
                <w:color w:val="auto"/>
                <w:szCs w:val="21"/>
              </w:rPr>
              <w:t>措施</w:t>
            </w:r>
          </w:p>
        </w:tc>
        <w:tc>
          <w:tcPr>
            <w:tcW w:w="8596" w:type="dxa"/>
          </w:tcPr>
          <w:p w14:paraId="42B6448C">
            <w:pPr>
              <w:keepNext w:val="0"/>
              <w:keepLines w:val="0"/>
              <w:pageBreakBefore w:val="0"/>
              <w:suppressLineNumbers w:val="0"/>
              <w:kinsoku/>
              <w:wordWrap/>
              <w:overflowPunct/>
              <w:topLinePunct w:val="0"/>
              <w:bidi w:val="0"/>
              <w:spacing w:before="0" w:beforeAutospacing="0" w:after="0" w:afterAutospacing="0" w:line="500" w:lineRule="exact"/>
              <w:ind w:left="0" w:right="0" w:firstLine="482" w:firstLineChars="200"/>
              <w:rPr>
                <w:rFonts w:hint="default" w:ascii="Times New Roman" w:hAnsi="Times New Roman" w:eastAsia="宋体" w:cs="Times New Roman"/>
                <w:b/>
                <w:bCs/>
                <w:color w:val="auto"/>
                <w:sz w:val="24"/>
                <w:szCs w:val="32"/>
                <w:lang w:val="en-US" w:eastAsia="zh-CN"/>
              </w:rPr>
            </w:pPr>
            <w:r>
              <w:rPr>
                <w:rFonts w:hint="eastAsia" w:cs="Times New Roman"/>
                <w:b/>
                <w:bCs/>
                <w:color w:val="auto"/>
                <w:sz w:val="24"/>
                <w:szCs w:val="32"/>
                <w:lang w:val="en-US" w:eastAsia="zh-CN"/>
              </w:rPr>
              <w:t>3.2</w:t>
            </w:r>
            <w:r>
              <w:rPr>
                <w:rFonts w:hint="default" w:ascii="Times New Roman" w:hAnsi="Times New Roman" w:eastAsia="宋体" w:cs="Times New Roman"/>
                <w:b/>
                <w:bCs/>
                <w:color w:val="auto"/>
                <w:sz w:val="24"/>
                <w:szCs w:val="32"/>
                <w:lang w:val="en-US" w:eastAsia="zh-CN"/>
              </w:rPr>
              <w:t>声环境影响分析</w:t>
            </w:r>
          </w:p>
          <w:p w14:paraId="425B8204">
            <w:pPr>
              <w:pStyle w:val="63"/>
              <w:keepNext w:val="0"/>
              <w:keepLines w:val="0"/>
              <w:pageBreakBefore w:val="0"/>
              <w:suppressLineNumbers w:val="0"/>
              <w:kinsoku/>
              <w:wordWrap/>
              <w:overflowPunct/>
              <w:topLinePunct w:val="0"/>
              <w:bidi w:val="0"/>
              <w:snapToGrid w:val="0"/>
              <w:spacing w:before="0" w:beforeAutospacing="0" w:after="0" w:afterAutospacing="0" w:line="500" w:lineRule="exact"/>
              <w:ind w:left="0" w:right="0" w:firstLine="480" w:firstLineChars="200"/>
              <w:rPr>
                <w:rFonts w:hint="eastAsia"/>
                <w:color w:val="auto"/>
                <w:sz w:val="24"/>
                <w:szCs w:val="24"/>
                <w:lang w:val="en-US" w:eastAsia="zh-CN"/>
              </w:rPr>
            </w:pPr>
            <w:r>
              <w:rPr>
                <w:rFonts w:hint="eastAsia"/>
                <w:color w:val="auto"/>
                <w:sz w:val="24"/>
                <w:szCs w:val="24"/>
                <w:lang w:val="en-US" w:eastAsia="zh-CN"/>
              </w:rPr>
              <w:t>（1）预测模式：</w:t>
            </w:r>
          </w:p>
          <w:p w14:paraId="734B86A2">
            <w:pPr>
              <w:pStyle w:val="63"/>
              <w:keepNext w:val="0"/>
              <w:keepLines w:val="0"/>
              <w:pageBreakBefore w:val="0"/>
              <w:suppressLineNumbers w:val="0"/>
              <w:kinsoku/>
              <w:wordWrap/>
              <w:overflowPunct/>
              <w:topLinePunct w:val="0"/>
              <w:bidi w:val="0"/>
              <w:snapToGrid w:val="0"/>
              <w:spacing w:before="0" w:beforeAutospacing="0" w:after="0" w:afterAutospacing="0" w:line="500" w:lineRule="exact"/>
              <w:ind w:left="0" w:right="0" w:firstLine="480" w:firstLineChars="200"/>
              <w:rPr>
                <w:rFonts w:hint="default"/>
                <w:color w:val="auto"/>
                <w:sz w:val="24"/>
                <w:szCs w:val="24"/>
                <w:lang w:val="en-US" w:eastAsia="zh-CN"/>
              </w:rPr>
            </w:pPr>
            <w:r>
              <w:rPr>
                <w:rFonts w:hint="default"/>
                <w:color w:val="auto"/>
                <w:sz w:val="24"/>
                <w:szCs w:val="24"/>
                <w:lang w:val="en-US" w:eastAsia="zh-CN"/>
              </w:rPr>
              <w:t>以厂界预测点为原点，选择一个坐标系，确定各噪声源位置，并测量各噪声源到预测点的距离，将</w:t>
            </w:r>
            <w:r>
              <w:rPr>
                <w:rFonts w:hint="eastAsia"/>
                <w:color w:val="auto"/>
                <w:sz w:val="24"/>
                <w:szCs w:val="24"/>
                <w:lang w:val="en-US" w:eastAsia="zh-CN"/>
              </w:rPr>
              <w:t>各</w:t>
            </w:r>
            <w:r>
              <w:rPr>
                <w:rFonts w:hint="default"/>
                <w:color w:val="auto"/>
                <w:sz w:val="24"/>
                <w:szCs w:val="24"/>
                <w:lang w:val="en-US" w:eastAsia="zh-CN"/>
              </w:rPr>
              <w:t>噪声源视为半自由状态噪声源，按声能量在空气传播中衰减模式可计算出某噪声源在预测点的声</w:t>
            </w:r>
            <w:r>
              <w:rPr>
                <w:rFonts w:hint="eastAsia"/>
                <w:color w:val="auto"/>
                <w:sz w:val="24"/>
                <w:szCs w:val="24"/>
                <w:lang w:val="en-US" w:eastAsia="zh-CN"/>
              </w:rPr>
              <w:t>压</w:t>
            </w:r>
            <w:r>
              <w:rPr>
                <w:rFonts w:hint="default"/>
                <w:color w:val="auto"/>
                <w:sz w:val="24"/>
                <w:szCs w:val="24"/>
                <w:lang w:val="en-US" w:eastAsia="zh-CN"/>
              </w:rPr>
              <w:t>级，预测模式如下：</w:t>
            </w:r>
          </w:p>
          <w:p w14:paraId="447C74B0">
            <w:pPr>
              <w:pStyle w:val="63"/>
              <w:keepNext w:val="0"/>
              <w:keepLines w:val="0"/>
              <w:pageBreakBefore w:val="0"/>
              <w:suppressLineNumbers w:val="0"/>
              <w:kinsoku/>
              <w:wordWrap/>
              <w:overflowPunct/>
              <w:topLinePunct w:val="0"/>
              <w:bidi w:val="0"/>
              <w:snapToGrid w:val="0"/>
              <w:spacing w:before="0" w:beforeAutospacing="0" w:after="0" w:afterAutospacing="0" w:line="500" w:lineRule="exact"/>
              <w:ind w:left="0" w:right="0" w:firstLine="480" w:firstLineChars="200"/>
              <w:rPr>
                <w:rFonts w:hint="default"/>
                <w:color w:val="auto"/>
                <w:sz w:val="24"/>
                <w:szCs w:val="24"/>
                <w:lang w:val="en-US" w:eastAsia="zh-CN"/>
              </w:rPr>
            </w:pPr>
            <w:r>
              <w:rPr>
                <w:rFonts w:hint="default"/>
                <w:color w:val="auto"/>
                <w:sz w:val="24"/>
                <w:szCs w:val="24"/>
                <w:lang w:val="en-US" w:eastAsia="zh-CN"/>
              </w:rPr>
              <w:t>①</w:t>
            </w:r>
            <w:r>
              <w:rPr>
                <w:rFonts w:hint="eastAsia"/>
                <w:color w:val="auto"/>
                <w:sz w:val="24"/>
                <w:szCs w:val="24"/>
                <w:lang w:val="en-US" w:eastAsia="zh-CN"/>
              </w:rPr>
              <w:t>无指向性点声源几何发散衰减的基本公式如下：</w:t>
            </w:r>
          </w:p>
          <w:p w14:paraId="3C71E225">
            <w:pPr>
              <w:pStyle w:val="63"/>
              <w:keepNext w:val="0"/>
              <w:keepLines w:val="0"/>
              <w:pageBreakBefore w:val="0"/>
              <w:suppressLineNumbers w:val="0"/>
              <w:kinsoku/>
              <w:wordWrap/>
              <w:overflowPunct/>
              <w:topLinePunct w:val="0"/>
              <w:bidi w:val="0"/>
              <w:snapToGrid w:val="0"/>
              <w:spacing w:before="0" w:beforeAutospacing="0" w:after="0" w:afterAutospacing="0" w:line="500" w:lineRule="exact"/>
              <w:ind w:left="0" w:right="0" w:firstLine="480" w:firstLineChars="200"/>
              <w:rPr>
                <w:color w:val="auto"/>
              </w:rPr>
            </w:pPr>
            <w:r>
              <w:rPr>
                <w:color w:val="auto"/>
              </w:rPr>
              <w:drawing>
                <wp:anchor distT="0" distB="0" distL="114300" distR="114300" simplePos="0" relativeHeight="251662336" behindDoc="0" locked="0" layoutInCell="1" allowOverlap="1">
                  <wp:simplePos x="0" y="0"/>
                  <wp:positionH relativeFrom="column">
                    <wp:posOffset>1019175</wp:posOffset>
                  </wp:positionH>
                  <wp:positionV relativeFrom="paragraph">
                    <wp:posOffset>149225</wp:posOffset>
                  </wp:positionV>
                  <wp:extent cx="2514600" cy="457200"/>
                  <wp:effectExtent l="0" t="0" r="0" b="0"/>
                  <wp:wrapNone/>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26"/>
                          <a:stretch>
                            <a:fillRect/>
                          </a:stretch>
                        </pic:blipFill>
                        <pic:spPr>
                          <a:xfrm>
                            <a:off x="0" y="0"/>
                            <a:ext cx="2514600" cy="457200"/>
                          </a:xfrm>
                          <a:prstGeom prst="rect">
                            <a:avLst/>
                          </a:prstGeom>
                          <a:noFill/>
                          <a:ln>
                            <a:noFill/>
                          </a:ln>
                        </pic:spPr>
                      </pic:pic>
                    </a:graphicData>
                  </a:graphic>
                </wp:anchor>
              </w:drawing>
            </w:r>
          </w:p>
          <w:p w14:paraId="4AFECC81">
            <w:pPr>
              <w:pStyle w:val="63"/>
              <w:keepNext w:val="0"/>
              <w:keepLines w:val="0"/>
              <w:pageBreakBefore w:val="0"/>
              <w:suppressLineNumbers w:val="0"/>
              <w:kinsoku/>
              <w:wordWrap/>
              <w:overflowPunct/>
              <w:topLinePunct w:val="0"/>
              <w:bidi w:val="0"/>
              <w:snapToGrid w:val="0"/>
              <w:spacing w:before="0" w:beforeAutospacing="0" w:after="0" w:afterAutospacing="0" w:line="500" w:lineRule="exact"/>
              <w:ind w:left="0" w:leftChars="0" w:right="0" w:firstLine="480" w:firstLineChars="200"/>
              <w:rPr>
                <w:rFonts w:hint="default"/>
                <w:color w:val="auto"/>
                <w:sz w:val="24"/>
                <w:szCs w:val="24"/>
                <w:lang w:val="en-US" w:eastAsia="zh-CN"/>
              </w:rPr>
            </w:pPr>
          </w:p>
          <w:p w14:paraId="7B2D68C5">
            <w:pPr>
              <w:pStyle w:val="63"/>
              <w:keepNext w:val="0"/>
              <w:keepLines w:val="0"/>
              <w:pageBreakBefore w:val="0"/>
              <w:suppressLineNumbers w:val="0"/>
              <w:kinsoku/>
              <w:wordWrap/>
              <w:overflowPunct/>
              <w:topLinePunct w:val="0"/>
              <w:bidi w:val="0"/>
              <w:snapToGrid w:val="0"/>
              <w:spacing w:before="0" w:beforeAutospacing="0" w:after="0" w:afterAutospacing="0" w:line="500" w:lineRule="exact"/>
              <w:ind w:left="0" w:leftChars="0" w:right="0" w:firstLine="480" w:firstLineChars="200"/>
              <w:rPr>
                <w:rFonts w:hint="eastAsia"/>
                <w:color w:val="auto"/>
                <w:sz w:val="24"/>
                <w:szCs w:val="24"/>
                <w:lang w:val="en-US" w:eastAsia="zh-CN"/>
              </w:rPr>
            </w:pPr>
            <w:r>
              <w:rPr>
                <w:rFonts w:hint="default"/>
                <w:color w:val="auto"/>
                <w:sz w:val="24"/>
                <w:szCs w:val="24"/>
                <w:lang w:val="en-US" w:eastAsia="zh-CN"/>
              </w:rPr>
              <w:t>式中</w:t>
            </w:r>
            <w:r>
              <w:rPr>
                <w:rFonts w:hint="eastAsia"/>
                <w:color w:val="auto"/>
                <w:sz w:val="24"/>
                <w:szCs w:val="24"/>
                <w:lang w:val="en-US" w:eastAsia="zh-CN"/>
              </w:rPr>
              <w:t>：</w:t>
            </w:r>
            <w:r>
              <w:rPr>
                <w:rFonts w:hint="default"/>
                <w:color w:val="auto"/>
                <w:sz w:val="24"/>
                <w:szCs w:val="24"/>
                <w:lang w:val="en-US" w:eastAsia="zh-CN"/>
              </w:rPr>
              <w:t>L</w:t>
            </w:r>
            <w:r>
              <w:rPr>
                <w:rFonts w:hint="eastAsia"/>
                <w:color w:val="auto"/>
                <w:sz w:val="24"/>
                <w:szCs w:val="24"/>
                <w:vertAlign w:val="subscript"/>
                <w:lang w:val="en-US" w:eastAsia="zh-CN"/>
              </w:rPr>
              <w:t>p</w:t>
            </w:r>
            <w:r>
              <w:rPr>
                <w:rFonts w:hint="default"/>
                <w:color w:val="auto"/>
                <w:sz w:val="24"/>
                <w:szCs w:val="24"/>
                <w:lang w:val="en-US" w:eastAsia="zh-CN"/>
              </w:rPr>
              <w:t>(r)</w:t>
            </w:r>
            <w:r>
              <w:rPr>
                <w:rFonts w:hint="eastAsia"/>
                <w:color w:val="auto"/>
                <w:sz w:val="24"/>
                <w:szCs w:val="24"/>
                <w:lang w:val="en-US" w:eastAsia="zh-CN"/>
              </w:rPr>
              <w:t>—预测点处声压级，dB；</w:t>
            </w:r>
          </w:p>
          <w:p w14:paraId="7C888EE0">
            <w:pPr>
              <w:pStyle w:val="63"/>
              <w:keepNext w:val="0"/>
              <w:keepLines w:val="0"/>
              <w:pageBreakBefore w:val="0"/>
              <w:suppressLineNumbers w:val="0"/>
              <w:kinsoku/>
              <w:wordWrap/>
              <w:overflowPunct/>
              <w:topLinePunct w:val="0"/>
              <w:bidi w:val="0"/>
              <w:snapToGrid w:val="0"/>
              <w:spacing w:before="0" w:beforeAutospacing="0" w:after="0" w:afterAutospacing="0" w:line="500" w:lineRule="exact"/>
              <w:ind w:right="0" w:firstLine="1027" w:firstLineChars="428"/>
              <w:rPr>
                <w:rFonts w:hint="eastAsia"/>
                <w:color w:val="auto"/>
                <w:sz w:val="24"/>
                <w:szCs w:val="24"/>
                <w:lang w:val="en-US" w:eastAsia="zh-CN"/>
              </w:rPr>
            </w:pPr>
            <w:r>
              <w:rPr>
                <w:rFonts w:hint="default"/>
                <w:color w:val="auto"/>
                <w:sz w:val="24"/>
                <w:szCs w:val="24"/>
                <w:lang w:val="en-US" w:eastAsia="zh-CN"/>
              </w:rPr>
              <w:t>L</w:t>
            </w:r>
            <w:r>
              <w:rPr>
                <w:rFonts w:hint="eastAsia"/>
                <w:color w:val="auto"/>
                <w:sz w:val="24"/>
                <w:szCs w:val="24"/>
                <w:vertAlign w:val="subscript"/>
                <w:lang w:val="en-US" w:eastAsia="zh-CN"/>
              </w:rPr>
              <w:t>p</w:t>
            </w:r>
            <w:r>
              <w:rPr>
                <w:rFonts w:hint="default"/>
                <w:color w:val="auto"/>
                <w:sz w:val="24"/>
                <w:szCs w:val="24"/>
                <w:lang w:val="en-US" w:eastAsia="zh-CN"/>
              </w:rPr>
              <w:t>(r</w:t>
            </w:r>
            <w:r>
              <w:rPr>
                <w:rFonts w:hint="default"/>
                <w:color w:val="auto"/>
                <w:sz w:val="24"/>
                <w:szCs w:val="24"/>
                <w:vertAlign w:val="subscript"/>
                <w:lang w:val="en-US" w:eastAsia="zh-CN"/>
              </w:rPr>
              <w:t>o</w:t>
            </w:r>
            <w:r>
              <w:rPr>
                <w:rFonts w:hint="default"/>
                <w:color w:val="auto"/>
                <w:sz w:val="24"/>
                <w:szCs w:val="24"/>
                <w:lang w:val="en-US" w:eastAsia="zh-CN"/>
              </w:rPr>
              <w:t>)</w:t>
            </w:r>
            <w:r>
              <w:rPr>
                <w:rFonts w:hint="eastAsia"/>
                <w:color w:val="auto"/>
                <w:sz w:val="24"/>
                <w:szCs w:val="24"/>
                <w:lang w:val="en-US" w:eastAsia="zh-CN"/>
              </w:rPr>
              <w:t>—</w:t>
            </w:r>
            <w:r>
              <w:rPr>
                <w:rFonts w:hint="default"/>
                <w:color w:val="auto"/>
                <w:sz w:val="24"/>
                <w:szCs w:val="24"/>
                <w:lang w:val="en-US" w:eastAsia="zh-CN"/>
              </w:rPr>
              <w:t>参考位置r</w:t>
            </w:r>
            <w:r>
              <w:rPr>
                <w:rFonts w:hint="default"/>
                <w:color w:val="auto"/>
                <w:sz w:val="24"/>
                <w:szCs w:val="24"/>
                <w:vertAlign w:val="subscript"/>
                <w:lang w:val="en-US" w:eastAsia="zh-CN"/>
              </w:rPr>
              <w:t>o</w:t>
            </w:r>
            <w:r>
              <w:rPr>
                <w:rFonts w:hint="default"/>
                <w:color w:val="auto"/>
                <w:sz w:val="24"/>
                <w:szCs w:val="24"/>
                <w:lang w:val="en-US" w:eastAsia="zh-CN"/>
              </w:rPr>
              <w:t>处的倍频带声压级</w:t>
            </w:r>
            <w:r>
              <w:rPr>
                <w:rFonts w:hint="eastAsia"/>
                <w:color w:val="auto"/>
                <w:sz w:val="24"/>
                <w:szCs w:val="24"/>
                <w:lang w:val="en-US" w:eastAsia="zh-CN"/>
              </w:rPr>
              <w:t>，dB；</w:t>
            </w:r>
          </w:p>
          <w:p w14:paraId="350594DF">
            <w:pPr>
              <w:pStyle w:val="63"/>
              <w:keepNext w:val="0"/>
              <w:keepLines w:val="0"/>
              <w:pageBreakBefore w:val="0"/>
              <w:suppressLineNumbers w:val="0"/>
              <w:kinsoku/>
              <w:wordWrap/>
              <w:overflowPunct/>
              <w:topLinePunct w:val="0"/>
              <w:bidi w:val="0"/>
              <w:snapToGrid w:val="0"/>
              <w:spacing w:before="0" w:beforeAutospacing="0" w:after="0" w:afterAutospacing="0" w:line="500" w:lineRule="exact"/>
              <w:ind w:right="0" w:firstLine="1027" w:firstLineChars="428"/>
              <w:rPr>
                <w:rFonts w:hint="eastAsia"/>
                <w:color w:val="auto"/>
                <w:sz w:val="24"/>
                <w:szCs w:val="24"/>
                <w:lang w:val="en-US" w:eastAsia="zh-CN"/>
              </w:rPr>
            </w:pPr>
            <w:r>
              <w:rPr>
                <w:rFonts w:hint="eastAsia"/>
                <w:color w:val="auto"/>
                <w:sz w:val="24"/>
                <w:szCs w:val="24"/>
                <w:lang w:val="en-US" w:eastAsia="zh-CN"/>
              </w:rPr>
              <w:t>r—</w:t>
            </w:r>
            <w:r>
              <w:rPr>
                <w:rFonts w:hint="default"/>
                <w:color w:val="auto"/>
                <w:sz w:val="24"/>
                <w:szCs w:val="24"/>
                <w:lang w:val="en-US" w:eastAsia="zh-CN"/>
              </w:rPr>
              <w:t>预测点距声源的距离，m</w:t>
            </w:r>
            <w:r>
              <w:rPr>
                <w:rFonts w:hint="eastAsia"/>
                <w:color w:val="auto"/>
                <w:sz w:val="24"/>
                <w:szCs w:val="24"/>
                <w:lang w:val="en-US" w:eastAsia="zh-CN"/>
              </w:rPr>
              <w:t>；</w:t>
            </w:r>
          </w:p>
          <w:p w14:paraId="260E2923">
            <w:pPr>
              <w:pStyle w:val="63"/>
              <w:keepNext w:val="0"/>
              <w:keepLines w:val="0"/>
              <w:pageBreakBefore w:val="0"/>
              <w:suppressLineNumbers w:val="0"/>
              <w:kinsoku/>
              <w:wordWrap/>
              <w:overflowPunct/>
              <w:topLinePunct w:val="0"/>
              <w:bidi w:val="0"/>
              <w:snapToGrid w:val="0"/>
              <w:spacing w:before="0" w:beforeAutospacing="0" w:after="0" w:afterAutospacing="0" w:line="500" w:lineRule="exact"/>
              <w:ind w:left="0" w:right="0" w:firstLine="960" w:firstLineChars="400"/>
              <w:rPr>
                <w:rFonts w:hint="default"/>
                <w:color w:val="auto"/>
                <w:sz w:val="24"/>
                <w:szCs w:val="24"/>
                <w:vertAlign w:val="baseline"/>
                <w:lang w:val="en-US" w:eastAsia="zh-CN"/>
              </w:rPr>
            </w:pPr>
            <w:r>
              <w:rPr>
                <w:rFonts w:hint="eastAsia"/>
                <w:color w:val="auto"/>
                <w:sz w:val="24"/>
                <w:szCs w:val="24"/>
                <w:lang w:val="en-US" w:eastAsia="zh-CN"/>
              </w:rPr>
              <w:t>r</w:t>
            </w:r>
            <w:r>
              <w:rPr>
                <w:rFonts w:hint="eastAsia"/>
                <w:color w:val="auto"/>
                <w:sz w:val="24"/>
                <w:szCs w:val="24"/>
                <w:vertAlign w:val="subscript"/>
                <w:lang w:val="en-US" w:eastAsia="zh-CN"/>
              </w:rPr>
              <w:t>0</w:t>
            </w:r>
            <w:r>
              <w:rPr>
                <w:rFonts w:hint="eastAsia"/>
                <w:color w:val="auto"/>
                <w:sz w:val="24"/>
                <w:szCs w:val="24"/>
                <w:lang w:val="en-US" w:eastAsia="zh-CN"/>
              </w:rPr>
              <w:t>—</w:t>
            </w:r>
            <w:r>
              <w:rPr>
                <w:rFonts w:hint="default"/>
                <w:color w:val="auto"/>
                <w:sz w:val="24"/>
                <w:szCs w:val="24"/>
                <w:lang w:val="en-US" w:eastAsia="zh-CN"/>
              </w:rPr>
              <w:t>参考位置距声源的距离，m</w:t>
            </w:r>
            <w:r>
              <w:rPr>
                <w:rFonts w:hint="eastAsia"/>
                <w:color w:val="auto"/>
                <w:sz w:val="24"/>
                <w:szCs w:val="24"/>
                <w:vertAlign w:val="baseline"/>
                <w:lang w:val="en-US" w:eastAsia="zh-CN"/>
              </w:rPr>
              <w:t>。</w:t>
            </w:r>
          </w:p>
          <w:p w14:paraId="18DFFFC7">
            <w:pPr>
              <w:pStyle w:val="63"/>
              <w:keepNext w:val="0"/>
              <w:keepLines w:val="0"/>
              <w:pageBreakBefore w:val="0"/>
              <w:suppressLineNumbers w:val="0"/>
              <w:kinsoku/>
              <w:wordWrap/>
              <w:overflowPunct/>
              <w:topLinePunct w:val="0"/>
              <w:bidi w:val="0"/>
              <w:snapToGrid w:val="0"/>
              <w:spacing w:before="0" w:beforeAutospacing="0" w:after="0" w:afterAutospacing="0" w:line="500" w:lineRule="exact"/>
              <w:ind w:left="0" w:right="0" w:firstLine="480" w:firstLineChars="200"/>
              <w:rPr>
                <w:rFonts w:hint="eastAsia"/>
                <w:color w:val="auto"/>
                <w:sz w:val="24"/>
                <w:szCs w:val="24"/>
                <w:lang w:val="en-US" w:eastAsia="zh-CN"/>
              </w:rPr>
            </w:pPr>
            <w:r>
              <w:rPr>
                <w:color w:val="auto"/>
              </w:rPr>
              <w:drawing>
                <wp:anchor distT="0" distB="0" distL="114300" distR="114300" simplePos="0" relativeHeight="251663360" behindDoc="0" locked="0" layoutInCell="1" allowOverlap="1">
                  <wp:simplePos x="0" y="0"/>
                  <wp:positionH relativeFrom="column">
                    <wp:posOffset>1152525</wp:posOffset>
                  </wp:positionH>
                  <wp:positionV relativeFrom="paragraph">
                    <wp:posOffset>304800</wp:posOffset>
                  </wp:positionV>
                  <wp:extent cx="2135505" cy="593725"/>
                  <wp:effectExtent l="0" t="0" r="17145" b="15875"/>
                  <wp:wrapNone/>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7"/>
                          <a:stretch>
                            <a:fillRect/>
                          </a:stretch>
                        </pic:blipFill>
                        <pic:spPr>
                          <a:xfrm>
                            <a:off x="0" y="0"/>
                            <a:ext cx="2135505" cy="593725"/>
                          </a:xfrm>
                          <a:prstGeom prst="rect">
                            <a:avLst/>
                          </a:prstGeom>
                          <a:noFill/>
                          <a:ln>
                            <a:noFill/>
                          </a:ln>
                        </pic:spPr>
                      </pic:pic>
                    </a:graphicData>
                  </a:graphic>
                </wp:anchor>
              </w:drawing>
            </w:r>
            <w:r>
              <w:rPr>
                <w:rFonts w:hint="eastAsia"/>
                <w:color w:val="auto"/>
                <w:sz w:val="24"/>
                <w:szCs w:val="24"/>
                <w:lang w:val="en-US" w:eastAsia="zh-CN"/>
              </w:rPr>
              <w:t>②噪声贡献值</w:t>
            </w:r>
          </w:p>
          <w:p w14:paraId="24F61034">
            <w:pPr>
              <w:pStyle w:val="63"/>
              <w:keepNext w:val="0"/>
              <w:keepLines w:val="0"/>
              <w:pageBreakBefore w:val="0"/>
              <w:suppressLineNumbers w:val="0"/>
              <w:kinsoku/>
              <w:wordWrap/>
              <w:overflowPunct/>
              <w:topLinePunct w:val="0"/>
              <w:bidi w:val="0"/>
              <w:snapToGrid w:val="0"/>
              <w:spacing w:before="0" w:beforeAutospacing="0" w:after="0" w:afterAutospacing="0" w:line="500" w:lineRule="exact"/>
              <w:ind w:left="0" w:right="0" w:firstLine="480" w:firstLineChars="200"/>
              <w:rPr>
                <w:rFonts w:hint="eastAsia"/>
                <w:color w:val="auto"/>
                <w:sz w:val="24"/>
                <w:szCs w:val="24"/>
                <w:lang w:val="en-US" w:eastAsia="zh-CN"/>
              </w:rPr>
            </w:pPr>
          </w:p>
          <w:p w14:paraId="5031A451">
            <w:pPr>
              <w:pStyle w:val="63"/>
              <w:keepNext w:val="0"/>
              <w:keepLines w:val="0"/>
              <w:pageBreakBefore w:val="0"/>
              <w:suppressLineNumbers w:val="0"/>
              <w:kinsoku/>
              <w:wordWrap/>
              <w:overflowPunct/>
              <w:topLinePunct w:val="0"/>
              <w:bidi w:val="0"/>
              <w:snapToGrid w:val="0"/>
              <w:spacing w:before="0" w:beforeAutospacing="0" w:after="0" w:afterAutospacing="0" w:line="500" w:lineRule="exact"/>
              <w:ind w:left="0" w:right="0" w:firstLine="480" w:firstLineChars="200"/>
              <w:rPr>
                <w:rFonts w:hint="eastAsia"/>
                <w:color w:val="auto"/>
                <w:sz w:val="24"/>
                <w:szCs w:val="24"/>
                <w:lang w:val="en-US" w:eastAsia="zh-CN"/>
              </w:rPr>
            </w:pPr>
          </w:p>
          <w:p w14:paraId="32C4C9C1">
            <w:pPr>
              <w:pStyle w:val="63"/>
              <w:keepNext w:val="0"/>
              <w:keepLines w:val="0"/>
              <w:pageBreakBefore w:val="0"/>
              <w:suppressLineNumbers w:val="0"/>
              <w:kinsoku/>
              <w:wordWrap/>
              <w:overflowPunct/>
              <w:topLinePunct w:val="0"/>
              <w:bidi w:val="0"/>
              <w:snapToGrid w:val="0"/>
              <w:spacing w:before="0" w:beforeAutospacing="0" w:after="0" w:afterAutospacing="0" w:line="500" w:lineRule="exact"/>
              <w:ind w:left="0" w:right="0" w:firstLine="480" w:firstLineChars="200"/>
              <w:rPr>
                <w:rFonts w:hint="eastAsia"/>
                <w:color w:val="auto"/>
                <w:sz w:val="24"/>
                <w:szCs w:val="24"/>
                <w:lang w:val="en-US" w:eastAsia="zh-CN"/>
              </w:rPr>
            </w:pPr>
            <w:r>
              <w:rPr>
                <w:rFonts w:hint="eastAsia"/>
                <w:color w:val="auto"/>
                <w:sz w:val="24"/>
                <w:szCs w:val="24"/>
                <w:lang w:val="en-US" w:eastAsia="zh-CN"/>
              </w:rPr>
              <w:t>式中：L</w:t>
            </w:r>
            <w:r>
              <w:rPr>
                <w:rFonts w:hint="eastAsia"/>
                <w:color w:val="auto"/>
                <w:sz w:val="24"/>
                <w:szCs w:val="24"/>
                <w:vertAlign w:val="subscript"/>
                <w:lang w:val="en-US" w:eastAsia="zh-CN"/>
              </w:rPr>
              <w:t>aqg</w:t>
            </w:r>
            <w:r>
              <w:rPr>
                <w:rFonts w:hint="eastAsia"/>
                <w:color w:val="auto"/>
                <w:sz w:val="24"/>
                <w:szCs w:val="24"/>
                <w:lang w:val="en-US" w:eastAsia="zh-CN"/>
              </w:rPr>
              <w:t>—噪声贡献值，dB；</w:t>
            </w:r>
          </w:p>
          <w:p w14:paraId="1ACDC7E2">
            <w:pPr>
              <w:pStyle w:val="63"/>
              <w:keepNext w:val="0"/>
              <w:keepLines w:val="0"/>
              <w:pageBreakBefore w:val="0"/>
              <w:suppressLineNumbers w:val="0"/>
              <w:kinsoku/>
              <w:wordWrap/>
              <w:overflowPunct/>
              <w:topLinePunct w:val="0"/>
              <w:bidi w:val="0"/>
              <w:snapToGrid w:val="0"/>
              <w:spacing w:before="0" w:beforeAutospacing="0" w:after="0" w:afterAutospacing="0" w:line="500" w:lineRule="exact"/>
              <w:ind w:left="0" w:right="0" w:firstLine="1200" w:firstLineChars="500"/>
              <w:rPr>
                <w:rFonts w:hint="default"/>
                <w:color w:val="auto"/>
                <w:sz w:val="24"/>
                <w:szCs w:val="24"/>
                <w:lang w:val="en-US" w:eastAsia="zh-CN"/>
              </w:rPr>
            </w:pPr>
            <w:r>
              <w:rPr>
                <w:rFonts w:hint="eastAsia"/>
                <w:color w:val="auto"/>
                <w:sz w:val="24"/>
                <w:szCs w:val="24"/>
                <w:lang w:val="en-US" w:eastAsia="zh-CN"/>
              </w:rPr>
              <w:t>T—预测计算的时间段，s；</w:t>
            </w:r>
          </w:p>
          <w:p w14:paraId="575B696E">
            <w:pPr>
              <w:pStyle w:val="63"/>
              <w:keepNext w:val="0"/>
              <w:keepLines w:val="0"/>
              <w:pageBreakBefore w:val="0"/>
              <w:suppressLineNumbers w:val="0"/>
              <w:kinsoku/>
              <w:wordWrap/>
              <w:overflowPunct/>
              <w:topLinePunct w:val="0"/>
              <w:bidi w:val="0"/>
              <w:snapToGrid w:val="0"/>
              <w:spacing w:before="0" w:beforeAutospacing="0" w:after="0" w:afterAutospacing="0" w:line="500" w:lineRule="exact"/>
              <w:ind w:left="0" w:right="0" w:firstLine="1200" w:firstLineChars="500"/>
              <w:rPr>
                <w:rFonts w:hint="default"/>
                <w:color w:val="auto"/>
                <w:sz w:val="24"/>
                <w:szCs w:val="24"/>
                <w:lang w:val="en-US" w:eastAsia="zh-CN"/>
              </w:rPr>
            </w:pPr>
            <w:r>
              <w:rPr>
                <w:rFonts w:hint="eastAsia"/>
                <w:color w:val="auto"/>
                <w:sz w:val="24"/>
                <w:szCs w:val="24"/>
                <w:lang w:val="en-US" w:eastAsia="zh-CN"/>
              </w:rPr>
              <w:t>T</w:t>
            </w:r>
            <w:r>
              <w:rPr>
                <w:rFonts w:hint="eastAsia"/>
                <w:color w:val="auto"/>
                <w:sz w:val="24"/>
                <w:szCs w:val="24"/>
                <w:vertAlign w:val="subscript"/>
                <w:lang w:val="en-US" w:eastAsia="zh-CN"/>
              </w:rPr>
              <w:t>i</w:t>
            </w:r>
            <w:r>
              <w:rPr>
                <w:rFonts w:hint="eastAsia"/>
                <w:color w:val="auto"/>
                <w:sz w:val="24"/>
                <w:szCs w:val="24"/>
                <w:lang w:val="en-US" w:eastAsia="zh-CN"/>
              </w:rPr>
              <w:t>—i声源在T时段内的运行时间，s；</w:t>
            </w:r>
          </w:p>
          <w:p w14:paraId="15A3D29F">
            <w:pPr>
              <w:pStyle w:val="63"/>
              <w:keepNext w:val="0"/>
              <w:keepLines w:val="0"/>
              <w:pageBreakBefore w:val="0"/>
              <w:suppressLineNumbers w:val="0"/>
              <w:kinsoku/>
              <w:wordWrap/>
              <w:overflowPunct/>
              <w:topLinePunct w:val="0"/>
              <w:bidi w:val="0"/>
              <w:snapToGrid w:val="0"/>
              <w:spacing w:before="0" w:beforeAutospacing="0" w:after="0" w:afterAutospacing="0" w:line="500" w:lineRule="exact"/>
              <w:ind w:left="0" w:right="0" w:firstLine="1200" w:firstLineChars="500"/>
              <w:rPr>
                <w:rFonts w:hint="default"/>
                <w:color w:val="auto"/>
                <w:sz w:val="24"/>
                <w:szCs w:val="24"/>
                <w:lang w:val="en-US" w:eastAsia="zh-CN"/>
              </w:rPr>
            </w:pPr>
            <w:r>
              <w:rPr>
                <w:rFonts w:hint="eastAsia"/>
                <w:color w:val="auto"/>
                <w:sz w:val="24"/>
                <w:szCs w:val="24"/>
                <w:lang w:val="en-US" w:eastAsia="zh-CN"/>
              </w:rPr>
              <w:t>L</w:t>
            </w:r>
            <w:r>
              <w:rPr>
                <w:rFonts w:hint="eastAsia"/>
                <w:color w:val="auto"/>
                <w:sz w:val="24"/>
                <w:szCs w:val="24"/>
                <w:vertAlign w:val="subscript"/>
                <w:lang w:val="en-US" w:eastAsia="zh-CN"/>
              </w:rPr>
              <w:t>Ai</w:t>
            </w:r>
            <w:r>
              <w:rPr>
                <w:rFonts w:hint="eastAsia"/>
                <w:color w:val="auto"/>
                <w:sz w:val="24"/>
                <w:szCs w:val="24"/>
                <w:lang w:val="en-US" w:eastAsia="zh-CN"/>
              </w:rPr>
              <w:t>—i声源在预测点产生的等效连续A声级，dB。</w:t>
            </w:r>
          </w:p>
          <w:p w14:paraId="0D6D4FEF">
            <w:pPr>
              <w:pStyle w:val="63"/>
              <w:keepNext w:val="0"/>
              <w:keepLines w:val="0"/>
              <w:pageBreakBefore w:val="0"/>
              <w:suppressLineNumbers w:val="0"/>
              <w:kinsoku/>
              <w:wordWrap/>
              <w:overflowPunct/>
              <w:topLinePunct w:val="0"/>
              <w:bidi w:val="0"/>
              <w:snapToGrid w:val="0"/>
              <w:spacing w:before="0" w:beforeAutospacing="0" w:after="0" w:afterAutospacing="0" w:line="500" w:lineRule="exact"/>
              <w:ind w:left="0" w:right="0" w:firstLine="480" w:firstLineChars="200"/>
              <w:rPr>
                <w:rFonts w:hint="default"/>
                <w:color w:val="auto"/>
                <w:sz w:val="24"/>
                <w:szCs w:val="24"/>
                <w:lang w:val="en-US" w:eastAsia="zh-CN"/>
              </w:rPr>
            </w:pPr>
            <w:r>
              <w:rPr>
                <w:rFonts w:hint="eastAsia"/>
                <w:color w:val="auto"/>
                <w:sz w:val="24"/>
                <w:szCs w:val="24"/>
                <w:lang w:val="en-US" w:eastAsia="zh-CN"/>
              </w:rPr>
              <w:t>③噪声预测值</w:t>
            </w:r>
          </w:p>
          <w:p w14:paraId="14744CCA">
            <w:pPr>
              <w:pStyle w:val="63"/>
              <w:keepNext w:val="0"/>
              <w:keepLines w:val="0"/>
              <w:pageBreakBefore w:val="0"/>
              <w:suppressLineNumbers w:val="0"/>
              <w:kinsoku/>
              <w:wordWrap/>
              <w:overflowPunct/>
              <w:topLinePunct w:val="0"/>
              <w:bidi w:val="0"/>
              <w:snapToGrid w:val="0"/>
              <w:spacing w:before="0" w:beforeAutospacing="0" w:after="0" w:afterAutospacing="0" w:line="500" w:lineRule="exact"/>
              <w:ind w:left="0" w:right="0" w:firstLine="480" w:firstLineChars="200"/>
              <w:rPr>
                <w:rFonts w:hint="default"/>
                <w:color w:val="auto"/>
                <w:sz w:val="24"/>
                <w:szCs w:val="24"/>
                <w:lang w:val="en-US" w:eastAsia="zh-CN"/>
              </w:rPr>
            </w:pPr>
            <w:r>
              <w:rPr>
                <w:color w:val="auto"/>
              </w:rPr>
              <w:drawing>
                <wp:anchor distT="0" distB="0" distL="114300" distR="114300" simplePos="0" relativeHeight="251664384" behindDoc="0" locked="0" layoutInCell="1" allowOverlap="1">
                  <wp:simplePos x="0" y="0"/>
                  <wp:positionH relativeFrom="column">
                    <wp:posOffset>1104900</wp:posOffset>
                  </wp:positionH>
                  <wp:positionV relativeFrom="paragraph">
                    <wp:posOffset>76200</wp:posOffset>
                  </wp:positionV>
                  <wp:extent cx="2447925" cy="485775"/>
                  <wp:effectExtent l="0" t="0" r="9525" b="9525"/>
                  <wp:wrapNone/>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28"/>
                          <a:stretch>
                            <a:fillRect/>
                          </a:stretch>
                        </pic:blipFill>
                        <pic:spPr>
                          <a:xfrm>
                            <a:off x="0" y="0"/>
                            <a:ext cx="2447925" cy="485775"/>
                          </a:xfrm>
                          <a:prstGeom prst="rect">
                            <a:avLst/>
                          </a:prstGeom>
                          <a:noFill/>
                          <a:ln>
                            <a:noFill/>
                          </a:ln>
                        </pic:spPr>
                      </pic:pic>
                    </a:graphicData>
                  </a:graphic>
                </wp:anchor>
              </w:drawing>
            </w:r>
          </w:p>
          <w:p w14:paraId="7BD8E6FA">
            <w:pPr>
              <w:pStyle w:val="63"/>
              <w:keepNext w:val="0"/>
              <w:keepLines w:val="0"/>
              <w:pageBreakBefore w:val="0"/>
              <w:suppressLineNumbers w:val="0"/>
              <w:kinsoku/>
              <w:wordWrap/>
              <w:overflowPunct/>
              <w:topLinePunct w:val="0"/>
              <w:bidi w:val="0"/>
              <w:snapToGrid w:val="0"/>
              <w:spacing w:before="0" w:beforeAutospacing="0" w:after="0" w:afterAutospacing="0" w:line="500" w:lineRule="exact"/>
              <w:ind w:left="0" w:right="0" w:firstLine="480" w:firstLineChars="200"/>
              <w:rPr>
                <w:rFonts w:hint="default"/>
                <w:color w:val="auto"/>
                <w:sz w:val="24"/>
                <w:szCs w:val="24"/>
                <w:lang w:val="en-US" w:eastAsia="zh-CN"/>
              </w:rPr>
            </w:pPr>
          </w:p>
          <w:p w14:paraId="15BB8D58">
            <w:pPr>
              <w:pStyle w:val="63"/>
              <w:keepNext w:val="0"/>
              <w:keepLines w:val="0"/>
              <w:pageBreakBefore w:val="0"/>
              <w:suppressLineNumbers w:val="0"/>
              <w:kinsoku/>
              <w:wordWrap/>
              <w:overflowPunct/>
              <w:topLinePunct w:val="0"/>
              <w:bidi w:val="0"/>
              <w:snapToGrid w:val="0"/>
              <w:spacing w:before="0" w:beforeAutospacing="0" w:after="0" w:afterAutospacing="0" w:line="500" w:lineRule="exact"/>
              <w:ind w:left="0" w:right="0" w:firstLine="480" w:firstLineChars="200"/>
              <w:rPr>
                <w:rFonts w:hint="eastAsia"/>
                <w:color w:val="auto"/>
                <w:sz w:val="24"/>
                <w:szCs w:val="24"/>
                <w:lang w:val="en-US" w:eastAsia="zh-CN"/>
              </w:rPr>
            </w:pPr>
            <w:r>
              <w:rPr>
                <w:rFonts w:hint="eastAsia"/>
                <w:color w:val="auto"/>
                <w:sz w:val="24"/>
                <w:szCs w:val="24"/>
                <w:lang w:val="en-US" w:eastAsia="zh-CN"/>
              </w:rPr>
              <w:t>式中：L</w:t>
            </w:r>
            <w:r>
              <w:rPr>
                <w:rFonts w:hint="eastAsia"/>
                <w:color w:val="auto"/>
                <w:sz w:val="24"/>
                <w:szCs w:val="24"/>
                <w:vertAlign w:val="subscript"/>
                <w:lang w:val="en-US" w:eastAsia="zh-CN"/>
              </w:rPr>
              <w:t>eq</w:t>
            </w:r>
            <w:r>
              <w:rPr>
                <w:rFonts w:hint="eastAsia"/>
                <w:color w:val="auto"/>
                <w:sz w:val="24"/>
                <w:szCs w:val="24"/>
                <w:lang w:val="en-US" w:eastAsia="zh-CN"/>
              </w:rPr>
              <w:t>—预测点的噪声预测值，dB；</w:t>
            </w:r>
          </w:p>
          <w:p w14:paraId="4756B627">
            <w:pPr>
              <w:pStyle w:val="63"/>
              <w:keepNext w:val="0"/>
              <w:keepLines w:val="0"/>
              <w:pageBreakBefore w:val="0"/>
              <w:suppressLineNumbers w:val="0"/>
              <w:kinsoku/>
              <w:wordWrap/>
              <w:overflowPunct/>
              <w:topLinePunct w:val="0"/>
              <w:bidi w:val="0"/>
              <w:snapToGrid w:val="0"/>
              <w:spacing w:before="0" w:beforeAutospacing="0" w:after="0" w:afterAutospacing="0" w:line="500" w:lineRule="exact"/>
              <w:ind w:left="0" w:right="0" w:firstLine="480" w:firstLineChars="200"/>
              <w:rPr>
                <w:rFonts w:hint="default"/>
                <w:color w:val="auto"/>
                <w:sz w:val="24"/>
                <w:szCs w:val="24"/>
                <w:lang w:val="en-US" w:eastAsia="zh-CN"/>
              </w:rPr>
            </w:pPr>
            <w:r>
              <w:rPr>
                <w:rFonts w:hint="eastAsia"/>
                <w:color w:val="auto"/>
                <w:sz w:val="24"/>
                <w:szCs w:val="24"/>
                <w:lang w:val="en-US" w:eastAsia="zh-CN"/>
              </w:rPr>
              <w:t>L</w:t>
            </w:r>
            <w:r>
              <w:rPr>
                <w:rFonts w:hint="eastAsia"/>
                <w:color w:val="auto"/>
                <w:sz w:val="24"/>
                <w:szCs w:val="24"/>
                <w:vertAlign w:val="subscript"/>
                <w:lang w:val="en-US" w:eastAsia="zh-CN"/>
              </w:rPr>
              <w:t>eqg</w:t>
            </w:r>
            <w:r>
              <w:rPr>
                <w:rFonts w:hint="eastAsia"/>
                <w:color w:val="auto"/>
                <w:sz w:val="24"/>
                <w:szCs w:val="24"/>
                <w:lang w:val="en-US" w:eastAsia="zh-CN"/>
              </w:rPr>
              <w:t>—建设项目声源在预测点产生的噪声贡献值，dB；</w:t>
            </w:r>
          </w:p>
          <w:p w14:paraId="70B11BB4">
            <w:pPr>
              <w:pStyle w:val="63"/>
              <w:keepNext w:val="0"/>
              <w:keepLines w:val="0"/>
              <w:pageBreakBefore w:val="0"/>
              <w:suppressLineNumbers w:val="0"/>
              <w:kinsoku/>
              <w:wordWrap/>
              <w:overflowPunct/>
              <w:topLinePunct w:val="0"/>
              <w:bidi w:val="0"/>
              <w:snapToGrid w:val="0"/>
              <w:spacing w:before="0" w:beforeAutospacing="0" w:after="0" w:afterAutospacing="0" w:line="500" w:lineRule="exact"/>
              <w:ind w:left="0" w:right="0" w:firstLine="480" w:firstLineChars="200"/>
              <w:rPr>
                <w:rFonts w:hint="default"/>
                <w:color w:val="auto"/>
                <w:sz w:val="24"/>
                <w:szCs w:val="24"/>
                <w:lang w:val="en-US" w:eastAsia="zh-CN"/>
              </w:rPr>
            </w:pPr>
            <w:r>
              <w:rPr>
                <w:rFonts w:hint="eastAsia"/>
                <w:color w:val="auto"/>
                <w:sz w:val="24"/>
                <w:szCs w:val="24"/>
                <w:lang w:val="en-US" w:eastAsia="zh-CN"/>
              </w:rPr>
              <w:t>L</w:t>
            </w:r>
            <w:r>
              <w:rPr>
                <w:rFonts w:hint="eastAsia"/>
                <w:color w:val="auto"/>
                <w:sz w:val="24"/>
                <w:szCs w:val="24"/>
                <w:vertAlign w:val="subscript"/>
                <w:lang w:val="en-US" w:eastAsia="zh-CN"/>
              </w:rPr>
              <w:t>eqg</w:t>
            </w:r>
            <w:r>
              <w:rPr>
                <w:rFonts w:hint="eastAsia"/>
                <w:color w:val="auto"/>
                <w:sz w:val="24"/>
                <w:szCs w:val="24"/>
                <w:lang w:val="en-US" w:eastAsia="zh-CN"/>
              </w:rPr>
              <w:t>—预测点的背景噪声值，dB。</w:t>
            </w:r>
          </w:p>
          <w:p w14:paraId="54C53CDF">
            <w:pPr>
              <w:keepNext w:val="0"/>
              <w:keepLines w:val="0"/>
              <w:pageBreakBefore w:val="0"/>
              <w:suppressLineNumbers w:val="0"/>
              <w:kinsoku/>
              <w:wordWrap/>
              <w:overflowPunct/>
              <w:topLinePunct w:val="0"/>
              <w:bidi w:val="0"/>
              <w:spacing w:before="0" w:beforeAutospacing="0" w:after="0" w:afterAutospacing="0" w:line="500" w:lineRule="exact"/>
              <w:ind w:left="0" w:right="0" w:firstLine="480" w:firstLineChars="200"/>
              <w:rPr>
                <w:rFonts w:hint="default"/>
                <w:color w:val="auto"/>
                <w:sz w:val="24"/>
                <w:szCs w:val="32"/>
              </w:rPr>
            </w:pPr>
            <w:r>
              <w:rPr>
                <w:rFonts w:hint="eastAsia"/>
                <w:color w:val="auto"/>
                <w:sz w:val="24"/>
                <w:szCs w:val="32"/>
                <w:lang w:val="en-US" w:eastAsia="zh-CN"/>
              </w:rPr>
              <w:t>（2）预测结果</w:t>
            </w:r>
          </w:p>
          <w:p w14:paraId="6CD07C5B">
            <w:pPr>
              <w:pStyle w:val="6"/>
              <w:spacing w:line="240" w:lineRule="auto"/>
              <w:jc w:val="center"/>
              <w:rPr>
                <w:rFonts w:hint="default"/>
                <w:color w:val="auto"/>
                <w:sz w:val="21"/>
                <w:szCs w:val="21"/>
                <w:lang w:val="en-US" w:eastAsia="zh-CN"/>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4-</w:t>
            </w:r>
            <w:r>
              <w:rPr>
                <w:rFonts w:hint="eastAsia" w:cs="Times New Roman"/>
                <w:b/>
                <w:bCs/>
                <w:color w:val="auto"/>
                <w:sz w:val="21"/>
                <w:szCs w:val="21"/>
                <w:lang w:val="en-US" w:eastAsia="zh-CN"/>
              </w:rPr>
              <w:t>10项目厂界声环境影响贡献值分析  单位：</w:t>
            </w:r>
            <w:r>
              <w:rPr>
                <w:rFonts w:hint="default"/>
                <w:color w:val="auto"/>
                <w:sz w:val="21"/>
                <w:szCs w:val="21"/>
                <w:lang w:val="en-US" w:eastAsia="zh-CN"/>
              </w:rPr>
              <w:t>dB(A)</w:t>
            </w:r>
          </w:p>
          <w:tbl>
            <w:tblPr>
              <w:tblStyle w:val="25"/>
              <w:tblW w:w="8380"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45"/>
              <w:gridCol w:w="703"/>
              <w:gridCol w:w="703"/>
              <w:gridCol w:w="820"/>
              <w:gridCol w:w="820"/>
              <w:gridCol w:w="790"/>
              <w:gridCol w:w="791"/>
              <w:gridCol w:w="753"/>
              <w:gridCol w:w="755"/>
            </w:tblGrid>
            <w:tr w14:paraId="23647F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2245" w:type="dxa"/>
                  <w:vMerge w:val="restart"/>
                  <w:vAlign w:val="center"/>
                </w:tcPr>
                <w:p w14:paraId="059384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点位</w:t>
                  </w:r>
                </w:p>
              </w:tc>
              <w:tc>
                <w:tcPr>
                  <w:tcW w:w="1406" w:type="dxa"/>
                  <w:gridSpan w:val="2"/>
                  <w:vAlign w:val="center"/>
                </w:tcPr>
                <w:p w14:paraId="4C9D96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东厂界</w:t>
                  </w:r>
                </w:p>
              </w:tc>
              <w:tc>
                <w:tcPr>
                  <w:tcW w:w="1640" w:type="dxa"/>
                  <w:gridSpan w:val="2"/>
                  <w:vAlign w:val="center"/>
                </w:tcPr>
                <w:p w14:paraId="06BEB7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南厂界</w:t>
                  </w:r>
                </w:p>
              </w:tc>
              <w:tc>
                <w:tcPr>
                  <w:tcW w:w="1581" w:type="dxa"/>
                  <w:gridSpan w:val="2"/>
                  <w:vAlign w:val="center"/>
                </w:tcPr>
                <w:p w14:paraId="6B45F3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西厂界</w:t>
                  </w:r>
                </w:p>
              </w:tc>
              <w:tc>
                <w:tcPr>
                  <w:tcW w:w="1508" w:type="dxa"/>
                  <w:gridSpan w:val="2"/>
                  <w:vAlign w:val="center"/>
                </w:tcPr>
                <w:p w14:paraId="1CF0BD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北厂界</w:t>
                  </w:r>
                </w:p>
              </w:tc>
            </w:tr>
            <w:tr w14:paraId="1FA746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2245" w:type="dxa"/>
                  <w:vMerge w:val="continue"/>
                  <w:vAlign w:val="center"/>
                </w:tcPr>
                <w:p w14:paraId="543A84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pPr>
                </w:p>
              </w:tc>
              <w:tc>
                <w:tcPr>
                  <w:tcW w:w="703" w:type="dxa"/>
                  <w:vAlign w:val="center"/>
                </w:tcPr>
                <w:p w14:paraId="3518A6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昼间</w:t>
                  </w:r>
                </w:p>
              </w:tc>
              <w:tc>
                <w:tcPr>
                  <w:tcW w:w="703" w:type="dxa"/>
                  <w:vAlign w:val="center"/>
                </w:tcPr>
                <w:p w14:paraId="1A8D8C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夜间</w:t>
                  </w:r>
                </w:p>
              </w:tc>
              <w:tc>
                <w:tcPr>
                  <w:tcW w:w="820" w:type="dxa"/>
                  <w:vAlign w:val="center"/>
                </w:tcPr>
                <w:p w14:paraId="54B06A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昼间</w:t>
                  </w:r>
                </w:p>
              </w:tc>
              <w:tc>
                <w:tcPr>
                  <w:tcW w:w="820" w:type="dxa"/>
                  <w:vAlign w:val="center"/>
                </w:tcPr>
                <w:p w14:paraId="4ACDA0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夜间</w:t>
                  </w:r>
                </w:p>
              </w:tc>
              <w:tc>
                <w:tcPr>
                  <w:tcW w:w="790" w:type="dxa"/>
                  <w:vAlign w:val="center"/>
                </w:tcPr>
                <w:p w14:paraId="2635AD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昼间</w:t>
                  </w:r>
                </w:p>
              </w:tc>
              <w:tc>
                <w:tcPr>
                  <w:tcW w:w="791" w:type="dxa"/>
                  <w:vAlign w:val="center"/>
                </w:tcPr>
                <w:p w14:paraId="3E5362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夜间</w:t>
                  </w:r>
                </w:p>
              </w:tc>
              <w:tc>
                <w:tcPr>
                  <w:tcW w:w="753" w:type="dxa"/>
                  <w:vAlign w:val="center"/>
                </w:tcPr>
                <w:p w14:paraId="775B05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昼间</w:t>
                  </w:r>
                </w:p>
              </w:tc>
              <w:tc>
                <w:tcPr>
                  <w:tcW w:w="755" w:type="dxa"/>
                  <w:vAlign w:val="center"/>
                </w:tcPr>
                <w:p w14:paraId="74ACD6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夜间</w:t>
                  </w:r>
                </w:p>
              </w:tc>
            </w:tr>
            <w:tr w14:paraId="22B47B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45" w:type="dxa"/>
                  <w:vAlign w:val="center"/>
                </w:tcPr>
                <w:p w14:paraId="705348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背景值</w:t>
                  </w:r>
                </w:p>
              </w:tc>
              <w:tc>
                <w:tcPr>
                  <w:tcW w:w="703" w:type="dxa"/>
                  <w:vAlign w:val="center"/>
                </w:tcPr>
                <w:p w14:paraId="6C5D0D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52</w:t>
                  </w:r>
                </w:p>
              </w:tc>
              <w:tc>
                <w:tcPr>
                  <w:tcW w:w="703" w:type="dxa"/>
                  <w:vAlign w:val="center"/>
                </w:tcPr>
                <w:p w14:paraId="119FD1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46.5</w:t>
                  </w:r>
                </w:p>
              </w:tc>
              <w:tc>
                <w:tcPr>
                  <w:tcW w:w="820" w:type="dxa"/>
                  <w:vAlign w:val="center"/>
                </w:tcPr>
                <w:p w14:paraId="0705AA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47.5</w:t>
                  </w:r>
                </w:p>
              </w:tc>
              <w:tc>
                <w:tcPr>
                  <w:tcW w:w="820" w:type="dxa"/>
                  <w:vAlign w:val="center"/>
                </w:tcPr>
                <w:p w14:paraId="153E9B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44.5</w:t>
                  </w:r>
                </w:p>
              </w:tc>
              <w:tc>
                <w:tcPr>
                  <w:tcW w:w="790" w:type="dxa"/>
                  <w:vAlign w:val="center"/>
                </w:tcPr>
                <w:p w14:paraId="0010BB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50.5</w:t>
                  </w:r>
                </w:p>
              </w:tc>
              <w:tc>
                <w:tcPr>
                  <w:tcW w:w="791" w:type="dxa"/>
                  <w:vAlign w:val="center"/>
                </w:tcPr>
                <w:p w14:paraId="267FC7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46.5</w:t>
                  </w:r>
                </w:p>
              </w:tc>
              <w:tc>
                <w:tcPr>
                  <w:tcW w:w="753" w:type="dxa"/>
                  <w:vAlign w:val="center"/>
                </w:tcPr>
                <w:p w14:paraId="6593A6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48.5</w:t>
                  </w:r>
                </w:p>
              </w:tc>
              <w:tc>
                <w:tcPr>
                  <w:tcW w:w="755" w:type="dxa"/>
                  <w:vAlign w:val="center"/>
                </w:tcPr>
                <w:p w14:paraId="7C22B2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44</w:t>
                  </w:r>
                </w:p>
              </w:tc>
            </w:tr>
            <w:tr w14:paraId="0433C7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45" w:type="dxa"/>
                  <w:vAlign w:val="center"/>
                </w:tcPr>
                <w:p w14:paraId="00D422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贡献值</w:t>
                  </w:r>
                </w:p>
              </w:tc>
              <w:tc>
                <w:tcPr>
                  <w:tcW w:w="703" w:type="dxa"/>
                  <w:vAlign w:val="center"/>
                </w:tcPr>
                <w:p w14:paraId="353764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44.0</w:t>
                  </w:r>
                </w:p>
              </w:tc>
              <w:tc>
                <w:tcPr>
                  <w:tcW w:w="703" w:type="dxa"/>
                  <w:vAlign w:val="center"/>
                </w:tcPr>
                <w:p w14:paraId="1B0F64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w:t>
                  </w:r>
                </w:p>
              </w:tc>
              <w:tc>
                <w:tcPr>
                  <w:tcW w:w="820" w:type="dxa"/>
                  <w:vAlign w:val="center"/>
                </w:tcPr>
                <w:p w14:paraId="53EA34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53.8</w:t>
                  </w:r>
                </w:p>
              </w:tc>
              <w:tc>
                <w:tcPr>
                  <w:tcW w:w="820" w:type="dxa"/>
                  <w:vAlign w:val="center"/>
                </w:tcPr>
                <w:p w14:paraId="7CE29D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w:t>
                  </w:r>
                </w:p>
              </w:tc>
              <w:tc>
                <w:tcPr>
                  <w:tcW w:w="790" w:type="dxa"/>
                  <w:vAlign w:val="center"/>
                </w:tcPr>
                <w:p w14:paraId="1FD2A1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51.2</w:t>
                  </w:r>
                </w:p>
              </w:tc>
              <w:tc>
                <w:tcPr>
                  <w:tcW w:w="791" w:type="dxa"/>
                  <w:vAlign w:val="center"/>
                </w:tcPr>
                <w:p w14:paraId="646D88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w:t>
                  </w:r>
                </w:p>
              </w:tc>
              <w:tc>
                <w:tcPr>
                  <w:tcW w:w="753" w:type="dxa"/>
                  <w:vAlign w:val="center"/>
                </w:tcPr>
                <w:p w14:paraId="6A2543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49.2</w:t>
                  </w:r>
                </w:p>
              </w:tc>
              <w:tc>
                <w:tcPr>
                  <w:tcW w:w="755" w:type="dxa"/>
                  <w:vAlign w:val="center"/>
                </w:tcPr>
                <w:p w14:paraId="450DFC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w:t>
                  </w:r>
                </w:p>
              </w:tc>
            </w:tr>
            <w:tr w14:paraId="3A390C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45" w:type="dxa"/>
                  <w:vAlign w:val="center"/>
                </w:tcPr>
                <w:p w14:paraId="3A0701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预测值</w:t>
                  </w:r>
                </w:p>
              </w:tc>
              <w:tc>
                <w:tcPr>
                  <w:tcW w:w="703" w:type="dxa"/>
                  <w:vAlign w:val="center"/>
                </w:tcPr>
                <w:p w14:paraId="6B515A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52.6</w:t>
                  </w:r>
                </w:p>
              </w:tc>
              <w:tc>
                <w:tcPr>
                  <w:tcW w:w="703" w:type="dxa"/>
                  <w:vAlign w:val="center"/>
                </w:tcPr>
                <w:p w14:paraId="7B618E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48.8</w:t>
                  </w:r>
                </w:p>
              </w:tc>
              <w:tc>
                <w:tcPr>
                  <w:tcW w:w="820" w:type="dxa"/>
                  <w:vAlign w:val="center"/>
                </w:tcPr>
                <w:p w14:paraId="0A15D7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54.7</w:t>
                  </w:r>
                </w:p>
              </w:tc>
              <w:tc>
                <w:tcPr>
                  <w:tcW w:w="820" w:type="dxa"/>
                  <w:vAlign w:val="center"/>
                </w:tcPr>
                <w:p w14:paraId="346C95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48.6</w:t>
                  </w:r>
                </w:p>
              </w:tc>
              <w:tc>
                <w:tcPr>
                  <w:tcW w:w="790" w:type="dxa"/>
                  <w:vAlign w:val="center"/>
                </w:tcPr>
                <w:p w14:paraId="37889D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color w:val="auto"/>
                      <w:sz w:val="21"/>
                      <w:szCs w:val="21"/>
                      <w:lang w:val="en-US" w:eastAsia="zh-CN"/>
                    </w:rPr>
                  </w:pPr>
                  <w:r>
                    <w:rPr>
                      <w:rFonts w:hint="eastAsia"/>
                      <w:color w:val="auto"/>
                      <w:sz w:val="21"/>
                      <w:szCs w:val="21"/>
                      <w:lang w:val="en-US" w:eastAsia="zh-CN"/>
                    </w:rPr>
                    <w:t>53.9</w:t>
                  </w:r>
                </w:p>
              </w:tc>
              <w:tc>
                <w:tcPr>
                  <w:tcW w:w="791" w:type="dxa"/>
                  <w:vAlign w:val="center"/>
                </w:tcPr>
                <w:p w14:paraId="0F5026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47.8</w:t>
                  </w:r>
                </w:p>
              </w:tc>
              <w:tc>
                <w:tcPr>
                  <w:tcW w:w="753" w:type="dxa"/>
                  <w:vAlign w:val="center"/>
                </w:tcPr>
                <w:p w14:paraId="1FE122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51.8</w:t>
                  </w:r>
                </w:p>
              </w:tc>
              <w:tc>
                <w:tcPr>
                  <w:tcW w:w="755" w:type="dxa"/>
                  <w:vAlign w:val="center"/>
                </w:tcPr>
                <w:p w14:paraId="6D10A3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43.2</w:t>
                  </w:r>
                </w:p>
              </w:tc>
            </w:tr>
            <w:tr w14:paraId="790A2F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45" w:type="dxa"/>
                  <w:vAlign w:val="center"/>
                </w:tcPr>
                <w:p w14:paraId="6E0F7F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标准值</w:t>
                  </w:r>
                </w:p>
              </w:tc>
              <w:tc>
                <w:tcPr>
                  <w:tcW w:w="703" w:type="dxa"/>
                  <w:vAlign w:val="center"/>
                </w:tcPr>
                <w:p w14:paraId="5552D0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65</w:t>
                  </w:r>
                </w:p>
              </w:tc>
              <w:tc>
                <w:tcPr>
                  <w:tcW w:w="703" w:type="dxa"/>
                  <w:vAlign w:val="center"/>
                </w:tcPr>
                <w:p w14:paraId="668FC2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55</w:t>
                  </w:r>
                </w:p>
              </w:tc>
              <w:tc>
                <w:tcPr>
                  <w:tcW w:w="820" w:type="dxa"/>
                  <w:vAlign w:val="center"/>
                </w:tcPr>
                <w:p w14:paraId="33DD18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65</w:t>
                  </w:r>
                </w:p>
              </w:tc>
              <w:tc>
                <w:tcPr>
                  <w:tcW w:w="820" w:type="dxa"/>
                  <w:vAlign w:val="center"/>
                </w:tcPr>
                <w:p w14:paraId="796E63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55</w:t>
                  </w:r>
                </w:p>
              </w:tc>
              <w:tc>
                <w:tcPr>
                  <w:tcW w:w="790" w:type="dxa"/>
                  <w:vAlign w:val="center"/>
                </w:tcPr>
                <w:p w14:paraId="4D3D8E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65</w:t>
                  </w:r>
                </w:p>
              </w:tc>
              <w:tc>
                <w:tcPr>
                  <w:tcW w:w="791" w:type="dxa"/>
                  <w:vAlign w:val="center"/>
                </w:tcPr>
                <w:p w14:paraId="09E135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55</w:t>
                  </w:r>
                </w:p>
              </w:tc>
              <w:tc>
                <w:tcPr>
                  <w:tcW w:w="753" w:type="dxa"/>
                  <w:vAlign w:val="center"/>
                </w:tcPr>
                <w:p w14:paraId="01859D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65</w:t>
                  </w:r>
                </w:p>
              </w:tc>
              <w:tc>
                <w:tcPr>
                  <w:tcW w:w="755" w:type="dxa"/>
                  <w:vAlign w:val="center"/>
                </w:tcPr>
                <w:p w14:paraId="531CFF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55</w:t>
                  </w:r>
                </w:p>
              </w:tc>
            </w:tr>
          </w:tbl>
          <w:p w14:paraId="5B198621">
            <w:pPr>
              <w:keepNext w:val="0"/>
              <w:keepLines w:val="0"/>
              <w:pageBreakBefore w:val="0"/>
              <w:suppressLineNumbers w:val="0"/>
              <w:kinsoku/>
              <w:wordWrap/>
              <w:overflowPunct/>
              <w:topLinePunct w:val="0"/>
              <w:bidi w:val="0"/>
              <w:adjustRightInd w:val="0"/>
              <w:snapToGrid w:val="0"/>
              <w:spacing w:before="0" w:beforeAutospacing="0" w:after="0" w:afterAutospacing="0" w:line="500" w:lineRule="exact"/>
              <w:ind w:left="0" w:right="0" w:firstLine="480" w:firstLineChars="200"/>
              <w:rPr>
                <w:rFonts w:hint="default"/>
                <w:color w:val="auto"/>
                <w:sz w:val="24"/>
                <w:szCs w:val="32"/>
              </w:rPr>
            </w:pPr>
            <w:r>
              <w:rPr>
                <w:rFonts w:hint="eastAsia"/>
                <w:color w:val="auto"/>
                <w:sz w:val="24"/>
                <w:szCs w:val="32"/>
                <w:lang w:val="en-US" w:eastAsia="zh-CN"/>
              </w:rPr>
              <w:t>由上表可知项目运营后，厂界昼夜噪声满足</w:t>
            </w:r>
            <w:r>
              <w:rPr>
                <w:rFonts w:hint="default"/>
                <w:color w:val="auto"/>
                <w:sz w:val="24"/>
                <w:szCs w:val="32"/>
              </w:rPr>
              <w:t>《工业企业厂界环境噪声排放标准》（GB12348–2008）中</w:t>
            </w:r>
            <w:r>
              <w:rPr>
                <w:rFonts w:hint="eastAsia"/>
                <w:color w:val="auto"/>
                <w:sz w:val="24"/>
                <w:szCs w:val="32"/>
                <w:lang w:val="en-US" w:eastAsia="zh-CN"/>
              </w:rPr>
              <w:t>3</w:t>
            </w:r>
            <w:r>
              <w:rPr>
                <w:rFonts w:hint="default"/>
                <w:color w:val="auto"/>
                <w:sz w:val="24"/>
                <w:szCs w:val="32"/>
              </w:rPr>
              <w:t>类标准，即昼间≤6</w:t>
            </w:r>
            <w:r>
              <w:rPr>
                <w:rFonts w:hint="eastAsia"/>
                <w:color w:val="auto"/>
                <w:sz w:val="24"/>
                <w:szCs w:val="32"/>
                <w:lang w:val="en-US" w:eastAsia="zh-CN"/>
              </w:rPr>
              <w:t>5</w:t>
            </w:r>
            <w:r>
              <w:rPr>
                <w:rFonts w:hint="default"/>
                <w:color w:val="auto"/>
                <w:sz w:val="24"/>
                <w:szCs w:val="32"/>
              </w:rPr>
              <w:t>dB</w:t>
            </w:r>
            <w:r>
              <w:rPr>
                <w:rFonts w:hint="eastAsia"/>
                <w:color w:val="auto"/>
                <w:sz w:val="24"/>
                <w:szCs w:val="32"/>
                <w:lang w:eastAsia="zh-CN"/>
              </w:rPr>
              <w:t>（</w:t>
            </w:r>
            <w:r>
              <w:rPr>
                <w:rFonts w:hint="default"/>
                <w:color w:val="auto"/>
                <w:sz w:val="24"/>
                <w:szCs w:val="32"/>
              </w:rPr>
              <w:t>A</w:t>
            </w:r>
            <w:r>
              <w:rPr>
                <w:rFonts w:hint="eastAsia"/>
                <w:color w:val="auto"/>
                <w:sz w:val="24"/>
                <w:szCs w:val="32"/>
                <w:lang w:eastAsia="zh-CN"/>
              </w:rPr>
              <w:t>）</w:t>
            </w:r>
            <w:r>
              <w:rPr>
                <w:rFonts w:hint="default"/>
                <w:color w:val="auto"/>
                <w:sz w:val="24"/>
                <w:szCs w:val="32"/>
                <w:lang w:eastAsia="zh-CN"/>
              </w:rPr>
              <w:t>、夜间</w:t>
            </w:r>
            <w:r>
              <w:rPr>
                <w:rFonts w:hint="default"/>
                <w:color w:val="auto"/>
                <w:sz w:val="24"/>
                <w:szCs w:val="32"/>
              </w:rPr>
              <w:t>≤</w:t>
            </w:r>
            <w:r>
              <w:rPr>
                <w:rFonts w:hint="default"/>
                <w:color w:val="auto"/>
                <w:sz w:val="24"/>
                <w:szCs w:val="32"/>
                <w:lang w:val="en-US" w:eastAsia="zh-CN"/>
              </w:rPr>
              <w:t>5</w:t>
            </w:r>
            <w:r>
              <w:rPr>
                <w:rFonts w:hint="eastAsia"/>
                <w:color w:val="auto"/>
                <w:sz w:val="24"/>
                <w:szCs w:val="32"/>
                <w:lang w:val="en-US" w:eastAsia="zh-CN"/>
              </w:rPr>
              <w:t>5</w:t>
            </w:r>
            <w:r>
              <w:rPr>
                <w:rFonts w:hint="default"/>
                <w:color w:val="auto"/>
                <w:sz w:val="24"/>
                <w:szCs w:val="32"/>
              </w:rPr>
              <w:t>dB</w:t>
            </w:r>
            <w:r>
              <w:rPr>
                <w:rFonts w:hint="eastAsia"/>
                <w:color w:val="auto"/>
                <w:sz w:val="24"/>
                <w:szCs w:val="32"/>
                <w:lang w:eastAsia="zh-CN"/>
              </w:rPr>
              <w:t>（</w:t>
            </w:r>
            <w:r>
              <w:rPr>
                <w:rFonts w:hint="default"/>
                <w:color w:val="auto"/>
                <w:sz w:val="24"/>
                <w:szCs w:val="32"/>
              </w:rPr>
              <w:t>A</w:t>
            </w:r>
            <w:r>
              <w:rPr>
                <w:rFonts w:hint="eastAsia"/>
                <w:color w:val="auto"/>
                <w:sz w:val="24"/>
                <w:szCs w:val="32"/>
                <w:lang w:eastAsia="zh-CN"/>
              </w:rPr>
              <w:t>）</w:t>
            </w:r>
            <w:r>
              <w:rPr>
                <w:rFonts w:hint="default"/>
                <w:color w:val="auto"/>
                <w:sz w:val="24"/>
                <w:szCs w:val="32"/>
                <w:lang w:eastAsia="zh-CN"/>
              </w:rPr>
              <w:t>，项目</w:t>
            </w:r>
            <w:r>
              <w:rPr>
                <w:rFonts w:hint="default"/>
                <w:color w:val="auto"/>
                <w:sz w:val="24"/>
                <w:szCs w:val="32"/>
              </w:rPr>
              <w:t>周边50m范围内无敏感目标，因此，本项目对周边声环境影响较小。</w:t>
            </w:r>
          </w:p>
          <w:p w14:paraId="570233C3">
            <w:pPr>
              <w:keepNext w:val="0"/>
              <w:keepLines w:val="0"/>
              <w:pageBreakBefore w:val="0"/>
              <w:suppressLineNumbers w:val="0"/>
              <w:kinsoku/>
              <w:wordWrap/>
              <w:overflowPunct/>
              <w:topLinePunct w:val="0"/>
              <w:bidi w:val="0"/>
              <w:spacing w:before="0" w:beforeAutospacing="0" w:after="0" w:afterAutospacing="0" w:line="500" w:lineRule="exact"/>
              <w:ind w:left="0" w:right="0" w:firstLine="482" w:firstLineChars="200"/>
              <w:rPr>
                <w:rFonts w:hint="default" w:ascii="Times New Roman" w:hAnsi="Times New Roman" w:eastAsia="宋体" w:cs="Times New Roman"/>
                <w:b/>
                <w:bCs/>
                <w:color w:val="auto"/>
                <w:sz w:val="24"/>
                <w:szCs w:val="32"/>
                <w:lang w:val="en-US" w:eastAsia="zh-CN"/>
              </w:rPr>
            </w:pPr>
            <w:r>
              <w:rPr>
                <w:rFonts w:hint="default" w:ascii="Times New Roman" w:hAnsi="Times New Roman" w:eastAsia="宋体" w:cs="Times New Roman"/>
                <w:b/>
                <w:bCs/>
                <w:color w:val="auto"/>
                <w:sz w:val="24"/>
                <w:szCs w:val="32"/>
                <w:lang w:val="en-US" w:eastAsia="zh-CN"/>
              </w:rPr>
              <w:t>3.</w:t>
            </w:r>
            <w:r>
              <w:rPr>
                <w:rFonts w:hint="eastAsia" w:cs="Times New Roman"/>
                <w:b/>
                <w:bCs/>
                <w:color w:val="auto"/>
                <w:sz w:val="24"/>
                <w:szCs w:val="32"/>
                <w:lang w:val="en-US" w:eastAsia="zh-CN"/>
              </w:rPr>
              <w:t>5</w:t>
            </w:r>
            <w:r>
              <w:rPr>
                <w:rFonts w:hint="default" w:ascii="Times New Roman" w:hAnsi="Times New Roman" w:eastAsia="宋体" w:cs="Times New Roman"/>
                <w:b/>
                <w:bCs/>
                <w:color w:val="auto"/>
                <w:sz w:val="24"/>
                <w:szCs w:val="32"/>
                <w:lang w:val="en-US" w:eastAsia="zh-CN"/>
              </w:rPr>
              <w:t>监测要求</w:t>
            </w:r>
          </w:p>
          <w:p w14:paraId="48E5778B">
            <w:pPr>
              <w:keepNext w:val="0"/>
              <w:keepLines w:val="0"/>
              <w:pageBreakBefore w:val="0"/>
              <w:suppressLineNumbers w:val="0"/>
              <w:kinsoku/>
              <w:wordWrap/>
              <w:overflowPunct/>
              <w:topLinePunct w:val="0"/>
              <w:bidi w:val="0"/>
              <w:spacing w:before="0" w:beforeAutospacing="0" w:after="0" w:afterAutospacing="0" w:line="500" w:lineRule="exact"/>
              <w:ind w:left="0" w:right="0" w:firstLine="480" w:firstLineChars="200"/>
              <w:rPr>
                <w:rFonts w:hint="default"/>
                <w:color w:val="auto"/>
                <w:sz w:val="24"/>
                <w:szCs w:val="32"/>
                <w:lang w:eastAsia="zh-CN"/>
              </w:rPr>
            </w:pPr>
            <w:r>
              <w:rPr>
                <w:rFonts w:hint="default"/>
                <w:color w:val="auto"/>
                <w:sz w:val="24"/>
                <w:szCs w:val="32"/>
              </w:rPr>
              <w:t>参照《排污单位自行监测技术指南总则》（HJ819-2017）以及</w:t>
            </w:r>
            <w:r>
              <w:rPr>
                <w:rFonts w:hint="default"/>
                <w:color w:val="auto"/>
                <w:sz w:val="24"/>
                <w:szCs w:val="32"/>
                <w:lang w:val="en-US" w:eastAsia="zh-CN"/>
              </w:rPr>
              <w:t>《排污许可证申请与核发技术规范</w:t>
            </w:r>
            <w:r>
              <w:rPr>
                <w:rFonts w:hint="eastAsia"/>
                <w:color w:val="auto"/>
                <w:sz w:val="24"/>
                <w:szCs w:val="32"/>
                <w:lang w:val="en-US" w:eastAsia="zh-CN"/>
              </w:rPr>
              <w:t>陶瓷砖瓦行业</w:t>
            </w:r>
            <w:r>
              <w:rPr>
                <w:rFonts w:hint="default"/>
                <w:color w:val="auto"/>
                <w:sz w:val="24"/>
                <w:szCs w:val="32"/>
                <w:lang w:val="en-US" w:eastAsia="zh-CN"/>
              </w:rPr>
              <w:t>》（HJ</w:t>
            </w:r>
            <w:r>
              <w:rPr>
                <w:rFonts w:hint="eastAsia"/>
                <w:color w:val="auto"/>
                <w:sz w:val="24"/>
                <w:szCs w:val="32"/>
                <w:lang w:val="en-US" w:eastAsia="zh-CN"/>
              </w:rPr>
              <w:t>954</w:t>
            </w:r>
            <w:r>
              <w:rPr>
                <w:rFonts w:hint="default"/>
                <w:color w:val="auto"/>
                <w:sz w:val="24"/>
                <w:szCs w:val="32"/>
                <w:lang w:val="en-US" w:eastAsia="zh-CN"/>
              </w:rPr>
              <w:t>-20</w:t>
            </w:r>
            <w:r>
              <w:rPr>
                <w:rFonts w:hint="eastAsia"/>
                <w:color w:val="auto"/>
                <w:sz w:val="24"/>
                <w:szCs w:val="32"/>
                <w:lang w:val="en-US" w:eastAsia="zh-CN"/>
              </w:rPr>
              <w:t>18</w:t>
            </w:r>
            <w:r>
              <w:rPr>
                <w:rFonts w:hint="default"/>
                <w:color w:val="auto"/>
                <w:sz w:val="24"/>
                <w:szCs w:val="32"/>
                <w:lang w:val="en-US" w:eastAsia="zh-CN"/>
              </w:rPr>
              <w:t>）</w:t>
            </w:r>
            <w:r>
              <w:rPr>
                <w:rFonts w:hint="default"/>
                <w:color w:val="auto"/>
                <w:sz w:val="24"/>
                <w:szCs w:val="32"/>
              </w:rPr>
              <w:t>的相关要求</w:t>
            </w:r>
            <w:r>
              <w:rPr>
                <w:rFonts w:hint="default"/>
                <w:color w:val="auto"/>
                <w:sz w:val="24"/>
                <w:szCs w:val="32"/>
                <w:lang w:val="en-US" w:eastAsia="zh-CN"/>
              </w:rPr>
              <w:t>，</w:t>
            </w:r>
            <w:r>
              <w:rPr>
                <w:rFonts w:hint="default"/>
                <w:color w:val="auto"/>
                <w:sz w:val="24"/>
                <w:szCs w:val="32"/>
              </w:rPr>
              <w:t>本项目噪声监测计划见下表</w:t>
            </w:r>
            <w:r>
              <w:rPr>
                <w:rFonts w:hint="default"/>
                <w:color w:val="auto"/>
                <w:sz w:val="24"/>
                <w:szCs w:val="32"/>
                <w:lang w:eastAsia="zh-CN"/>
              </w:rPr>
              <w:t>：</w:t>
            </w:r>
          </w:p>
          <w:p w14:paraId="2875DB75">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4-</w:t>
            </w:r>
            <w:r>
              <w:rPr>
                <w:rFonts w:hint="eastAsia" w:cs="Times New Roman"/>
                <w:b/>
                <w:bCs/>
                <w:color w:val="auto"/>
                <w:sz w:val="21"/>
                <w:szCs w:val="21"/>
                <w:lang w:val="en-US" w:eastAsia="zh-CN"/>
              </w:rPr>
              <w:t>11</w:t>
            </w:r>
            <w:r>
              <w:rPr>
                <w:rFonts w:hint="default" w:ascii="Times New Roman" w:hAnsi="Times New Roman" w:eastAsia="宋体" w:cs="Times New Roman"/>
                <w:b/>
                <w:bCs/>
                <w:color w:val="auto"/>
                <w:sz w:val="21"/>
                <w:szCs w:val="21"/>
              </w:rPr>
              <w:t>噪声环境监测计划</w:t>
            </w:r>
          </w:p>
          <w:tbl>
            <w:tblPr>
              <w:tblStyle w:val="24"/>
              <w:tblW w:w="4998"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95"/>
              <w:gridCol w:w="1897"/>
              <w:gridCol w:w="1441"/>
              <w:gridCol w:w="3144"/>
            </w:tblGrid>
            <w:tr w14:paraId="1508DD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1" w:type="pct"/>
                  <w:noWrap w:val="0"/>
                  <w:vAlign w:val="center"/>
                </w:tcPr>
                <w:p w14:paraId="4F9AC3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default"/>
                      <w:color w:val="auto"/>
                      <w:sz w:val="21"/>
                      <w:szCs w:val="21"/>
                      <w:lang w:val="en-US" w:eastAsia="zh-CN"/>
                    </w:rPr>
                    <w:t>监测点位</w:t>
                  </w:r>
                </w:p>
              </w:tc>
              <w:tc>
                <w:tcPr>
                  <w:tcW w:w="1132" w:type="pct"/>
                  <w:noWrap w:val="0"/>
                  <w:vAlign w:val="center"/>
                </w:tcPr>
                <w:p w14:paraId="0424B7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default"/>
                      <w:color w:val="auto"/>
                      <w:sz w:val="21"/>
                      <w:szCs w:val="21"/>
                      <w:lang w:val="en-US" w:eastAsia="zh-CN"/>
                    </w:rPr>
                    <w:t>监测项目</w:t>
                  </w:r>
                </w:p>
              </w:tc>
              <w:tc>
                <w:tcPr>
                  <w:tcW w:w="860" w:type="pct"/>
                  <w:noWrap w:val="0"/>
                  <w:vAlign w:val="center"/>
                </w:tcPr>
                <w:p w14:paraId="63D08D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default"/>
                      <w:color w:val="auto"/>
                      <w:sz w:val="21"/>
                      <w:szCs w:val="21"/>
                      <w:lang w:val="en-US" w:eastAsia="zh-CN"/>
                    </w:rPr>
                    <w:t>监测频次</w:t>
                  </w:r>
                </w:p>
              </w:tc>
              <w:tc>
                <w:tcPr>
                  <w:tcW w:w="1876" w:type="pct"/>
                  <w:noWrap w:val="0"/>
                  <w:vAlign w:val="center"/>
                </w:tcPr>
                <w:p w14:paraId="560B89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default"/>
                      <w:color w:val="auto"/>
                      <w:sz w:val="21"/>
                      <w:szCs w:val="21"/>
                      <w:lang w:val="en-US" w:eastAsia="zh-CN"/>
                    </w:rPr>
                    <w:t>执行标准</w:t>
                  </w:r>
                </w:p>
              </w:tc>
            </w:tr>
            <w:tr w14:paraId="14541E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1" w:type="pct"/>
                  <w:noWrap w:val="0"/>
                  <w:vAlign w:val="center"/>
                </w:tcPr>
                <w:p w14:paraId="4DFB56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default"/>
                      <w:color w:val="auto"/>
                      <w:sz w:val="21"/>
                      <w:szCs w:val="21"/>
                      <w:lang w:val="en-US" w:eastAsia="zh-CN"/>
                    </w:rPr>
                    <w:t>厂界四周外1米</w:t>
                  </w:r>
                </w:p>
              </w:tc>
              <w:tc>
                <w:tcPr>
                  <w:tcW w:w="1132" w:type="pct"/>
                  <w:noWrap w:val="0"/>
                  <w:vAlign w:val="center"/>
                </w:tcPr>
                <w:p w14:paraId="3C68D4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default"/>
                      <w:color w:val="auto"/>
                      <w:sz w:val="21"/>
                      <w:szCs w:val="21"/>
                      <w:lang w:val="en-US" w:eastAsia="zh-CN"/>
                    </w:rPr>
                    <w:t>等效连续A声级</w:t>
                  </w:r>
                </w:p>
              </w:tc>
              <w:tc>
                <w:tcPr>
                  <w:tcW w:w="860" w:type="pct"/>
                  <w:noWrap w:val="0"/>
                  <w:vAlign w:val="center"/>
                </w:tcPr>
                <w:p w14:paraId="6B3DB5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default"/>
                      <w:color w:val="auto"/>
                      <w:sz w:val="21"/>
                      <w:szCs w:val="21"/>
                      <w:lang w:val="en-US" w:eastAsia="zh-CN"/>
                    </w:rPr>
                    <w:t>1次/季度</w:t>
                  </w:r>
                </w:p>
              </w:tc>
              <w:tc>
                <w:tcPr>
                  <w:tcW w:w="1876" w:type="pct"/>
                  <w:noWrap w:val="0"/>
                  <w:vAlign w:val="center"/>
                </w:tcPr>
                <w:p w14:paraId="4E172B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default"/>
                      <w:color w:val="auto"/>
                      <w:sz w:val="21"/>
                      <w:szCs w:val="21"/>
                      <w:lang w:val="en-US" w:eastAsia="zh-CN"/>
                    </w:rPr>
                    <w:t>《工业企业厂界环境噪声排放标准》（GB12348-2008）中</w:t>
                  </w:r>
                  <w:r>
                    <w:rPr>
                      <w:rFonts w:hint="eastAsia"/>
                      <w:color w:val="auto"/>
                      <w:sz w:val="21"/>
                      <w:szCs w:val="21"/>
                      <w:lang w:val="en-US" w:eastAsia="zh-CN"/>
                    </w:rPr>
                    <w:t>3</w:t>
                  </w:r>
                  <w:r>
                    <w:rPr>
                      <w:rFonts w:hint="default"/>
                      <w:color w:val="auto"/>
                      <w:sz w:val="21"/>
                      <w:szCs w:val="21"/>
                      <w:lang w:val="en-US" w:eastAsia="zh-CN"/>
                    </w:rPr>
                    <w:t>类标准</w:t>
                  </w:r>
                </w:p>
              </w:tc>
            </w:tr>
          </w:tbl>
          <w:p w14:paraId="205B8141">
            <w:pPr>
              <w:keepNext w:val="0"/>
              <w:keepLines w:val="0"/>
              <w:pageBreakBefore w:val="0"/>
              <w:suppressLineNumbers w:val="0"/>
              <w:kinsoku/>
              <w:wordWrap/>
              <w:overflowPunct/>
              <w:topLinePunct w:val="0"/>
              <w:bidi w:val="0"/>
              <w:spacing w:before="0" w:beforeAutospacing="0" w:after="0" w:afterAutospacing="0" w:line="500" w:lineRule="exact"/>
              <w:ind w:left="0" w:right="0" w:firstLine="482" w:firstLineChars="200"/>
              <w:rPr>
                <w:rFonts w:hint="default" w:ascii="Times New Roman" w:hAnsi="Times New Roman" w:eastAsia="宋体" w:cs="Times New Roman"/>
                <w:b/>
                <w:bCs/>
                <w:color w:val="auto"/>
                <w:sz w:val="24"/>
                <w:szCs w:val="32"/>
                <w:lang w:val="en-US" w:eastAsia="zh-CN"/>
              </w:rPr>
            </w:pPr>
            <w:r>
              <w:rPr>
                <w:rFonts w:hint="default" w:ascii="Times New Roman" w:hAnsi="Times New Roman" w:eastAsia="宋体" w:cs="Times New Roman"/>
                <w:b/>
                <w:bCs/>
                <w:color w:val="auto"/>
                <w:sz w:val="24"/>
                <w:szCs w:val="32"/>
                <w:lang w:val="en-US" w:eastAsia="zh-CN"/>
              </w:rPr>
              <w:t>4.运营期固体废物环境影响和保护措施</w:t>
            </w:r>
          </w:p>
          <w:p w14:paraId="7950FB6C">
            <w:pPr>
              <w:keepNext w:val="0"/>
              <w:keepLines w:val="0"/>
              <w:pageBreakBefore w:val="0"/>
              <w:suppressLineNumbers w:val="0"/>
              <w:kinsoku/>
              <w:wordWrap/>
              <w:overflowPunct/>
              <w:topLinePunct w:val="0"/>
              <w:bidi w:val="0"/>
              <w:spacing w:before="0" w:beforeAutospacing="0" w:after="0" w:afterAutospacing="0" w:line="500" w:lineRule="exact"/>
              <w:ind w:left="0" w:right="0" w:firstLine="482" w:firstLineChars="200"/>
              <w:rPr>
                <w:rFonts w:hint="default" w:ascii="Times New Roman" w:hAnsi="Times New Roman" w:eastAsia="宋体" w:cs="Times New Roman"/>
                <w:b/>
                <w:bCs/>
                <w:color w:val="auto"/>
                <w:sz w:val="24"/>
                <w:szCs w:val="32"/>
                <w:lang w:val="en-US" w:eastAsia="zh-CN"/>
              </w:rPr>
            </w:pPr>
            <w:r>
              <w:rPr>
                <w:rFonts w:hint="default" w:ascii="Times New Roman" w:hAnsi="Times New Roman" w:eastAsia="宋体" w:cs="Times New Roman"/>
                <w:b/>
                <w:bCs/>
                <w:color w:val="auto"/>
                <w:sz w:val="24"/>
                <w:szCs w:val="32"/>
                <w:lang w:val="en-US" w:eastAsia="zh-CN"/>
              </w:rPr>
              <w:t>4.1固体废物产生情况和处置情况</w:t>
            </w:r>
          </w:p>
          <w:p w14:paraId="7E9BCA91">
            <w:pPr>
              <w:keepNext w:val="0"/>
              <w:keepLines w:val="0"/>
              <w:pageBreakBefore w:val="0"/>
              <w:widowControl/>
              <w:suppressLineNumbers w:val="0"/>
              <w:kinsoku/>
              <w:wordWrap/>
              <w:overflowPunct/>
              <w:topLinePunct w:val="0"/>
              <w:bidi w:val="0"/>
              <w:spacing w:before="0" w:beforeAutospacing="0" w:after="0" w:afterAutospacing="0" w:line="500" w:lineRule="exact"/>
              <w:ind w:left="0" w:right="0" w:firstLine="480" w:firstLineChars="200"/>
              <w:jc w:val="left"/>
              <w:rPr>
                <w:rFonts w:hint="default"/>
                <w:color w:val="auto"/>
                <w:sz w:val="24"/>
                <w:szCs w:val="32"/>
              </w:rPr>
            </w:pPr>
            <w:r>
              <w:rPr>
                <w:rFonts w:hint="default"/>
                <w:color w:val="auto"/>
                <w:sz w:val="24"/>
                <w:szCs w:val="32"/>
                <w:lang w:val="en-US" w:eastAsia="zh-CN"/>
              </w:rPr>
              <w:t>（1）一般固体废物</w:t>
            </w:r>
          </w:p>
          <w:p w14:paraId="151164B5">
            <w:pPr>
              <w:keepNext w:val="0"/>
              <w:keepLines w:val="0"/>
              <w:pageBreakBefore w:val="0"/>
              <w:widowControl/>
              <w:suppressLineNumbers w:val="0"/>
              <w:kinsoku/>
              <w:wordWrap/>
              <w:overflowPunct/>
              <w:topLinePunct w:val="0"/>
              <w:bidi w:val="0"/>
              <w:spacing w:before="0" w:beforeAutospacing="0" w:after="0" w:afterAutospacing="0" w:line="500" w:lineRule="exact"/>
              <w:ind w:left="0" w:right="0" w:firstLine="480" w:firstLineChars="200"/>
              <w:jc w:val="left"/>
              <w:rPr>
                <w:rFonts w:hint="eastAsia"/>
                <w:color w:val="auto"/>
                <w:sz w:val="24"/>
                <w:szCs w:val="32"/>
                <w:lang w:val="en-US" w:eastAsia="zh-CN"/>
              </w:rPr>
            </w:pPr>
            <w:r>
              <w:rPr>
                <w:rFonts w:hint="eastAsia"/>
                <w:color w:val="auto"/>
                <w:sz w:val="24"/>
                <w:szCs w:val="32"/>
                <w:lang w:val="en-US" w:eastAsia="zh-CN"/>
              </w:rPr>
              <w:t>项目产生的一般固体废物为布袋除尘器收集的粉尘，清洗废水经四级沉淀池处理后会产生底泥，人造岗石脱模产生的废塑料薄膜。</w:t>
            </w:r>
          </w:p>
          <w:p w14:paraId="5F4B6039">
            <w:pPr>
              <w:keepNext w:val="0"/>
              <w:keepLines w:val="0"/>
              <w:pageBreakBefore w:val="0"/>
              <w:widowControl/>
              <w:suppressLineNumbers w:val="0"/>
              <w:kinsoku/>
              <w:wordWrap/>
              <w:overflowPunct/>
              <w:topLinePunct w:val="0"/>
              <w:bidi w:val="0"/>
              <w:spacing w:before="0" w:beforeAutospacing="0" w:after="0" w:afterAutospacing="0" w:line="500" w:lineRule="exact"/>
              <w:ind w:left="0" w:right="0" w:firstLine="480" w:firstLineChars="200"/>
              <w:jc w:val="left"/>
              <w:rPr>
                <w:rFonts w:hint="default"/>
                <w:color w:val="auto"/>
                <w:sz w:val="24"/>
                <w:szCs w:val="32"/>
                <w:lang w:val="en-US" w:eastAsia="zh-CN"/>
              </w:rPr>
            </w:pPr>
            <w:r>
              <w:rPr>
                <w:rFonts w:hint="eastAsia"/>
                <w:color w:val="auto"/>
                <w:sz w:val="24"/>
                <w:szCs w:val="32"/>
                <w:lang w:val="en-US" w:eastAsia="zh-CN"/>
              </w:rPr>
              <w:t>脉冲式布袋除尘器</w:t>
            </w:r>
            <w:r>
              <w:rPr>
                <w:rFonts w:hint="default"/>
                <w:color w:val="auto"/>
                <w:sz w:val="24"/>
                <w:szCs w:val="32"/>
                <w:lang w:val="en-US" w:eastAsia="zh-CN"/>
              </w:rPr>
              <w:t>收集的粉尘：根据粉尘产生量及除尘效率计算，</w:t>
            </w:r>
            <w:r>
              <w:rPr>
                <w:rFonts w:hint="eastAsia"/>
                <w:color w:val="auto"/>
                <w:sz w:val="24"/>
                <w:szCs w:val="32"/>
                <w:lang w:val="en-US" w:eastAsia="zh-CN"/>
              </w:rPr>
              <w:t>脉冲式布袋除尘器</w:t>
            </w:r>
            <w:r>
              <w:rPr>
                <w:rFonts w:hint="default"/>
                <w:color w:val="auto"/>
                <w:sz w:val="24"/>
                <w:szCs w:val="32"/>
                <w:lang w:val="en-US" w:eastAsia="zh-CN"/>
              </w:rPr>
              <w:t>收集的粉尘</w:t>
            </w:r>
            <w:r>
              <w:rPr>
                <w:rFonts w:hint="eastAsia"/>
                <w:color w:val="auto"/>
                <w:sz w:val="24"/>
                <w:szCs w:val="32"/>
                <w:lang w:val="en-US" w:eastAsia="zh-CN"/>
              </w:rPr>
              <w:t>54.80</w:t>
            </w:r>
            <w:r>
              <w:rPr>
                <w:rFonts w:hint="default"/>
                <w:color w:val="auto"/>
                <w:sz w:val="24"/>
                <w:szCs w:val="32"/>
                <w:lang w:val="en-US" w:eastAsia="zh-CN"/>
              </w:rPr>
              <w:t>/a，回用</w:t>
            </w:r>
            <w:r>
              <w:rPr>
                <w:rFonts w:hint="eastAsia"/>
                <w:color w:val="auto"/>
                <w:sz w:val="24"/>
                <w:szCs w:val="32"/>
                <w:lang w:val="en-US" w:eastAsia="zh-CN"/>
              </w:rPr>
              <w:t>于产品</w:t>
            </w:r>
            <w:r>
              <w:rPr>
                <w:rFonts w:hint="default"/>
                <w:color w:val="auto"/>
                <w:sz w:val="24"/>
                <w:szCs w:val="32"/>
                <w:lang w:val="en-US" w:eastAsia="zh-CN"/>
              </w:rPr>
              <w:t>。</w:t>
            </w:r>
          </w:p>
          <w:p w14:paraId="27FA863F">
            <w:pPr>
              <w:keepNext w:val="0"/>
              <w:keepLines w:val="0"/>
              <w:pageBreakBefore w:val="0"/>
              <w:widowControl/>
              <w:suppressLineNumbers w:val="0"/>
              <w:kinsoku/>
              <w:wordWrap/>
              <w:overflowPunct/>
              <w:topLinePunct w:val="0"/>
              <w:bidi w:val="0"/>
              <w:spacing w:before="0" w:beforeAutospacing="0" w:after="0" w:afterAutospacing="0" w:line="500" w:lineRule="exact"/>
              <w:ind w:left="0" w:right="0" w:firstLine="480" w:firstLineChars="200"/>
              <w:jc w:val="left"/>
              <w:rPr>
                <w:rFonts w:hint="eastAsia"/>
                <w:color w:val="auto"/>
                <w:sz w:val="24"/>
                <w:szCs w:val="32"/>
                <w:lang w:val="en-US" w:eastAsia="zh-CN"/>
              </w:rPr>
            </w:pPr>
            <w:r>
              <w:rPr>
                <w:rFonts w:hint="eastAsia"/>
                <w:color w:val="auto"/>
                <w:sz w:val="24"/>
                <w:szCs w:val="32"/>
                <w:lang w:val="en-US" w:eastAsia="zh-CN"/>
              </w:rPr>
              <w:t>清洗骨料产生的废水经四级沉淀池处理后会产生底泥，底泥主要成分为无机固体颗粒，包括石英、钾长石、酸性斜长石等矿物成分。即根据物料衡算法，得出沉淀池污泥产生量为2.96t/a。沉淀池污泥定期委托有资质单位进行处理。</w:t>
            </w:r>
          </w:p>
          <w:p w14:paraId="73DA1232">
            <w:pPr>
              <w:keepNext w:val="0"/>
              <w:keepLines w:val="0"/>
              <w:pageBreakBefore w:val="0"/>
              <w:widowControl/>
              <w:suppressLineNumbers w:val="0"/>
              <w:kinsoku/>
              <w:wordWrap/>
              <w:overflowPunct/>
              <w:topLinePunct w:val="0"/>
              <w:bidi w:val="0"/>
              <w:spacing w:before="0" w:beforeAutospacing="0" w:after="0" w:afterAutospacing="0" w:line="500" w:lineRule="exact"/>
              <w:ind w:left="0" w:right="0" w:firstLine="480" w:firstLineChars="200"/>
              <w:jc w:val="left"/>
              <w:rPr>
                <w:rFonts w:hint="default"/>
                <w:color w:val="auto"/>
                <w:sz w:val="24"/>
                <w:szCs w:val="32"/>
                <w:lang w:val="en-US" w:eastAsia="zh-CN"/>
              </w:rPr>
            </w:pPr>
            <w:r>
              <w:rPr>
                <w:rFonts w:hint="eastAsia"/>
                <w:color w:val="auto"/>
                <w:sz w:val="24"/>
                <w:szCs w:val="32"/>
                <w:lang w:val="en-US" w:eastAsia="zh-CN"/>
              </w:rPr>
              <w:t>脱膜产生的废塑料薄膜产生量为1.66t/a，定期委托有资质单位进行处理。</w:t>
            </w:r>
          </w:p>
          <w:p w14:paraId="50D647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default"/>
                <w:color w:val="auto"/>
                <w:sz w:val="24"/>
                <w:szCs w:val="32"/>
                <w:lang w:val="en-US" w:eastAsia="zh-CN"/>
              </w:rPr>
            </w:pPr>
            <w:r>
              <w:rPr>
                <w:rFonts w:hint="default"/>
                <w:color w:val="auto"/>
                <w:sz w:val="24"/>
                <w:szCs w:val="32"/>
                <w:lang w:val="en-US" w:eastAsia="zh-CN"/>
              </w:rPr>
              <w:t>（2）生活垃圾</w:t>
            </w:r>
          </w:p>
          <w:p w14:paraId="756490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default"/>
                <w:color w:val="auto"/>
                <w:sz w:val="24"/>
                <w:szCs w:val="32"/>
                <w:lang w:val="en-US" w:eastAsia="zh-CN"/>
              </w:rPr>
            </w:pPr>
            <w:r>
              <w:rPr>
                <w:rFonts w:hint="default"/>
                <w:color w:val="auto"/>
                <w:sz w:val="24"/>
                <w:szCs w:val="32"/>
                <w:lang w:val="en-US" w:eastAsia="zh-CN"/>
              </w:rPr>
              <w:t>项目劳动定员</w:t>
            </w:r>
            <w:r>
              <w:rPr>
                <w:rFonts w:hint="eastAsia"/>
                <w:color w:val="auto"/>
                <w:sz w:val="24"/>
                <w:szCs w:val="32"/>
                <w:lang w:val="en-US" w:eastAsia="zh-CN"/>
              </w:rPr>
              <w:t>44</w:t>
            </w:r>
            <w:r>
              <w:rPr>
                <w:rFonts w:hint="default"/>
                <w:color w:val="auto"/>
                <w:sz w:val="24"/>
                <w:szCs w:val="32"/>
                <w:lang w:val="en-US" w:eastAsia="zh-CN"/>
              </w:rPr>
              <w:t>人，生活垃圾按每人每天0.5kg，则生活垃圾产生量为</w:t>
            </w:r>
            <w:r>
              <w:rPr>
                <w:rFonts w:hint="eastAsia"/>
                <w:color w:val="auto"/>
                <w:sz w:val="24"/>
                <w:szCs w:val="32"/>
                <w:lang w:val="en-US" w:eastAsia="zh-CN"/>
              </w:rPr>
              <w:t>3.70</w:t>
            </w:r>
            <w:r>
              <w:rPr>
                <w:rFonts w:hint="default"/>
                <w:color w:val="auto"/>
                <w:sz w:val="24"/>
                <w:szCs w:val="32"/>
                <w:lang w:val="en-US" w:eastAsia="zh-CN"/>
              </w:rPr>
              <w:t>t/a，生活垃圾定时收集，垃圾桶密封无渗漏，集中收集后，委托环卫部门清运处理。</w:t>
            </w:r>
          </w:p>
          <w:p w14:paraId="468135D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default"/>
                <w:color w:val="auto"/>
                <w:sz w:val="24"/>
                <w:szCs w:val="32"/>
                <w:lang w:val="en-US"/>
              </w:rPr>
            </w:pPr>
            <w:r>
              <w:rPr>
                <w:rFonts w:hint="eastAsia"/>
                <w:color w:val="auto"/>
                <w:sz w:val="24"/>
                <w:szCs w:val="32"/>
              </w:rPr>
              <w:t>（</w:t>
            </w:r>
            <w:r>
              <w:rPr>
                <w:rFonts w:hint="eastAsia"/>
                <w:color w:val="auto"/>
                <w:sz w:val="24"/>
                <w:szCs w:val="32"/>
                <w:lang w:val="en-US" w:eastAsia="zh-CN"/>
              </w:rPr>
              <w:t>3</w:t>
            </w:r>
            <w:r>
              <w:rPr>
                <w:rFonts w:hint="eastAsia"/>
                <w:color w:val="auto"/>
                <w:sz w:val="24"/>
                <w:szCs w:val="32"/>
              </w:rPr>
              <w:t>）项目</w:t>
            </w:r>
            <w:r>
              <w:rPr>
                <w:rFonts w:hint="eastAsia"/>
                <w:color w:val="auto"/>
                <w:sz w:val="24"/>
                <w:szCs w:val="32"/>
                <w:lang w:eastAsia="zh-CN"/>
              </w:rPr>
              <w:t>机械</w:t>
            </w:r>
            <w:r>
              <w:rPr>
                <w:rFonts w:hint="eastAsia"/>
                <w:color w:val="auto"/>
                <w:sz w:val="24"/>
                <w:szCs w:val="32"/>
              </w:rPr>
              <w:t>设备需要日常维护</w:t>
            </w:r>
            <w:r>
              <w:rPr>
                <w:rFonts w:hint="eastAsia"/>
                <w:color w:val="auto"/>
                <w:sz w:val="24"/>
                <w:szCs w:val="32"/>
                <w:lang w:val="en-US" w:eastAsia="zh-CN"/>
              </w:rPr>
              <w:t>会产生废机油（HW08废矿物油与含矿物油废物900-217-08）</w:t>
            </w:r>
            <w:r>
              <w:rPr>
                <w:rFonts w:hint="eastAsia"/>
                <w:color w:val="auto"/>
                <w:sz w:val="24"/>
                <w:szCs w:val="32"/>
              </w:rPr>
              <w:t>，根据企业提供资料，废机油产生量约为0.0</w:t>
            </w:r>
            <w:r>
              <w:rPr>
                <w:rFonts w:hint="eastAsia"/>
                <w:color w:val="auto"/>
                <w:sz w:val="24"/>
                <w:szCs w:val="32"/>
                <w:lang w:val="en-US" w:eastAsia="zh-CN"/>
              </w:rPr>
              <w:t>1</w:t>
            </w:r>
            <w:r>
              <w:rPr>
                <w:rFonts w:hint="eastAsia"/>
                <w:color w:val="auto"/>
                <w:sz w:val="24"/>
                <w:szCs w:val="32"/>
              </w:rPr>
              <w:t>t/a。暂存于</w:t>
            </w:r>
            <w:r>
              <w:rPr>
                <w:rFonts w:hint="eastAsia"/>
                <w:color w:val="auto"/>
                <w:sz w:val="24"/>
                <w:szCs w:val="32"/>
                <w:lang w:eastAsia="zh-CN"/>
              </w:rPr>
              <w:t>危险废物贮存点</w:t>
            </w:r>
            <w:r>
              <w:rPr>
                <w:rFonts w:hint="eastAsia"/>
                <w:color w:val="auto"/>
                <w:sz w:val="24"/>
                <w:szCs w:val="32"/>
              </w:rPr>
              <w:t>，由有资质单位回收处置。</w:t>
            </w:r>
            <w:r>
              <w:rPr>
                <w:rFonts w:hint="eastAsia"/>
                <w:color w:val="auto"/>
                <w:sz w:val="24"/>
                <w:szCs w:val="32"/>
                <w:lang w:eastAsia="zh-CN"/>
              </w:rPr>
              <w:t>危险废物贮存点</w:t>
            </w:r>
            <w:r>
              <w:rPr>
                <w:rFonts w:hint="eastAsia"/>
                <w:color w:val="auto"/>
                <w:sz w:val="24"/>
                <w:szCs w:val="32"/>
                <w:lang w:val="en-US" w:eastAsia="zh-CN"/>
              </w:rPr>
              <w:t>的</w:t>
            </w:r>
            <w:r>
              <w:rPr>
                <w:rFonts w:hint="eastAsia"/>
                <w:color w:val="auto"/>
                <w:sz w:val="24"/>
                <w:szCs w:val="32"/>
              </w:rPr>
              <w:t>设置</w:t>
            </w:r>
            <w:r>
              <w:rPr>
                <w:rFonts w:hint="eastAsia"/>
                <w:color w:val="auto"/>
                <w:sz w:val="24"/>
                <w:szCs w:val="32"/>
                <w:lang w:val="en-US" w:eastAsia="zh-CN"/>
              </w:rPr>
              <w:t>及危废的</w:t>
            </w:r>
            <w:r>
              <w:rPr>
                <w:rFonts w:hint="eastAsia"/>
                <w:color w:val="auto"/>
                <w:sz w:val="24"/>
                <w:szCs w:val="32"/>
                <w:lang w:eastAsia="zh-CN"/>
              </w:rPr>
              <w:t>收集贮存运输</w:t>
            </w:r>
            <w:r>
              <w:rPr>
                <w:rFonts w:hint="eastAsia"/>
                <w:color w:val="auto"/>
                <w:sz w:val="24"/>
                <w:szCs w:val="32"/>
              </w:rPr>
              <w:t>须满足《危险废物贮存污染控制标准》</w:t>
            </w:r>
            <w:r>
              <w:rPr>
                <w:rFonts w:hint="eastAsia"/>
                <w:color w:val="auto"/>
                <w:sz w:val="24"/>
                <w:szCs w:val="32"/>
                <w:lang w:eastAsia="zh-CN"/>
              </w:rPr>
              <w:t>（</w:t>
            </w:r>
            <w:r>
              <w:rPr>
                <w:rFonts w:hint="eastAsia"/>
                <w:color w:val="auto"/>
                <w:sz w:val="24"/>
                <w:szCs w:val="32"/>
              </w:rPr>
              <w:t>GB18597-20</w:t>
            </w:r>
            <w:r>
              <w:rPr>
                <w:rFonts w:hint="eastAsia"/>
                <w:color w:val="auto"/>
                <w:sz w:val="24"/>
                <w:szCs w:val="32"/>
                <w:lang w:val="en-US" w:eastAsia="zh-CN"/>
              </w:rPr>
              <w:t>23）和</w:t>
            </w:r>
            <w:r>
              <w:rPr>
                <w:rFonts w:hint="eastAsia"/>
                <w:color w:val="auto"/>
                <w:sz w:val="24"/>
                <w:szCs w:val="32"/>
                <w:lang w:eastAsia="zh-CN"/>
              </w:rPr>
              <w:t>《危险废物收集贮存运输技术规范》（HJ2025-2012）</w:t>
            </w:r>
            <w:r>
              <w:rPr>
                <w:rFonts w:hint="eastAsia"/>
                <w:color w:val="auto"/>
                <w:sz w:val="24"/>
                <w:szCs w:val="32"/>
                <w:lang w:val="en-US" w:eastAsia="zh-CN"/>
              </w:rPr>
              <w:t>的相关要求。</w:t>
            </w:r>
          </w:p>
          <w:p w14:paraId="2BB49F92">
            <w:pPr>
              <w:keepNext w:val="0"/>
              <w:keepLines w:val="0"/>
              <w:pageBreakBefore w:val="0"/>
              <w:widowControl/>
              <w:suppressLineNumbers w:val="0"/>
              <w:kinsoku/>
              <w:wordWrap/>
              <w:overflowPunct/>
              <w:topLinePunct w:val="0"/>
              <w:bidi w:val="0"/>
              <w:spacing w:before="0" w:beforeAutospacing="0" w:after="0" w:afterAutospacing="0" w:line="500" w:lineRule="exact"/>
              <w:ind w:left="0" w:right="0" w:firstLine="480" w:firstLineChars="200"/>
              <w:jc w:val="both"/>
              <w:rPr>
                <w:rFonts w:hint="default"/>
                <w:color w:val="auto"/>
                <w:sz w:val="24"/>
                <w:szCs w:val="32"/>
                <w:lang w:val="en-US" w:eastAsia="zh-CN"/>
              </w:rPr>
            </w:pPr>
            <w:r>
              <w:rPr>
                <w:rFonts w:hint="eastAsia"/>
                <w:color w:val="auto"/>
                <w:sz w:val="24"/>
                <w:szCs w:val="32"/>
                <w:lang w:val="en-US" w:eastAsia="zh-CN"/>
              </w:rPr>
              <w:t>（4）项目搅拌工序产生的有机废气拟采用“活性炭吸附装置”进行处理，活性炭吸附有机废气至吸附容量的80%时，需要更换活性炭，因此会产生废活性炭。根据活性炭的吸附效率进行核算每3kg活性炭可吸附1kg有机废气，同时评价要求活性炭的更换周期不超过1个月，因此活性炭吸附装置处理的有机废气为3.32t/a，活性炭使用量12.45t/a，则废活性炭的产生量约为9.96t/a。废活性炭属于《国家危险废物名录（2025年版）》中编号为HW49其他废物，危废代码为900-039-49，烟气、VOCs（以非甲烷总烃计）治理过程（不包括餐饮行业油烟治理过程）生产的废活性炭。此外，活性炭的使用温度不宜高于40℃，本项目搅拌过程中不产热，温度接近室温，经处理后的废气温度接近常温，不会对活性炭吸附效果产生影响。企业拟将其密闭容器收集后</w:t>
            </w:r>
            <w:r>
              <w:rPr>
                <w:rFonts w:hint="eastAsia"/>
                <w:color w:val="auto"/>
                <w:sz w:val="24"/>
                <w:szCs w:val="32"/>
              </w:rPr>
              <w:t>暂存于</w:t>
            </w:r>
            <w:r>
              <w:rPr>
                <w:rFonts w:hint="eastAsia"/>
                <w:color w:val="auto"/>
                <w:sz w:val="24"/>
                <w:szCs w:val="32"/>
                <w:lang w:eastAsia="zh-CN"/>
              </w:rPr>
              <w:t>危险废物贮存点</w:t>
            </w:r>
            <w:r>
              <w:rPr>
                <w:rFonts w:hint="eastAsia"/>
                <w:color w:val="auto"/>
                <w:sz w:val="24"/>
                <w:szCs w:val="32"/>
                <w:lang w:val="en-US" w:eastAsia="zh-CN"/>
              </w:rPr>
              <w:t>，定期交由有危废处置资质的单位进行安全处置。</w:t>
            </w:r>
          </w:p>
          <w:p w14:paraId="2D87BFEF">
            <w:pPr>
              <w:keepNext w:val="0"/>
              <w:keepLines w:val="0"/>
              <w:pageBreakBefore w:val="0"/>
              <w:widowControl/>
              <w:suppressLineNumbers w:val="0"/>
              <w:kinsoku/>
              <w:wordWrap/>
              <w:overflowPunct/>
              <w:topLinePunct w:val="0"/>
              <w:bidi w:val="0"/>
              <w:spacing w:before="0" w:beforeAutospacing="0" w:after="0" w:afterAutospacing="0" w:line="500" w:lineRule="exact"/>
              <w:ind w:left="0" w:right="0" w:firstLine="480" w:firstLineChars="200"/>
              <w:jc w:val="left"/>
              <w:rPr>
                <w:rFonts w:hint="default"/>
                <w:color w:val="auto"/>
                <w:sz w:val="24"/>
                <w:szCs w:val="32"/>
                <w:lang w:val="en-US" w:eastAsia="zh-CN"/>
              </w:rPr>
            </w:pPr>
            <w:r>
              <w:rPr>
                <w:rFonts w:hint="default"/>
                <w:color w:val="auto"/>
                <w:sz w:val="24"/>
                <w:szCs w:val="32"/>
                <w:lang w:val="en-US" w:eastAsia="zh-CN"/>
              </w:rPr>
              <w:t>综上所述，项目所有固废均可得到妥善处置，环境影响较小。</w:t>
            </w:r>
          </w:p>
          <w:p w14:paraId="24E6A587">
            <w:pPr>
              <w:keepNext w:val="0"/>
              <w:keepLines w:val="0"/>
              <w:pageBreakBefore w:val="0"/>
              <w:suppressLineNumbers w:val="0"/>
              <w:kinsoku/>
              <w:wordWrap/>
              <w:overflowPunct/>
              <w:topLinePunct w:val="0"/>
              <w:bidi w:val="0"/>
              <w:spacing w:before="0" w:beforeAutospacing="0" w:after="0" w:afterAutospacing="0" w:line="500" w:lineRule="exact"/>
              <w:ind w:left="0" w:right="0" w:firstLine="482" w:firstLineChars="200"/>
              <w:rPr>
                <w:rFonts w:hint="default" w:ascii="Times New Roman" w:hAnsi="Times New Roman" w:eastAsia="宋体" w:cs="Times New Roman"/>
                <w:b/>
                <w:bCs/>
                <w:color w:val="auto"/>
                <w:sz w:val="24"/>
                <w:szCs w:val="32"/>
                <w:lang w:val="en-US" w:eastAsia="zh-CN"/>
              </w:rPr>
            </w:pPr>
            <w:r>
              <w:rPr>
                <w:rFonts w:hint="default" w:ascii="Times New Roman" w:hAnsi="Times New Roman" w:eastAsia="宋体" w:cs="Times New Roman"/>
                <w:b/>
                <w:bCs/>
                <w:color w:val="auto"/>
                <w:sz w:val="24"/>
                <w:szCs w:val="32"/>
                <w:lang w:val="en-US" w:eastAsia="zh-CN"/>
              </w:rPr>
              <w:t>4.</w:t>
            </w:r>
            <w:r>
              <w:rPr>
                <w:rFonts w:hint="eastAsia" w:ascii="Times New Roman" w:hAnsi="Times New Roman" w:eastAsia="宋体" w:cs="Times New Roman"/>
                <w:b/>
                <w:bCs/>
                <w:color w:val="auto"/>
                <w:sz w:val="24"/>
                <w:szCs w:val="32"/>
                <w:lang w:val="en-US" w:eastAsia="zh-CN"/>
              </w:rPr>
              <w:t>2</w:t>
            </w:r>
            <w:r>
              <w:rPr>
                <w:rFonts w:hint="default" w:ascii="Times New Roman" w:hAnsi="Times New Roman" w:eastAsia="宋体" w:cs="Times New Roman"/>
                <w:b/>
                <w:bCs/>
                <w:color w:val="auto"/>
                <w:sz w:val="24"/>
                <w:szCs w:val="32"/>
                <w:lang w:val="en-US" w:eastAsia="zh-CN"/>
              </w:rPr>
              <w:t>固体废物环境管理要求</w:t>
            </w:r>
          </w:p>
          <w:p w14:paraId="2167DF3D">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rPr>
                <w:rFonts w:hint="eastAsia"/>
                <w:color w:val="auto"/>
                <w:sz w:val="24"/>
                <w:szCs w:val="32"/>
                <w:lang w:val="en-US" w:eastAsia="zh-CN"/>
              </w:rPr>
            </w:pPr>
            <w:r>
              <w:rPr>
                <w:rFonts w:hint="eastAsia" w:ascii="Times New Roman" w:hAnsi="Times New Roman" w:eastAsia="宋体" w:cs="Times New Roman"/>
                <w:color w:val="auto"/>
                <w:kern w:val="2"/>
                <w:sz w:val="24"/>
                <w:szCs w:val="32"/>
                <w:lang w:val="en-US" w:eastAsia="zh-CN" w:bidi="ar-SA"/>
              </w:rPr>
              <w:t>（1）</w:t>
            </w:r>
            <w:r>
              <w:rPr>
                <w:rFonts w:hint="eastAsia"/>
                <w:color w:val="auto"/>
                <w:sz w:val="24"/>
                <w:szCs w:val="32"/>
                <w:lang w:val="en-US" w:eastAsia="zh-CN"/>
              </w:rPr>
              <w:t>一般固废</w:t>
            </w:r>
          </w:p>
          <w:p w14:paraId="6605F62F">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rPr>
                <w:rFonts w:hint="eastAsia" w:ascii="Times New Roman" w:hAnsi="Times New Roman" w:eastAsia="宋体" w:cs="Times New Roman"/>
                <w:color w:val="auto"/>
                <w:kern w:val="2"/>
                <w:sz w:val="24"/>
                <w:szCs w:val="32"/>
                <w:lang w:val="en-US" w:eastAsia="zh-CN" w:bidi="ar-SA"/>
              </w:rPr>
            </w:pPr>
            <w:r>
              <w:rPr>
                <w:rFonts w:hint="eastAsia" w:ascii="Times New Roman" w:hAnsi="Times New Roman" w:eastAsia="宋体" w:cs="Times New Roman"/>
                <w:color w:val="auto"/>
                <w:kern w:val="2"/>
                <w:sz w:val="24"/>
                <w:szCs w:val="32"/>
                <w:lang w:val="en-US" w:eastAsia="zh-CN" w:bidi="ar-SA"/>
              </w:rPr>
              <w:t>本项目一般固废主要为布袋除尘器收集粉尘</w:t>
            </w:r>
            <w:r>
              <w:rPr>
                <w:rFonts w:hint="eastAsia" w:cs="Times New Roman"/>
                <w:color w:val="auto"/>
                <w:kern w:val="2"/>
                <w:sz w:val="24"/>
                <w:szCs w:val="32"/>
                <w:lang w:val="en-US" w:eastAsia="zh-CN" w:bidi="ar-SA"/>
              </w:rPr>
              <w:t>、清洗废水经四级沉淀池处理后会产生底泥、</w:t>
            </w:r>
            <w:r>
              <w:rPr>
                <w:rFonts w:hint="eastAsia"/>
                <w:color w:val="auto"/>
                <w:sz w:val="24"/>
                <w:szCs w:val="32"/>
                <w:lang w:val="en-US" w:eastAsia="zh-CN"/>
              </w:rPr>
              <w:t>脱膜产生的废塑料薄膜</w:t>
            </w:r>
            <w:r>
              <w:rPr>
                <w:rFonts w:hint="eastAsia" w:ascii="Times New Roman" w:hAnsi="Times New Roman" w:eastAsia="宋体" w:cs="Times New Roman"/>
                <w:color w:val="auto"/>
                <w:kern w:val="2"/>
                <w:sz w:val="24"/>
                <w:szCs w:val="32"/>
                <w:lang w:val="en-US" w:eastAsia="zh-CN" w:bidi="ar-SA"/>
              </w:rPr>
              <w:t>及生活垃圾。</w:t>
            </w:r>
          </w:p>
          <w:p w14:paraId="646111D1">
            <w:pPr>
              <w:keepNext w:val="0"/>
              <w:keepLines w:val="0"/>
              <w:pageBreakBefore w:val="0"/>
              <w:widowControl/>
              <w:suppressLineNumbers w:val="0"/>
              <w:kinsoku/>
              <w:wordWrap/>
              <w:overflowPunct/>
              <w:topLinePunct w:val="0"/>
              <w:bidi w:val="0"/>
              <w:spacing w:before="0" w:beforeAutospacing="0" w:after="0" w:afterAutospacing="0" w:line="500" w:lineRule="exact"/>
              <w:ind w:left="0" w:right="0" w:firstLine="480" w:firstLineChars="200"/>
              <w:jc w:val="left"/>
              <w:rPr>
                <w:rFonts w:hint="eastAsia" w:ascii="Times New Roman" w:hAnsi="Times New Roman" w:eastAsia="宋体" w:cs="Times New Roman"/>
                <w:color w:val="auto"/>
                <w:kern w:val="2"/>
                <w:sz w:val="24"/>
                <w:szCs w:val="32"/>
                <w:lang w:val="en-US" w:eastAsia="zh-CN" w:bidi="ar-SA"/>
              </w:rPr>
            </w:pPr>
            <w:r>
              <w:rPr>
                <w:rFonts w:hint="eastAsia" w:ascii="Times New Roman" w:hAnsi="Times New Roman" w:eastAsia="宋体" w:cs="Times New Roman"/>
                <w:color w:val="auto"/>
                <w:kern w:val="2"/>
                <w:sz w:val="24"/>
                <w:szCs w:val="32"/>
                <w:lang w:val="en-US" w:eastAsia="zh-CN" w:bidi="ar-SA"/>
              </w:rPr>
              <w:t>布袋除尘器收集粉尘直接回用于生产</w:t>
            </w:r>
            <w:r>
              <w:rPr>
                <w:rFonts w:hint="eastAsia" w:cs="Times New Roman"/>
                <w:color w:val="auto"/>
                <w:kern w:val="2"/>
                <w:sz w:val="24"/>
                <w:szCs w:val="32"/>
                <w:lang w:val="en-US" w:eastAsia="zh-CN" w:bidi="ar-SA"/>
              </w:rPr>
              <w:t>；</w:t>
            </w:r>
            <w:r>
              <w:rPr>
                <w:rFonts w:hint="eastAsia"/>
                <w:color w:val="auto"/>
                <w:sz w:val="24"/>
                <w:szCs w:val="32"/>
                <w:lang w:val="en-US" w:eastAsia="zh-CN"/>
              </w:rPr>
              <w:t>清洗骨料产生的废水经四级沉淀池处理后会产生底泥，定期委托有资质单位进行处理；脱膜产生的废塑料薄膜定期委托有资质单位进行处理</w:t>
            </w:r>
            <w:r>
              <w:rPr>
                <w:rFonts w:hint="eastAsia" w:ascii="Times New Roman" w:hAnsi="Times New Roman" w:eastAsia="宋体" w:cs="Times New Roman"/>
                <w:color w:val="auto"/>
                <w:kern w:val="2"/>
                <w:sz w:val="24"/>
                <w:szCs w:val="32"/>
                <w:lang w:val="en-US" w:eastAsia="zh-CN" w:bidi="ar-SA"/>
              </w:rPr>
              <w:t>，不会对外环境产生污染影响</w:t>
            </w:r>
            <w:r>
              <w:rPr>
                <w:rFonts w:hint="eastAsia"/>
                <w:color w:val="auto"/>
                <w:sz w:val="24"/>
                <w:szCs w:val="32"/>
                <w:lang w:val="en-US" w:eastAsia="zh-CN"/>
              </w:rPr>
              <w:t>。</w:t>
            </w:r>
          </w:p>
          <w:p w14:paraId="59BCDF59">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rPr>
                <w:rFonts w:hint="eastAsia" w:ascii="Times New Roman" w:hAnsi="Times New Roman" w:eastAsia="宋体" w:cs="Times New Roman"/>
                <w:color w:val="auto"/>
                <w:kern w:val="2"/>
                <w:sz w:val="24"/>
                <w:szCs w:val="32"/>
                <w:lang w:val="en-US" w:eastAsia="zh-CN" w:bidi="ar-SA"/>
              </w:rPr>
            </w:pPr>
            <w:r>
              <w:rPr>
                <w:rFonts w:hint="eastAsia" w:ascii="Times New Roman" w:hAnsi="Times New Roman" w:eastAsia="宋体" w:cs="Times New Roman"/>
                <w:color w:val="auto"/>
                <w:kern w:val="2"/>
                <w:sz w:val="24"/>
                <w:szCs w:val="32"/>
                <w:lang w:val="en-US" w:eastAsia="zh-CN" w:bidi="ar-SA"/>
              </w:rPr>
              <w:t>本项目在厂区内设置若干个垃圾收集箱，可满足本项目生活垃圾的存储需求，且生活垃圾及时清运，不会对外环境产生污染影响。</w:t>
            </w:r>
          </w:p>
          <w:p w14:paraId="1F7DB882">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rPr>
                <w:rFonts w:hint="eastAsia" w:ascii="Times New Roman" w:hAnsi="Times New Roman" w:eastAsia="宋体" w:cs="Times New Roman"/>
                <w:color w:val="auto"/>
                <w:kern w:val="2"/>
                <w:sz w:val="24"/>
                <w:szCs w:val="32"/>
                <w:lang w:val="en-US" w:eastAsia="zh-CN" w:bidi="ar-SA"/>
              </w:rPr>
            </w:pPr>
            <w:r>
              <w:rPr>
                <w:rFonts w:hint="eastAsia" w:ascii="Times New Roman" w:hAnsi="Times New Roman" w:eastAsia="宋体" w:cs="Times New Roman"/>
                <w:color w:val="auto"/>
                <w:kern w:val="2"/>
                <w:sz w:val="24"/>
                <w:szCs w:val="32"/>
                <w:lang w:val="en-US" w:eastAsia="zh-CN" w:bidi="ar-SA"/>
              </w:rPr>
              <w:t>产废单位应制定一般工业废物管理台账：</w:t>
            </w:r>
          </w:p>
          <w:p w14:paraId="47E16C80">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rPr>
                <w:rFonts w:hint="eastAsia" w:ascii="Times New Roman" w:hAnsi="Times New Roman" w:eastAsia="宋体" w:cs="Times New Roman"/>
                <w:color w:val="auto"/>
                <w:kern w:val="2"/>
                <w:sz w:val="24"/>
                <w:szCs w:val="32"/>
                <w:lang w:val="en-US" w:eastAsia="zh-CN" w:bidi="ar-SA"/>
              </w:rPr>
            </w:pPr>
            <w:r>
              <w:rPr>
                <w:rFonts w:hint="eastAsia" w:ascii="Times New Roman" w:hAnsi="Times New Roman" w:eastAsia="宋体" w:cs="Times New Roman"/>
                <w:color w:val="auto"/>
                <w:kern w:val="2"/>
                <w:sz w:val="24"/>
                <w:szCs w:val="32"/>
                <w:lang w:val="en-US" w:eastAsia="zh-CN" w:bidi="ar-SA"/>
              </w:rPr>
              <w:t>①一般工业固体废物管理台账实施分级管理</w:t>
            </w:r>
            <w:r>
              <w:rPr>
                <w:rFonts w:hint="eastAsia" w:cs="Times New Roman"/>
                <w:color w:val="auto"/>
                <w:kern w:val="2"/>
                <w:sz w:val="24"/>
                <w:szCs w:val="32"/>
                <w:lang w:val="en-US" w:eastAsia="zh-CN" w:bidi="ar-SA"/>
              </w:rPr>
              <w:t>。</w:t>
            </w:r>
            <w:r>
              <w:rPr>
                <w:rFonts w:hint="eastAsia" w:ascii="Times New Roman" w:hAnsi="Times New Roman" w:eastAsia="宋体" w:cs="Times New Roman"/>
                <w:color w:val="auto"/>
                <w:kern w:val="2"/>
                <w:sz w:val="24"/>
                <w:szCs w:val="32"/>
                <w:lang w:val="en-US" w:eastAsia="zh-CN" w:bidi="ar-SA"/>
              </w:rPr>
              <w:t>用于记录固体废物的基础信息及流向信息，实际生产运营情况记录固体废物产生信息，固体废物的产生、贮存、利用、处置数量和利用、处置方式等信息。</w:t>
            </w:r>
          </w:p>
          <w:p w14:paraId="681C0A27">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rPr>
                <w:rFonts w:hint="eastAsia" w:ascii="Times New Roman" w:hAnsi="Times New Roman" w:eastAsia="宋体" w:cs="Times New Roman"/>
                <w:color w:val="auto"/>
                <w:kern w:val="2"/>
                <w:sz w:val="24"/>
                <w:szCs w:val="32"/>
                <w:lang w:val="en-US" w:eastAsia="zh-CN" w:bidi="ar-SA"/>
              </w:rPr>
            </w:pPr>
            <w:r>
              <w:rPr>
                <w:rFonts w:hint="default" w:ascii="Times New Roman" w:hAnsi="Times New Roman" w:eastAsia="宋体" w:cs="Times New Roman"/>
                <w:color w:val="auto"/>
                <w:kern w:val="2"/>
                <w:sz w:val="24"/>
                <w:szCs w:val="32"/>
                <w:lang w:val="en-US" w:eastAsia="zh-CN" w:bidi="ar-SA"/>
              </w:rPr>
              <w:t>②</w:t>
            </w:r>
            <w:r>
              <w:rPr>
                <w:rFonts w:hint="eastAsia" w:ascii="Times New Roman" w:hAnsi="Times New Roman" w:eastAsia="宋体" w:cs="Times New Roman"/>
                <w:color w:val="auto"/>
                <w:kern w:val="2"/>
                <w:sz w:val="24"/>
                <w:szCs w:val="32"/>
                <w:lang w:val="en-US" w:eastAsia="zh-CN" w:bidi="ar-SA"/>
              </w:rPr>
              <w:t>每一批次固体废物的出厂以及转移信息均应当如实记录，记录固体废物在产废单位内部的贮存、利用、处置等信息。确保固体废物的来源信息、流向信息完整准确。</w:t>
            </w:r>
          </w:p>
          <w:p w14:paraId="7DFE4C16">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rPr>
                <w:rFonts w:hint="default" w:ascii="Times New Roman" w:hAnsi="Times New Roman" w:eastAsia="宋体" w:cs="Times New Roman"/>
                <w:color w:val="auto"/>
                <w:kern w:val="2"/>
                <w:sz w:val="24"/>
                <w:szCs w:val="32"/>
                <w:lang w:val="en-US" w:eastAsia="zh-CN" w:bidi="ar-SA"/>
              </w:rPr>
            </w:pPr>
            <w:r>
              <w:rPr>
                <w:rFonts w:hint="default" w:ascii="Times New Roman" w:hAnsi="Times New Roman" w:eastAsia="宋体" w:cs="Times New Roman"/>
                <w:color w:val="auto"/>
                <w:kern w:val="2"/>
                <w:sz w:val="24"/>
                <w:szCs w:val="32"/>
                <w:lang w:val="en-US" w:eastAsia="zh-CN" w:bidi="ar-SA"/>
              </w:rPr>
              <w:t>③</w:t>
            </w:r>
            <w:r>
              <w:rPr>
                <w:rFonts w:hint="eastAsia" w:ascii="Times New Roman" w:hAnsi="Times New Roman" w:eastAsia="宋体" w:cs="Times New Roman"/>
                <w:color w:val="auto"/>
                <w:kern w:val="2"/>
                <w:sz w:val="24"/>
                <w:szCs w:val="32"/>
                <w:lang w:val="en-US" w:eastAsia="zh-CN" w:bidi="ar-SA"/>
              </w:rPr>
              <w:t>根据固体废物产生周期，可按日或按班次、批次填写。产废单位填写台账记录表时，应当根据自身固体废物产生情况，选择对应的固体废物种类和代码，并根据固体</w:t>
            </w:r>
            <w:r>
              <w:rPr>
                <w:rFonts w:hint="default" w:ascii="Times New Roman" w:hAnsi="Times New Roman" w:eastAsia="宋体" w:cs="Times New Roman"/>
                <w:color w:val="auto"/>
                <w:kern w:val="2"/>
                <w:sz w:val="24"/>
                <w:szCs w:val="32"/>
                <w:lang w:val="en-US" w:eastAsia="zh-CN" w:bidi="ar-SA"/>
              </w:rPr>
              <w:t>废物种类确定固体废物的具体名称。台账记录表各表单的负责人对记录信息的真实性、完整性和规范性负责。</w:t>
            </w:r>
          </w:p>
          <w:p w14:paraId="2C729E64">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rPr>
                <w:rFonts w:hint="default" w:ascii="Times New Roman" w:hAnsi="Times New Roman" w:eastAsia="宋体" w:cs="Times New Roman"/>
                <w:color w:val="auto"/>
                <w:kern w:val="2"/>
                <w:sz w:val="24"/>
                <w:szCs w:val="32"/>
                <w:lang w:val="en-US" w:eastAsia="zh-CN" w:bidi="ar-SA"/>
              </w:rPr>
            </w:pPr>
            <w:r>
              <w:rPr>
                <w:rFonts w:hint="default" w:ascii="Times New Roman" w:hAnsi="Times New Roman" w:eastAsia="宋体" w:cs="Times New Roman"/>
                <w:color w:val="auto"/>
                <w:kern w:val="2"/>
                <w:sz w:val="24"/>
                <w:szCs w:val="32"/>
                <w:lang w:val="en-US" w:eastAsia="zh-CN" w:bidi="ar-SA"/>
              </w:rPr>
              <w:t>④产废单位应当设立专人负责台账的管理与归档，一般工业固体废物管理台账保存期限不少于5年</w:t>
            </w:r>
            <w:r>
              <w:rPr>
                <w:rFonts w:hint="eastAsia" w:ascii="Times New Roman" w:hAnsi="Times New Roman" w:eastAsia="宋体" w:cs="Times New Roman"/>
                <w:color w:val="auto"/>
                <w:kern w:val="2"/>
                <w:sz w:val="24"/>
                <w:szCs w:val="32"/>
                <w:lang w:val="en-US" w:eastAsia="zh-CN" w:bidi="ar-SA"/>
              </w:rPr>
              <w:t>等。</w:t>
            </w:r>
          </w:p>
          <w:p w14:paraId="3CC2AFF9">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rPr>
                <w:rFonts w:hint="eastAsia" w:ascii="Times New Roman" w:hAnsi="Times New Roman" w:eastAsia="宋体" w:cs="Times New Roman"/>
                <w:color w:val="auto"/>
                <w:kern w:val="2"/>
                <w:sz w:val="24"/>
                <w:szCs w:val="32"/>
                <w:lang w:val="en-US" w:eastAsia="zh-CN" w:bidi="ar-SA"/>
              </w:rPr>
            </w:pPr>
            <w:r>
              <w:rPr>
                <w:rFonts w:hint="eastAsia" w:ascii="Times New Roman" w:hAnsi="Times New Roman" w:eastAsia="宋体" w:cs="Times New Roman"/>
                <w:color w:val="auto"/>
                <w:kern w:val="2"/>
                <w:sz w:val="24"/>
                <w:szCs w:val="32"/>
                <w:lang w:val="en-US" w:eastAsia="zh-CN" w:bidi="ar-SA"/>
              </w:rPr>
              <w:t>（3）危险废物管控要求</w:t>
            </w:r>
          </w:p>
          <w:p w14:paraId="5D6E272F">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rPr>
                <w:rFonts w:hint="eastAsia" w:ascii="Times New Roman" w:hAnsi="Times New Roman" w:eastAsia="宋体" w:cs="Times New Roman"/>
                <w:color w:val="auto"/>
                <w:kern w:val="2"/>
                <w:sz w:val="24"/>
                <w:szCs w:val="32"/>
                <w:lang w:val="en-US" w:eastAsia="zh-CN" w:bidi="ar-SA"/>
              </w:rPr>
            </w:pPr>
            <w:r>
              <w:rPr>
                <w:rFonts w:hint="eastAsia" w:ascii="Times New Roman" w:hAnsi="Times New Roman" w:eastAsia="宋体" w:cs="Times New Roman"/>
                <w:color w:val="auto"/>
                <w:kern w:val="2"/>
                <w:sz w:val="24"/>
                <w:szCs w:val="32"/>
                <w:lang w:val="en-US" w:eastAsia="zh-CN" w:bidi="ar-SA"/>
              </w:rPr>
              <w:t>项目产生的危险废物，建设方拟暂存在生产车间内的</w:t>
            </w:r>
            <w:r>
              <w:rPr>
                <w:rFonts w:hint="eastAsia" w:cs="Times New Roman"/>
                <w:color w:val="auto"/>
                <w:kern w:val="2"/>
                <w:sz w:val="24"/>
                <w:szCs w:val="32"/>
                <w:lang w:val="en-US" w:eastAsia="zh-CN" w:bidi="ar-SA"/>
              </w:rPr>
              <w:t>危险废物贮存点</w:t>
            </w:r>
            <w:r>
              <w:rPr>
                <w:rFonts w:hint="eastAsia" w:ascii="Times New Roman" w:hAnsi="Times New Roman" w:eastAsia="宋体" w:cs="Times New Roman"/>
                <w:color w:val="auto"/>
                <w:kern w:val="2"/>
                <w:sz w:val="24"/>
                <w:szCs w:val="32"/>
                <w:lang w:val="en-US" w:eastAsia="zh-CN" w:bidi="ar-SA"/>
              </w:rPr>
              <w:t>内，对产生的危险废物进行分区、分类暂存后，委托有资质的单位处理。</w:t>
            </w:r>
            <w:r>
              <w:rPr>
                <w:rFonts w:hint="eastAsia" w:cs="Times New Roman"/>
                <w:color w:val="auto"/>
                <w:kern w:val="2"/>
                <w:sz w:val="24"/>
                <w:szCs w:val="32"/>
                <w:lang w:val="en-US" w:eastAsia="zh-CN" w:bidi="ar-SA"/>
              </w:rPr>
              <w:t>危险废物贮存点</w:t>
            </w:r>
            <w:r>
              <w:rPr>
                <w:rFonts w:hint="eastAsia" w:ascii="Times New Roman" w:hAnsi="Times New Roman" w:eastAsia="宋体" w:cs="Times New Roman"/>
                <w:color w:val="auto"/>
                <w:kern w:val="2"/>
                <w:sz w:val="24"/>
                <w:szCs w:val="32"/>
                <w:lang w:val="en-US" w:eastAsia="zh-CN" w:bidi="ar-SA"/>
              </w:rPr>
              <w:t>的一般要求、选址、防渗堆放、运行管理参照《危险废物贮存污染控制标准》（GB18597-2023）的相关规定要求。具体详见表4-</w:t>
            </w:r>
            <w:r>
              <w:rPr>
                <w:rFonts w:hint="eastAsia" w:cs="Times New Roman"/>
                <w:color w:val="auto"/>
                <w:kern w:val="2"/>
                <w:sz w:val="24"/>
                <w:szCs w:val="32"/>
                <w:lang w:val="en-US" w:eastAsia="zh-CN" w:bidi="ar-SA"/>
              </w:rPr>
              <w:t>12</w:t>
            </w:r>
            <w:r>
              <w:rPr>
                <w:rFonts w:hint="eastAsia" w:ascii="Times New Roman" w:hAnsi="Times New Roman" w:eastAsia="宋体" w:cs="Times New Roman"/>
                <w:color w:val="auto"/>
                <w:kern w:val="2"/>
                <w:sz w:val="24"/>
                <w:szCs w:val="32"/>
                <w:lang w:val="en-US" w:eastAsia="zh-CN" w:bidi="ar-SA"/>
              </w:rPr>
              <w:t>。</w:t>
            </w:r>
          </w:p>
          <w:p w14:paraId="277073FB">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rPr>
                <w:rFonts w:hint="eastAsia" w:ascii="Times New Roman" w:hAnsi="Times New Roman" w:eastAsia="宋体" w:cs="Times New Roman"/>
                <w:color w:val="auto"/>
                <w:kern w:val="2"/>
                <w:sz w:val="24"/>
                <w:szCs w:val="32"/>
                <w:lang w:val="en-US" w:eastAsia="zh-CN" w:bidi="ar-SA"/>
              </w:rPr>
            </w:pPr>
          </w:p>
          <w:p w14:paraId="0FEC42A3">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80" w:firstLineChars="200"/>
              <w:jc w:val="left"/>
              <w:textAlignment w:val="auto"/>
              <w:rPr>
                <w:rFonts w:hint="eastAsia" w:ascii="Times New Roman" w:hAnsi="Times New Roman" w:eastAsia="宋体" w:cs="Times New Roman"/>
                <w:color w:val="auto"/>
                <w:kern w:val="2"/>
                <w:sz w:val="24"/>
                <w:szCs w:val="32"/>
                <w:lang w:val="en-US" w:eastAsia="zh-CN" w:bidi="ar-SA"/>
              </w:rPr>
            </w:pPr>
          </w:p>
          <w:p w14:paraId="4232D414">
            <w:pPr>
              <w:pStyle w:val="67"/>
              <w:keepLines w:val="0"/>
              <w:pageBreakBefore w:val="0"/>
              <w:kinsoku/>
              <w:wordWrap/>
              <w:overflowPunct/>
              <w:bidi w:val="0"/>
              <w:adjustRightInd/>
              <w:snapToGrid/>
              <w:spacing w:before="0"/>
              <w:rPr>
                <w:rFonts w:ascii="Times New Roman" w:hAnsi="Times New Roman" w:eastAsia="宋体"/>
                <w:b/>
                <w:caps w:val="0"/>
                <w:color w:val="auto"/>
                <w:sz w:val="21"/>
                <w:szCs w:val="21"/>
                <w:highlight w:val="none"/>
              </w:rPr>
            </w:pPr>
            <w:r>
              <w:rPr>
                <w:rFonts w:ascii="Times New Roman" w:hAnsi="Times New Roman" w:eastAsia="宋体"/>
                <w:b/>
                <w:caps w:val="0"/>
                <w:color w:val="auto"/>
                <w:sz w:val="21"/>
                <w:szCs w:val="21"/>
                <w:highlight w:val="none"/>
              </w:rPr>
              <w:t>表</w:t>
            </w:r>
            <w:r>
              <w:rPr>
                <w:rFonts w:hint="eastAsia" w:ascii="Times New Roman" w:hAnsi="Times New Roman" w:eastAsia="宋体"/>
                <w:b/>
                <w:caps w:val="0"/>
                <w:color w:val="auto"/>
                <w:sz w:val="21"/>
                <w:szCs w:val="21"/>
                <w:highlight w:val="none"/>
              </w:rPr>
              <w:t>4-</w:t>
            </w:r>
            <w:r>
              <w:rPr>
                <w:rFonts w:hint="eastAsia" w:ascii="Times New Roman" w:hAnsi="Times New Roman" w:eastAsia="宋体"/>
                <w:b/>
                <w:caps w:val="0"/>
                <w:color w:val="auto"/>
                <w:sz w:val="21"/>
                <w:szCs w:val="21"/>
                <w:highlight w:val="none"/>
                <w:lang w:val="en-US" w:eastAsia="zh-CN"/>
              </w:rPr>
              <w:t>12</w:t>
            </w:r>
            <w:r>
              <w:rPr>
                <w:rFonts w:ascii="Times New Roman" w:hAnsi="Times New Roman" w:eastAsia="宋体"/>
                <w:b/>
                <w:caps w:val="0"/>
                <w:color w:val="auto"/>
                <w:sz w:val="21"/>
                <w:szCs w:val="21"/>
                <w:highlight w:val="none"/>
              </w:rPr>
              <w:t xml:space="preserve">   </w:t>
            </w:r>
            <w:r>
              <w:rPr>
                <w:rFonts w:hint="eastAsia" w:ascii="Times New Roman" w:hAnsi="Times New Roman" w:eastAsia="宋体"/>
                <w:b/>
                <w:caps w:val="0"/>
                <w:color w:val="auto"/>
                <w:sz w:val="21"/>
                <w:szCs w:val="21"/>
                <w:highlight w:val="none"/>
              </w:rPr>
              <w:t>项目危险废物管理要求一览表</w:t>
            </w:r>
          </w:p>
          <w:tbl>
            <w:tblPr>
              <w:tblStyle w:val="24"/>
              <w:tblW w:w="5000"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87"/>
              <w:gridCol w:w="7693"/>
            </w:tblGrid>
            <w:tr w14:paraId="4A7C4DC5">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410" w:type="pct"/>
                  <w:noWrap w:val="0"/>
                  <w:vAlign w:val="center"/>
                </w:tcPr>
                <w:p w14:paraId="224163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环节</w:t>
                  </w:r>
                </w:p>
              </w:tc>
              <w:tc>
                <w:tcPr>
                  <w:tcW w:w="4589" w:type="pct"/>
                  <w:noWrap w:val="0"/>
                  <w:vAlign w:val="center"/>
                </w:tcPr>
                <w:p w14:paraId="68B11C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管理要求</w:t>
                  </w:r>
                </w:p>
              </w:tc>
            </w:tr>
            <w:tr w14:paraId="1F699DFB">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10" w:type="pct"/>
                  <w:noWrap w:val="0"/>
                  <w:vAlign w:val="center"/>
                </w:tcPr>
                <w:p w14:paraId="714056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收集</w:t>
                  </w:r>
                </w:p>
                <w:p w14:paraId="3B7CB0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过程</w:t>
                  </w:r>
                </w:p>
              </w:tc>
              <w:tc>
                <w:tcPr>
                  <w:tcW w:w="4589" w:type="pct"/>
                  <w:noWrap w:val="0"/>
                  <w:vAlign w:val="center"/>
                </w:tcPr>
                <w:p w14:paraId="459914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项目所产生的危险废物必须单独收集，严禁和一般固体废物混装。</w:t>
                  </w:r>
                </w:p>
              </w:tc>
            </w:tr>
            <w:tr w14:paraId="71B7723A">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10" w:type="pct"/>
                  <w:noWrap w:val="0"/>
                  <w:vAlign w:val="center"/>
                </w:tcPr>
                <w:p w14:paraId="565358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贮存过程污染控制要求</w:t>
                  </w:r>
                </w:p>
              </w:tc>
              <w:tc>
                <w:tcPr>
                  <w:tcW w:w="4589" w:type="pct"/>
                  <w:noWrap w:val="0"/>
                  <w:vAlign w:val="center"/>
                </w:tcPr>
                <w:p w14:paraId="579429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1.一般规定</w:t>
                  </w:r>
                </w:p>
                <w:p w14:paraId="3430D6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1.1在常温常压下不易水解、不易挥发的固态危险废物可分类堆放贮存，其他固态危险废物应装入</w:t>
                  </w:r>
                </w:p>
                <w:p w14:paraId="00048D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容器或包装物内贮存。</w:t>
                  </w:r>
                </w:p>
                <w:p w14:paraId="5A43C8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1.2液态危险废物应装入容器内贮存，或直接采用贮存池、贮存罐区贮存。</w:t>
                  </w:r>
                </w:p>
                <w:p w14:paraId="40C329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1.3半固态危险废物应装入容器或包装袋内贮存，或直接采用贮存池贮存。</w:t>
                  </w:r>
                </w:p>
                <w:p w14:paraId="7B1B8F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1.4具有热塑性的危险废物应装入容器或包装袋内进行贮存。</w:t>
                  </w:r>
                </w:p>
                <w:p w14:paraId="7CD260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1.5易产生粉尘、非甲烷总烃、酸雾、有毒有害大气污染物和刺激性气味气体的危险废物应装入闭口容器或包装物内贮存。</w:t>
                  </w:r>
                </w:p>
                <w:p w14:paraId="4AF194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1.6危险废物贮存过程中易产生粉尘等无组织排放的，应采取抑尘等有效措施。</w:t>
                  </w:r>
                </w:p>
                <w:p w14:paraId="59AA69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2.贮存设施运行环境管理要求</w:t>
                  </w:r>
                </w:p>
                <w:p w14:paraId="21284D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2.1 危险废物存入贮存设施前应对危险废物类别和特性与危险废物标签等危险废物识别标志的一致性进行核验，不一致的或类别、特性不明的不应存入。</w:t>
                  </w:r>
                </w:p>
                <w:p w14:paraId="7D064B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2.2 应定期检查危险废物的贮存状况，及时清理贮存设施地面，更换破损泄漏的危险废物贮存容器和包装物，保证堆存危险废物的防雨、防风、防扬尘等设施功能完好。</w:t>
                  </w:r>
                </w:p>
                <w:p w14:paraId="4A0F26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2.3 作业设备及车辆等结束作业离开贮存设施时，应对其残留的危险废物进行清理，清理的废物或清洗废水应收集处理。</w:t>
                  </w:r>
                </w:p>
                <w:p w14:paraId="49F80B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2.4贮存设施运行期间，应按国家有关标准和规定建立危险废物管理台账并保存。</w:t>
                  </w:r>
                </w:p>
                <w:p w14:paraId="56B854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2.5 贮存设施所有者或运营者应建立贮存设施环境管理制度、管理人员岗位职责制度、设施运行操作制度、人员岗位培训制度等。</w:t>
                  </w:r>
                </w:p>
                <w:p w14:paraId="09AA16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2.6 贮存设施所有者或运营者应依据国家土壤和地下水污染防治的有关规定，结合贮存设施特点建立土壤和地下水污染隐患排查制度，并定期开展隐患排查；发现隐患应及时采取措施消除隐患，并建立档案。</w:t>
                  </w:r>
                </w:p>
                <w:p w14:paraId="75D011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2.7 贮存设施所有者或运营者应建立贮存设施全部档案，包括设计、施工、验收、运行、监测和环境应急等，应按国家有关档案管理的法律法规进行整理和归档。</w:t>
                  </w:r>
                </w:p>
                <w:p w14:paraId="696849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3.贮存点环境管理要求</w:t>
                  </w:r>
                </w:p>
                <w:p w14:paraId="109257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3.1 贮存点应具有固定的区域边界，并应采取与其他区域进行隔离的措施。</w:t>
                  </w:r>
                </w:p>
                <w:p w14:paraId="135BC0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3.2 贮存点应采取防风、防雨、防晒和防止危险废物流失、扬散等措施。</w:t>
                  </w:r>
                </w:p>
                <w:p w14:paraId="19D01C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3.3 贮存点贮存的危险废物应置于容器或包装物中，不应直接散堆。</w:t>
                  </w:r>
                </w:p>
                <w:p w14:paraId="44481A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3.4 贮存点应根据危险废物的形态、物理化学性质、包装形式等，采取防渗、防漏等污染防治措施或采用具有相应功能的装置。</w:t>
                  </w:r>
                </w:p>
                <w:p w14:paraId="1E825C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3.5 贮存点应及时清运贮存的危险废物，实时贮存量不应超过3吨。</w:t>
                  </w:r>
                </w:p>
              </w:tc>
            </w:tr>
            <w:tr w14:paraId="77B40BFF">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10" w:type="pct"/>
                  <w:noWrap w:val="0"/>
                  <w:vAlign w:val="center"/>
                </w:tcPr>
                <w:p w14:paraId="1547C9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污染物排放控制要求</w:t>
                  </w:r>
                </w:p>
              </w:tc>
              <w:tc>
                <w:tcPr>
                  <w:tcW w:w="4589" w:type="pct"/>
                  <w:noWrap w:val="0"/>
                  <w:vAlign w:val="center"/>
                </w:tcPr>
                <w:p w14:paraId="274792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1.贮存设施产生的废水（包括贮存设施、作业设备、车辆等清洗废水，贮存罐区积存雨水，贮存事故废水等）应进行收集处理，废水排放应符合 GB 8978 规定的要求。</w:t>
                  </w:r>
                </w:p>
                <w:p w14:paraId="347658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2.贮存设施产生的废气（含无组织废气）的排放应符合 GB 16297 和 GB 37822 规定的要求。</w:t>
                  </w:r>
                </w:p>
                <w:p w14:paraId="4AA218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3.贮存设施产生的恶臭气体的排放应符合 GB 14554 规定的要求。</w:t>
                  </w:r>
                </w:p>
                <w:p w14:paraId="4B6946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 贮存设施内产生以及清理的固体废物应按固体废物分类管理要求妥善处理。</w:t>
                  </w:r>
                </w:p>
                <w:p w14:paraId="68D4BB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5.贮存设施排放的环境噪声应符合 GB 12348 规定的要求。</w:t>
                  </w:r>
                </w:p>
              </w:tc>
            </w:tr>
            <w:tr w14:paraId="1A308609">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10" w:type="pct"/>
                  <w:noWrap w:val="0"/>
                  <w:vAlign w:val="center"/>
                </w:tcPr>
                <w:p w14:paraId="651FE9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环境监测要求</w:t>
                  </w:r>
                </w:p>
              </w:tc>
              <w:tc>
                <w:tcPr>
                  <w:tcW w:w="4589" w:type="pct"/>
                  <w:noWrap w:val="0"/>
                  <w:vAlign w:val="center"/>
                </w:tcPr>
                <w:p w14:paraId="4EA5A2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环境监测要求</w:t>
                  </w:r>
                </w:p>
                <w:p w14:paraId="3BFDC8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1.贮存设施的环境监测应纳入主体设施的环境监测计划。</w:t>
                  </w:r>
                </w:p>
                <w:p w14:paraId="2E52DA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2.贮存设施所有者或运营者</w:t>
                  </w:r>
                  <w:r>
                    <w:rPr>
                      <w:rFonts w:hint="eastAsia" w:cs="Times New Roman"/>
                      <w:color w:val="auto"/>
                      <w:lang w:val="en-US" w:eastAsia="zh-CN"/>
                    </w:rPr>
                    <w:t>应当</w:t>
                  </w:r>
                  <w:r>
                    <w:rPr>
                      <w:rFonts w:hint="eastAsia" w:ascii="Times New Roman" w:hAnsi="Times New Roman" w:eastAsia="宋体" w:cs="Times New Roman"/>
                      <w:color w:val="auto"/>
                      <w:lang w:val="en-US" w:eastAsia="zh-CN"/>
                    </w:rPr>
                    <w:t>依据《</w:t>
                  </w:r>
                  <w:r>
                    <w:rPr>
                      <w:rFonts w:hint="eastAsia" w:cs="Times New Roman"/>
                      <w:color w:val="auto"/>
                      <w:lang w:val="en-US" w:eastAsia="zh-CN"/>
                    </w:rPr>
                    <w:t>中华人民共和国大气污染防治法</w:t>
                  </w:r>
                  <w:r>
                    <w:rPr>
                      <w:rFonts w:hint="eastAsia" w:ascii="Times New Roman" w:hAnsi="Times New Roman" w:eastAsia="宋体" w:cs="Times New Roman"/>
                      <w:color w:val="auto"/>
                      <w:lang w:val="en-US" w:eastAsia="zh-CN"/>
                    </w:rPr>
                    <w:t>》《</w:t>
                  </w:r>
                  <w:r>
                    <w:rPr>
                      <w:rFonts w:hint="eastAsia" w:cs="Times New Roman"/>
                      <w:color w:val="auto"/>
                      <w:lang w:val="en-US" w:eastAsia="zh-CN"/>
                    </w:rPr>
                    <w:t>中华人民共和国水污染防治法</w:t>
                  </w:r>
                  <w:r>
                    <w:rPr>
                      <w:rFonts w:hint="eastAsia" w:ascii="Times New Roman" w:hAnsi="Times New Roman" w:eastAsia="宋体" w:cs="Times New Roman"/>
                      <w:color w:val="auto"/>
                      <w:lang w:val="en-US" w:eastAsia="zh-CN"/>
                    </w:rPr>
                    <w:t>》《</w:t>
                  </w:r>
                  <w:r>
                    <w:rPr>
                      <w:rFonts w:hint="eastAsia" w:cs="Times New Roman"/>
                      <w:color w:val="auto"/>
                      <w:lang w:val="en-US" w:eastAsia="zh-CN"/>
                    </w:rPr>
                    <w:t>中华人民共和国土壤污染防治法</w:t>
                  </w:r>
                  <w:r>
                    <w:rPr>
                      <w:rFonts w:hint="eastAsia" w:ascii="Times New Roman" w:hAnsi="Times New Roman" w:eastAsia="宋体" w:cs="Times New Roman"/>
                      <w:color w:val="auto"/>
                      <w:lang w:val="en-US" w:eastAsia="zh-CN"/>
                    </w:rPr>
                    <w:t>》等有关法律、《排污许可管理条例》等行政法规和 HJ 819、HJ 1250 等规定制订监测方案，对贮存设施污染物排放状况开展自行监测，保存原始监测记录，并公布监测结果。</w:t>
                  </w:r>
                </w:p>
                <w:p w14:paraId="463A95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3.贮存设施废水污染物排放的监测方法和监测指标应符合国家相关标准要求。</w:t>
                  </w:r>
                </w:p>
                <w:p w14:paraId="27DD1B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4.HJ 1259 规定的危险废物环境重点监管单位贮存设施地下水环境监测点布设应符合 HJ 164 要求，监测因子应根据贮存废物的特性选择具有代表性且能表征危险废物特性的指标，地下水监测因子分析方法按照 GB/T 14848 执行。</w:t>
                  </w:r>
                </w:p>
                <w:p w14:paraId="1D675C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5.配有收集净化系统的贮存设施大气污染物排放的监测采样应按 GB/T 16157、HJ/T 397、HJ 732的规定执行。</w:t>
                  </w:r>
                </w:p>
                <w:p w14:paraId="63A98C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6.贮存设施无组织气体排放监测因子应根据贮存废物的特性选择具有代表性且能表征危险废物特性的指标；采样点布设、采样及监测方法可按 HJ/T 55 的规定执行，非甲烷总烃的无组织排放监测还应符合GB 37822 的规定。</w:t>
                  </w:r>
                </w:p>
                <w:p w14:paraId="64B86B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7.贮存设施恶臭气体的排放</w:t>
                  </w:r>
                  <w:r>
                    <w:rPr>
                      <w:rFonts w:hint="eastAsia" w:cs="Times New Roman"/>
                      <w:color w:val="auto"/>
                      <w:lang w:val="en-US" w:eastAsia="zh-CN"/>
                    </w:rPr>
                    <w:t>检测</w:t>
                  </w:r>
                  <w:r>
                    <w:rPr>
                      <w:rFonts w:hint="eastAsia" w:ascii="Times New Roman" w:hAnsi="Times New Roman" w:eastAsia="宋体" w:cs="Times New Roman"/>
                      <w:color w:val="auto"/>
                      <w:lang w:val="en-US" w:eastAsia="zh-CN"/>
                    </w:rPr>
                    <w:t>应符合 GB 14554、HJ 905 的规定。</w:t>
                  </w:r>
                </w:p>
              </w:tc>
            </w:tr>
            <w:tr w14:paraId="31456E2A">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10" w:type="pct"/>
                  <w:noWrap w:val="0"/>
                  <w:vAlign w:val="center"/>
                </w:tcPr>
                <w:p w14:paraId="4626E9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环境应急要求</w:t>
                  </w:r>
                </w:p>
              </w:tc>
              <w:tc>
                <w:tcPr>
                  <w:tcW w:w="4589" w:type="pct"/>
                  <w:noWrap w:val="0"/>
                  <w:vAlign w:val="center"/>
                </w:tcPr>
                <w:p w14:paraId="20D8BB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 贮存设施所有者或运营者应按照国家有关规定编制突发环境事件应急预案，定期开展必要的培训和环境应急演练，并做好培训、演练记录。</w:t>
                  </w:r>
                </w:p>
                <w:p w14:paraId="1D4027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2.贮存设施所有者或运营者应配备满足其突发环境事件应急要求的应急人员、装备和物资，并应设置应急照明系统。</w:t>
                  </w:r>
                </w:p>
                <w:p w14:paraId="49AB39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3.相关部门发布自然灾害或恶劣天气预警后，贮存设施所有者或运营者应启动相应防控措施，若有必要可将危险废物转移至其他具有防护条件的地点贮存。</w:t>
                  </w:r>
                </w:p>
              </w:tc>
            </w:tr>
            <w:tr w14:paraId="2D3D6E62">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10" w:type="pct"/>
                  <w:noWrap w:val="0"/>
                  <w:vAlign w:val="center"/>
                </w:tcPr>
                <w:p w14:paraId="03429C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委托</w:t>
                  </w:r>
                </w:p>
                <w:p w14:paraId="0D93DE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转移</w:t>
                  </w:r>
                </w:p>
              </w:tc>
              <w:tc>
                <w:tcPr>
                  <w:tcW w:w="4589" w:type="pct"/>
                  <w:noWrap w:val="0"/>
                  <w:vAlign w:val="center"/>
                </w:tcPr>
                <w:p w14:paraId="270F0F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危险废物的转移严格按照《危险废物转移管理办法》（部令 第23号，2021年11月30日）执行。</w:t>
                  </w:r>
                </w:p>
                <w:p w14:paraId="548560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① 在危险废物转移过程中应当采取防扬散、防流失、防渗漏或者其他防止污染环境的措施，不得擅自倾倒、堆放、丢弃、遗撒危险废物。</w:t>
                  </w:r>
                </w:p>
                <w:p w14:paraId="4B85D6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② 对承运人或者</w:t>
                  </w:r>
                  <w:r>
                    <w:rPr>
                      <w:rFonts w:hint="eastAsia" w:cs="Times New Roman"/>
                      <w:color w:val="auto"/>
                      <w:lang w:val="en-US" w:eastAsia="zh-CN"/>
                    </w:rPr>
                    <w:t>接收</w:t>
                  </w:r>
                  <w:r>
                    <w:rPr>
                      <w:rFonts w:hint="eastAsia" w:ascii="Times New Roman" w:hAnsi="Times New Roman" w:eastAsia="宋体" w:cs="Times New Roman"/>
                      <w:color w:val="auto"/>
                      <w:lang w:val="en-US" w:eastAsia="zh-CN"/>
                    </w:rPr>
                    <w:t>人的主体资格和技术能力进行核实，依法签订书面合同，并在合同中约定运输、贮存、利用、处置危险废物的污染防治要求及相关责任。</w:t>
                  </w:r>
                </w:p>
                <w:p w14:paraId="6D73DA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③ 制定危险废物管理计划，明确拟转移危险废物的种类、重量（数量）和流向等信息。</w:t>
                  </w:r>
                </w:p>
                <w:p w14:paraId="6CB637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④ 建立危险废物管理台账，对转移的危险废物进行计量称重，如实记录、妥善保管转移危险废物的种类、重量（数量）和</w:t>
                  </w:r>
                  <w:r>
                    <w:rPr>
                      <w:rFonts w:hint="eastAsia" w:cs="Times New Roman"/>
                      <w:color w:val="auto"/>
                      <w:lang w:val="en-US" w:eastAsia="zh-CN"/>
                    </w:rPr>
                    <w:t>接收</w:t>
                  </w:r>
                  <w:r>
                    <w:rPr>
                      <w:rFonts w:hint="eastAsia" w:ascii="Times New Roman" w:hAnsi="Times New Roman" w:eastAsia="宋体" w:cs="Times New Roman"/>
                      <w:color w:val="auto"/>
                      <w:lang w:val="en-US" w:eastAsia="zh-CN"/>
                    </w:rPr>
                    <w:t>人等相关信息。</w:t>
                  </w:r>
                </w:p>
                <w:p w14:paraId="62C074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⑤ 填写、运行危险废物转移联单，在危险废物转移联单中如实填写移出人、承运人、</w:t>
                  </w:r>
                  <w:r>
                    <w:rPr>
                      <w:rFonts w:hint="eastAsia" w:cs="Times New Roman"/>
                      <w:color w:val="auto"/>
                      <w:lang w:val="en-US" w:eastAsia="zh-CN"/>
                    </w:rPr>
                    <w:t>接收</w:t>
                  </w:r>
                  <w:r>
                    <w:rPr>
                      <w:rFonts w:hint="eastAsia" w:ascii="Times New Roman" w:hAnsi="Times New Roman" w:eastAsia="宋体" w:cs="Times New Roman"/>
                      <w:color w:val="auto"/>
                      <w:lang w:val="en-US" w:eastAsia="zh-CN"/>
                    </w:rPr>
                    <w:t>人信息，转移危险废物的种类、重量（数量）、危险特性等信息，以及突发环境事件的防范措施等。</w:t>
                  </w:r>
                </w:p>
                <w:p w14:paraId="451280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⑥ 及时核实</w:t>
                  </w:r>
                  <w:r>
                    <w:rPr>
                      <w:rFonts w:hint="eastAsia" w:cs="Times New Roman"/>
                      <w:color w:val="auto"/>
                      <w:lang w:val="en-US" w:eastAsia="zh-CN"/>
                    </w:rPr>
                    <w:t>接收</w:t>
                  </w:r>
                  <w:r>
                    <w:rPr>
                      <w:rFonts w:hint="eastAsia" w:ascii="Times New Roman" w:hAnsi="Times New Roman" w:eastAsia="宋体" w:cs="Times New Roman"/>
                      <w:color w:val="auto"/>
                      <w:lang w:val="en-US" w:eastAsia="zh-CN"/>
                    </w:rPr>
                    <w:t>人贮存、利用或者处置相关危险废物情况。</w:t>
                  </w:r>
                </w:p>
                <w:p w14:paraId="2470D9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⑦ 禁止将危险废物以副产品等名义提供或者委托给无危险废物经营许可证的单位或者其他生产经营者从事收集、贮存、利用、处置活动。</w:t>
                  </w:r>
                </w:p>
              </w:tc>
            </w:tr>
            <w:tr w14:paraId="6B35102F">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10" w:type="pct"/>
                  <w:noWrap w:val="0"/>
                  <w:vAlign w:val="center"/>
                </w:tcPr>
                <w:p w14:paraId="659ED0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cs="Times New Roman"/>
                      <w:color w:val="auto"/>
                      <w:lang w:val="en-US" w:eastAsia="zh-CN"/>
                    </w:rPr>
                    <w:t>危险废物贮存点</w:t>
                  </w:r>
                  <w:r>
                    <w:rPr>
                      <w:rFonts w:hint="eastAsia" w:ascii="Times New Roman" w:hAnsi="Times New Roman" w:eastAsia="宋体" w:cs="Times New Roman"/>
                      <w:color w:val="auto"/>
                      <w:lang w:val="en-US" w:eastAsia="zh-CN"/>
                    </w:rPr>
                    <w:t>的建设及管理</w:t>
                  </w:r>
                </w:p>
              </w:tc>
              <w:tc>
                <w:tcPr>
                  <w:tcW w:w="4589" w:type="pct"/>
                  <w:noWrap w:val="0"/>
                  <w:vAlign w:val="center"/>
                </w:tcPr>
                <w:p w14:paraId="3772C0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① 危险废物贮存间必须密闭建设，门口内侧设立围堰，地面应做好硬化及“三防”措施。</w:t>
                  </w:r>
                </w:p>
                <w:p w14:paraId="11E73E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② 危险废物贮存间门口需张贴标准规范的危险废物标识和危险信息</w:t>
                  </w:r>
                  <w:r>
                    <w:rPr>
                      <w:rFonts w:hint="eastAsia" w:cs="Times New Roman"/>
                      <w:color w:val="auto"/>
                      <w:lang w:val="en-US" w:eastAsia="zh-CN"/>
                    </w:rPr>
                    <w:t>板</w:t>
                  </w:r>
                  <w:r>
                    <w:rPr>
                      <w:rFonts w:hint="eastAsia" w:ascii="Times New Roman" w:hAnsi="Times New Roman" w:eastAsia="宋体" w:cs="Times New Roman"/>
                      <w:color w:val="auto"/>
                      <w:lang w:val="en-US" w:eastAsia="zh-CN"/>
                    </w:rPr>
                    <w:t>，屋内张贴企业《危险废物管理制度》。</w:t>
                  </w:r>
                </w:p>
                <w:p w14:paraId="4790DA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③ 危险废物贮存间需按照“双人双锁”制度管理。</w:t>
                  </w:r>
                </w:p>
                <w:p w14:paraId="2D3CE9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④ 不同种类危险废物应有明显的过道划分，墙上张贴危废名称，液体危废需将盛装容器放置防渗漏托盘内并在容器粘贴危险废物标签，固态危险废物包装需完好无破损并系挂危险废物标签，并按要求填写。</w:t>
                  </w:r>
                </w:p>
                <w:p w14:paraId="2318D6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⑤ 建立台账并悬挂于危险废物贮存间内。</w:t>
                  </w:r>
                </w:p>
                <w:p w14:paraId="6A5E37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⑥ 危险废物贮存间内禁止存放</w:t>
                  </w:r>
                  <w:r>
                    <w:rPr>
                      <w:rFonts w:hint="eastAsia" w:cs="Times New Roman"/>
                      <w:color w:val="auto"/>
                      <w:lang w:val="en-US" w:eastAsia="zh-CN"/>
                    </w:rPr>
                    <w:t>非</w:t>
                  </w:r>
                  <w:r>
                    <w:rPr>
                      <w:rFonts w:hint="eastAsia" w:ascii="Times New Roman" w:hAnsi="Times New Roman" w:eastAsia="宋体" w:cs="Times New Roman"/>
                      <w:color w:val="auto"/>
                      <w:lang w:val="en-US" w:eastAsia="zh-CN"/>
                    </w:rPr>
                    <w:t>危险废物及应急工具及其他物品。</w:t>
                  </w:r>
                </w:p>
              </w:tc>
            </w:tr>
          </w:tbl>
          <w:p w14:paraId="18EBF15C">
            <w:pPr>
              <w:keepNext w:val="0"/>
              <w:keepLines w:val="0"/>
              <w:pageBreakBefore w:val="0"/>
              <w:widowControl/>
              <w:kinsoku/>
              <w:wordWrap/>
              <w:overflowPunct/>
              <w:topLinePunct w:val="0"/>
              <w:autoSpaceDE/>
              <w:autoSpaceDN/>
              <w:bidi w:val="0"/>
              <w:adjustRightInd/>
              <w:snapToGrid/>
              <w:spacing w:before="157" w:beforeLines="50" w:line="360" w:lineRule="auto"/>
              <w:ind w:firstLine="480" w:firstLineChars="200"/>
              <w:textAlignment w:val="auto"/>
              <w:rPr>
                <w:rFonts w:hint="eastAsia" w:ascii="Times New Roman" w:hAnsi="Times New Roman" w:eastAsia="宋体"/>
                <w:caps w:val="0"/>
                <w:color w:val="auto"/>
                <w:sz w:val="24"/>
                <w:highlight w:val="none"/>
              </w:rPr>
            </w:pPr>
            <w:r>
              <w:rPr>
                <w:rFonts w:ascii="Times New Roman" w:hAnsi="Times New Roman" w:eastAsia="宋体"/>
                <w:bCs/>
                <w:caps w:val="0"/>
                <w:color w:val="auto"/>
                <w:sz w:val="24"/>
                <w:highlight w:val="none"/>
              </w:rPr>
              <w:t>综上，在做到以上固体废物防治措施后，本项目产生的固废均能得到合理有效</w:t>
            </w:r>
            <w:r>
              <w:rPr>
                <w:rFonts w:hint="eastAsia"/>
                <w:bCs/>
                <w:caps w:val="0"/>
                <w:color w:val="auto"/>
                <w:sz w:val="24"/>
                <w:highlight w:val="none"/>
                <w:lang w:eastAsia="zh-CN"/>
              </w:rPr>
              <w:t>地</w:t>
            </w:r>
            <w:r>
              <w:rPr>
                <w:rFonts w:ascii="Times New Roman" w:hAnsi="Times New Roman" w:eastAsia="宋体"/>
                <w:bCs/>
                <w:caps w:val="0"/>
                <w:color w:val="auto"/>
                <w:sz w:val="24"/>
                <w:highlight w:val="none"/>
              </w:rPr>
              <w:t>收集、存储和处置，其全过程不对外环境产生不良影响</w:t>
            </w:r>
            <w:r>
              <w:rPr>
                <w:rFonts w:hint="eastAsia" w:ascii="Times New Roman" w:hAnsi="Times New Roman" w:eastAsia="宋体"/>
                <w:caps w:val="0"/>
                <w:color w:val="auto"/>
                <w:sz w:val="24"/>
                <w:highlight w:val="none"/>
              </w:rPr>
              <w:t>。</w:t>
            </w:r>
          </w:p>
          <w:p w14:paraId="7B5AD821">
            <w:pPr>
              <w:keepNext w:val="0"/>
              <w:keepLines w:val="0"/>
              <w:pageBreakBefore w:val="0"/>
              <w:suppressLineNumbers w:val="0"/>
              <w:kinsoku/>
              <w:wordWrap/>
              <w:overflowPunct/>
              <w:topLinePunct w:val="0"/>
              <w:bidi w:val="0"/>
              <w:spacing w:before="0" w:beforeAutospacing="0" w:after="0" w:afterAutospacing="0" w:line="500" w:lineRule="exact"/>
              <w:ind w:left="0" w:right="0" w:firstLine="482" w:firstLineChars="200"/>
              <w:rPr>
                <w:rFonts w:hint="default" w:ascii="Times New Roman" w:hAnsi="Times New Roman" w:eastAsia="宋体" w:cs="Times New Roman"/>
                <w:b/>
                <w:bCs/>
                <w:color w:val="auto"/>
                <w:sz w:val="24"/>
                <w:szCs w:val="32"/>
                <w:lang w:val="en-US" w:eastAsia="zh-CN"/>
              </w:rPr>
            </w:pPr>
            <w:r>
              <w:rPr>
                <w:rFonts w:hint="default" w:ascii="Times New Roman" w:hAnsi="Times New Roman" w:eastAsia="宋体" w:cs="Times New Roman"/>
                <w:b/>
                <w:bCs/>
                <w:color w:val="auto"/>
                <w:sz w:val="24"/>
                <w:szCs w:val="32"/>
                <w:lang w:val="en-US" w:eastAsia="zh-CN"/>
              </w:rPr>
              <w:t>5.地下水环境影响分析</w:t>
            </w:r>
          </w:p>
          <w:p w14:paraId="14969C59">
            <w:pPr>
              <w:keepNext w:val="0"/>
              <w:keepLines w:val="0"/>
              <w:pageBreakBefore w:val="0"/>
              <w:widowControl/>
              <w:suppressLineNumbers w:val="0"/>
              <w:kinsoku/>
              <w:wordWrap/>
              <w:overflowPunct/>
              <w:topLinePunct w:val="0"/>
              <w:bidi w:val="0"/>
              <w:spacing w:before="0" w:beforeAutospacing="0" w:after="0" w:afterAutospacing="0" w:line="500" w:lineRule="exact"/>
              <w:ind w:left="0" w:right="0" w:firstLine="480" w:firstLineChars="200"/>
              <w:jc w:val="left"/>
              <w:rPr>
                <w:rFonts w:hint="default"/>
                <w:color w:val="auto"/>
                <w:sz w:val="24"/>
                <w:szCs w:val="32"/>
                <w:lang w:val="en-US" w:eastAsia="zh-CN"/>
              </w:rPr>
            </w:pPr>
            <w:r>
              <w:rPr>
                <w:rFonts w:hint="default"/>
                <w:color w:val="auto"/>
                <w:sz w:val="24"/>
                <w:szCs w:val="32"/>
                <w:lang w:val="en-US" w:eastAsia="zh-CN"/>
              </w:rPr>
              <w:t>根据《环境影响评价技术导则地下水环境》（HJ610-2016）的附录A可知，本项目</w:t>
            </w:r>
            <w:r>
              <w:rPr>
                <w:rFonts w:hint="default" w:ascii="Times New Roman" w:hAnsi="Times New Roman" w:cs="Times New Roman"/>
                <w:color w:val="auto"/>
                <w:sz w:val="24"/>
                <w:szCs w:val="32"/>
                <w:lang w:val="en-US" w:eastAsia="zh-CN"/>
              </w:rPr>
              <w:t>属</w:t>
            </w:r>
            <w:r>
              <w:rPr>
                <w:rFonts w:hint="eastAsia" w:ascii="宋体" w:hAnsi="宋体" w:eastAsia="宋体" w:cs="宋体"/>
                <w:color w:val="auto"/>
                <w:sz w:val="24"/>
                <w:szCs w:val="32"/>
                <w:lang w:val="en-US" w:eastAsia="zh-CN"/>
              </w:rPr>
              <w:t>于“二</w:t>
            </w:r>
            <w:r>
              <w:rPr>
                <w:rFonts w:hint="default"/>
                <w:color w:val="auto"/>
                <w:sz w:val="24"/>
                <w:szCs w:val="32"/>
                <w:lang w:val="en-US" w:eastAsia="zh-CN"/>
              </w:rPr>
              <w:t>十七、非金属矿物制品业30-56砖瓦、石材等建筑材料制造303</w:t>
            </w:r>
            <w:r>
              <w:rPr>
                <w:rFonts w:hint="eastAsia" w:ascii="宋体" w:hAnsi="宋体" w:eastAsia="宋体" w:cs="宋体"/>
                <w:color w:val="auto"/>
                <w:sz w:val="24"/>
                <w:szCs w:val="32"/>
                <w:lang w:val="en-US" w:eastAsia="zh-CN"/>
              </w:rPr>
              <w:t>”</w:t>
            </w:r>
            <w:r>
              <w:rPr>
                <w:rFonts w:hint="default" w:ascii="Times New Roman" w:hAnsi="Times New Roman" w:cs="Times New Roman"/>
                <w:color w:val="auto"/>
                <w:sz w:val="24"/>
                <w:szCs w:val="32"/>
                <w:lang w:val="en-US" w:eastAsia="zh-CN"/>
              </w:rPr>
              <w:t>，</w:t>
            </w:r>
            <w:r>
              <w:rPr>
                <w:rFonts w:hint="default"/>
                <w:color w:val="auto"/>
                <w:sz w:val="24"/>
                <w:szCs w:val="32"/>
                <w:lang w:val="en-US" w:eastAsia="zh-CN"/>
              </w:rPr>
              <w:t>地下水环境影响评价类别为Ⅳ类，可不开展地下水环境影响评价。本项目地下水污染源主要为生活污水处理构筑物，主要是污水处理构筑物泄漏、污染物通过防渗层和包气带通过垂直下渗污染地下水。</w:t>
            </w:r>
          </w:p>
          <w:p w14:paraId="037C1DDB">
            <w:pPr>
              <w:keepNext w:val="0"/>
              <w:keepLines w:val="0"/>
              <w:pageBreakBefore w:val="0"/>
              <w:widowControl/>
              <w:suppressLineNumbers w:val="0"/>
              <w:kinsoku/>
              <w:wordWrap/>
              <w:overflowPunct/>
              <w:topLinePunct w:val="0"/>
              <w:bidi w:val="0"/>
              <w:spacing w:before="0" w:beforeAutospacing="0" w:after="0" w:afterAutospacing="0" w:line="500" w:lineRule="exact"/>
              <w:ind w:left="0" w:right="0" w:firstLine="480" w:firstLineChars="200"/>
              <w:jc w:val="left"/>
              <w:rPr>
                <w:rFonts w:hint="default"/>
                <w:color w:val="auto"/>
                <w:sz w:val="24"/>
                <w:szCs w:val="32"/>
                <w:lang w:val="en-US" w:eastAsia="zh-CN"/>
              </w:rPr>
            </w:pPr>
            <w:r>
              <w:rPr>
                <w:rFonts w:hint="default"/>
                <w:color w:val="auto"/>
                <w:sz w:val="24"/>
                <w:szCs w:val="32"/>
                <w:lang w:val="en-US" w:eastAsia="zh-CN"/>
              </w:rPr>
              <w:t>本项目生活污水处理构筑物需满足《环境影响评价技术导则地下水》表7中地下水污染防渗分区参照表重点防渗区要求。</w:t>
            </w:r>
          </w:p>
          <w:p w14:paraId="7D884AC6">
            <w:pPr>
              <w:keepNext w:val="0"/>
              <w:keepLines w:val="0"/>
              <w:pageBreakBefore w:val="0"/>
              <w:widowControl/>
              <w:suppressLineNumbers w:val="0"/>
              <w:kinsoku/>
              <w:wordWrap/>
              <w:overflowPunct/>
              <w:topLinePunct w:val="0"/>
              <w:bidi w:val="0"/>
              <w:spacing w:before="0" w:beforeAutospacing="0" w:after="0" w:afterAutospacing="0" w:line="500" w:lineRule="exact"/>
              <w:ind w:left="0" w:right="0" w:firstLine="480" w:firstLineChars="200"/>
              <w:jc w:val="left"/>
              <w:rPr>
                <w:rFonts w:hint="eastAsia" w:eastAsia="宋体"/>
                <w:color w:val="auto"/>
                <w:sz w:val="24"/>
                <w:szCs w:val="32"/>
                <w:lang w:val="en-US" w:eastAsia="zh-CN"/>
              </w:rPr>
            </w:pPr>
            <w:r>
              <w:rPr>
                <w:rFonts w:hint="default" w:eastAsia="宋体"/>
                <w:color w:val="auto"/>
                <w:sz w:val="24"/>
                <w:szCs w:val="32"/>
                <w:lang w:val="en-US" w:eastAsia="zh-CN"/>
              </w:rPr>
              <w:t>本项目地下水污染的控制措施为：</w:t>
            </w:r>
            <w:r>
              <w:rPr>
                <w:rFonts w:hint="eastAsia" w:eastAsia="宋体"/>
                <w:color w:val="auto"/>
                <w:sz w:val="24"/>
                <w:szCs w:val="32"/>
                <w:lang w:val="en-US" w:eastAsia="zh-CN"/>
              </w:rPr>
              <w:t>化粪池和</w:t>
            </w:r>
            <w:r>
              <w:rPr>
                <w:rFonts w:hint="eastAsia"/>
                <w:color w:val="auto"/>
                <w:sz w:val="24"/>
                <w:szCs w:val="32"/>
                <w:lang w:val="en-US" w:eastAsia="zh-CN"/>
              </w:rPr>
              <w:t>危险废物贮存点</w:t>
            </w:r>
            <w:r>
              <w:rPr>
                <w:rFonts w:hint="default" w:eastAsia="宋体"/>
                <w:color w:val="auto"/>
                <w:sz w:val="24"/>
                <w:szCs w:val="32"/>
                <w:lang w:val="en-US" w:eastAsia="zh-CN"/>
              </w:rPr>
              <w:t>为重点防渗区，</w:t>
            </w:r>
            <w:r>
              <w:rPr>
                <w:rFonts w:hint="eastAsia" w:eastAsia="宋体"/>
                <w:color w:val="auto"/>
                <w:sz w:val="24"/>
                <w:szCs w:val="32"/>
                <w:lang w:val="en-US" w:eastAsia="zh-CN"/>
              </w:rPr>
              <w:t>重点防渗区防渗层设置</w:t>
            </w:r>
            <w:r>
              <w:rPr>
                <w:rFonts w:hint="default" w:eastAsia="宋体"/>
                <w:color w:val="auto"/>
                <w:sz w:val="24"/>
                <w:szCs w:val="32"/>
                <w:lang w:val="en-US" w:eastAsia="zh-CN"/>
              </w:rPr>
              <w:t>严格按照《危险废物贮存污染控制标准》</w:t>
            </w:r>
            <w:r>
              <w:rPr>
                <w:rFonts w:hint="eastAsia" w:eastAsia="宋体"/>
                <w:color w:val="auto"/>
                <w:sz w:val="24"/>
                <w:szCs w:val="32"/>
                <w:lang w:val="en-US" w:eastAsia="zh-CN"/>
              </w:rPr>
              <w:t>（GB18597-2001）</w:t>
            </w:r>
            <w:r>
              <w:rPr>
                <w:rFonts w:hint="default" w:eastAsia="宋体"/>
                <w:color w:val="auto"/>
                <w:sz w:val="24"/>
                <w:szCs w:val="32"/>
                <w:lang w:val="en-US" w:eastAsia="zh-CN"/>
              </w:rPr>
              <w:t>要求制定防渗措施；地面硬化处理并设防渗层，确保等效黏土防渗层Mb≥</w:t>
            </w:r>
            <w:r>
              <w:rPr>
                <w:rFonts w:hint="eastAsia" w:eastAsia="宋体"/>
                <w:color w:val="auto"/>
                <w:sz w:val="24"/>
                <w:szCs w:val="32"/>
                <w:lang w:val="en-US" w:eastAsia="zh-CN"/>
              </w:rPr>
              <w:t>1.0</w:t>
            </w:r>
            <w:r>
              <w:rPr>
                <w:rFonts w:hint="default" w:eastAsia="宋体"/>
                <w:color w:val="auto"/>
                <w:sz w:val="24"/>
                <w:szCs w:val="32"/>
                <w:lang w:val="en-US" w:eastAsia="zh-CN"/>
              </w:rPr>
              <w:t>m，渗透系数K≤1.0×10</w:t>
            </w:r>
            <w:r>
              <w:rPr>
                <w:rFonts w:hint="default" w:eastAsia="宋体"/>
                <w:color w:val="auto"/>
                <w:sz w:val="24"/>
                <w:szCs w:val="32"/>
                <w:vertAlign w:val="superscript"/>
                <w:lang w:val="en-US" w:eastAsia="zh-CN"/>
              </w:rPr>
              <w:t>-</w:t>
            </w:r>
            <w:r>
              <w:rPr>
                <w:rFonts w:hint="eastAsia" w:eastAsia="宋体"/>
                <w:color w:val="auto"/>
                <w:sz w:val="24"/>
                <w:szCs w:val="32"/>
                <w:vertAlign w:val="superscript"/>
                <w:lang w:val="en-US" w:eastAsia="zh-CN"/>
              </w:rPr>
              <w:t>7</w:t>
            </w:r>
            <w:r>
              <w:rPr>
                <w:rFonts w:hint="default" w:eastAsia="宋体"/>
                <w:color w:val="auto"/>
                <w:sz w:val="24"/>
                <w:szCs w:val="32"/>
                <w:lang w:val="en-US" w:eastAsia="zh-CN"/>
              </w:rPr>
              <w:t>cm/s</w:t>
            </w:r>
            <w:r>
              <w:rPr>
                <w:rFonts w:hint="eastAsia" w:eastAsia="宋体"/>
                <w:color w:val="auto"/>
                <w:sz w:val="24"/>
                <w:szCs w:val="32"/>
                <w:lang w:val="en-US" w:eastAsia="zh-CN"/>
              </w:rPr>
              <w:t>，或2mm厚高密度聚乙烯，或至少2mm厚的</w:t>
            </w:r>
            <w:r>
              <w:rPr>
                <w:rFonts w:hint="eastAsia"/>
                <w:color w:val="auto"/>
                <w:sz w:val="24"/>
                <w:szCs w:val="32"/>
                <w:lang w:val="en-US" w:eastAsia="zh-CN"/>
              </w:rPr>
              <w:t>其他人工</w:t>
            </w:r>
            <w:r>
              <w:rPr>
                <w:rFonts w:hint="eastAsia" w:eastAsia="宋体"/>
                <w:color w:val="auto"/>
                <w:sz w:val="24"/>
                <w:szCs w:val="32"/>
                <w:lang w:val="en-US" w:eastAsia="zh-CN"/>
              </w:rPr>
              <w:t>材料，渗透系数≤10</w:t>
            </w:r>
            <w:r>
              <w:rPr>
                <w:rFonts w:hint="eastAsia"/>
                <w:color w:val="auto"/>
                <w:sz w:val="24"/>
                <w:szCs w:val="32"/>
                <w:vertAlign w:val="superscript"/>
                <w:lang w:val="en-US" w:eastAsia="zh-CN"/>
              </w:rPr>
              <w:t>-</w:t>
            </w:r>
            <w:r>
              <w:rPr>
                <w:rFonts w:hint="eastAsia" w:eastAsia="宋体"/>
                <w:color w:val="auto"/>
                <w:sz w:val="24"/>
                <w:szCs w:val="32"/>
                <w:vertAlign w:val="superscript"/>
                <w:lang w:val="en-US" w:eastAsia="zh-CN"/>
              </w:rPr>
              <w:t>10</w:t>
            </w:r>
            <w:r>
              <w:rPr>
                <w:rFonts w:hint="eastAsia" w:eastAsia="宋体"/>
                <w:color w:val="auto"/>
                <w:sz w:val="24"/>
                <w:szCs w:val="32"/>
                <w:lang w:val="en-US" w:eastAsia="zh-CN"/>
              </w:rPr>
              <w:t>cm/s。</w:t>
            </w:r>
          </w:p>
          <w:p w14:paraId="30E12A07">
            <w:pPr>
              <w:keepNext w:val="0"/>
              <w:keepLines w:val="0"/>
              <w:pageBreakBefore w:val="0"/>
              <w:widowControl/>
              <w:suppressLineNumbers w:val="0"/>
              <w:kinsoku/>
              <w:wordWrap/>
              <w:overflowPunct/>
              <w:topLinePunct w:val="0"/>
              <w:bidi w:val="0"/>
              <w:spacing w:before="0" w:beforeAutospacing="0" w:after="0" w:afterAutospacing="0" w:line="500" w:lineRule="exact"/>
              <w:ind w:left="0" w:right="0" w:firstLine="480" w:firstLineChars="200"/>
              <w:jc w:val="left"/>
              <w:rPr>
                <w:rFonts w:hint="default" w:eastAsia="宋体"/>
                <w:color w:val="auto"/>
                <w:sz w:val="24"/>
                <w:szCs w:val="32"/>
                <w:lang w:val="en-US" w:eastAsia="zh-CN"/>
              </w:rPr>
            </w:pPr>
            <w:r>
              <w:rPr>
                <w:rFonts w:hint="default" w:eastAsia="宋体"/>
                <w:color w:val="auto"/>
                <w:sz w:val="24"/>
                <w:szCs w:val="32"/>
                <w:lang w:val="en-US" w:eastAsia="zh-CN"/>
              </w:rPr>
              <w:t>生产车间、</w:t>
            </w:r>
            <w:r>
              <w:rPr>
                <w:rFonts w:hint="eastAsia" w:eastAsia="宋体"/>
                <w:color w:val="auto"/>
                <w:sz w:val="24"/>
                <w:szCs w:val="32"/>
                <w:lang w:val="en-US" w:eastAsia="zh-CN"/>
              </w:rPr>
              <w:t>堆场和生活区为</w:t>
            </w:r>
            <w:r>
              <w:rPr>
                <w:rFonts w:hint="default" w:eastAsia="宋体"/>
                <w:color w:val="auto"/>
                <w:sz w:val="24"/>
                <w:szCs w:val="32"/>
                <w:lang w:val="en-US" w:eastAsia="zh-CN"/>
              </w:rPr>
              <w:t>一般防渗，</w:t>
            </w:r>
            <w:r>
              <w:rPr>
                <w:rFonts w:hint="eastAsia" w:eastAsia="宋体"/>
                <w:color w:val="auto"/>
                <w:sz w:val="24"/>
                <w:szCs w:val="32"/>
                <w:lang w:val="en-US" w:eastAsia="zh-CN"/>
              </w:rPr>
              <w:t>一般防渗区防渗层设置</w:t>
            </w:r>
            <w:r>
              <w:rPr>
                <w:rFonts w:hint="default" w:eastAsia="宋体"/>
                <w:color w:val="auto"/>
                <w:sz w:val="24"/>
                <w:szCs w:val="32"/>
                <w:lang w:val="en-US" w:eastAsia="zh-CN"/>
              </w:rPr>
              <w:t>严格按照《一般工业固体废物贮存和填埋污染控制标准》（GB18599-2020）要求制定防渗措施</w:t>
            </w:r>
            <w:r>
              <w:rPr>
                <w:rFonts w:hint="eastAsia" w:eastAsia="宋体"/>
                <w:color w:val="auto"/>
                <w:sz w:val="24"/>
                <w:szCs w:val="32"/>
                <w:lang w:val="en-US" w:eastAsia="zh-CN"/>
              </w:rPr>
              <w:t>：</w:t>
            </w:r>
            <w:r>
              <w:rPr>
                <w:rFonts w:hint="default" w:eastAsia="宋体"/>
                <w:color w:val="auto"/>
                <w:sz w:val="24"/>
                <w:szCs w:val="32"/>
                <w:lang w:val="en-US" w:eastAsia="zh-CN"/>
              </w:rPr>
              <w:t>地面硬化处理设防渗层，可使一般防渗区域的等效黏土防渗层Mb≥</w:t>
            </w:r>
            <w:r>
              <w:rPr>
                <w:rFonts w:hint="eastAsia" w:eastAsia="宋体"/>
                <w:color w:val="auto"/>
                <w:sz w:val="24"/>
                <w:szCs w:val="32"/>
                <w:lang w:val="en-US" w:eastAsia="zh-CN"/>
              </w:rPr>
              <w:t>0.75</w:t>
            </w:r>
            <w:r>
              <w:rPr>
                <w:rFonts w:hint="default" w:eastAsia="宋体"/>
                <w:color w:val="auto"/>
                <w:sz w:val="24"/>
                <w:szCs w:val="32"/>
                <w:lang w:val="en-US" w:eastAsia="zh-CN"/>
              </w:rPr>
              <w:t>m，渗透系数K≤</w:t>
            </w:r>
            <w:r>
              <w:rPr>
                <w:rFonts w:hint="eastAsia" w:eastAsia="宋体"/>
                <w:color w:val="auto"/>
                <w:sz w:val="24"/>
                <w:szCs w:val="32"/>
                <w:lang w:val="en-US" w:eastAsia="zh-CN"/>
              </w:rPr>
              <w:t>1</w:t>
            </w:r>
            <w:r>
              <w:rPr>
                <w:rFonts w:hint="default" w:eastAsia="宋体"/>
                <w:color w:val="auto"/>
                <w:sz w:val="24"/>
                <w:szCs w:val="32"/>
                <w:lang w:val="en-US" w:eastAsia="zh-CN"/>
              </w:rPr>
              <w:t>×10</w:t>
            </w:r>
            <w:r>
              <w:rPr>
                <w:rFonts w:hint="default" w:eastAsia="宋体"/>
                <w:color w:val="auto"/>
                <w:sz w:val="24"/>
                <w:szCs w:val="32"/>
                <w:vertAlign w:val="superscript"/>
                <w:lang w:val="en-US" w:eastAsia="zh-CN"/>
              </w:rPr>
              <w:t>-</w:t>
            </w:r>
            <w:r>
              <w:rPr>
                <w:rFonts w:hint="eastAsia" w:eastAsia="宋体"/>
                <w:color w:val="auto"/>
                <w:sz w:val="24"/>
                <w:szCs w:val="32"/>
                <w:vertAlign w:val="superscript"/>
                <w:lang w:val="en-US" w:eastAsia="zh-CN"/>
              </w:rPr>
              <w:t>5</w:t>
            </w:r>
            <w:r>
              <w:rPr>
                <w:rFonts w:hint="default" w:eastAsia="宋体"/>
                <w:color w:val="auto"/>
                <w:sz w:val="24"/>
                <w:szCs w:val="32"/>
                <w:lang w:val="en-US" w:eastAsia="zh-CN"/>
              </w:rPr>
              <w:t>cm/s。</w:t>
            </w:r>
          </w:p>
          <w:p w14:paraId="26B29D43">
            <w:pPr>
              <w:keepLines w:val="0"/>
              <w:pageBreakBefore w:val="0"/>
              <w:kinsoku/>
              <w:wordWrap/>
              <w:overflowPunct/>
              <w:bidi w:val="0"/>
              <w:adjustRightInd/>
              <w:snapToGrid/>
              <w:jc w:val="center"/>
              <w:rPr>
                <w:rFonts w:hint="eastAsia" w:ascii="Times New Roman" w:hAnsi="Times New Roman" w:eastAsia="宋体" w:cs="Times New Roman"/>
                <w:b/>
                <w:bCs/>
                <w:caps w:val="0"/>
                <w:color w:val="auto"/>
                <w:highlight w:val="none"/>
                <w:lang w:val="en-US" w:eastAsia="zh-CN"/>
              </w:rPr>
            </w:pPr>
            <w:r>
              <w:rPr>
                <w:rFonts w:hint="eastAsia" w:ascii="Times New Roman" w:hAnsi="Times New Roman" w:eastAsia="宋体" w:cs="Times New Roman"/>
                <w:b/>
                <w:bCs/>
                <w:caps w:val="0"/>
                <w:color w:val="auto"/>
                <w:highlight w:val="none"/>
                <w:lang w:val="en-US" w:eastAsia="zh-CN"/>
              </w:rPr>
              <w:t>表4-1</w:t>
            </w:r>
            <w:r>
              <w:rPr>
                <w:rFonts w:hint="eastAsia" w:cs="Times New Roman"/>
                <w:b/>
                <w:bCs/>
                <w:caps w:val="0"/>
                <w:color w:val="auto"/>
                <w:highlight w:val="none"/>
                <w:lang w:val="en-US" w:eastAsia="zh-CN"/>
              </w:rPr>
              <w:t>3</w:t>
            </w:r>
            <w:r>
              <w:rPr>
                <w:rFonts w:hint="eastAsia" w:ascii="Times New Roman" w:hAnsi="Times New Roman" w:eastAsia="宋体" w:cs="Times New Roman"/>
                <w:b/>
                <w:bCs/>
                <w:caps w:val="0"/>
                <w:color w:val="auto"/>
                <w:highlight w:val="none"/>
                <w:lang w:val="en-US" w:eastAsia="zh-CN"/>
              </w:rPr>
              <w:t xml:space="preserve">      地下水分区防渗情况一览表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600"/>
              <w:gridCol w:w="1650"/>
              <w:gridCol w:w="3382"/>
            </w:tblGrid>
            <w:tr w14:paraId="7A151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noWrap w:val="0"/>
                  <w:vAlign w:val="center"/>
                </w:tcPr>
                <w:p w14:paraId="799D36BD">
                  <w:pPr>
                    <w:pStyle w:val="31"/>
                    <w:widowControl w:val="0"/>
                    <w:rPr>
                      <w:color w:val="auto"/>
                    </w:rPr>
                  </w:pPr>
                  <w:r>
                    <w:rPr>
                      <w:color w:val="auto"/>
                    </w:rPr>
                    <w:t>序号</w:t>
                  </w:r>
                </w:p>
              </w:tc>
              <w:tc>
                <w:tcPr>
                  <w:tcW w:w="1553" w:type="pct"/>
                  <w:noWrap w:val="0"/>
                  <w:vAlign w:val="center"/>
                </w:tcPr>
                <w:p w14:paraId="7FD3FE1A">
                  <w:pPr>
                    <w:pStyle w:val="31"/>
                    <w:widowControl w:val="0"/>
                    <w:rPr>
                      <w:color w:val="auto"/>
                    </w:rPr>
                  </w:pPr>
                  <w:r>
                    <w:rPr>
                      <w:color w:val="auto"/>
                    </w:rPr>
                    <w:t>区域名称</w:t>
                  </w:r>
                </w:p>
              </w:tc>
              <w:tc>
                <w:tcPr>
                  <w:tcW w:w="986" w:type="pct"/>
                  <w:noWrap w:val="0"/>
                  <w:vAlign w:val="center"/>
                </w:tcPr>
                <w:p w14:paraId="40EA97FB">
                  <w:pPr>
                    <w:pStyle w:val="31"/>
                    <w:widowControl w:val="0"/>
                    <w:rPr>
                      <w:color w:val="auto"/>
                    </w:rPr>
                  </w:pPr>
                  <w:r>
                    <w:rPr>
                      <w:color w:val="auto"/>
                    </w:rPr>
                    <w:t>分区类别</w:t>
                  </w:r>
                </w:p>
              </w:tc>
              <w:tc>
                <w:tcPr>
                  <w:tcW w:w="2020" w:type="pct"/>
                  <w:noWrap w:val="0"/>
                  <w:vAlign w:val="center"/>
                </w:tcPr>
                <w:p w14:paraId="5328C130">
                  <w:pPr>
                    <w:pStyle w:val="31"/>
                    <w:widowControl w:val="0"/>
                    <w:rPr>
                      <w:color w:val="auto"/>
                    </w:rPr>
                  </w:pPr>
                  <w:r>
                    <w:rPr>
                      <w:color w:val="auto"/>
                    </w:rPr>
                    <w:t>防渗措施</w:t>
                  </w:r>
                </w:p>
              </w:tc>
            </w:tr>
            <w:tr w14:paraId="1D88F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noWrap w:val="0"/>
                  <w:vAlign w:val="center"/>
                </w:tcPr>
                <w:p w14:paraId="028A8AA0">
                  <w:pPr>
                    <w:pStyle w:val="31"/>
                    <w:widowControl w:val="0"/>
                    <w:rPr>
                      <w:rFonts w:hint="eastAsia"/>
                      <w:color w:val="auto"/>
                    </w:rPr>
                  </w:pPr>
                  <w:r>
                    <w:rPr>
                      <w:rFonts w:hint="eastAsia"/>
                      <w:color w:val="auto"/>
                    </w:rPr>
                    <w:t>1</w:t>
                  </w:r>
                </w:p>
              </w:tc>
              <w:tc>
                <w:tcPr>
                  <w:tcW w:w="1553" w:type="pct"/>
                  <w:noWrap w:val="0"/>
                  <w:vAlign w:val="center"/>
                </w:tcPr>
                <w:p w14:paraId="45C31D66">
                  <w:pPr>
                    <w:pStyle w:val="31"/>
                    <w:widowControl w:val="0"/>
                    <w:rPr>
                      <w:rFonts w:hint="eastAsia" w:eastAsia="宋体"/>
                      <w:color w:val="auto"/>
                      <w:lang w:eastAsia="zh-CN"/>
                    </w:rPr>
                  </w:pPr>
                  <w:r>
                    <w:rPr>
                      <w:rFonts w:hint="eastAsia"/>
                      <w:color w:val="auto"/>
                      <w:lang w:eastAsia="zh-CN"/>
                    </w:rPr>
                    <w:t>危险废物贮存点</w:t>
                  </w:r>
                </w:p>
              </w:tc>
              <w:tc>
                <w:tcPr>
                  <w:tcW w:w="986" w:type="pct"/>
                  <w:noWrap w:val="0"/>
                  <w:vAlign w:val="center"/>
                </w:tcPr>
                <w:p w14:paraId="5C6154F7">
                  <w:pPr>
                    <w:pStyle w:val="31"/>
                    <w:widowControl w:val="0"/>
                    <w:rPr>
                      <w:rFonts w:hint="eastAsia"/>
                      <w:color w:val="auto"/>
                    </w:rPr>
                  </w:pPr>
                  <w:r>
                    <w:rPr>
                      <w:rFonts w:hint="eastAsia"/>
                      <w:color w:val="auto"/>
                    </w:rPr>
                    <w:t>重点防渗区</w:t>
                  </w:r>
                </w:p>
              </w:tc>
              <w:tc>
                <w:tcPr>
                  <w:tcW w:w="2020" w:type="pct"/>
                  <w:noWrap w:val="0"/>
                  <w:vAlign w:val="center"/>
                </w:tcPr>
                <w:p w14:paraId="0F4F5889">
                  <w:pPr>
                    <w:pStyle w:val="31"/>
                    <w:widowControl w:val="0"/>
                    <w:rPr>
                      <w:rFonts w:hint="eastAsia"/>
                      <w:color w:val="auto"/>
                    </w:rPr>
                  </w:pPr>
                  <w:r>
                    <w:rPr>
                      <w:color w:val="auto"/>
                    </w:rPr>
                    <w:t>防渗混凝土+防渗材料（防渗混凝土+2mm厚HDPE膜</w:t>
                  </w:r>
                  <w:r>
                    <w:rPr>
                      <w:rFonts w:hint="eastAsia"/>
                      <w:color w:val="auto"/>
                    </w:rPr>
                    <w:t>）</w:t>
                  </w:r>
                </w:p>
              </w:tc>
            </w:tr>
            <w:tr w14:paraId="1F46B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noWrap w:val="0"/>
                  <w:vAlign w:val="center"/>
                </w:tcPr>
                <w:p w14:paraId="65E050FF">
                  <w:pPr>
                    <w:pStyle w:val="31"/>
                    <w:widowControl w:val="0"/>
                    <w:rPr>
                      <w:rFonts w:hint="eastAsia"/>
                      <w:color w:val="auto"/>
                    </w:rPr>
                  </w:pPr>
                  <w:r>
                    <w:rPr>
                      <w:rFonts w:hint="eastAsia"/>
                      <w:color w:val="auto"/>
                    </w:rPr>
                    <w:t>2</w:t>
                  </w:r>
                </w:p>
              </w:tc>
              <w:tc>
                <w:tcPr>
                  <w:tcW w:w="1553" w:type="pct"/>
                  <w:noWrap w:val="0"/>
                  <w:vAlign w:val="center"/>
                </w:tcPr>
                <w:p w14:paraId="107F8AB5">
                  <w:pPr>
                    <w:pStyle w:val="31"/>
                    <w:widowControl w:val="0"/>
                    <w:rPr>
                      <w:color w:val="auto"/>
                    </w:rPr>
                  </w:pPr>
                  <w:r>
                    <w:rPr>
                      <w:color w:val="auto"/>
                    </w:rPr>
                    <w:t>一般工业固废</w:t>
                  </w:r>
                  <w:r>
                    <w:rPr>
                      <w:rFonts w:hint="eastAsia"/>
                      <w:color w:val="auto"/>
                      <w:lang w:eastAsia="zh-CN"/>
                    </w:rPr>
                    <w:t>贮存</w:t>
                  </w:r>
                  <w:r>
                    <w:rPr>
                      <w:color w:val="auto"/>
                    </w:rPr>
                    <w:t>间、生产车间、原料区</w:t>
                  </w:r>
                </w:p>
              </w:tc>
              <w:tc>
                <w:tcPr>
                  <w:tcW w:w="986" w:type="pct"/>
                  <w:noWrap w:val="0"/>
                  <w:vAlign w:val="center"/>
                </w:tcPr>
                <w:p w14:paraId="42600350">
                  <w:pPr>
                    <w:pStyle w:val="31"/>
                    <w:widowControl w:val="0"/>
                    <w:rPr>
                      <w:color w:val="auto"/>
                    </w:rPr>
                  </w:pPr>
                  <w:r>
                    <w:rPr>
                      <w:color w:val="auto"/>
                    </w:rPr>
                    <w:t>一般防渗区</w:t>
                  </w:r>
                </w:p>
              </w:tc>
              <w:tc>
                <w:tcPr>
                  <w:tcW w:w="2020" w:type="pct"/>
                  <w:noWrap w:val="0"/>
                  <w:vAlign w:val="center"/>
                </w:tcPr>
                <w:p w14:paraId="55BE2557">
                  <w:pPr>
                    <w:pStyle w:val="31"/>
                    <w:widowControl w:val="0"/>
                    <w:rPr>
                      <w:rFonts w:hint="eastAsia" w:eastAsia="宋体"/>
                      <w:color w:val="auto"/>
                      <w:lang w:eastAsia="zh-CN"/>
                    </w:rPr>
                  </w:pPr>
                  <w:r>
                    <w:rPr>
                      <w:color w:val="auto"/>
                    </w:rPr>
                    <w:t>防渗</w:t>
                  </w:r>
                  <w:r>
                    <w:rPr>
                      <w:rFonts w:hint="eastAsia"/>
                      <w:color w:val="auto"/>
                      <w:lang w:eastAsia="zh-CN"/>
                    </w:rPr>
                    <w:t>混凝土</w:t>
                  </w:r>
                  <w:r>
                    <w:rPr>
                      <w:color w:val="auto"/>
                    </w:rPr>
                    <w:t>表层防渗</w:t>
                  </w:r>
                  <w:r>
                    <w:rPr>
                      <w:rFonts w:hint="eastAsia"/>
                      <w:color w:val="auto"/>
                      <w:lang w:eastAsia="zh-CN"/>
                    </w:rPr>
                    <w:t>，等效黏土防渗</w:t>
                  </w:r>
                  <w:r>
                    <w:rPr>
                      <w:rFonts w:hint="default" w:ascii="Times New Roman" w:hAnsi="Times New Roman" w:cs="Times New Roman"/>
                      <w:color w:val="auto"/>
                      <w:lang w:eastAsia="zh-CN"/>
                    </w:rPr>
                    <w:t>层Mb≥0.75m</w:t>
                  </w:r>
                </w:p>
              </w:tc>
            </w:tr>
            <w:tr w14:paraId="61094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noWrap w:val="0"/>
                  <w:vAlign w:val="center"/>
                </w:tcPr>
                <w:p w14:paraId="0F7776A9">
                  <w:pPr>
                    <w:pStyle w:val="31"/>
                    <w:widowControl w:val="0"/>
                    <w:rPr>
                      <w:color w:val="auto"/>
                    </w:rPr>
                  </w:pPr>
                  <w:r>
                    <w:rPr>
                      <w:rFonts w:hint="eastAsia"/>
                      <w:color w:val="auto"/>
                    </w:rPr>
                    <w:t>3</w:t>
                  </w:r>
                </w:p>
              </w:tc>
              <w:tc>
                <w:tcPr>
                  <w:tcW w:w="1553" w:type="pct"/>
                  <w:noWrap w:val="0"/>
                  <w:vAlign w:val="center"/>
                </w:tcPr>
                <w:p w14:paraId="1D079714">
                  <w:pPr>
                    <w:pStyle w:val="31"/>
                    <w:widowControl w:val="0"/>
                    <w:rPr>
                      <w:color w:val="auto"/>
                    </w:rPr>
                  </w:pPr>
                  <w:r>
                    <w:rPr>
                      <w:color w:val="auto"/>
                    </w:rPr>
                    <w:t>其他区域</w:t>
                  </w:r>
                </w:p>
              </w:tc>
              <w:tc>
                <w:tcPr>
                  <w:tcW w:w="986" w:type="pct"/>
                  <w:noWrap w:val="0"/>
                  <w:vAlign w:val="center"/>
                </w:tcPr>
                <w:p w14:paraId="2C7BB1DC">
                  <w:pPr>
                    <w:pStyle w:val="31"/>
                    <w:widowControl w:val="0"/>
                    <w:rPr>
                      <w:color w:val="auto"/>
                    </w:rPr>
                  </w:pPr>
                  <w:r>
                    <w:rPr>
                      <w:color w:val="auto"/>
                    </w:rPr>
                    <w:t>简单防渗区</w:t>
                  </w:r>
                </w:p>
              </w:tc>
              <w:tc>
                <w:tcPr>
                  <w:tcW w:w="2020" w:type="pct"/>
                  <w:noWrap w:val="0"/>
                  <w:vAlign w:val="center"/>
                </w:tcPr>
                <w:p w14:paraId="6D9A58D5">
                  <w:pPr>
                    <w:pStyle w:val="31"/>
                    <w:widowControl w:val="0"/>
                    <w:rPr>
                      <w:color w:val="auto"/>
                    </w:rPr>
                  </w:pPr>
                  <w:r>
                    <w:rPr>
                      <w:color w:val="auto"/>
                    </w:rPr>
                    <w:t>一般地面水泥硬化</w:t>
                  </w:r>
                </w:p>
              </w:tc>
            </w:tr>
          </w:tbl>
          <w:p w14:paraId="5B7A1B28">
            <w:pPr>
              <w:keepNext w:val="0"/>
              <w:keepLines w:val="0"/>
              <w:pageBreakBefore w:val="0"/>
              <w:widowControl/>
              <w:suppressLineNumbers w:val="0"/>
              <w:kinsoku/>
              <w:wordWrap/>
              <w:overflowPunct/>
              <w:topLinePunct w:val="0"/>
              <w:bidi w:val="0"/>
              <w:spacing w:before="0" w:beforeAutospacing="0" w:after="0" w:afterAutospacing="0" w:line="500" w:lineRule="exact"/>
              <w:ind w:left="0" w:right="0" w:firstLine="480" w:firstLineChars="200"/>
              <w:jc w:val="left"/>
              <w:rPr>
                <w:rFonts w:hint="default"/>
                <w:color w:val="auto"/>
                <w:sz w:val="24"/>
                <w:szCs w:val="32"/>
                <w:lang w:val="en-US" w:eastAsia="zh-CN"/>
              </w:rPr>
            </w:pPr>
            <w:r>
              <w:rPr>
                <w:rFonts w:hint="default"/>
                <w:color w:val="auto"/>
                <w:sz w:val="24"/>
                <w:szCs w:val="32"/>
                <w:lang w:val="en-US" w:eastAsia="zh-CN"/>
              </w:rPr>
              <w:t>在采取以上措施后，本项目对周围地下水环境影响较小。</w:t>
            </w:r>
          </w:p>
          <w:p w14:paraId="6CF7FAE2">
            <w:pPr>
              <w:keepNext w:val="0"/>
              <w:keepLines w:val="0"/>
              <w:pageBreakBefore w:val="0"/>
              <w:suppressLineNumbers w:val="0"/>
              <w:kinsoku/>
              <w:wordWrap/>
              <w:overflowPunct/>
              <w:topLinePunct w:val="0"/>
              <w:bidi w:val="0"/>
              <w:spacing w:before="0" w:beforeAutospacing="0" w:after="0" w:afterAutospacing="0" w:line="500" w:lineRule="exact"/>
              <w:ind w:left="0" w:right="0" w:firstLine="482" w:firstLineChars="200"/>
              <w:rPr>
                <w:rFonts w:hint="default" w:ascii="Times New Roman" w:hAnsi="Times New Roman" w:eastAsia="宋体" w:cs="Times New Roman"/>
                <w:b/>
                <w:bCs/>
                <w:color w:val="auto"/>
                <w:sz w:val="24"/>
                <w:szCs w:val="32"/>
                <w:lang w:val="en-US" w:eastAsia="zh-CN"/>
              </w:rPr>
            </w:pPr>
            <w:r>
              <w:rPr>
                <w:rFonts w:hint="default" w:ascii="Times New Roman" w:hAnsi="Times New Roman" w:eastAsia="宋体" w:cs="Times New Roman"/>
                <w:b/>
                <w:bCs/>
                <w:color w:val="auto"/>
                <w:sz w:val="24"/>
                <w:szCs w:val="32"/>
                <w:lang w:val="en-US" w:eastAsia="zh-CN"/>
              </w:rPr>
              <w:t>6.土壤环境影响分析</w:t>
            </w:r>
          </w:p>
          <w:p w14:paraId="36F89370">
            <w:pPr>
              <w:keepNext w:val="0"/>
              <w:keepLines w:val="0"/>
              <w:pageBreakBefore w:val="0"/>
              <w:widowControl/>
              <w:suppressLineNumbers w:val="0"/>
              <w:kinsoku/>
              <w:wordWrap/>
              <w:overflowPunct/>
              <w:topLinePunct w:val="0"/>
              <w:bidi w:val="0"/>
              <w:spacing w:before="0" w:beforeAutospacing="0" w:after="0" w:afterAutospacing="0" w:line="500" w:lineRule="exact"/>
              <w:ind w:left="0" w:right="0" w:firstLine="480" w:firstLineChars="200"/>
              <w:jc w:val="left"/>
              <w:rPr>
                <w:rFonts w:hint="default"/>
                <w:color w:val="auto"/>
                <w:sz w:val="24"/>
                <w:szCs w:val="32"/>
                <w:lang w:val="en-US" w:eastAsia="zh-CN"/>
              </w:rPr>
            </w:pPr>
            <w:r>
              <w:rPr>
                <w:rFonts w:hint="default"/>
                <w:color w:val="auto"/>
                <w:sz w:val="24"/>
                <w:szCs w:val="32"/>
                <w:lang w:val="en-US" w:eastAsia="zh-CN"/>
              </w:rPr>
              <w:t>本项目运行过程中不会导致土壤的盐化、酸化、碱化等，属于污染影响型项目，项目周边50m范围内无土壤敏感目标，根据《环境影响评价技术导则</w:t>
            </w:r>
            <w:r>
              <w:rPr>
                <w:rFonts w:hint="eastAsia"/>
                <w:color w:val="auto"/>
                <w:sz w:val="24"/>
                <w:szCs w:val="32"/>
                <w:lang w:val="en-US" w:eastAsia="zh-CN"/>
              </w:rPr>
              <w:t xml:space="preserve">  </w:t>
            </w:r>
            <w:r>
              <w:rPr>
                <w:rFonts w:hint="default"/>
                <w:color w:val="auto"/>
                <w:sz w:val="24"/>
                <w:szCs w:val="32"/>
                <w:lang w:val="en-US" w:eastAsia="zh-CN"/>
              </w:rPr>
              <w:t>土壤环境（试行）》（HJ964-2018）</w:t>
            </w:r>
            <w:r>
              <w:rPr>
                <w:rFonts w:hint="eastAsia"/>
                <w:color w:val="auto"/>
                <w:sz w:val="24"/>
                <w:szCs w:val="32"/>
                <w:lang w:val="en-US" w:eastAsia="zh-CN"/>
              </w:rPr>
              <w:t>中附录A中确定本项目为</w:t>
            </w:r>
            <w:r>
              <w:rPr>
                <w:rFonts w:hint="default" w:ascii="Times New Roman" w:hAnsi="Times New Roman" w:cs="Times New Roman"/>
                <w:color w:val="auto"/>
                <w:sz w:val="24"/>
                <w:szCs w:val="32"/>
                <w:lang w:val="en-US" w:eastAsia="zh-CN"/>
              </w:rPr>
              <w:t>Ⅳ</w:t>
            </w:r>
            <w:r>
              <w:rPr>
                <w:rFonts w:hint="eastAsia"/>
                <w:color w:val="auto"/>
                <w:sz w:val="24"/>
                <w:szCs w:val="32"/>
                <w:lang w:val="en-US" w:eastAsia="zh-CN"/>
              </w:rPr>
              <w:t>类项目，</w:t>
            </w:r>
            <w:r>
              <w:rPr>
                <w:rFonts w:hint="default"/>
                <w:color w:val="auto"/>
                <w:sz w:val="24"/>
                <w:szCs w:val="32"/>
                <w:lang w:val="en-US" w:eastAsia="zh-CN"/>
              </w:rPr>
              <w:t>不需开展土壤环境影响评价。</w:t>
            </w:r>
          </w:p>
          <w:p w14:paraId="12E10345">
            <w:pPr>
              <w:keepNext w:val="0"/>
              <w:keepLines w:val="0"/>
              <w:pageBreakBefore w:val="0"/>
              <w:widowControl/>
              <w:suppressLineNumbers w:val="0"/>
              <w:kinsoku/>
              <w:wordWrap/>
              <w:overflowPunct/>
              <w:topLinePunct w:val="0"/>
              <w:bidi w:val="0"/>
              <w:spacing w:before="0" w:beforeAutospacing="0" w:after="0" w:afterAutospacing="0" w:line="500" w:lineRule="exact"/>
              <w:ind w:left="0" w:right="0" w:firstLine="480" w:firstLineChars="200"/>
              <w:jc w:val="left"/>
              <w:rPr>
                <w:rFonts w:hint="default"/>
                <w:color w:val="auto"/>
                <w:sz w:val="24"/>
                <w:szCs w:val="32"/>
                <w:lang w:val="en-US" w:eastAsia="zh-CN"/>
              </w:rPr>
            </w:pPr>
            <w:r>
              <w:rPr>
                <w:rFonts w:hint="default"/>
                <w:color w:val="auto"/>
                <w:sz w:val="24"/>
                <w:szCs w:val="32"/>
                <w:lang w:val="en-US" w:eastAsia="zh-CN"/>
              </w:rPr>
              <w:t>本项目土壤污染源主要为生活污水处理构筑物，主要是污水处理构筑物泄漏、污染物通过防渗层发生垂直下渗污染土壤。生活污水处理构筑物需满足《环境影响评价技术导则地下水》表7中地下水污染防渗分区参照表重点防渗区要求，因此，对土壤环境影响较小。</w:t>
            </w:r>
          </w:p>
          <w:p w14:paraId="3F725301">
            <w:pPr>
              <w:keepNext w:val="0"/>
              <w:keepLines w:val="0"/>
              <w:pageBreakBefore w:val="0"/>
              <w:widowControl/>
              <w:suppressLineNumbers w:val="0"/>
              <w:kinsoku/>
              <w:wordWrap/>
              <w:overflowPunct/>
              <w:topLinePunct w:val="0"/>
              <w:bidi w:val="0"/>
              <w:spacing w:before="0" w:beforeAutospacing="0" w:after="0" w:afterAutospacing="0" w:line="500" w:lineRule="exact"/>
              <w:ind w:left="0" w:right="0" w:firstLine="480" w:firstLineChars="200"/>
              <w:jc w:val="left"/>
              <w:rPr>
                <w:rFonts w:hint="default"/>
                <w:color w:val="auto"/>
                <w:sz w:val="24"/>
                <w:szCs w:val="32"/>
                <w:lang w:val="en-US" w:eastAsia="zh-CN"/>
              </w:rPr>
            </w:pPr>
            <w:r>
              <w:rPr>
                <w:rFonts w:hint="default"/>
                <w:color w:val="auto"/>
                <w:sz w:val="24"/>
                <w:szCs w:val="32"/>
                <w:lang w:val="en-US" w:eastAsia="zh-CN"/>
              </w:rPr>
              <w:t>本项目产生的废气主要污染因子为颗粒物，采取相应防治措施处理后均能达标排放，并且项目评价范围内不存在土壤环境敏感保护目标，大气沉降对周边土壤环境影响较小。</w:t>
            </w:r>
          </w:p>
          <w:p w14:paraId="2BC16028">
            <w:pPr>
              <w:keepNext w:val="0"/>
              <w:keepLines w:val="0"/>
              <w:pageBreakBefore w:val="0"/>
              <w:suppressLineNumbers w:val="0"/>
              <w:kinsoku/>
              <w:wordWrap/>
              <w:overflowPunct/>
              <w:topLinePunct w:val="0"/>
              <w:bidi w:val="0"/>
              <w:spacing w:before="0" w:beforeAutospacing="0" w:after="0" w:afterAutospacing="0" w:line="500" w:lineRule="exact"/>
              <w:ind w:left="0" w:right="0" w:firstLine="482" w:firstLineChars="200"/>
              <w:rPr>
                <w:rFonts w:hint="default" w:ascii="Times New Roman" w:hAnsi="Times New Roman" w:eastAsia="宋体" w:cs="Times New Roman"/>
                <w:b/>
                <w:bCs/>
                <w:color w:val="auto"/>
                <w:sz w:val="24"/>
                <w:szCs w:val="32"/>
                <w:lang w:val="en-US" w:eastAsia="zh-CN"/>
              </w:rPr>
            </w:pPr>
            <w:r>
              <w:rPr>
                <w:rFonts w:hint="default" w:ascii="Times New Roman" w:hAnsi="Times New Roman" w:eastAsia="宋体" w:cs="Times New Roman"/>
                <w:b/>
                <w:bCs/>
                <w:color w:val="auto"/>
                <w:sz w:val="24"/>
                <w:szCs w:val="32"/>
                <w:lang w:val="en-US" w:eastAsia="zh-CN"/>
              </w:rPr>
              <w:t>7.环境风险分析</w:t>
            </w:r>
          </w:p>
          <w:p w14:paraId="73B73C5F">
            <w:pPr>
              <w:keepNext w:val="0"/>
              <w:keepLines w:val="0"/>
              <w:pageBreakBefore w:val="0"/>
              <w:widowControl/>
              <w:suppressLineNumbers w:val="0"/>
              <w:kinsoku/>
              <w:wordWrap/>
              <w:overflowPunct/>
              <w:topLinePunct w:val="0"/>
              <w:bidi w:val="0"/>
              <w:spacing w:before="0" w:beforeAutospacing="0" w:after="0" w:afterAutospacing="0" w:line="500" w:lineRule="exact"/>
              <w:ind w:left="0" w:right="0" w:firstLine="480" w:firstLineChars="200"/>
              <w:jc w:val="left"/>
              <w:rPr>
                <w:rFonts w:hint="default"/>
                <w:color w:val="auto"/>
                <w:sz w:val="24"/>
                <w:szCs w:val="32"/>
                <w:lang w:val="en-US" w:eastAsia="zh-CN"/>
              </w:rPr>
            </w:pPr>
            <w:r>
              <w:rPr>
                <w:rFonts w:hint="eastAsia"/>
                <w:color w:val="auto"/>
                <w:sz w:val="24"/>
                <w:szCs w:val="32"/>
                <w:lang w:val="en-US" w:eastAsia="zh-CN"/>
              </w:rPr>
              <w:t>（1）</w:t>
            </w:r>
            <w:r>
              <w:rPr>
                <w:rFonts w:hint="default"/>
                <w:color w:val="auto"/>
                <w:sz w:val="24"/>
                <w:szCs w:val="32"/>
                <w:lang w:val="en-US" w:eastAsia="zh-CN"/>
              </w:rPr>
              <w:t>本项目风险物质识别</w:t>
            </w:r>
          </w:p>
          <w:p w14:paraId="085F705F">
            <w:pPr>
              <w:keepNext w:val="0"/>
              <w:keepLines w:val="0"/>
              <w:pageBreakBefore w:val="0"/>
              <w:widowControl/>
              <w:suppressLineNumbers w:val="0"/>
              <w:kinsoku/>
              <w:wordWrap/>
              <w:overflowPunct/>
              <w:topLinePunct w:val="0"/>
              <w:bidi w:val="0"/>
              <w:spacing w:before="0" w:beforeAutospacing="0" w:after="0" w:afterAutospacing="0" w:line="500" w:lineRule="exact"/>
              <w:ind w:left="0" w:right="0" w:firstLine="480" w:firstLineChars="200"/>
              <w:jc w:val="left"/>
              <w:rPr>
                <w:rFonts w:hint="default"/>
                <w:color w:val="auto"/>
                <w:sz w:val="24"/>
                <w:szCs w:val="32"/>
                <w:lang w:val="en-US" w:eastAsia="zh-CN"/>
              </w:rPr>
            </w:pPr>
            <w:r>
              <w:rPr>
                <w:rFonts w:hint="default"/>
                <w:color w:val="auto"/>
                <w:sz w:val="24"/>
                <w:szCs w:val="32"/>
                <w:lang w:val="en-US" w:eastAsia="zh-CN"/>
              </w:rPr>
              <w:t>按照《建设项目环境风险评价技术导则》（HJ/T169-2018）附录B中的</w:t>
            </w:r>
            <w:r>
              <w:rPr>
                <w:rFonts w:hint="eastAsia" w:ascii="宋体" w:hAnsi="宋体" w:eastAsia="宋体" w:cs="宋体"/>
                <w:color w:val="auto"/>
                <w:sz w:val="24"/>
                <w:szCs w:val="32"/>
                <w:lang w:val="en-US" w:eastAsia="zh-CN"/>
              </w:rPr>
              <w:t>“</w:t>
            </w:r>
            <w:r>
              <w:rPr>
                <w:rFonts w:hint="default"/>
                <w:color w:val="auto"/>
                <w:sz w:val="24"/>
                <w:szCs w:val="32"/>
                <w:lang w:val="en-US" w:eastAsia="zh-CN"/>
              </w:rPr>
              <w:t>突发环境事件风险物质及临界量表</w:t>
            </w:r>
            <w:r>
              <w:rPr>
                <w:rFonts w:hint="eastAsia"/>
                <w:color w:val="auto"/>
                <w:sz w:val="24"/>
                <w:szCs w:val="32"/>
                <w:lang w:val="en-US" w:eastAsia="zh-CN"/>
              </w:rPr>
              <w:t>”</w:t>
            </w:r>
            <w:r>
              <w:rPr>
                <w:rFonts w:hint="default"/>
                <w:color w:val="auto"/>
                <w:sz w:val="24"/>
                <w:szCs w:val="32"/>
                <w:lang w:val="en-US" w:eastAsia="zh-CN"/>
              </w:rPr>
              <w:t>进行危险性识别，本项目</w:t>
            </w:r>
            <w:r>
              <w:rPr>
                <w:rFonts w:hint="eastAsia"/>
                <w:color w:val="auto"/>
                <w:sz w:val="24"/>
                <w:szCs w:val="32"/>
                <w:lang w:val="en-US" w:eastAsia="zh-CN"/>
              </w:rPr>
              <w:t>涉及</w:t>
            </w:r>
            <w:r>
              <w:rPr>
                <w:rFonts w:hint="default"/>
                <w:color w:val="auto"/>
                <w:sz w:val="24"/>
                <w:szCs w:val="32"/>
                <w:lang w:val="en-US" w:eastAsia="zh-CN"/>
              </w:rPr>
              <w:t>的环境风险物质主要为废机油，废机油风险源分布情况主要集中在</w:t>
            </w:r>
            <w:r>
              <w:rPr>
                <w:rFonts w:hint="eastAsia"/>
                <w:color w:val="auto"/>
                <w:sz w:val="24"/>
                <w:szCs w:val="32"/>
                <w:lang w:val="en-US" w:eastAsia="zh-CN"/>
              </w:rPr>
              <w:t>危险废物贮存点</w:t>
            </w:r>
            <w:r>
              <w:rPr>
                <w:rFonts w:hint="default"/>
                <w:color w:val="auto"/>
                <w:sz w:val="24"/>
                <w:szCs w:val="32"/>
                <w:lang w:val="en-US" w:eastAsia="zh-CN"/>
              </w:rPr>
              <w:t>。</w:t>
            </w:r>
          </w:p>
          <w:p w14:paraId="4CE49980">
            <w:pPr>
              <w:keepNext w:val="0"/>
              <w:keepLines w:val="0"/>
              <w:pageBreakBefore w:val="0"/>
              <w:widowControl/>
              <w:suppressLineNumbers w:val="0"/>
              <w:kinsoku/>
              <w:wordWrap/>
              <w:overflowPunct/>
              <w:topLinePunct w:val="0"/>
              <w:bidi w:val="0"/>
              <w:spacing w:before="0" w:beforeAutospacing="0" w:after="0" w:afterAutospacing="0" w:line="500" w:lineRule="exact"/>
              <w:ind w:left="0" w:right="0" w:firstLine="480" w:firstLineChars="200"/>
              <w:jc w:val="left"/>
              <w:rPr>
                <w:rFonts w:hint="default"/>
                <w:color w:val="auto"/>
                <w:sz w:val="24"/>
                <w:szCs w:val="32"/>
                <w:lang w:val="en-US" w:eastAsia="zh-CN"/>
              </w:rPr>
            </w:pPr>
            <w:r>
              <w:rPr>
                <w:rFonts w:hint="eastAsia"/>
                <w:color w:val="auto"/>
                <w:sz w:val="24"/>
                <w:szCs w:val="32"/>
                <w:lang w:val="en-US" w:eastAsia="zh-CN"/>
              </w:rPr>
              <w:t>（2）</w:t>
            </w:r>
            <w:r>
              <w:rPr>
                <w:rFonts w:hint="default"/>
                <w:color w:val="auto"/>
                <w:sz w:val="24"/>
                <w:szCs w:val="32"/>
                <w:lang w:val="en-US" w:eastAsia="zh-CN"/>
              </w:rPr>
              <w:t>环境风险源影响途径</w:t>
            </w:r>
          </w:p>
          <w:p w14:paraId="2FEC9389">
            <w:pPr>
              <w:keepNext w:val="0"/>
              <w:keepLines w:val="0"/>
              <w:pageBreakBefore w:val="0"/>
              <w:widowControl/>
              <w:suppressLineNumbers w:val="0"/>
              <w:kinsoku/>
              <w:wordWrap/>
              <w:overflowPunct/>
              <w:topLinePunct w:val="0"/>
              <w:bidi w:val="0"/>
              <w:spacing w:before="0" w:beforeAutospacing="0" w:after="0" w:afterAutospacing="0" w:line="500" w:lineRule="exact"/>
              <w:ind w:left="0" w:right="0" w:firstLine="480" w:firstLineChars="200"/>
              <w:jc w:val="left"/>
              <w:rPr>
                <w:rFonts w:hint="default"/>
                <w:color w:val="auto"/>
                <w:sz w:val="24"/>
                <w:szCs w:val="32"/>
                <w:lang w:val="en-US" w:eastAsia="zh-CN"/>
              </w:rPr>
            </w:pPr>
            <w:r>
              <w:rPr>
                <w:rFonts w:hint="default"/>
                <w:color w:val="auto"/>
                <w:sz w:val="24"/>
                <w:szCs w:val="32"/>
                <w:lang w:val="en-US" w:eastAsia="zh-CN"/>
              </w:rPr>
              <w:t>泄漏事故：当废机油储存设施发生破损造成泄漏，一旦发生</w:t>
            </w:r>
            <w:r>
              <w:rPr>
                <w:rFonts w:hint="eastAsia"/>
                <w:color w:val="auto"/>
                <w:sz w:val="24"/>
                <w:szCs w:val="32"/>
                <w:lang w:val="en-US" w:eastAsia="zh-CN"/>
              </w:rPr>
              <w:t>泄漏</w:t>
            </w:r>
            <w:r>
              <w:rPr>
                <w:rFonts w:hint="default"/>
                <w:color w:val="auto"/>
                <w:sz w:val="24"/>
                <w:szCs w:val="32"/>
                <w:lang w:val="en-US" w:eastAsia="zh-CN"/>
              </w:rPr>
              <w:t>，可能会污染周围土壤和地下水，污染的土壤不仅会造成植物的死亡，而且土壤层吸附的油品还会随着下渗补充到地下水。</w:t>
            </w:r>
          </w:p>
          <w:p w14:paraId="6C9BB9AD">
            <w:pPr>
              <w:keepNext w:val="0"/>
              <w:keepLines w:val="0"/>
              <w:pageBreakBefore w:val="0"/>
              <w:widowControl/>
              <w:suppressLineNumbers w:val="0"/>
              <w:kinsoku/>
              <w:wordWrap/>
              <w:overflowPunct/>
              <w:topLinePunct w:val="0"/>
              <w:bidi w:val="0"/>
              <w:spacing w:before="0" w:beforeAutospacing="0" w:after="0" w:afterAutospacing="0" w:line="500" w:lineRule="exact"/>
              <w:ind w:left="0" w:right="0" w:firstLine="480" w:firstLineChars="200"/>
              <w:jc w:val="left"/>
              <w:rPr>
                <w:rFonts w:hint="default"/>
                <w:color w:val="auto"/>
                <w:sz w:val="24"/>
                <w:szCs w:val="32"/>
                <w:lang w:val="en-US" w:eastAsia="zh-CN"/>
              </w:rPr>
            </w:pPr>
            <w:r>
              <w:rPr>
                <w:rFonts w:hint="default"/>
                <w:color w:val="auto"/>
                <w:sz w:val="24"/>
                <w:szCs w:val="32"/>
                <w:lang w:val="en-US" w:eastAsia="zh-CN"/>
              </w:rPr>
              <w:t>火灾爆炸事故引发的伴生/次生污染：由于废机油具有易燃易爆的危险特性，如果在其生产场所有火源存在，就可能造成火灾爆炸事故的发生，因此在生产管理中应重视火源的诱发因素。火灾爆炸事故一旦发生，产生的二氧化碳、一氧化碳等污染物会对大气环境造成较大影响，火灾爆炸事故可能破坏地面防渗，从而造成二次污染。</w:t>
            </w:r>
          </w:p>
          <w:p w14:paraId="27D3E2A4">
            <w:pPr>
              <w:keepNext w:val="0"/>
              <w:keepLines w:val="0"/>
              <w:pageBreakBefore w:val="0"/>
              <w:widowControl/>
              <w:suppressLineNumbers w:val="0"/>
              <w:kinsoku/>
              <w:wordWrap/>
              <w:overflowPunct/>
              <w:topLinePunct w:val="0"/>
              <w:bidi w:val="0"/>
              <w:spacing w:before="0" w:beforeAutospacing="0" w:after="0" w:afterAutospacing="0" w:line="500" w:lineRule="exact"/>
              <w:ind w:left="0" w:right="0" w:firstLine="480" w:firstLineChars="200"/>
              <w:jc w:val="left"/>
              <w:rPr>
                <w:rFonts w:hint="default"/>
                <w:color w:val="auto"/>
                <w:sz w:val="24"/>
                <w:szCs w:val="32"/>
                <w:lang w:val="en-US" w:eastAsia="zh-CN"/>
              </w:rPr>
            </w:pPr>
            <w:r>
              <w:rPr>
                <w:rFonts w:hint="eastAsia"/>
                <w:color w:val="auto"/>
                <w:sz w:val="24"/>
                <w:szCs w:val="32"/>
                <w:lang w:val="en-US" w:eastAsia="zh-CN"/>
              </w:rPr>
              <w:t>危险废物贮存风险：废机油具有易燃易爆的风险，如果在场内堆放较多废机油时，其内部会产生热量进而存在火灾爆炸的事故发生，因此生产管理中应重视因暂存量过多导致火灾爆炸的因素。危险废物及时交由有资质的单位处理。</w:t>
            </w:r>
            <w:r>
              <w:rPr>
                <w:rFonts w:hint="default"/>
                <w:color w:val="auto"/>
                <w:sz w:val="24"/>
                <w:szCs w:val="32"/>
                <w:lang w:val="en-US" w:eastAsia="zh-CN"/>
              </w:rPr>
              <w:t>火灾爆炸事故一旦发生，产生的二氧化碳、一氧化碳等污染物会对大气环境造成较大影响，火灾爆炸事故可能破坏地面防渗，从而造成二次污染。</w:t>
            </w:r>
          </w:p>
          <w:p w14:paraId="3E6FA6EC">
            <w:pPr>
              <w:keepNext w:val="0"/>
              <w:keepLines w:val="0"/>
              <w:pageBreakBefore w:val="0"/>
              <w:widowControl/>
              <w:suppressLineNumbers w:val="0"/>
              <w:kinsoku/>
              <w:wordWrap/>
              <w:overflowPunct/>
              <w:topLinePunct w:val="0"/>
              <w:bidi w:val="0"/>
              <w:spacing w:before="0" w:beforeAutospacing="0" w:after="0" w:afterAutospacing="0" w:line="500" w:lineRule="exact"/>
              <w:ind w:left="0" w:right="0" w:firstLine="480" w:firstLineChars="200"/>
              <w:jc w:val="left"/>
              <w:rPr>
                <w:rFonts w:hint="default"/>
                <w:color w:val="auto"/>
                <w:sz w:val="24"/>
                <w:szCs w:val="32"/>
                <w:lang w:val="en-US" w:eastAsia="zh-CN"/>
              </w:rPr>
            </w:pPr>
            <w:r>
              <w:rPr>
                <w:rFonts w:hint="eastAsia"/>
                <w:color w:val="auto"/>
                <w:sz w:val="24"/>
                <w:szCs w:val="32"/>
                <w:lang w:val="en-US" w:eastAsia="zh-CN"/>
              </w:rPr>
              <w:t>危险废物贮存点</w:t>
            </w:r>
            <w:r>
              <w:rPr>
                <w:rFonts w:hint="default"/>
                <w:color w:val="auto"/>
                <w:sz w:val="24"/>
                <w:szCs w:val="32"/>
                <w:lang w:val="en-US" w:eastAsia="zh-CN"/>
              </w:rPr>
              <w:t>管理风险：</w:t>
            </w:r>
            <w:r>
              <w:rPr>
                <w:rFonts w:hint="eastAsia"/>
                <w:color w:val="auto"/>
                <w:sz w:val="24"/>
                <w:szCs w:val="32"/>
                <w:lang w:val="en-US" w:eastAsia="zh-CN"/>
              </w:rPr>
              <w:t>危险废物贮存点</w:t>
            </w:r>
            <w:r>
              <w:rPr>
                <w:rFonts w:hint="default"/>
                <w:color w:val="auto"/>
                <w:sz w:val="24"/>
                <w:szCs w:val="32"/>
                <w:lang w:val="en-US" w:eastAsia="zh-CN"/>
              </w:rPr>
              <w:t>防渗层破损或破裂，且在收集和转运过程中若管理不当，容易导致危险废物渗漏和洒落至地面，并可能进入地表及地下水体，对土壤和水环境造成污染。</w:t>
            </w:r>
          </w:p>
          <w:p w14:paraId="407A7A70">
            <w:pPr>
              <w:keepNext w:val="0"/>
              <w:keepLines w:val="0"/>
              <w:pageBreakBefore w:val="0"/>
              <w:widowControl/>
              <w:suppressLineNumbers w:val="0"/>
              <w:kinsoku/>
              <w:wordWrap/>
              <w:overflowPunct/>
              <w:topLinePunct w:val="0"/>
              <w:bidi w:val="0"/>
              <w:spacing w:before="0" w:beforeAutospacing="0" w:after="0" w:afterAutospacing="0" w:line="500" w:lineRule="exact"/>
              <w:ind w:left="0" w:right="0" w:firstLine="480" w:firstLineChars="200"/>
              <w:jc w:val="left"/>
              <w:rPr>
                <w:rFonts w:hint="default"/>
                <w:color w:val="auto"/>
                <w:sz w:val="24"/>
                <w:szCs w:val="32"/>
                <w:lang w:val="en-US" w:eastAsia="zh-CN"/>
              </w:rPr>
            </w:pPr>
            <w:r>
              <w:rPr>
                <w:rFonts w:hint="eastAsia"/>
                <w:color w:val="auto"/>
                <w:sz w:val="24"/>
                <w:szCs w:val="32"/>
                <w:lang w:val="en-US" w:eastAsia="zh-CN"/>
              </w:rPr>
              <w:t>（3）</w:t>
            </w:r>
            <w:r>
              <w:rPr>
                <w:rFonts w:hint="default"/>
                <w:color w:val="auto"/>
                <w:sz w:val="24"/>
                <w:szCs w:val="32"/>
                <w:lang w:val="en-US" w:eastAsia="zh-CN"/>
              </w:rPr>
              <w:t>环境风险防范措施</w:t>
            </w:r>
          </w:p>
          <w:p w14:paraId="7C6A75E5">
            <w:pPr>
              <w:keepNext w:val="0"/>
              <w:keepLines w:val="0"/>
              <w:pageBreakBefore w:val="0"/>
              <w:widowControl/>
              <w:suppressLineNumbers w:val="0"/>
              <w:kinsoku/>
              <w:wordWrap/>
              <w:overflowPunct/>
              <w:topLinePunct w:val="0"/>
              <w:bidi w:val="0"/>
              <w:spacing w:before="0" w:beforeAutospacing="0" w:after="0" w:afterAutospacing="0" w:line="500" w:lineRule="exact"/>
              <w:ind w:left="0" w:right="0" w:firstLine="480" w:firstLineChars="200"/>
              <w:jc w:val="left"/>
              <w:rPr>
                <w:rFonts w:hint="default"/>
                <w:color w:val="auto"/>
                <w:sz w:val="24"/>
                <w:szCs w:val="32"/>
                <w:lang w:val="en-US" w:eastAsia="zh-CN"/>
              </w:rPr>
            </w:pPr>
            <w:r>
              <w:rPr>
                <w:rFonts w:hint="default"/>
                <w:color w:val="auto"/>
                <w:sz w:val="24"/>
                <w:szCs w:val="32"/>
                <w:lang w:val="en-US" w:eastAsia="zh-CN"/>
              </w:rPr>
              <w:t>按照《建设项目环境风险评价技术导则》（HJ169-2018），虽然环境风险评价的目的是关注突发性事件下危险物质</w:t>
            </w:r>
            <w:r>
              <w:rPr>
                <w:rFonts w:hint="eastAsia"/>
                <w:color w:val="auto"/>
                <w:sz w:val="24"/>
                <w:szCs w:val="32"/>
                <w:lang w:val="en-US" w:eastAsia="zh-CN"/>
              </w:rPr>
              <w:t>泄漏</w:t>
            </w:r>
            <w:r>
              <w:rPr>
                <w:rFonts w:hint="default"/>
                <w:color w:val="auto"/>
                <w:sz w:val="24"/>
                <w:szCs w:val="32"/>
                <w:lang w:val="en-US" w:eastAsia="zh-CN"/>
              </w:rPr>
              <w:t>所造成的环境影响，但由于建设项目建设特点，在环境治</w:t>
            </w:r>
            <w:r>
              <w:rPr>
                <w:rFonts w:hint="eastAsia"/>
                <w:color w:val="auto"/>
                <w:sz w:val="24"/>
                <w:szCs w:val="32"/>
                <w:lang w:val="en-US" w:eastAsia="zh-CN"/>
              </w:rPr>
              <w:t>理和</w:t>
            </w:r>
            <w:r>
              <w:rPr>
                <w:rFonts w:hint="default"/>
                <w:color w:val="auto"/>
                <w:sz w:val="24"/>
                <w:szCs w:val="32"/>
                <w:lang w:val="en-US" w:eastAsia="zh-CN"/>
              </w:rPr>
              <w:t>环保工程运行过程中，环保设施的损坏或失效，也</w:t>
            </w:r>
            <w:r>
              <w:rPr>
                <w:rFonts w:hint="eastAsia"/>
                <w:color w:val="auto"/>
                <w:sz w:val="24"/>
                <w:szCs w:val="32"/>
                <w:lang w:val="en-US" w:eastAsia="zh-CN"/>
              </w:rPr>
              <w:t>可能</w:t>
            </w:r>
            <w:r>
              <w:rPr>
                <w:rFonts w:hint="default"/>
                <w:color w:val="auto"/>
                <w:sz w:val="24"/>
                <w:szCs w:val="32"/>
                <w:lang w:val="en-US" w:eastAsia="zh-CN"/>
              </w:rPr>
              <w:t>造成污染物短时超标排放、影响周边环境质量的可能，因此，对企业在运营管理中提出如下环境风险防范措施：</w:t>
            </w:r>
          </w:p>
          <w:p w14:paraId="39C2ADD6">
            <w:pPr>
              <w:keepNext w:val="0"/>
              <w:keepLines w:val="0"/>
              <w:pageBreakBefore w:val="0"/>
              <w:widowControl/>
              <w:suppressLineNumbers w:val="0"/>
              <w:kinsoku/>
              <w:wordWrap/>
              <w:overflowPunct/>
              <w:topLinePunct w:val="0"/>
              <w:bidi w:val="0"/>
              <w:spacing w:before="0" w:beforeAutospacing="0" w:after="0" w:afterAutospacing="0" w:line="500" w:lineRule="exact"/>
              <w:ind w:left="0" w:right="0" w:firstLine="480" w:firstLineChars="200"/>
              <w:jc w:val="left"/>
              <w:rPr>
                <w:rFonts w:hint="default"/>
                <w:color w:val="auto"/>
                <w:sz w:val="24"/>
                <w:szCs w:val="32"/>
                <w:lang w:val="en-US" w:eastAsia="zh-CN"/>
              </w:rPr>
            </w:pPr>
            <w:r>
              <w:rPr>
                <w:rFonts w:hint="default"/>
                <w:color w:val="auto"/>
                <w:sz w:val="24"/>
                <w:szCs w:val="32"/>
                <w:lang w:val="en-US" w:eastAsia="zh-CN"/>
              </w:rPr>
              <w:t>（1）建设单位应制定项目的突发环境事件应急预案，定期检查风险防范措施和应急预案的有效性，定期进行风险救援训练，确保责任到人、措施到位。</w:t>
            </w:r>
          </w:p>
          <w:p w14:paraId="4303D023">
            <w:pPr>
              <w:keepNext w:val="0"/>
              <w:keepLines w:val="0"/>
              <w:pageBreakBefore w:val="0"/>
              <w:widowControl/>
              <w:suppressLineNumbers w:val="0"/>
              <w:kinsoku/>
              <w:wordWrap/>
              <w:overflowPunct/>
              <w:topLinePunct w:val="0"/>
              <w:bidi w:val="0"/>
              <w:spacing w:before="0" w:beforeAutospacing="0" w:after="0" w:afterAutospacing="0" w:line="500" w:lineRule="exact"/>
              <w:ind w:left="0" w:right="0" w:firstLine="480" w:firstLineChars="200"/>
              <w:jc w:val="left"/>
              <w:rPr>
                <w:rFonts w:hint="default"/>
                <w:color w:val="auto"/>
                <w:sz w:val="24"/>
                <w:szCs w:val="32"/>
                <w:lang w:val="en-US" w:eastAsia="zh-CN"/>
              </w:rPr>
            </w:pPr>
            <w:r>
              <w:rPr>
                <w:rFonts w:hint="eastAsia"/>
                <w:color w:val="auto"/>
                <w:sz w:val="24"/>
                <w:szCs w:val="32"/>
                <w:lang w:val="en-US" w:eastAsia="zh-CN"/>
              </w:rPr>
              <w:t>（2）</w:t>
            </w:r>
            <w:r>
              <w:rPr>
                <w:rFonts w:hint="default"/>
                <w:color w:val="auto"/>
                <w:sz w:val="24"/>
                <w:szCs w:val="32"/>
                <w:lang w:val="en-US" w:eastAsia="zh-CN"/>
              </w:rPr>
              <w:t>危险废物贮存满足《危险废物贮存污染控制标准》</w:t>
            </w:r>
            <w:r>
              <w:rPr>
                <w:rFonts w:hint="eastAsia"/>
                <w:color w:val="auto"/>
                <w:sz w:val="24"/>
                <w:szCs w:val="32"/>
                <w:lang w:val="en-US" w:eastAsia="zh-CN"/>
              </w:rPr>
              <w:t>（</w:t>
            </w:r>
            <w:r>
              <w:rPr>
                <w:rFonts w:hint="default"/>
                <w:color w:val="auto"/>
                <w:sz w:val="24"/>
                <w:szCs w:val="32"/>
                <w:lang w:val="en-US" w:eastAsia="zh-CN"/>
              </w:rPr>
              <w:t>GB18597-2023</w:t>
            </w:r>
            <w:r>
              <w:rPr>
                <w:rFonts w:hint="eastAsia"/>
                <w:color w:val="auto"/>
                <w:sz w:val="24"/>
                <w:szCs w:val="32"/>
                <w:lang w:val="en-US" w:eastAsia="zh-CN"/>
              </w:rPr>
              <w:t>）中</w:t>
            </w:r>
            <w:r>
              <w:rPr>
                <w:rFonts w:hint="default"/>
                <w:color w:val="auto"/>
                <w:sz w:val="24"/>
                <w:szCs w:val="32"/>
                <w:lang w:val="en-US" w:eastAsia="zh-CN"/>
              </w:rPr>
              <w:t>相关规定</w:t>
            </w:r>
            <w:r>
              <w:rPr>
                <w:rFonts w:hint="eastAsia"/>
                <w:color w:val="auto"/>
                <w:sz w:val="24"/>
                <w:szCs w:val="32"/>
                <w:lang w:val="en-US" w:eastAsia="zh-CN"/>
              </w:rPr>
              <w:t>。</w:t>
            </w:r>
          </w:p>
          <w:p w14:paraId="7B042CC0">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default"/>
                <w:color w:val="auto"/>
                <w:sz w:val="24"/>
                <w:szCs w:val="32"/>
                <w:lang w:val="en-US" w:eastAsia="zh-CN"/>
              </w:rPr>
            </w:pPr>
            <w:r>
              <w:rPr>
                <w:rFonts w:hint="default"/>
                <w:color w:val="auto"/>
                <w:sz w:val="24"/>
                <w:szCs w:val="32"/>
                <w:lang w:val="en-US" w:eastAsia="zh-CN"/>
              </w:rPr>
              <w:t>（</w:t>
            </w:r>
            <w:r>
              <w:rPr>
                <w:rFonts w:hint="eastAsia"/>
                <w:color w:val="auto"/>
                <w:sz w:val="24"/>
                <w:szCs w:val="32"/>
                <w:lang w:val="en-US" w:eastAsia="zh-CN"/>
              </w:rPr>
              <w:t>3</w:t>
            </w:r>
            <w:r>
              <w:rPr>
                <w:rFonts w:hint="default"/>
                <w:color w:val="auto"/>
                <w:sz w:val="24"/>
                <w:szCs w:val="32"/>
                <w:lang w:val="en-US" w:eastAsia="zh-CN"/>
              </w:rPr>
              <w:t>）加大宣传教育力度，增强工作人员的整体环境保护意识。</w:t>
            </w:r>
          </w:p>
          <w:p w14:paraId="5F42330E">
            <w:pPr>
              <w:keepNext w:val="0"/>
              <w:keepLines w:val="0"/>
              <w:pageBreakBefore w:val="0"/>
              <w:suppressLineNumbers w:val="0"/>
              <w:kinsoku/>
              <w:wordWrap/>
              <w:overflowPunct/>
              <w:topLinePunct w:val="0"/>
              <w:bidi w:val="0"/>
              <w:spacing w:before="0" w:beforeAutospacing="0" w:after="0" w:afterAutospacing="0" w:line="500" w:lineRule="exact"/>
              <w:ind w:left="0" w:right="0" w:firstLine="482" w:firstLineChars="200"/>
              <w:rPr>
                <w:rFonts w:hint="eastAsia" w:ascii="Times New Roman" w:hAnsi="Times New Roman" w:eastAsia="宋体" w:cs="Times New Roman"/>
                <w:b/>
                <w:bCs/>
                <w:color w:val="auto"/>
                <w:sz w:val="24"/>
                <w:szCs w:val="32"/>
                <w:lang w:val="en-US" w:eastAsia="zh-CN"/>
              </w:rPr>
            </w:pPr>
            <w:r>
              <w:rPr>
                <w:rFonts w:hint="eastAsia" w:ascii="Times New Roman" w:hAnsi="Times New Roman" w:eastAsia="宋体" w:cs="Times New Roman"/>
                <w:b/>
                <w:bCs/>
                <w:color w:val="auto"/>
                <w:sz w:val="24"/>
                <w:szCs w:val="32"/>
                <w:lang w:val="en-US" w:eastAsia="zh-CN"/>
              </w:rPr>
              <w:t>8</w:t>
            </w:r>
            <w:r>
              <w:rPr>
                <w:rFonts w:hint="default" w:ascii="Times New Roman" w:hAnsi="Times New Roman" w:eastAsia="宋体" w:cs="Times New Roman"/>
                <w:b/>
                <w:bCs/>
                <w:color w:val="auto"/>
                <w:sz w:val="24"/>
                <w:szCs w:val="32"/>
                <w:lang w:val="en-US" w:eastAsia="zh-CN"/>
              </w:rPr>
              <w:t>.</w:t>
            </w:r>
            <w:r>
              <w:rPr>
                <w:rFonts w:hint="eastAsia" w:ascii="Times New Roman" w:hAnsi="Times New Roman" w:eastAsia="宋体" w:cs="Times New Roman"/>
                <w:b/>
                <w:caps w:val="0"/>
                <w:color w:val="auto"/>
                <w:sz w:val="24"/>
                <w:highlight w:val="none"/>
                <w:lang w:val="en-US" w:eastAsia="zh-CN"/>
              </w:rPr>
              <w:t>排污口规范化</w:t>
            </w:r>
          </w:p>
          <w:p w14:paraId="6D5A7860">
            <w:pPr>
              <w:keepNext w:val="0"/>
              <w:keepLines w:val="0"/>
              <w:pageBreakBefore w:val="0"/>
              <w:widowControl/>
              <w:suppressLineNumbers w:val="0"/>
              <w:kinsoku/>
              <w:wordWrap/>
              <w:overflowPunct/>
              <w:topLinePunct w:val="0"/>
              <w:bidi w:val="0"/>
              <w:spacing w:before="0" w:beforeAutospacing="0" w:after="0" w:afterAutospacing="0" w:line="500" w:lineRule="exact"/>
              <w:ind w:left="0" w:right="0" w:firstLine="480" w:firstLineChars="200"/>
              <w:jc w:val="both"/>
              <w:rPr>
                <w:rFonts w:hint="eastAsia" w:eastAsia="宋体"/>
                <w:color w:val="auto"/>
                <w:sz w:val="24"/>
                <w:szCs w:val="32"/>
                <w:lang w:val="en-US" w:eastAsia="zh-CN"/>
              </w:rPr>
            </w:pPr>
            <w:r>
              <w:rPr>
                <w:rFonts w:hint="eastAsia" w:eastAsia="宋体"/>
                <w:color w:val="auto"/>
                <w:sz w:val="24"/>
                <w:szCs w:val="32"/>
                <w:lang w:val="en-US" w:eastAsia="zh-CN"/>
              </w:rPr>
              <w:t>（1）排污口管理</w:t>
            </w:r>
          </w:p>
          <w:p w14:paraId="50669499">
            <w:pPr>
              <w:keepNext w:val="0"/>
              <w:keepLines w:val="0"/>
              <w:pageBreakBefore w:val="0"/>
              <w:widowControl/>
              <w:suppressLineNumbers w:val="0"/>
              <w:kinsoku/>
              <w:wordWrap/>
              <w:overflowPunct/>
              <w:topLinePunct w:val="0"/>
              <w:bidi w:val="0"/>
              <w:spacing w:before="0" w:beforeAutospacing="0" w:after="0" w:afterAutospacing="0" w:line="500" w:lineRule="exact"/>
              <w:ind w:left="0" w:right="0" w:firstLine="480" w:firstLineChars="200"/>
              <w:jc w:val="both"/>
              <w:rPr>
                <w:rFonts w:hint="eastAsia" w:eastAsia="宋体"/>
                <w:color w:val="auto"/>
                <w:sz w:val="24"/>
                <w:szCs w:val="32"/>
                <w:lang w:val="en-US" w:eastAsia="zh-CN"/>
              </w:rPr>
            </w:pPr>
            <w:r>
              <w:rPr>
                <w:rFonts w:hint="eastAsia" w:eastAsia="宋体"/>
                <w:color w:val="auto"/>
                <w:sz w:val="24"/>
                <w:szCs w:val="32"/>
                <w:lang w:val="en-US" w:eastAsia="zh-CN"/>
              </w:rPr>
              <w:t>建设单位应在各个排污口处</w:t>
            </w:r>
            <w:r>
              <w:rPr>
                <w:rFonts w:hint="eastAsia"/>
                <w:color w:val="auto"/>
                <w:sz w:val="24"/>
                <w:szCs w:val="32"/>
                <w:lang w:val="en-US" w:eastAsia="zh-CN"/>
              </w:rPr>
              <w:t>竖立标志牌</w:t>
            </w:r>
            <w:r>
              <w:rPr>
                <w:rFonts w:hint="eastAsia" w:eastAsia="宋体"/>
                <w:color w:val="auto"/>
                <w:sz w:val="24"/>
                <w:szCs w:val="32"/>
                <w:lang w:val="en-US" w:eastAsia="zh-CN"/>
              </w:rPr>
              <w:t>，并如实填写《中华人民共和国规范化排污口标记登记证》，由环保部门签发。环保主管部门和建设单位可分别按以下内容建立排污口管理的专门档案：排污口性质和编号、位置、排放主要污染物种类、数量、浓度；排放去向；达标情况；治理设施运行情况及整改意见。</w:t>
            </w:r>
          </w:p>
          <w:p w14:paraId="462459CD">
            <w:pPr>
              <w:keepNext w:val="0"/>
              <w:keepLines w:val="0"/>
              <w:pageBreakBefore w:val="0"/>
              <w:widowControl/>
              <w:suppressLineNumbers w:val="0"/>
              <w:kinsoku/>
              <w:wordWrap/>
              <w:overflowPunct/>
              <w:topLinePunct w:val="0"/>
              <w:bidi w:val="0"/>
              <w:spacing w:before="0" w:beforeAutospacing="0" w:after="0" w:afterAutospacing="0" w:line="500" w:lineRule="exact"/>
              <w:ind w:left="0" w:right="0" w:firstLine="480" w:firstLineChars="200"/>
              <w:jc w:val="both"/>
              <w:rPr>
                <w:rFonts w:hint="eastAsia" w:eastAsia="宋体"/>
                <w:color w:val="auto"/>
                <w:sz w:val="24"/>
                <w:szCs w:val="32"/>
                <w:lang w:val="en-US" w:eastAsia="zh-CN"/>
              </w:rPr>
            </w:pPr>
            <w:r>
              <w:rPr>
                <w:rFonts w:hint="eastAsia" w:eastAsia="宋体"/>
                <w:color w:val="auto"/>
                <w:sz w:val="24"/>
                <w:szCs w:val="32"/>
                <w:lang w:val="en-US" w:eastAsia="zh-CN"/>
              </w:rPr>
              <w:t>（2）环境保护图形标志</w:t>
            </w:r>
          </w:p>
          <w:p w14:paraId="3E605A8A">
            <w:pPr>
              <w:keepNext w:val="0"/>
              <w:keepLines w:val="0"/>
              <w:pageBreakBefore w:val="0"/>
              <w:widowControl/>
              <w:suppressLineNumbers w:val="0"/>
              <w:kinsoku/>
              <w:wordWrap/>
              <w:overflowPunct/>
              <w:topLinePunct w:val="0"/>
              <w:bidi w:val="0"/>
              <w:spacing w:before="0" w:beforeAutospacing="0" w:after="0" w:afterAutospacing="0" w:line="500" w:lineRule="exact"/>
              <w:ind w:left="0" w:right="0" w:firstLine="480" w:firstLineChars="200"/>
              <w:jc w:val="both"/>
              <w:rPr>
                <w:rFonts w:hint="eastAsia" w:eastAsia="宋体"/>
                <w:color w:val="auto"/>
                <w:sz w:val="24"/>
                <w:szCs w:val="32"/>
                <w:lang w:val="en-US" w:eastAsia="zh-CN"/>
              </w:rPr>
            </w:pPr>
            <w:r>
              <w:rPr>
                <w:rFonts w:hint="eastAsia" w:eastAsia="宋体"/>
                <w:color w:val="auto"/>
                <w:sz w:val="24"/>
                <w:szCs w:val="32"/>
                <w:lang w:val="en-US" w:eastAsia="zh-CN"/>
              </w:rPr>
              <w:t>在固体废物贮存处置场、噪声产生点应设置环境保护图形标志，图形符号分为提示图形和警告图形符号两种，分别按《排污</w:t>
            </w:r>
            <w:r>
              <w:rPr>
                <w:rFonts w:hint="eastAsia"/>
                <w:color w:val="auto"/>
                <w:sz w:val="24"/>
                <w:szCs w:val="32"/>
                <w:lang w:val="en-US" w:eastAsia="zh-CN"/>
              </w:rPr>
              <w:t>单位污染物排放口二维码标识技术规范》（HJ 1297-2023）</w:t>
            </w:r>
            <w:r>
              <w:rPr>
                <w:rFonts w:hint="eastAsia" w:eastAsia="宋体"/>
                <w:color w:val="auto"/>
                <w:sz w:val="24"/>
                <w:szCs w:val="32"/>
                <w:lang w:val="en-US" w:eastAsia="zh-CN"/>
              </w:rPr>
              <w:t>《</w:t>
            </w:r>
            <w:r>
              <w:rPr>
                <w:rFonts w:hint="eastAsia" w:eastAsia="宋体"/>
                <w:color w:val="auto"/>
                <w:sz w:val="24"/>
                <w:szCs w:val="32"/>
                <w:lang w:val="en-US" w:eastAsia="zh-CN"/>
              </w:rPr>
              <w:fldChar w:fldCharType="begin"/>
            </w:r>
            <w:r>
              <w:rPr>
                <w:rFonts w:hint="eastAsia" w:eastAsia="宋体"/>
                <w:color w:val="auto"/>
                <w:sz w:val="24"/>
                <w:szCs w:val="32"/>
                <w:lang w:val="en-US" w:eastAsia="zh-CN"/>
              </w:rPr>
              <w:instrText xml:space="preserve"> HYPERLINK "http://std.sacinfo.org.cn/home/javascript:;" </w:instrText>
            </w:r>
            <w:r>
              <w:rPr>
                <w:rFonts w:hint="eastAsia" w:eastAsia="宋体"/>
                <w:color w:val="auto"/>
                <w:sz w:val="24"/>
                <w:szCs w:val="32"/>
                <w:lang w:val="en-US" w:eastAsia="zh-CN"/>
              </w:rPr>
              <w:fldChar w:fldCharType="separate"/>
            </w:r>
            <w:r>
              <w:rPr>
                <w:rFonts w:hint="eastAsia" w:eastAsia="宋体"/>
                <w:color w:val="auto"/>
                <w:sz w:val="24"/>
                <w:szCs w:val="32"/>
                <w:lang w:val="en-US" w:eastAsia="zh-CN"/>
              </w:rPr>
              <w:t>环境保护图形标志排放口（</w:t>
            </w:r>
            <w:r>
              <w:rPr>
                <w:rFonts w:hint="eastAsia" w:eastAsia="宋体"/>
                <w:color w:val="auto"/>
                <w:sz w:val="24"/>
                <w:szCs w:val="32"/>
                <w:lang w:val="en-US" w:eastAsia="zh-CN"/>
              </w:rPr>
              <w:fldChar w:fldCharType="end"/>
            </w:r>
            <w:r>
              <w:rPr>
                <w:rFonts w:hint="eastAsia" w:eastAsia="宋体"/>
                <w:color w:val="auto"/>
                <w:sz w:val="24"/>
                <w:szCs w:val="32"/>
                <w:lang w:val="en-US" w:eastAsia="zh-CN"/>
              </w:rPr>
              <w:t>源）》（GB15562.1-1995）、《</w:t>
            </w:r>
            <w:r>
              <w:rPr>
                <w:rFonts w:hint="eastAsia" w:eastAsia="宋体"/>
                <w:color w:val="auto"/>
                <w:sz w:val="24"/>
                <w:szCs w:val="32"/>
                <w:lang w:val="en-US" w:eastAsia="zh-CN"/>
              </w:rPr>
              <w:fldChar w:fldCharType="begin"/>
            </w:r>
            <w:r>
              <w:rPr>
                <w:rFonts w:hint="eastAsia" w:eastAsia="宋体"/>
                <w:color w:val="auto"/>
                <w:sz w:val="24"/>
                <w:szCs w:val="32"/>
                <w:lang w:val="en-US" w:eastAsia="zh-CN"/>
              </w:rPr>
              <w:instrText xml:space="preserve"> HYPERLINK "http://std.sacinfo.org.cn/home/javascript:;" </w:instrText>
            </w:r>
            <w:r>
              <w:rPr>
                <w:rFonts w:hint="eastAsia" w:eastAsia="宋体"/>
                <w:color w:val="auto"/>
                <w:sz w:val="24"/>
                <w:szCs w:val="32"/>
                <w:lang w:val="en-US" w:eastAsia="zh-CN"/>
              </w:rPr>
              <w:fldChar w:fldCharType="separate"/>
            </w:r>
            <w:r>
              <w:rPr>
                <w:rFonts w:hint="eastAsia" w:eastAsia="宋体"/>
                <w:color w:val="auto"/>
                <w:sz w:val="24"/>
                <w:szCs w:val="32"/>
                <w:lang w:val="en-US" w:eastAsia="zh-CN"/>
              </w:rPr>
              <w:t>环境保护图形标志</w:t>
            </w:r>
            <w:r>
              <w:rPr>
                <w:rFonts w:hint="eastAsia"/>
                <w:color w:val="auto"/>
                <w:sz w:val="24"/>
                <w:szCs w:val="32"/>
                <w:lang w:val="en-US" w:eastAsia="zh-CN"/>
              </w:rPr>
              <w:t xml:space="preserve"> </w:t>
            </w:r>
            <w:r>
              <w:rPr>
                <w:rFonts w:hint="eastAsia" w:eastAsia="宋体"/>
                <w:color w:val="auto"/>
                <w:sz w:val="24"/>
                <w:szCs w:val="32"/>
                <w:lang w:val="en-US" w:eastAsia="zh-CN"/>
              </w:rPr>
              <w:t>固体废物</w:t>
            </w:r>
            <w:r>
              <w:rPr>
                <w:rFonts w:hint="eastAsia"/>
                <w:color w:val="auto"/>
                <w:sz w:val="24"/>
                <w:szCs w:val="32"/>
                <w:lang w:val="en-US" w:eastAsia="zh-CN"/>
              </w:rPr>
              <w:t>贮存</w:t>
            </w:r>
            <w:r>
              <w:rPr>
                <w:rFonts w:hint="eastAsia" w:eastAsia="宋体"/>
                <w:color w:val="auto"/>
                <w:sz w:val="24"/>
                <w:szCs w:val="32"/>
                <w:lang w:val="en-US" w:eastAsia="zh-CN"/>
              </w:rPr>
              <w:t>（</w:t>
            </w:r>
            <w:r>
              <w:rPr>
                <w:rFonts w:hint="eastAsia"/>
                <w:color w:val="auto"/>
                <w:sz w:val="24"/>
                <w:szCs w:val="32"/>
                <w:lang w:val="en-US" w:eastAsia="zh-CN"/>
              </w:rPr>
              <w:t>处置</w:t>
            </w:r>
            <w:r>
              <w:rPr>
                <w:rFonts w:hint="eastAsia" w:eastAsia="宋体"/>
                <w:color w:val="auto"/>
                <w:sz w:val="24"/>
                <w:szCs w:val="32"/>
                <w:lang w:val="en-US" w:eastAsia="zh-CN"/>
              </w:rPr>
              <w:t>）场</w:t>
            </w:r>
            <w:r>
              <w:rPr>
                <w:rFonts w:hint="eastAsia" w:eastAsia="宋体"/>
                <w:color w:val="auto"/>
                <w:sz w:val="24"/>
                <w:szCs w:val="32"/>
                <w:lang w:val="en-US" w:eastAsia="zh-CN"/>
              </w:rPr>
              <w:fldChar w:fldCharType="end"/>
            </w:r>
            <w:r>
              <w:rPr>
                <w:rFonts w:hint="eastAsia" w:eastAsia="宋体"/>
                <w:color w:val="auto"/>
                <w:sz w:val="24"/>
                <w:szCs w:val="32"/>
                <w:lang w:val="en-US" w:eastAsia="zh-CN"/>
              </w:rPr>
              <w:t>》（GB15562.2-1995）、《危险废物识别标志设置技术规范》（HJ1276-2022）执行。环境保护图形符号见表4-</w:t>
            </w:r>
            <w:r>
              <w:rPr>
                <w:rFonts w:hint="eastAsia"/>
                <w:color w:val="auto"/>
                <w:sz w:val="24"/>
                <w:szCs w:val="32"/>
                <w:lang w:val="en-US" w:eastAsia="zh-CN"/>
              </w:rPr>
              <w:t>14</w:t>
            </w:r>
            <w:r>
              <w:rPr>
                <w:rFonts w:hint="eastAsia" w:eastAsia="宋体"/>
                <w:color w:val="auto"/>
                <w:sz w:val="24"/>
                <w:szCs w:val="32"/>
                <w:lang w:val="en-US" w:eastAsia="zh-CN"/>
              </w:rPr>
              <w:t>。</w:t>
            </w:r>
          </w:p>
          <w:p w14:paraId="2A883A95">
            <w:pPr>
              <w:keepLines w:val="0"/>
              <w:pageBreakBefore w:val="0"/>
              <w:kinsoku/>
              <w:wordWrap/>
              <w:overflowPunct/>
              <w:bidi w:val="0"/>
              <w:adjustRightInd/>
              <w:snapToGrid/>
              <w:jc w:val="center"/>
              <w:rPr>
                <w:rFonts w:hint="eastAsia" w:ascii="Times New Roman" w:hAnsi="Times New Roman" w:eastAsia="宋体" w:cs="Times New Roman"/>
                <w:b/>
                <w:bCs/>
                <w:caps w:val="0"/>
                <w:color w:val="auto"/>
                <w:highlight w:val="none"/>
                <w:lang w:val="en-US" w:eastAsia="zh-CN"/>
              </w:rPr>
            </w:pPr>
            <w:r>
              <w:rPr>
                <w:rFonts w:hint="eastAsia" w:ascii="Times New Roman" w:hAnsi="Times New Roman" w:eastAsia="宋体" w:cs="Times New Roman"/>
                <w:b/>
                <w:bCs/>
                <w:caps w:val="0"/>
                <w:color w:val="auto"/>
                <w:highlight w:val="none"/>
                <w:lang w:val="en-US" w:eastAsia="zh-CN"/>
              </w:rPr>
              <w:t>表4-</w:t>
            </w:r>
            <w:r>
              <w:rPr>
                <w:rFonts w:hint="eastAsia" w:cs="Times New Roman"/>
                <w:b/>
                <w:bCs/>
                <w:caps w:val="0"/>
                <w:color w:val="auto"/>
                <w:highlight w:val="none"/>
                <w:lang w:val="en-US" w:eastAsia="zh-CN"/>
              </w:rPr>
              <w:t>14</w:t>
            </w:r>
            <w:r>
              <w:rPr>
                <w:rFonts w:hint="eastAsia" w:ascii="Times New Roman" w:hAnsi="Times New Roman" w:eastAsia="宋体" w:cs="Times New Roman"/>
                <w:b/>
                <w:bCs/>
                <w:caps w:val="0"/>
                <w:color w:val="auto"/>
                <w:highlight w:val="none"/>
                <w:lang w:val="en-US" w:eastAsia="zh-CN"/>
              </w:rPr>
              <w:t xml:space="preserve">     环境保护图形符号一览表</w:t>
            </w:r>
          </w:p>
          <w:tbl>
            <w:tblPr>
              <w:tblStyle w:val="24"/>
              <w:tblW w:w="0" w:type="auto"/>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48"/>
              <w:gridCol w:w="1771"/>
              <w:gridCol w:w="1814"/>
              <w:gridCol w:w="1354"/>
              <w:gridCol w:w="2885"/>
            </w:tblGrid>
            <w:tr w14:paraId="26D2535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448" w:type="dxa"/>
                  <w:tcBorders>
                    <w:tl2br w:val="nil"/>
                    <w:tr2bl w:val="nil"/>
                  </w:tcBorders>
                  <w:noWrap w:val="0"/>
                  <w:vAlign w:val="center"/>
                </w:tcPr>
                <w:p w14:paraId="35BBD7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序号</w:t>
                  </w:r>
                </w:p>
              </w:tc>
              <w:tc>
                <w:tcPr>
                  <w:tcW w:w="1771" w:type="dxa"/>
                  <w:tcBorders>
                    <w:tl2br w:val="nil"/>
                    <w:tr2bl w:val="nil"/>
                  </w:tcBorders>
                  <w:noWrap w:val="0"/>
                  <w:vAlign w:val="center"/>
                </w:tcPr>
                <w:p w14:paraId="4D1AAC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提示图形符号</w:t>
                  </w:r>
                </w:p>
              </w:tc>
              <w:tc>
                <w:tcPr>
                  <w:tcW w:w="1814" w:type="dxa"/>
                  <w:tcBorders>
                    <w:tl2br w:val="nil"/>
                    <w:tr2bl w:val="nil"/>
                  </w:tcBorders>
                  <w:noWrap w:val="0"/>
                  <w:vAlign w:val="center"/>
                </w:tcPr>
                <w:p w14:paraId="637EEA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警告图形符号</w:t>
                  </w:r>
                </w:p>
              </w:tc>
              <w:tc>
                <w:tcPr>
                  <w:tcW w:w="1354" w:type="dxa"/>
                  <w:tcBorders>
                    <w:tl2br w:val="nil"/>
                    <w:tr2bl w:val="nil"/>
                  </w:tcBorders>
                  <w:noWrap w:val="0"/>
                  <w:vAlign w:val="center"/>
                </w:tcPr>
                <w:p w14:paraId="295AE3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名称</w:t>
                  </w:r>
                </w:p>
              </w:tc>
              <w:tc>
                <w:tcPr>
                  <w:tcW w:w="2775" w:type="dxa"/>
                  <w:tcBorders>
                    <w:tl2br w:val="nil"/>
                    <w:tr2bl w:val="nil"/>
                  </w:tcBorders>
                  <w:noWrap w:val="0"/>
                  <w:vAlign w:val="center"/>
                </w:tcPr>
                <w:p w14:paraId="6AFB95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功能</w:t>
                  </w:r>
                </w:p>
              </w:tc>
            </w:tr>
            <w:tr w14:paraId="6A4104A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47" w:hRule="atLeast"/>
              </w:trPr>
              <w:tc>
                <w:tcPr>
                  <w:tcW w:w="448" w:type="dxa"/>
                  <w:tcBorders>
                    <w:tl2br w:val="nil"/>
                    <w:tr2bl w:val="nil"/>
                  </w:tcBorders>
                  <w:noWrap w:val="0"/>
                  <w:vAlign w:val="center"/>
                </w:tcPr>
                <w:p w14:paraId="6C142E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lang w:val="en-US" w:eastAsia="zh-CN"/>
                    </w:rPr>
                  </w:pPr>
                  <w:r>
                    <w:rPr>
                      <w:rFonts w:hint="default"/>
                      <w:color w:val="auto"/>
                      <w:sz w:val="21"/>
                      <w:szCs w:val="21"/>
                      <w:lang w:val="en-US" w:eastAsia="zh-CN"/>
                    </w:rPr>
                    <w:t>1</w:t>
                  </w:r>
                </w:p>
              </w:tc>
              <w:tc>
                <w:tcPr>
                  <w:tcW w:w="1771" w:type="dxa"/>
                  <w:tcBorders>
                    <w:tl2br w:val="nil"/>
                    <w:tr2bl w:val="nil"/>
                  </w:tcBorders>
                  <w:noWrap w:val="0"/>
                  <w:vAlign w:val="center"/>
                </w:tcPr>
                <w:p w14:paraId="4674E623">
                  <w:pPr>
                    <w:pStyle w:val="8"/>
                    <w:keepNext w:val="0"/>
                    <w:keepLines w:val="0"/>
                    <w:suppressLineNumbers w:val="0"/>
                    <w:bidi w:val="0"/>
                    <w:spacing w:before="0" w:beforeAutospacing="0" w:after="0" w:afterAutospacing="0"/>
                    <w:ind w:left="0" w:leftChars="0" w:right="0" w:firstLine="0" w:firstLineChars="0"/>
                    <w:jc w:val="both"/>
                    <w:rPr>
                      <w:rFonts w:hint="default"/>
                      <w:b w:val="0"/>
                      <w:bCs/>
                      <w:color w:val="auto"/>
                      <w:highlight w:val="none"/>
                      <w:lang w:val="en-US" w:eastAsia="zh-CN"/>
                    </w:rPr>
                  </w:pPr>
                  <w:r>
                    <w:rPr>
                      <w:rFonts w:hint="default"/>
                      <w:b w:val="0"/>
                      <w:bCs/>
                      <w:color w:val="auto"/>
                      <w:highlight w:val="none"/>
                      <w:lang w:val="en-US" w:eastAsia="zh-CN"/>
                    </w:rPr>
                    <w:drawing>
                      <wp:inline distT="0" distB="0" distL="114300" distR="114300">
                        <wp:extent cx="897255" cy="912495"/>
                        <wp:effectExtent l="0" t="0" r="17145" b="190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9"/>
                                <a:stretch>
                                  <a:fillRect/>
                                </a:stretch>
                              </pic:blipFill>
                              <pic:spPr>
                                <a:xfrm>
                                  <a:off x="0" y="0"/>
                                  <a:ext cx="897255" cy="912495"/>
                                </a:xfrm>
                                <a:prstGeom prst="rect">
                                  <a:avLst/>
                                </a:prstGeom>
                                <a:noFill/>
                                <a:ln>
                                  <a:noFill/>
                                </a:ln>
                              </pic:spPr>
                            </pic:pic>
                          </a:graphicData>
                        </a:graphic>
                      </wp:inline>
                    </w:drawing>
                  </w:r>
                </w:p>
              </w:tc>
              <w:tc>
                <w:tcPr>
                  <w:tcW w:w="1814" w:type="dxa"/>
                  <w:tcBorders>
                    <w:tl2br w:val="nil"/>
                    <w:tr2bl w:val="nil"/>
                  </w:tcBorders>
                  <w:noWrap w:val="0"/>
                  <w:vAlign w:val="center"/>
                </w:tcPr>
                <w:p w14:paraId="62F7BFF0">
                  <w:pPr>
                    <w:pStyle w:val="8"/>
                    <w:keepNext w:val="0"/>
                    <w:keepLines w:val="0"/>
                    <w:suppressLineNumbers w:val="0"/>
                    <w:bidi w:val="0"/>
                    <w:spacing w:before="0" w:beforeAutospacing="0" w:after="0" w:afterAutospacing="0"/>
                    <w:ind w:left="0" w:leftChars="0" w:right="0" w:firstLine="0" w:firstLineChars="0"/>
                    <w:jc w:val="both"/>
                    <w:rPr>
                      <w:rFonts w:hint="default"/>
                      <w:b w:val="0"/>
                      <w:bCs/>
                      <w:color w:val="auto"/>
                      <w:highlight w:val="none"/>
                      <w:lang w:val="en-US" w:eastAsia="zh-CN"/>
                    </w:rPr>
                  </w:pPr>
                  <w:r>
                    <w:rPr>
                      <w:rFonts w:hint="default"/>
                      <w:b w:val="0"/>
                      <w:bCs/>
                      <w:color w:val="auto"/>
                      <w:highlight w:val="none"/>
                      <w:lang w:val="en-US" w:eastAsia="zh-CN"/>
                    </w:rPr>
                    <w:drawing>
                      <wp:inline distT="0" distB="0" distL="114300" distR="114300">
                        <wp:extent cx="1035050" cy="877570"/>
                        <wp:effectExtent l="0" t="0" r="12700" b="1778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30"/>
                                <a:stretch>
                                  <a:fillRect/>
                                </a:stretch>
                              </pic:blipFill>
                              <pic:spPr>
                                <a:xfrm>
                                  <a:off x="0" y="0"/>
                                  <a:ext cx="1035050" cy="877570"/>
                                </a:xfrm>
                                <a:prstGeom prst="rect">
                                  <a:avLst/>
                                </a:prstGeom>
                                <a:noFill/>
                                <a:ln>
                                  <a:noFill/>
                                </a:ln>
                              </pic:spPr>
                            </pic:pic>
                          </a:graphicData>
                        </a:graphic>
                      </wp:inline>
                    </w:drawing>
                  </w:r>
                </w:p>
              </w:tc>
              <w:tc>
                <w:tcPr>
                  <w:tcW w:w="1354" w:type="dxa"/>
                  <w:tcBorders>
                    <w:tl2br w:val="nil"/>
                    <w:tr2bl w:val="nil"/>
                  </w:tcBorders>
                  <w:noWrap w:val="0"/>
                  <w:vAlign w:val="center"/>
                </w:tcPr>
                <w:p w14:paraId="0AED99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污水排放口</w:t>
                  </w:r>
                </w:p>
              </w:tc>
              <w:tc>
                <w:tcPr>
                  <w:tcW w:w="2775" w:type="dxa"/>
                  <w:tcBorders>
                    <w:tl2br w:val="nil"/>
                    <w:tr2bl w:val="nil"/>
                  </w:tcBorders>
                  <w:noWrap w:val="0"/>
                  <w:vAlign w:val="center"/>
                </w:tcPr>
                <w:p w14:paraId="67712E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表示污水向外环境排放</w:t>
                  </w:r>
                </w:p>
              </w:tc>
            </w:tr>
            <w:tr w14:paraId="337E11B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590" w:hRule="atLeast"/>
              </w:trPr>
              <w:tc>
                <w:tcPr>
                  <w:tcW w:w="448" w:type="dxa"/>
                  <w:tcBorders>
                    <w:tl2br w:val="nil"/>
                    <w:tr2bl w:val="nil"/>
                  </w:tcBorders>
                  <w:noWrap w:val="0"/>
                  <w:vAlign w:val="center"/>
                </w:tcPr>
                <w:p w14:paraId="7F5B05AB">
                  <w:pPr>
                    <w:jc w:val="center"/>
                    <w:rPr>
                      <w:rFonts w:hint="eastAsia"/>
                      <w:color w:val="auto"/>
                      <w:sz w:val="21"/>
                      <w:szCs w:val="21"/>
                      <w:lang w:val="en-US" w:eastAsia="zh-CN"/>
                    </w:rPr>
                  </w:pPr>
                  <w:r>
                    <w:rPr>
                      <w:rFonts w:hint="eastAsia"/>
                      <w:color w:val="auto"/>
                      <w:sz w:val="21"/>
                      <w:szCs w:val="21"/>
                      <w:lang w:val="en-US" w:eastAsia="zh-CN"/>
                    </w:rPr>
                    <w:t>2</w:t>
                  </w:r>
                </w:p>
              </w:tc>
              <w:tc>
                <w:tcPr>
                  <w:tcW w:w="1771" w:type="dxa"/>
                  <w:tcBorders>
                    <w:tl2br w:val="nil"/>
                    <w:tr2bl w:val="nil"/>
                  </w:tcBorders>
                  <w:noWrap w:val="0"/>
                  <w:vAlign w:val="center"/>
                </w:tcPr>
                <w:p w14:paraId="3D54DCBB">
                  <w:pPr>
                    <w:pStyle w:val="8"/>
                    <w:keepNext w:val="0"/>
                    <w:keepLines w:val="0"/>
                    <w:suppressLineNumbers w:val="0"/>
                    <w:bidi w:val="0"/>
                    <w:spacing w:before="0" w:beforeAutospacing="0" w:after="0" w:afterAutospacing="0"/>
                    <w:ind w:left="0" w:leftChars="0" w:right="0" w:firstLine="0" w:firstLineChars="0"/>
                    <w:jc w:val="both"/>
                    <w:rPr>
                      <w:rFonts w:hint="default"/>
                      <w:b w:val="0"/>
                      <w:bCs/>
                      <w:color w:val="auto"/>
                      <w:highlight w:val="none"/>
                      <w:lang w:val="en-US" w:eastAsia="zh-CN"/>
                    </w:rPr>
                  </w:pPr>
                  <w:r>
                    <w:rPr>
                      <w:rFonts w:hint="default"/>
                      <w:b w:val="0"/>
                      <w:bCs/>
                      <w:color w:val="auto"/>
                      <w:highlight w:val="none"/>
                      <w:lang w:val="en-US" w:eastAsia="zh-CN"/>
                    </w:rPr>
                    <w:drawing>
                      <wp:inline distT="0" distB="0" distL="114300" distR="114300">
                        <wp:extent cx="1006475" cy="1005840"/>
                        <wp:effectExtent l="0" t="0" r="3175" b="381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31"/>
                                <a:stretch>
                                  <a:fillRect/>
                                </a:stretch>
                              </pic:blipFill>
                              <pic:spPr>
                                <a:xfrm>
                                  <a:off x="0" y="0"/>
                                  <a:ext cx="1006475" cy="1005840"/>
                                </a:xfrm>
                                <a:prstGeom prst="rect">
                                  <a:avLst/>
                                </a:prstGeom>
                                <a:noFill/>
                                <a:ln>
                                  <a:noFill/>
                                </a:ln>
                              </pic:spPr>
                            </pic:pic>
                          </a:graphicData>
                        </a:graphic>
                      </wp:inline>
                    </w:drawing>
                  </w:r>
                </w:p>
              </w:tc>
              <w:tc>
                <w:tcPr>
                  <w:tcW w:w="1814" w:type="dxa"/>
                  <w:tcBorders>
                    <w:tl2br w:val="nil"/>
                    <w:tr2bl w:val="nil"/>
                  </w:tcBorders>
                  <w:noWrap w:val="0"/>
                  <w:vAlign w:val="center"/>
                </w:tcPr>
                <w:p w14:paraId="3681B821">
                  <w:pPr>
                    <w:pStyle w:val="8"/>
                    <w:keepNext w:val="0"/>
                    <w:keepLines w:val="0"/>
                    <w:suppressLineNumbers w:val="0"/>
                    <w:bidi w:val="0"/>
                    <w:spacing w:before="0" w:beforeAutospacing="0" w:after="0" w:afterAutospacing="0"/>
                    <w:ind w:left="0" w:leftChars="0" w:right="0" w:firstLine="0" w:firstLineChars="0"/>
                    <w:jc w:val="both"/>
                    <w:rPr>
                      <w:rFonts w:hint="default"/>
                      <w:b w:val="0"/>
                      <w:bCs/>
                      <w:color w:val="auto"/>
                      <w:highlight w:val="none"/>
                      <w:lang w:val="en-US" w:eastAsia="zh-CN"/>
                    </w:rPr>
                  </w:pPr>
                  <w:r>
                    <w:rPr>
                      <w:rFonts w:hint="default"/>
                      <w:b w:val="0"/>
                      <w:bCs/>
                      <w:color w:val="auto"/>
                      <w:highlight w:val="none"/>
                      <w:lang w:val="en-US" w:eastAsia="zh-CN"/>
                    </w:rPr>
                    <w:drawing>
                      <wp:inline distT="0" distB="0" distL="114300" distR="114300">
                        <wp:extent cx="1008380" cy="817880"/>
                        <wp:effectExtent l="0" t="0" r="1270" b="127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32"/>
                                <a:stretch>
                                  <a:fillRect/>
                                </a:stretch>
                              </pic:blipFill>
                              <pic:spPr>
                                <a:xfrm>
                                  <a:off x="0" y="0"/>
                                  <a:ext cx="1008380" cy="817880"/>
                                </a:xfrm>
                                <a:prstGeom prst="rect">
                                  <a:avLst/>
                                </a:prstGeom>
                                <a:noFill/>
                                <a:ln>
                                  <a:noFill/>
                                </a:ln>
                              </pic:spPr>
                            </pic:pic>
                          </a:graphicData>
                        </a:graphic>
                      </wp:inline>
                    </w:drawing>
                  </w:r>
                </w:p>
              </w:tc>
              <w:tc>
                <w:tcPr>
                  <w:tcW w:w="1354" w:type="dxa"/>
                  <w:tcBorders>
                    <w:tl2br w:val="nil"/>
                    <w:tr2bl w:val="nil"/>
                  </w:tcBorders>
                  <w:noWrap w:val="0"/>
                  <w:vAlign w:val="center"/>
                </w:tcPr>
                <w:p w14:paraId="0F52A4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一般固体废物</w:t>
                  </w:r>
                </w:p>
              </w:tc>
              <w:tc>
                <w:tcPr>
                  <w:tcW w:w="2775" w:type="dxa"/>
                  <w:tcBorders>
                    <w:tl2br w:val="nil"/>
                    <w:tr2bl w:val="nil"/>
                  </w:tcBorders>
                  <w:noWrap w:val="0"/>
                  <w:vAlign w:val="center"/>
                </w:tcPr>
                <w:p w14:paraId="7778DA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表示一般固体废物贮存、处置场</w:t>
                  </w:r>
                </w:p>
              </w:tc>
            </w:tr>
            <w:tr w14:paraId="1EDC704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39" w:hRule="atLeast"/>
              </w:trPr>
              <w:tc>
                <w:tcPr>
                  <w:tcW w:w="448" w:type="dxa"/>
                  <w:tcBorders>
                    <w:tl2br w:val="nil"/>
                    <w:tr2bl w:val="nil"/>
                  </w:tcBorders>
                  <w:noWrap w:val="0"/>
                  <w:vAlign w:val="center"/>
                </w:tcPr>
                <w:p w14:paraId="53AD590C">
                  <w:pPr>
                    <w:jc w:val="center"/>
                    <w:rPr>
                      <w:rFonts w:hint="eastAsia"/>
                      <w:color w:val="auto"/>
                      <w:sz w:val="21"/>
                      <w:szCs w:val="21"/>
                      <w:lang w:val="en-US" w:eastAsia="zh-CN"/>
                    </w:rPr>
                  </w:pPr>
                  <w:r>
                    <w:rPr>
                      <w:rFonts w:hint="eastAsia"/>
                      <w:color w:val="auto"/>
                      <w:sz w:val="21"/>
                      <w:szCs w:val="21"/>
                      <w:lang w:val="en-US" w:eastAsia="zh-CN"/>
                    </w:rPr>
                    <w:t>3</w:t>
                  </w:r>
                </w:p>
              </w:tc>
              <w:tc>
                <w:tcPr>
                  <w:tcW w:w="1771" w:type="dxa"/>
                  <w:tcBorders>
                    <w:tl2br w:val="nil"/>
                    <w:tr2bl w:val="nil"/>
                  </w:tcBorders>
                  <w:noWrap w:val="0"/>
                  <w:vAlign w:val="center"/>
                </w:tcPr>
                <w:p w14:paraId="5D5AE5CA">
                  <w:pPr>
                    <w:pStyle w:val="8"/>
                    <w:keepNext w:val="0"/>
                    <w:keepLines w:val="0"/>
                    <w:suppressLineNumbers w:val="0"/>
                    <w:bidi w:val="0"/>
                    <w:spacing w:before="0" w:beforeAutospacing="0" w:after="0" w:afterAutospacing="0"/>
                    <w:ind w:left="0" w:leftChars="0" w:right="0" w:firstLine="0" w:firstLineChars="0"/>
                    <w:jc w:val="both"/>
                    <w:rPr>
                      <w:rFonts w:hint="default"/>
                      <w:b w:val="0"/>
                      <w:bCs/>
                      <w:color w:val="auto"/>
                      <w:highlight w:val="none"/>
                      <w:lang w:val="en-US" w:eastAsia="zh-CN"/>
                    </w:rPr>
                  </w:pPr>
                  <w:r>
                    <w:rPr>
                      <w:rFonts w:hint="default"/>
                      <w:b w:val="0"/>
                      <w:bCs/>
                      <w:color w:val="auto"/>
                      <w:highlight w:val="none"/>
                      <w:lang w:val="en-US" w:eastAsia="zh-CN"/>
                    </w:rPr>
                    <w:drawing>
                      <wp:inline distT="0" distB="0" distL="114300" distR="114300">
                        <wp:extent cx="1005840" cy="914400"/>
                        <wp:effectExtent l="0" t="0" r="381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33"/>
                                <a:stretch>
                                  <a:fillRect/>
                                </a:stretch>
                              </pic:blipFill>
                              <pic:spPr>
                                <a:xfrm>
                                  <a:off x="0" y="0"/>
                                  <a:ext cx="1005840" cy="914400"/>
                                </a:xfrm>
                                <a:prstGeom prst="rect">
                                  <a:avLst/>
                                </a:prstGeom>
                                <a:noFill/>
                                <a:ln>
                                  <a:noFill/>
                                </a:ln>
                              </pic:spPr>
                            </pic:pic>
                          </a:graphicData>
                        </a:graphic>
                      </wp:inline>
                    </w:drawing>
                  </w:r>
                </w:p>
              </w:tc>
              <w:tc>
                <w:tcPr>
                  <w:tcW w:w="1814" w:type="dxa"/>
                  <w:tcBorders>
                    <w:tl2br w:val="nil"/>
                    <w:tr2bl w:val="nil"/>
                  </w:tcBorders>
                  <w:noWrap w:val="0"/>
                  <w:vAlign w:val="center"/>
                </w:tcPr>
                <w:p w14:paraId="3B42346B">
                  <w:pPr>
                    <w:pStyle w:val="8"/>
                    <w:keepNext w:val="0"/>
                    <w:keepLines w:val="0"/>
                    <w:suppressLineNumbers w:val="0"/>
                    <w:bidi w:val="0"/>
                    <w:spacing w:before="0" w:beforeAutospacing="0" w:after="0" w:afterAutospacing="0"/>
                    <w:ind w:left="0" w:leftChars="0" w:right="0" w:firstLine="0" w:firstLineChars="0"/>
                    <w:jc w:val="both"/>
                    <w:rPr>
                      <w:rFonts w:hint="default"/>
                      <w:b w:val="0"/>
                      <w:bCs/>
                      <w:color w:val="auto"/>
                      <w:highlight w:val="none"/>
                      <w:lang w:val="en-US" w:eastAsia="zh-CN"/>
                    </w:rPr>
                  </w:pPr>
                  <w:r>
                    <w:rPr>
                      <w:rFonts w:hint="default"/>
                      <w:b w:val="0"/>
                      <w:bCs/>
                      <w:color w:val="auto"/>
                      <w:highlight w:val="none"/>
                      <w:lang w:val="en-US" w:eastAsia="zh-CN"/>
                    </w:rPr>
                    <w:drawing>
                      <wp:inline distT="0" distB="0" distL="114300" distR="114300">
                        <wp:extent cx="1003935" cy="821690"/>
                        <wp:effectExtent l="0" t="0" r="5715" b="1651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34"/>
                                <a:stretch>
                                  <a:fillRect/>
                                </a:stretch>
                              </pic:blipFill>
                              <pic:spPr>
                                <a:xfrm>
                                  <a:off x="0" y="0"/>
                                  <a:ext cx="1003935" cy="821690"/>
                                </a:xfrm>
                                <a:prstGeom prst="rect">
                                  <a:avLst/>
                                </a:prstGeom>
                                <a:noFill/>
                                <a:ln>
                                  <a:noFill/>
                                </a:ln>
                              </pic:spPr>
                            </pic:pic>
                          </a:graphicData>
                        </a:graphic>
                      </wp:inline>
                    </w:drawing>
                  </w:r>
                </w:p>
              </w:tc>
              <w:tc>
                <w:tcPr>
                  <w:tcW w:w="1354" w:type="dxa"/>
                  <w:tcBorders>
                    <w:tl2br w:val="nil"/>
                    <w:tr2bl w:val="nil"/>
                  </w:tcBorders>
                  <w:noWrap w:val="0"/>
                  <w:vAlign w:val="center"/>
                </w:tcPr>
                <w:p w14:paraId="1F6921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噪声源</w:t>
                  </w:r>
                </w:p>
              </w:tc>
              <w:tc>
                <w:tcPr>
                  <w:tcW w:w="2775" w:type="dxa"/>
                  <w:tcBorders>
                    <w:tl2br w:val="nil"/>
                    <w:tr2bl w:val="nil"/>
                  </w:tcBorders>
                  <w:noWrap w:val="0"/>
                  <w:vAlign w:val="center"/>
                </w:tcPr>
                <w:p w14:paraId="6E7579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表示噪声向外环境排放</w:t>
                  </w:r>
                </w:p>
              </w:tc>
            </w:tr>
            <w:tr w14:paraId="50C0DA3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39" w:hRule="atLeast"/>
              </w:trPr>
              <w:tc>
                <w:tcPr>
                  <w:tcW w:w="448" w:type="dxa"/>
                  <w:tcBorders>
                    <w:tl2br w:val="nil"/>
                    <w:tr2bl w:val="nil"/>
                  </w:tcBorders>
                  <w:noWrap w:val="0"/>
                  <w:vAlign w:val="center"/>
                </w:tcPr>
                <w:p w14:paraId="7C78B305">
                  <w:pPr>
                    <w:jc w:val="center"/>
                    <w:rPr>
                      <w:rFonts w:hint="eastAsia"/>
                      <w:color w:val="auto"/>
                      <w:sz w:val="21"/>
                      <w:szCs w:val="21"/>
                      <w:lang w:val="en-US" w:eastAsia="zh-CN"/>
                    </w:rPr>
                  </w:pPr>
                  <w:r>
                    <w:rPr>
                      <w:rFonts w:hint="eastAsia"/>
                      <w:color w:val="auto"/>
                      <w:sz w:val="21"/>
                      <w:szCs w:val="21"/>
                      <w:lang w:val="en-US" w:eastAsia="zh-CN"/>
                    </w:rPr>
                    <w:t>4</w:t>
                  </w:r>
                </w:p>
              </w:tc>
              <w:tc>
                <w:tcPr>
                  <w:tcW w:w="1771" w:type="dxa"/>
                  <w:tcBorders>
                    <w:tl2br w:val="nil"/>
                    <w:tr2bl w:val="nil"/>
                  </w:tcBorders>
                  <w:noWrap w:val="0"/>
                  <w:vAlign w:val="center"/>
                </w:tcPr>
                <w:p w14:paraId="7C50DD76">
                  <w:pPr>
                    <w:pStyle w:val="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color w:val="auto"/>
                      <w:kern w:val="2"/>
                      <w:sz w:val="21"/>
                      <w:szCs w:val="24"/>
                      <w:highlight w:val="none"/>
                      <w:lang w:val="en-US" w:eastAsia="zh-CN" w:bidi="ar-SA"/>
                    </w:rPr>
                  </w:pPr>
                  <w:r>
                    <w:rPr>
                      <w:rFonts w:hint="default"/>
                      <w:b w:val="0"/>
                      <w:bCs/>
                      <w:color w:val="auto"/>
                      <w:highlight w:val="none"/>
                      <w:lang w:val="en-US" w:eastAsia="zh-CN"/>
                    </w:rPr>
                    <w:drawing>
                      <wp:inline distT="0" distB="0" distL="114300" distR="114300">
                        <wp:extent cx="962025" cy="1200150"/>
                        <wp:effectExtent l="0" t="0" r="9525" b="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35"/>
                                <a:stretch>
                                  <a:fillRect/>
                                </a:stretch>
                              </pic:blipFill>
                              <pic:spPr>
                                <a:xfrm>
                                  <a:off x="0" y="0"/>
                                  <a:ext cx="962025" cy="1200150"/>
                                </a:xfrm>
                                <a:prstGeom prst="rect">
                                  <a:avLst/>
                                </a:prstGeom>
                                <a:noFill/>
                                <a:ln>
                                  <a:noFill/>
                                </a:ln>
                              </pic:spPr>
                            </pic:pic>
                          </a:graphicData>
                        </a:graphic>
                      </wp:inline>
                    </w:drawing>
                  </w:r>
                </w:p>
              </w:tc>
              <w:tc>
                <w:tcPr>
                  <w:tcW w:w="1814" w:type="dxa"/>
                  <w:tcBorders>
                    <w:tl2br w:val="nil"/>
                    <w:tr2bl w:val="nil"/>
                  </w:tcBorders>
                  <w:noWrap w:val="0"/>
                  <w:vAlign w:val="center"/>
                </w:tcPr>
                <w:p w14:paraId="29B4E5EF">
                  <w:pPr>
                    <w:pStyle w:val="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color w:val="auto"/>
                      <w:kern w:val="2"/>
                      <w:sz w:val="21"/>
                      <w:szCs w:val="24"/>
                      <w:highlight w:val="none"/>
                      <w:lang w:val="en-US" w:eastAsia="zh-CN" w:bidi="ar-SA"/>
                    </w:rPr>
                  </w:pPr>
                  <w:r>
                    <w:rPr>
                      <w:rFonts w:hint="default"/>
                      <w:b w:val="0"/>
                      <w:bCs/>
                      <w:color w:val="auto"/>
                      <w:highlight w:val="none"/>
                      <w:lang w:val="en-US" w:eastAsia="zh-CN"/>
                    </w:rPr>
                    <w:drawing>
                      <wp:inline distT="0" distB="0" distL="114300" distR="114300">
                        <wp:extent cx="1019175" cy="1171575"/>
                        <wp:effectExtent l="0" t="0" r="9525" b="9525"/>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36"/>
                                <a:stretch>
                                  <a:fillRect/>
                                </a:stretch>
                              </pic:blipFill>
                              <pic:spPr>
                                <a:xfrm>
                                  <a:off x="0" y="0"/>
                                  <a:ext cx="1019175" cy="1171575"/>
                                </a:xfrm>
                                <a:prstGeom prst="rect">
                                  <a:avLst/>
                                </a:prstGeom>
                                <a:noFill/>
                                <a:ln>
                                  <a:noFill/>
                                </a:ln>
                              </pic:spPr>
                            </pic:pic>
                          </a:graphicData>
                        </a:graphic>
                      </wp:inline>
                    </w:drawing>
                  </w:r>
                </w:p>
              </w:tc>
              <w:tc>
                <w:tcPr>
                  <w:tcW w:w="1354" w:type="dxa"/>
                  <w:tcBorders>
                    <w:tl2br w:val="nil"/>
                    <w:tr2bl w:val="nil"/>
                  </w:tcBorders>
                  <w:noWrap w:val="0"/>
                  <w:vAlign w:val="center"/>
                </w:tcPr>
                <w:p w14:paraId="324FC8C1">
                  <w:pPr>
                    <w:pStyle w:val="8"/>
                    <w:keepNext w:val="0"/>
                    <w:keepLines w:val="0"/>
                    <w:suppressLineNumbers w:val="0"/>
                    <w:bidi w:val="0"/>
                    <w:spacing w:before="0" w:beforeAutospacing="0" w:after="0" w:afterAutospacing="0"/>
                    <w:ind w:left="0" w:leftChars="0" w:right="0" w:rightChars="0" w:firstLine="0" w:firstLineChars="0"/>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废气排放口</w:t>
                  </w:r>
                </w:p>
              </w:tc>
              <w:tc>
                <w:tcPr>
                  <w:tcW w:w="2775" w:type="dxa"/>
                  <w:tcBorders>
                    <w:tl2br w:val="nil"/>
                    <w:tr2bl w:val="nil"/>
                  </w:tcBorders>
                  <w:noWrap w:val="0"/>
                  <w:vAlign w:val="center"/>
                </w:tcPr>
                <w:p w14:paraId="27EF0532">
                  <w:pPr>
                    <w:pStyle w:val="8"/>
                    <w:keepNext w:val="0"/>
                    <w:keepLines w:val="0"/>
                    <w:suppressLineNumbers w:val="0"/>
                    <w:bidi w:val="0"/>
                    <w:spacing w:before="0" w:beforeAutospacing="0" w:after="0" w:afterAutospacing="0"/>
                    <w:ind w:left="0" w:leftChars="0" w:right="0" w:rightChars="0" w:firstLine="0" w:firstLineChars="0"/>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表示废气向外环境排放</w:t>
                  </w:r>
                </w:p>
              </w:tc>
            </w:tr>
            <w:tr w14:paraId="7CB4DA0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39" w:hRule="atLeast"/>
              </w:trPr>
              <w:tc>
                <w:tcPr>
                  <w:tcW w:w="448" w:type="dxa"/>
                  <w:tcBorders>
                    <w:tl2br w:val="nil"/>
                    <w:tr2bl w:val="nil"/>
                  </w:tcBorders>
                  <w:noWrap w:val="0"/>
                  <w:vAlign w:val="center"/>
                </w:tcPr>
                <w:p w14:paraId="08AE5B03">
                  <w:pPr>
                    <w:pStyle w:val="8"/>
                    <w:keepNext w:val="0"/>
                    <w:keepLines w:val="0"/>
                    <w:suppressLineNumbers w:val="0"/>
                    <w:bidi w:val="0"/>
                    <w:spacing w:before="0" w:beforeAutospacing="0" w:after="0" w:afterAutospacing="0"/>
                    <w:ind w:left="0" w:leftChars="0" w:right="0" w:rightChars="0" w:firstLine="0" w:firstLineChars="0"/>
                    <w:jc w:val="center"/>
                    <w:rPr>
                      <w:rFonts w:hint="eastAsia"/>
                      <w:color w:val="auto"/>
                      <w:sz w:val="21"/>
                      <w:szCs w:val="21"/>
                      <w:lang w:val="en-US" w:eastAsia="zh-CN"/>
                    </w:rPr>
                  </w:pPr>
                  <w:r>
                    <w:rPr>
                      <w:rFonts w:hint="eastAsia"/>
                      <w:color w:val="auto"/>
                      <w:sz w:val="21"/>
                      <w:szCs w:val="21"/>
                      <w:lang w:val="en-US" w:eastAsia="zh-CN"/>
                    </w:rPr>
                    <w:t>5</w:t>
                  </w:r>
                </w:p>
              </w:tc>
              <w:tc>
                <w:tcPr>
                  <w:tcW w:w="1771" w:type="dxa"/>
                  <w:tcBorders>
                    <w:tl2br w:val="nil"/>
                    <w:tr2bl w:val="nil"/>
                  </w:tcBorders>
                  <w:noWrap w:val="0"/>
                  <w:vAlign w:val="center"/>
                </w:tcPr>
                <w:p w14:paraId="365F5A33">
                  <w:pPr>
                    <w:pStyle w:val="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color w:val="auto"/>
                      <w:kern w:val="2"/>
                      <w:sz w:val="21"/>
                      <w:szCs w:val="24"/>
                      <w:highlight w:val="none"/>
                      <w:lang w:val="en-US" w:eastAsia="zh-CN" w:bidi="ar-SA"/>
                    </w:rPr>
                  </w:pPr>
                </w:p>
              </w:tc>
              <w:tc>
                <w:tcPr>
                  <w:tcW w:w="1814" w:type="dxa"/>
                  <w:tcBorders>
                    <w:tl2br w:val="nil"/>
                    <w:tr2bl w:val="nil"/>
                  </w:tcBorders>
                  <w:noWrap w:val="0"/>
                  <w:vAlign w:val="center"/>
                </w:tcPr>
                <w:p w14:paraId="7B67FF15">
                  <w:pPr>
                    <w:pStyle w:val="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color w:val="auto"/>
                      <w:kern w:val="2"/>
                      <w:sz w:val="21"/>
                      <w:szCs w:val="24"/>
                      <w:highlight w:val="none"/>
                      <w:lang w:val="en-US" w:eastAsia="zh-CN" w:bidi="ar-SA"/>
                    </w:rPr>
                  </w:pPr>
                  <w:r>
                    <w:rPr>
                      <w:rFonts w:hint="default"/>
                      <w:color w:val="auto"/>
                      <w:highlight w:val="none"/>
                    </w:rPr>
                    <w:drawing>
                      <wp:inline distT="0" distB="0" distL="114300" distR="114300">
                        <wp:extent cx="1144905" cy="1012825"/>
                        <wp:effectExtent l="0" t="0" r="17145" b="15875"/>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37"/>
                                <a:stretch>
                                  <a:fillRect/>
                                </a:stretch>
                              </pic:blipFill>
                              <pic:spPr>
                                <a:xfrm>
                                  <a:off x="0" y="0"/>
                                  <a:ext cx="1144905" cy="1012825"/>
                                </a:xfrm>
                                <a:prstGeom prst="rect">
                                  <a:avLst/>
                                </a:prstGeom>
                                <a:noFill/>
                                <a:ln>
                                  <a:noFill/>
                                </a:ln>
                              </pic:spPr>
                            </pic:pic>
                          </a:graphicData>
                        </a:graphic>
                      </wp:inline>
                    </w:drawing>
                  </w:r>
                </w:p>
              </w:tc>
              <w:tc>
                <w:tcPr>
                  <w:tcW w:w="1354" w:type="dxa"/>
                  <w:tcBorders>
                    <w:tl2br w:val="nil"/>
                    <w:tr2bl w:val="nil"/>
                  </w:tcBorders>
                  <w:noWrap w:val="0"/>
                  <w:vAlign w:val="center"/>
                </w:tcPr>
                <w:p w14:paraId="42DAF990">
                  <w:pPr>
                    <w:pStyle w:val="8"/>
                    <w:keepNext w:val="0"/>
                    <w:keepLines w:val="0"/>
                    <w:suppressLineNumbers w:val="0"/>
                    <w:bidi w:val="0"/>
                    <w:spacing w:before="0" w:beforeAutospacing="0" w:after="0" w:afterAutospacing="0"/>
                    <w:ind w:left="0" w:leftChars="0" w:right="0" w:rightChars="0" w:firstLine="0" w:firstLineChars="0"/>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危险废物贮存点</w:t>
                  </w:r>
                </w:p>
              </w:tc>
              <w:tc>
                <w:tcPr>
                  <w:tcW w:w="2885" w:type="dxa"/>
                  <w:tcBorders>
                    <w:tl2br w:val="nil"/>
                    <w:tr2bl w:val="nil"/>
                  </w:tcBorders>
                  <w:noWrap w:val="0"/>
                  <w:vAlign w:val="center"/>
                </w:tcPr>
                <w:p w14:paraId="141B8119">
                  <w:pPr>
                    <w:pStyle w:val="8"/>
                    <w:keepNext w:val="0"/>
                    <w:keepLines w:val="0"/>
                    <w:suppressLineNumbers w:val="0"/>
                    <w:bidi w:val="0"/>
                    <w:spacing w:before="0" w:beforeAutospacing="0" w:after="0" w:afterAutospacing="0"/>
                    <w:ind w:left="0" w:leftChars="0" w:right="0" w:rightChars="0" w:firstLine="0" w:firstLineChars="0"/>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表示危险废物贮存、处置场</w:t>
                  </w:r>
                </w:p>
              </w:tc>
            </w:tr>
          </w:tbl>
          <w:p w14:paraId="45CBF8E4">
            <w:pPr>
              <w:pStyle w:val="6"/>
              <w:rPr>
                <w:rFonts w:hint="default"/>
                <w:color w:val="auto"/>
                <w:lang w:val="en-US" w:eastAsia="zh-CN"/>
              </w:rPr>
            </w:pPr>
          </w:p>
        </w:tc>
      </w:tr>
    </w:tbl>
    <w:p w14:paraId="406CA46C">
      <w:pPr>
        <w:rPr>
          <w:rFonts w:hint="eastAsia"/>
          <w:color w:val="auto"/>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1890C15D">
      <w:pPr>
        <w:pStyle w:val="20"/>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五、</w:t>
      </w:r>
      <w:bookmarkStart w:id="3" w:name="_Hlk54167917"/>
      <w:r>
        <w:rPr>
          <w:rFonts w:hint="eastAsia" w:ascii="黑体" w:hAnsi="黑体" w:eastAsia="黑体"/>
          <w:snapToGrid w:val="0"/>
          <w:color w:val="auto"/>
          <w:sz w:val="30"/>
          <w:szCs w:val="30"/>
        </w:rPr>
        <w:t>环境保护措施监督检查清单</w:t>
      </w:r>
      <w:bookmarkEnd w:id="3"/>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13"/>
        <w:gridCol w:w="1646"/>
        <w:gridCol w:w="1300"/>
        <w:gridCol w:w="2297"/>
        <w:gridCol w:w="2044"/>
      </w:tblGrid>
      <w:tr w14:paraId="4C7882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13" w:type="dxa"/>
            <w:tcBorders>
              <w:tl2br w:val="single" w:color="auto" w:sz="4" w:space="0"/>
            </w:tcBorders>
            <w:noWrap w:val="0"/>
            <w:vAlign w:val="top"/>
          </w:tcPr>
          <w:p w14:paraId="0543A5F7">
            <w:pPr>
              <w:adjustRightInd w:val="0"/>
              <w:snapToGrid w:val="0"/>
              <w:ind w:firstLine="840"/>
              <w:rPr>
                <w:rFonts w:hint="eastAsia" w:ascii="宋体" w:hAnsi="宋体" w:cs="宋体"/>
                <w:color w:val="auto"/>
                <w:szCs w:val="21"/>
              </w:rPr>
            </w:pPr>
            <w:r>
              <w:rPr>
                <w:rFonts w:hint="eastAsia" w:ascii="宋体" w:hAnsi="宋体" w:cs="宋体"/>
                <w:color w:val="auto"/>
                <w:szCs w:val="21"/>
              </w:rPr>
              <w:t>内容</w:t>
            </w:r>
          </w:p>
          <w:p w14:paraId="4AC9B29C">
            <w:pPr>
              <w:adjustRightInd w:val="0"/>
              <w:snapToGrid w:val="0"/>
              <w:rPr>
                <w:rFonts w:hint="eastAsia" w:ascii="宋体" w:hAnsi="宋体" w:cs="宋体"/>
                <w:color w:val="auto"/>
                <w:szCs w:val="21"/>
              </w:rPr>
            </w:pPr>
            <w:r>
              <w:rPr>
                <w:rFonts w:hint="eastAsia" w:ascii="宋体" w:hAnsi="宋体" w:cs="宋体"/>
                <w:color w:val="auto"/>
                <w:szCs w:val="21"/>
              </w:rPr>
              <w:t>要素</w:t>
            </w:r>
          </w:p>
        </w:tc>
        <w:tc>
          <w:tcPr>
            <w:tcW w:w="1646" w:type="dxa"/>
            <w:noWrap w:val="0"/>
            <w:vAlign w:val="center"/>
          </w:tcPr>
          <w:p w14:paraId="57D2562C">
            <w:pPr>
              <w:adjustRightInd w:val="0"/>
              <w:snapToGrid w:val="0"/>
              <w:jc w:val="center"/>
              <w:rPr>
                <w:rFonts w:hint="eastAsia" w:ascii="宋体" w:hAnsi="宋体" w:cs="宋体"/>
                <w:color w:val="auto"/>
                <w:szCs w:val="21"/>
              </w:rPr>
            </w:pPr>
            <w:r>
              <w:rPr>
                <w:rFonts w:hint="eastAsia" w:ascii="宋体" w:hAnsi="宋体" w:cs="宋体"/>
                <w:color w:val="auto"/>
                <w:szCs w:val="21"/>
              </w:rPr>
              <w:t>排放口</w:t>
            </w:r>
            <w:r>
              <w:rPr>
                <w:rFonts w:hint="eastAsia" w:ascii="宋体" w:hAnsi="宋体" w:cs="宋体"/>
                <w:color w:val="auto"/>
                <w:szCs w:val="21"/>
                <w:lang w:eastAsia="zh-CN"/>
              </w:rPr>
              <w:t>（</w:t>
            </w:r>
            <w:r>
              <w:rPr>
                <w:rFonts w:hint="eastAsia" w:ascii="宋体" w:hAnsi="宋体" w:cs="宋体"/>
                <w:color w:val="auto"/>
                <w:szCs w:val="21"/>
              </w:rPr>
              <w:t>编号、名称</w:t>
            </w:r>
            <w:r>
              <w:rPr>
                <w:rFonts w:hint="eastAsia" w:ascii="宋体" w:hAnsi="宋体" w:cs="宋体"/>
                <w:color w:val="auto"/>
                <w:szCs w:val="21"/>
                <w:lang w:eastAsia="zh-CN"/>
              </w:rPr>
              <w:t>）</w:t>
            </w:r>
            <w:r>
              <w:rPr>
                <w:rFonts w:hint="eastAsia" w:ascii="宋体" w:hAnsi="宋体" w:cs="宋体"/>
                <w:color w:val="auto"/>
                <w:szCs w:val="21"/>
              </w:rPr>
              <w:t>/污染源</w:t>
            </w:r>
          </w:p>
        </w:tc>
        <w:tc>
          <w:tcPr>
            <w:tcW w:w="1300" w:type="dxa"/>
            <w:noWrap w:val="0"/>
            <w:vAlign w:val="center"/>
          </w:tcPr>
          <w:p w14:paraId="64171BAE">
            <w:pPr>
              <w:adjustRightInd w:val="0"/>
              <w:snapToGrid w:val="0"/>
              <w:jc w:val="center"/>
              <w:rPr>
                <w:rFonts w:hint="eastAsia" w:ascii="宋体" w:hAnsi="宋体" w:cs="宋体"/>
                <w:color w:val="auto"/>
                <w:szCs w:val="21"/>
              </w:rPr>
            </w:pPr>
            <w:r>
              <w:rPr>
                <w:rFonts w:hint="eastAsia" w:ascii="宋体" w:hAnsi="宋体" w:cs="宋体"/>
                <w:color w:val="auto"/>
                <w:szCs w:val="21"/>
              </w:rPr>
              <w:t>污染物项目</w:t>
            </w:r>
          </w:p>
        </w:tc>
        <w:tc>
          <w:tcPr>
            <w:tcW w:w="2297" w:type="dxa"/>
            <w:noWrap w:val="0"/>
            <w:vAlign w:val="center"/>
          </w:tcPr>
          <w:p w14:paraId="475DC5B4">
            <w:pPr>
              <w:adjustRightInd w:val="0"/>
              <w:snapToGrid w:val="0"/>
              <w:jc w:val="center"/>
              <w:rPr>
                <w:rFonts w:hint="eastAsia" w:ascii="宋体" w:hAnsi="宋体" w:cs="宋体"/>
                <w:color w:val="auto"/>
                <w:szCs w:val="21"/>
              </w:rPr>
            </w:pPr>
            <w:r>
              <w:rPr>
                <w:rFonts w:hint="eastAsia" w:ascii="宋体" w:hAnsi="宋体" w:cs="宋体"/>
                <w:color w:val="auto"/>
                <w:szCs w:val="21"/>
              </w:rPr>
              <w:t>环境保护措施</w:t>
            </w:r>
          </w:p>
        </w:tc>
        <w:tc>
          <w:tcPr>
            <w:tcW w:w="2044" w:type="dxa"/>
            <w:noWrap w:val="0"/>
            <w:vAlign w:val="center"/>
          </w:tcPr>
          <w:p w14:paraId="4F6318D8">
            <w:pPr>
              <w:adjustRightInd w:val="0"/>
              <w:snapToGrid w:val="0"/>
              <w:jc w:val="center"/>
              <w:rPr>
                <w:rFonts w:hint="eastAsia" w:ascii="宋体" w:hAnsi="宋体" w:cs="宋体"/>
                <w:color w:val="auto"/>
                <w:szCs w:val="21"/>
              </w:rPr>
            </w:pPr>
            <w:r>
              <w:rPr>
                <w:rFonts w:hint="eastAsia" w:ascii="宋体" w:hAnsi="宋体" w:cs="宋体"/>
                <w:color w:val="auto"/>
                <w:szCs w:val="21"/>
              </w:rPr>
              <w:t>执行标准</w:t>
            </w:r>
          </w:p>
        </w:tc>
      </w:tr>
      <w:tr w14:paraId="0C463C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13" w:type="dxa"/>
            <w:vMerge w:val="restart"/>
            <w:noWrap w:val="0"/>
            <w:vAlign w:val="center"/>
          </w:tcPr>
          <w:p w14:paraId="78B556BC">
            <w:pPr>
              <w:adjustRightInd w:val="0"/>
              <w:snapToGrid w:val="0"/>
              <w:jc w:val="center"/>
              <w:rPr>
                <w:rFonts w:hint="eastAsia" w:ascii="宋体" w:hAnsi="宋体" w:cs="宋体"/>
                <w:color w:val="auto"/>
                <w:szCs w:val="21"/>
              </w:rPr>
            </w:pPr>
            <w:r>
              <w:rPr>
                <w:rFonts w:hint="eastAsia" w:ascii="宋体" w:hAnsi="宋体" w:cs="宋体"/>
                <w:color w:val="auto"/>
                <w:szCs w:val="21"/>
              </w:rPr>
              <w:t>大气环境</w:t>
            </w:r>
          </w:p>
        </w:tc>
        <w:tc>
          <w:tcPr>
            <w:tcW w:w="1646" w:type="dxa"/>
            <w:noWrap w:val="0"/>
            <w:vAlign w:val="center"/>
          </w:tcPr>
          <w:p w14:paraId="1186634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DA00</w:t>
            </w:r>
            <w:r>
              <w:rPr>
                <w:rFonts w:hint="default" w:ascii="Times New Roman" w:hAnsi="Times New Roman" w:cs="Times New Roman"/>
                <w:color w:val="auto"/>
                <w:szCs w:val="21"/>
                <w:lang w:val="en-US" w:eastAsia="zh-CN"/>
              </w:rPr>
              <w:t>1</w:t>
            </w:r>
          </w:p>
        </w:tc>
        <w:tc>
          <w:tcPr>
            <w:tcW w:w="1300" w:type="dxa"/>
            <w:noWrap w:val="0"/>
            <w:vAlign w:val="center"/>
          </w:tcPr>
          <w:p w14:paraId="4024C54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颗粒物</w:t>
            </w:r>
          </w:p>
        </w:tc>
        <w:tc>
          <w:tcPr>
            <w:tcW w:w="2297" w:type="dxa"/>
            <w:noWrap w:val="0"/>
            <w:vAlign w:val="center"/>
          </w:tcPr>
          <w:p w14:paraId="1CF0F114">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 w:val="0"/>
                <w:bCs w:val="0"/>
                <w:color w:val="auto"/>
                <w:sz w:val="21"/>
                <w:szCs w:val="21"/>
                <w:vertAlign w:val="baseline"/>
                <w:lang w:eastAsia="zh-CN"/>
              </w:rPr>
              <w:t>脉冲式布袋除尘器</w:t>
            </w:r>
            <w:r>
              <w:rPr>
                <w:rFonts w:hint="default" w:ascii="Times New Roman" w:hAnsi="Times New Roman" w:cs="Times New Roman"/>
                <w:b w:val="0"/>
                <w:bCs w:val="0"/>
                <w:color w:val="auto"/>
                <w:sz w:val="21"/>
                <w:szCs w:val="21"/>
                <w:vertAlign w:val="baseline"/>
              </w:rPr>
              <w:t>+15m高排气筒</w:t>
            </w:r>
            <w:r>
              <w:rPr>
                <w:rFonts w:hint="default" w:ascii="Times New Roman" w:hAnsi="Times New Roman" w:cs="Times New Roman"/>
                <w:color w:val="auto"/>
                <w:szCs w:val="21"/>
              </w:rPr>
              <w:t>排放</w:t>
            </w:r>
          </w:p>
        </w:tc>
        <w:tc>
          <w:tcPr>
            <w:tcW w:w="2044" w:type="dxa"/>
            <w:noWrap w:val="0"/>
            <w:vAlign w:val="center"/>
          </w:tcPr>
          <w:p w14:paraId="0B5FE1E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《大气污染物综合排放标准》（GB16297-1996）表2二级标准</w:t>
            </w:r>
          </w:p>
        </w:tc>
      </w:tr>
      <w:tr w14:paraId="2087B7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13" w:type="dxa"/>
            <w:vMerge w:val="continue"/>
            <w:noWrap w:val="0"/>
            <w:vAlign w:val="center"/>
          </w:tcPr>
          <w:p w14:paraId="104CBD26">
            <w:pPr>
              <w:adjustRightInd w:val="0"/>
              <w:snapToGrid w:val="0"/>
              <w:jc w:val="center"/>
              <w:rPr>
                <w:rFonts w:hint="eastAsia" w:ascii="宋体" w:hAnsi="宋体" w:cs="宋体"/>
                <w:color w:val="auto"/>
                <w:szCs w:val="21"/>
              </w:rPr>
            </w:pPr>
          </w:p>
        </w:tc>
        <w:tc>
          <w:tcPr>
            <w:tcW w:w="1646" w:type="dxa"/>
            <w:noWrap w:val="0"/>
            <w:vAlign w:val="center"/>
          </w:tcPr>
          <w:p w14:paraId="5F442B3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DA002</w:t>
            </w:r>
          </w:p>
        </w:tc>
        <w:tc>
          <w:tcPr>
            <w:tcW w:w="1300" w:type="dxa"/>
            <w:noWrap w:val="0"/>
            <w:vAlign w:val="center"/>
          </w:tcPr>
          <w:p w14:paraId="2B1F66A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颗粒物</w:t>
            </w:r>
          </w:p>
        </w:tc>
        <w:tc>
          <w:tcPr>
            <w:tcW w:w="2297" w:type="dxa"/>
            <w:noWrap w:val="0"/>
            <w:vAlign w:val="center"/>
          </w:tcPr>
          <w:p w14:paraId="0D9615E8">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eastAsia="zh-CN"/>
              </w:rPr>
              <w:t>脉冲式布袋除尘器</w:t>
            </w:r>
            <w:r>
              <w:rPr>
                <w:rFonts w:hint="default" w:ascii="Times New Roman" w:hAnsi="Times New Roman" w:cs="Times New Roman"/>
                <w:b w:val="0"/>
                <w:bCs w:val="0"/>
                <w:color w:val="auto"/>
                <w:sz w:val="21"/>
                <w:szCs w:val="21"/>
                <w:vertAlign w:val="baseline"/>
              </w:rPr>
              <w:t>+15m高排气筒</w:t>
            </w:r>
            <w:r>
              <w:rPr>
                <w:rFonts w:hint="default" w:ascii="Times New Roman" w:hAnsi="Times New Roman" w:cs="Times New Roman"/>
                <w:color w:val="auto"/>
                <w:szCs w:val="21"/>
              </w:rPr>
              <w:t>排放</w:t>
            </w:r>
          </w:p>
        </w:tc>
        <w:tc>
          <w:tcPr>
            <w:tcW w:w="2044" w:type="dxa"/>
            <w:noWrap w:val="0"/>
            <w:vAlign w:val="center"/>
          </w:tcPr>
          <w:p w14:paraId="06CCEE0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《大气污染物综合排放标准》（GB16297-1996）表2二级标准</w:t>
            </w:r>
          </w:p>
        </w:tc>
      </w:tr>
      <w:tr w14:paraId="24AA1C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1513" w:type="dxa"/>
            <w:vMerge w:val="continue"/>
            <w:noWrap w:val="0"/>
            <w:vAlign w:val="center"/>
          </w:tcPr>
          <w:p w14:paraId="3C090912">
            <w:pPr>
              <w:keepNext w:val="0"/>
              <w:keepLines w:val="0"/>
              <w:suppressLineNumbers w:val="0"/>
              <w:spacing w:before="0" w:beforeAutospacing="0" w:after="0" w:afterAutospacing="0"/>
              <w:ind w:left="0" w:leftChars="0" w:right="0" w:rightChars="0"/>
              <w:jc w:val="center"/>
            </w:pPr>
          </w:p>
        </w:tc>
        <w:tc>
          <w:tcPr>
            <w:tcW w:w="1646" w:type="dxa"/>
            <w:shd w:val="clear" w:color="auto" w:fill="auto"/>
            <w:noWrap w:val="0"/>
            <w:vAlign w:val="center"/>
          </w:tcPr>
          <w:p w14:paraId="2C2C67A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DA00</w:t>
            </w:r>
            <w:r>
              <w:rPr>
                <w:rFonts w:hint="eastAsia" w:cs="Times New Roman"/>
                <w:color w:val="auto"/>
                <w:szCs w:val="21"/>
                <w:lang w:val="en-US" w:eastAsia="zh-CN"/>
              </w:rPr>
              <w:t>3</w:t>
            </w:r>
          </w:p>
        </w:tc>
        <w:tc>
          <w:tcPr>
            <w:tcW w:w="1300" w:type="dxa"/>
            <w:noWrap w:val="0"/>
            <w:vAlign w:val="center"/>
          </w:tcPr>
          <w:p w14:paraId="28D8ED4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颗粒物</w:t>
            </w:r>
          </w:p>
        </w:tc>
        <w:tc>
          <w:tcPr>
            <w:tcW w:w="2297" w:type="dxa"/>
            <w:noWrap w:val="0"/>
            <w:vAlign w:val="center"/>
          </w:tcPr>
          <w:p w14:paraId="426ACE02">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cs="Times New Roman"/>
                <w:color w:val="auto"/>
                <w:szCs w:val="21"/>
                <w:lang w:val="en-US" w:eastAsia="zh-CN"/>
              </w:rPr>
            </w:pPr>
            <w:r>
              <w:rPr>
                <w:rFonts w:hint="default" w:ascii="Times New Roman" w:hAnsi="Times New Roman" w:cs="Times New Roman"/>
                <w:b w:val="0"/>
                <w:bCs w:val="0"/>
                <w:color w:val="auto"/>
                <w:sz w:val="21"/>
                <w:szCs w:val="21"/>
                <w:vertAlign w:val="baseline"/>
                <w:lang w:eastAsia="zh-CN"/>
              </w:rPr>
              <w:t>脉冲式布袋除尘器</w:t>
            </w:r>
            <w:r>
              <w:rPr>
                <w:rFonts w:hint="default" w:ascii="Times New Roman" w:hAnsi="Times New Roman" w:cs="Times New Roman"/>
                <w:b w:val="0"/>
                <w:bCs w:val="0"/>
                <w:color w:val="auto"/>
                <w:sz w:val="21"/>
                <w:szCs w:val="21"/>
                <w:vertAlign w:val="baseline"/>
              </w:rPr>
              <w:t>+1</w:t>
            </w:r>
            <w:r>
              <w:rPr>
                <w:rFonts w:hint="eastAsia" w:cs="Times New Roman"/>
                <w:b w:val="0"/>
                <w:bCs w:val="0"/>
                <w:color w:val="auto"/>
                <w:sz w:val="21"/>
                <w:szCs w:val="21"/>
                <w:vertAlign w:val="baseline"/>
                <w:lang w:val="en-US" w:eastAsia="zh-CN"/>
              </w:rPr>
              <w:t>7</w:t>
            </w:r>
            <w:r>
              <w:rPr>
                <w:rFonts w:hint="default" w:ascii="Times New Roman" w:hAnsi="Times New Roman" w:cs="Times New Roman"/>
                <w:b w:val="0"/>
                <w:bCs w:val="0"/>
                <w:color w:val="auto"/>
                <w:sz w:val="21"/>
                <w:szCs w:val="21"/>
                <w:vertAlign w:val="baseline"/>
              </w:rPr>
              <w:t>m高排气筒</w:t>
            </w:r>
            <w:r>
              <w:rPr>
                <w:rFonts w:hint="default" w:ascii="Times New Roman" w:hAnsi="Times New Roman" w:cs="Times New Roman"/>
                <w:color w:val="auto"/>
                <w:szCs w:val="21"/>
              </w:rPr>
              <w:t>排放</w:t>
            </w:r>
          </w:p>
        </w:tc>
        <w:tc>
          <w:tcPr>
            <w:tcW w:w="2044" w:type="dxa"/>
            <w:noWrap w:val="0"/>
            <w:vAlign w:val="center"/>
          </w:tcPr>
          <w:p w14:paraId="1A29D87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kern w:val="2"/>
                <w:sz w:val="21"/>
                <w:szCs w:val="21"/>
                <w:lang w:val="en-US" w:eastAsia="zh-CN" w:bidi="ar-SA"/>
              </w:rPr>
              <w:t>《大气污染物综合排放标准》（GB16297-1996）表2二级标准</w:t>
            </w:r>
          </w:p>
        </w:tc>
      </w:tr>
      <w:tr w14:paraId="4E1BE1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1513" w:type="dxa"/>
            <w:vMerge w:val="continue"/>
            <w:noWrap w:val="0"/>
            <w:vAlign w:val="center"/>
          </w:tcPr>
          <w:p w14:paraId="35DD32D4">
            <w:pPr>
              <w:keepNext w:val="0"/>
              <w:keepLines w:val="0"/>
              <w:suppressLineNumbers w:val="0"/>
              <w:spacing w:before="0" w:beforeAutospacing="0" w:after="0" w:afterAutospacing="0"/>
              <w:ind w:left="0" w:leftChars="0" w:right="0" w:rightChars="0"/>
              <w:jc w:val="center"/>
            </w:pPr>
          </w:p>
        </w:tc>
        <w:tc>
          <w:tcPr>
            <w:tcW w:w="1646" w:type="dxa"/>
            <w:noWrap w:val="0"/>
            <w:vAlign w:val="center"/>
          </w:tcPr>
          <w:p w14:paraId="46418EE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DA00</w:t>
            </w:r>
            <w:r>
              <w:rPr>
                <w:rFonts w:hint="eastAsia" w:cs="Times New Roman"/>
                <w:color w:val="auto"/>
                <w:szCs w:val="21"/>
                <w:lang w:val="en-US" w:eastAsia="zh-CN"/>
              </w:rPr>
              <w:t>4</w:t>
            </w:r>
          </w:p>
        </w:tc>
        <w:tc>
          <w:tcPr>
            <w:tcW w:w="1300" w:type="dxa"/>
            <w:noWrap w:val="0"/>
            <w:vAlign w:val="center"/>
          </w:tcPr>
          <w:p w14:paraId="167F6EB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颗粒物、非甲烷总烃、苯乙烯、臭气浓度</w:t>
            </w:r>
          </w:p>
        </w:tc>
        <w:tc>
          <w:tcPr>
            <w:tcW w:w="2297" w:type="dxa"/>
            <w:noWrap w:val="0"/>
            <w:vAlign w:val="center"/>
          </w:tcPr>
          <w:p w14:paraId="782A524C">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cs="Times New Roman"/>
                <w:color w:val="auto"/>
                <w:szCs w:val="21"/>
                <w:lang w:val="en-US" w:eastAsia="zh-CN"/>
              </w:rPr>
            </w:pPr>
            <w:r>
              <w:rPr>
                <w:rFonts w:hint="default" w:ascii="Times New Roman" w:hAnsi="Times New Roman" w:cs="Times New Roman"/>
                <w:b w:val="0"/>
                <w:bCs w:val="0"/>
                <w:color w:val="auto"/>
                <w:sz w:val="21"/>
                <w:szCs w:val="21"/>
                <w:vertAlign w:val="baseline"/>
                <w:lang w:val="en-US" w:eastAsia="zh-CN"/>
              </w:rPr>
              <w:t>设备自带除尘器+活性炭吸附措施</w:t>
            </w:r>
            <w:r>
              <w:rPr>
                <w:rFonts w:hint="default" w:ascii="Times New Roman" w:hAnsi="Times New Roman" w:cs="Times New Roman"/>
                <w:b w:val="0"/>
                <w:bCs w:val="0"/>
                <w:color w:val="auto"/>
                <w:sz w:val="21"/>
                <w:szCs w:val="21"/>
                <w:vertAlign w:val="baseline"/>
              </w:rPr>
              <w:t>+15m高排气筒</w:t>
            </w:r>
            <w:r>
              <w:rPr>
                <w:rFonts w:hint="default" w:ascii="Times New Roman" w:hAnsi="Times New Roman" w:cs="Times New Roman"/>
                <w:color w:val="auto"/>
                <w:szCs w:val="21"/>
              </w:rPr>
              <w:t>排放</w:t>
            </w:r>
          </w:p>
        </w:tc>
        <w:tc>
          <w:tcPr>
            <w:tcW w:w="2044" w:type="dxa"/>
            <w:noWrap w:val="0"/>
            <w:vAlign w:val="center"/>
          </w:tcPr>
          <w:p w14:paraId="7936CD5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kern w:val="2"/>
                <w:sz w:val="21"/>
                <w:szCs w:val="21"/>
                <w:lang w:val="en-US" w:eastAsia="zh-CN" w:bidi="ar-SA"/>
              </w:rPr>
              <w:t>《大气污染物综合排放标准》（GB16297-1996）表2二级标准；《恶臭污染物排放标准》（GB14554-93）表2</w:t>
            </w:r>
          </w:p>
        </w:tc>
      </w:tr>
      <w:tr w14:paraId="5123AD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1513" w:type="dxa"/>
            <w:vMerge w:val="continue"/>
            <w:noWrap w:val="0"/>
            <w:vAlign w:val="center"/>
          </w:tcPr>
          <w:p w14:paraId="5AE3E809">
            <w:pPr>
              <w:keepNext w:val="0"/>
              <w:keepLines w:val="0"/>
              <w:suppressLineNumbers w:val="0"/>
              <w:spacing w:before="0" w:beforeAutospacing="0" w:after="0" w:afterAutospacing="0"/>
              <w:ind w:left="0" w:leftChars="0" w:right="0" w:rightChars="0"/>
              <w:jc w:val="center"/>
              <w:rPr>
                <w:rFonts w:hint="eastAsia" w:cs="Times New Roman"/>
                <w:color w:val="auto"/>
                <w:szCs w:val="21"/>
                <w:lang w:val="en-US" w:eastAsia="zh-CN"/>
              </w:rPr>
            </w:pPr>
          </w:p>
        </w:tc>
        <w:tc>
          <w:tcPr>
            <w:tcW w:w="1646" w:type="dxa"/>
            <w:noWrap w:val="0"/>
            <w:vAlign w:val="center"/>
          </w:tcPr>
          <w:p w14:paraId="7FF0F55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原料储存罐逸散粉尘</w:t>
            </w:r>
          </w:p>
        </w:tc>
        <w:tc>
          <w:tcPr>
            <w:tcW w:w="1300" w:type="dxa"/>
            <w:noWrap w:val="0"/>
            <w:vAlign w:val="center"/>
          </w:tcPr>
          <w:p w14:paraId="489E81C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颗粒物</w:t>
            </w:r>
          </w:p>
        </w:tc>
        <w:tc>
          <w:tcPr>
            <w:tcW w:w="2297" w:type="dxa"/>
            <w:noWrap w:val="0"/>
            <w:vAlign w:val="center"/>
          </w:tcPr>
          <w:p w14:paraId="268AE38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lang w:val="en-US" w:eastAsia="zh-CN"/>
              </w:rPr>
            </w:pPr>
            <w:r>
              <w:rPr>
                <w:rFonts w:hint="default" w:ascii="Times New Roman" w:hAnsi="Times New Roman" w:cs="Times New Roman"/>
                <w:b w:val="0"/>
                <w:bCs w:val="0"/>
                <w:color w:val="auto"/>
                <w:sz w:val="21"/>
                <w:szCs w:val="21"/>
                <w:vertAlign w:val="baseline"/>
                <w:lang w:eastAsia="zh-CN"/>
              </w:rPr>
              <w:t>脉冲式布袋除尘器</w:t>
            </w:r>
          </w:p>
        </w:tc>
        <w:tc>
          <w:tcPr>
            <w:tcW w:w="2044" w:type="dxa"/>
            <w:vMerge w:val="restart"/>
            <w:noWrap w:val="0"/>
            <w:vAlign w:val="center"/>
          </w:tcPr>
          <w:p w14:paraId="1A50405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kern w:val="2"/>
                <w:sz w:val="21"/>
                <w:szCs w:val="21"/>
                <w:lang w:val="en-US" w:eastAsia="zh-CN" w:bidi="ar-SA"/>
              </w:rPr>
              <w:t>《大气污染物综合排放标准》（GB16297-1996）表2二级标准</w:t>
            </w:r>
          </w:p>
        </w:tc>
      </w:tr>
      <w:tr w14:paraId="4996C3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13" w:type="dxa"/>
            <w:vMerge w:val="continue"/>
            <w:noWrap w:val="0"/>
            <w:vAlign w:val="center"/>
          </w:tcPr>
          <w:p w14:paraId="62801E10">
            <w:pPr>
              <w:adjustRightInd w:val="0"/>
              <w:snapToGrid w:val="0"/>
              <w:jc w:val="center"/>
              <w:rPr>
                <w:rFonts w:hint="eastAsia" w:ascii="宋体" w:hAnsi="宋体" w:cs="宋体"/>
                <w:color w:val="auto"/>
                <w:szCs w:val="21"/>
              </w:rPr>
            </w:pPr>
          </w:p>
        </w:tc>
        <w:tc>
          <w:tcPr>
            <w:tcW w:w="1646" w:type="dxa"/>
            <w:noWrap w:val="0"/>
            <w:vAlign w:val="center"/>
          </w:tcPr>
          <w:p w14:paraId="227F4B7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堆场粉尘</w:t>
            </w:r>
          </w:p>
        </w:tc>
        <w:tc>
          <w:tcPr>
            <w:tcW w:w="1300" w:type="dxa"/>
            <w:noWrap w:val="0"/>
            <w:vAlign w:val="center"/>
          </w:tcPr>
          <w:p w14:paraId="34D044C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颗粒物</w:t>
            </w:r>
          </w:p>
        </w:tc>
        <w:tc>
          <w:tcPr>
            <w:tcW w:w="2297" w:type="dxa"/>
            <w:noWrap w:val="0"/>
            <w:vAlign w:val="center"/>
          </w:tcPr>
          <w:p w14:paraId="37AF248F">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防风抑尘网+防尘网覆盖</w:t>
            </w:r>
          </w:p>
        </w:tc>
        <w:tc>
          <w:tcPr>
            <w:tcW w:w="2044" w:type="dxa"/>
            <w:vMerge w:val="continue"/>
            <w:noWrap w:val="0"/>
            <w:vAlign w:val="center"/>
          </w:tcPr>
          <w:p w14:paraId="3A37527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rPr>
            </w:pPr>
          </w:p>
        </w:tc>
      </w:tr>
      <w:tr w14:paraId="25B3FC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13" w:type="dxa"/>
            <w:vMerge w:val="continue"/>
            <w:noWrap w:val="0"/>
            <w:vAlign w:val="center"/>
          </w:tcPr>
          <w:p w14:paraId="451F1EC2">
            <w:pPr>
              <w:adjustRightInd w:val="0"/>
              <w:snapToGrid w:val="0"/>
              <w:jc w:val="center"/>
              <w:rPr>
                <w:rFonts w:hint="eastAsia" w:ascii="宋体" w:hAnsi="宋体" w:cs="宋体"/>
                <w:color w:val="auto"/>
                <w:szCs w:val="21"/>
              </w:rPr>
            </w:pPr>
          </w:p>
        </w:tc>
        <w:tc>
          <w:tcPr>
            <w:tcW w:w="1646" w:type="dxa"/>
            <w:noWrap w:val="0"/>
            <w:vAlign w:val="center"/>
          </w:tcPr>
          <w:p w14:paraId="1C61775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无组织废气</w:t>
            </w:r>
          </w:p>
        </w:tc>
        <w:tc>
          <w:tcPr>
            <w:tcW w:w="1300" w:type="dxa"/>
            <w:noWrap w:val="0"/>
            <w:vAlign w:val="center"/>
          </w:tcPr>
          <w:p w14:paraId="6968517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颗粒物</w:t>
            </w:r>
            <w:r>
              <w:rPr>
                <w:rFonts w:hint="default" w:ascii="Times New Roman" w:hAnsi="Times New Roman" w:cs="Times New Roman"/>
                <w:color w:val="auto"/>
                <w:szCs w:val="21"/>
                <w:lang w:eastAsia="zh-CN"/>
              </w:rPr>
              <w:t>、非甲烷总烃</w:t>
            </w:r>
          </w:p>
        </w:tc>
        <w:tc>
          <w:tcPr>
            <w:tcW w:w="2297" w:type="dxa"/>
            <w:noWrap w:val="0"/>
            <w:vAlign w:val="center"/>
          </w:tcPr>
          <w:p w14:paraId="2ED16107">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b w:val="0"/>
                <w:bCs w:val="0"/>
                <w:color w:val="auto"/>
                <w:sz w:val="21"/>
                <w:szCs w:val="21"/>
                <w:vertAlign w:val="baseline"/>
              </w:rPr>
              <w:t>提高废气有组织收集率，洒水抑尘，增加厂区绿化等</w:t>
            </w:r>
          </w:p>
        </w:tc>
        <w:tc>
          <w:tcPr>
            <w:tcW w:w="2044" w:type="dxa"/>
            <w:vMerge w:val="continue"/>
            <w:noWrap w:val="0"/>
            <w:vAlign w:val="center"/>
          </w:tcPr>
          <w:p w14:paraId="659D5F4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rPr>
            </w:pPr>
          </w:p>
        </w:tc>
      </w:tr>
      <w:tr w14:paraId="0993BB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513" w:type="dxa"/>
            <w:vMerge w:val="restart"/>
            <w:noWrap w:val="0"/>
            <w:vAlign w:val="center"/>
          </w:tcPr>
          <w:p w14:paraId="48C1F7A0">
            <w:pPr>
              <w:adjustRightInd w:val="0"/>
              <w:snapToGrid w:val="0"/>
              <w:jc w:val="center"/>
              <w:rPr>
                <w:rFonts w:hint="eastAsia" w:ascii="宋体" w:hAnsi="宋体" w:cs="宋体"/>
                <w:color w:val="auto"/>
                <w:szCs w:val="21"/>
              </w:rPr>
            </w:pPr>
            <w:r>
              <w:rPr>
                <w:rFonts w:hint="eastAsia" w:ascii="宋体" w:hAnsi="宋体" w:cs="宋体"/>
                <w:color w:val="auto"/>
                <w:szCs w:val="21"/>
              </w:rPr>
              <w:t>水环境</w:t>
            </w:r>
          </w:p>
        </w:tc>
        <w:tc>
          <w:tcPr>
            <w:tcW w:w="1646" w:type="dxa"/>
            <w:noWrap w:val="0"/>
            <w:vAlign w:val="center"/>
          </w:tcPr>
          <w:p w14:paraId="068F236F">
            <w:pPr>
              <w:keepNext w:val="0"/>
              <w:keepLines w:val="0"/>
              <w:suppressLineNumbers w:val="0"/>
              <w:spacing w:before="0" w:beforeAutospacing="0" w:after="0" w:afterAutospacing="0"/>
              <w:ind w:left="8" w:leftChars="-3" w:right="0" w:rightChars="0" w:hanging="14" w:hangingChars="7"/>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生产废水</w:t>
            </w:r>
          </w:p>
        </w:tc>
        <w:tc>
          <w:tcPr>
            <w:tcW w:w="1300" w:type="dxa"/>
            <w:noWrap w:val="0"/>
            <w:vAlign w:val="center"/>
          </w:tcPr>
          <w:p w14:paraId="0FD2B5F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0000FF"/>
                <w:szCs w:val="21"/>
                <w:lang w:eastAsia="zh-CN"/>
              </w:rPr>
              <w:t>生产废水</w:t>
            </w:r>
          </w:p>
        </w:tc>
        <w:tc>
          <w:tcPr>
            <w:tcW w:w="2297" w:type="dxa"/>
            <w:noWrap w:val="0"/>
            <w:vAlign w:val="center"/>
          </w:tcPr>
          <w:p w14:paraId="1C6AA169">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四级</w:t>
            </w:r>
            <w:r>
              <w:rPr>
                <w:rFonts w:hint="eastAsia" w:ascii="Times New Roman" w:hAnsi="Times New Roman" w:cs="Times New Roman"/>
                <w:color w:val="auto"/>
                <w:szCs w:val="21"/>
                <w:lang w:val="en-US" w:eastAsia="zh-CN"/>
              </w:rPr>
              <w:t>沉淀处理后循环利用</w:t>
            </w:r>
          </w:p>
        </w:tc>
        <w:tc>
          <w:tcPr>
            <w:tcW w:w="2044" w:type="dxa"/>
            <w:noWrap w:val="0"/>
            <w:vAlign w:val="center"/>
          </w:tcPr>
          <w:p w14:paraId="4248380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r>
      <w:tr w14:paraId="77A79F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513" w:type="dxa"/>
            <w:vMerge w:val="continue"/>
            <w:noWrap w:val="0"/>
            <w:vAlign w:val="center"/>
          </w:tcPr>
          <w:p w14:paraId="2D215FE1">
            <w:pPr>
              <w:keepNext w:val="0"/>
              <w:keepLines w:val="0"/>
              <w:suppressLineNumbers w:val="0"/>
              <w:adjustRightInd w:val="0"/>
              <w:snapToGrid w:val="0"/>
              <w:spacing w:before="0" w:beforeAutospacing="0" w:after="0" w:afterAutospacing="0"/>
              <w:ind w:left="0" w:leftChars="0" w:right="0" w:rightChars="0"/>
              <w:jc w:val="center"/>
            </w:pPr>
          </w:p>
        </w:tc>
        <w:tc>
          <w:tcPr>
            <w:tcW w:w="1646" w:type="dxa"/>
            <w:noWrap w:val="0"/>
            <w:vAlign w:val="center"/>
          </w:tcPr>
          <w:p w14:paraId="0CCF4B5A">
            <w:pPr>
              <w:keepNext w:val="0"/>
              <w:keepLines w:val="0"/>
              <w:suppressLineNumbers w:val="0"/>
              <w:spacing w:before="0" w:beforeAutospacing="0" w:after="0" w:afterAutospacing="0"/>
              <w:ind w:left="8" w:leftChars="-3" w:right="0" w:rightChars="0" w:hanging="14" w:hangingChars="7"/>
              <w:jc w:val="center"/>
              <w:rPr>
                <w:rFonts w:hint="default" w:ascii="Times New Roman" w:hAnsi="Times New Roman" w:cs="Times New Roman"/>
                <w:color w:val="auto"/>
                <w:szCs w:val="21"/>
              </w:rPr>
            </w:pPr>
            <w:r>
              <w:rPr>
                <w:rFonts w:hint="default" w:ascii="Times New Roman" w:hAnsi="Times New Roman" w:cs="Times New Roman"/>
                <w:color w:val="auto"/>
                <w:szCs w:val="21"/>
              </w:rPr>
              <w:t>职工生活</w:t>
            </w:r>
          </w:p>
        </w:tc>
        <w:tc>
          <w:tcPr>
            <w:tcW w:w="1300" w:type="dxa"/>
            <w:noWrap w:val="0"/>
            <w:vAlign w:val="center"/>
          </w:tcPr>
          <w:p w14:paraId="292CB97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生活污水</w:t>
            </w:r>
          </w:p>
        </w:tc>
        <w:tc>
          <w:tcPr>
            <w:tcW w:w="2297" w:type="dxa"/>
            <w:noWrap w:val="0"/>
            <w:vAlign w:val="center"/>
          </w:tcPr>
          <w:p w14:paraId="416A0678">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排入项目区化粪池，定期清运至和硕县污水处理厂</w:t>
            </w:r>
          </w:p>
        </w:tc>
        <w:tc>
          <w:tcPr>
            <w:tcW w:w="2044" w:type="dxa"/>
            <w:noWrap w:val="0"/>
            <w:vAlign w:val="center"/>
          </w:tcPr>
          <w:p w14:paraId="6BEC069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《污水综合排放标准》（GB8978-1996）中三级标准</w:t>
            </w:r>
          </w:p>
        </w:tc>
      </w:tr>
      <w:tr w14:paraId="21EF6F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13" w:type="dxa"/>
            <w:noWrap w:val="0"/>
            <w:vAlign w:val="center"/>
          </w:tcPr>
          <w:p w14:paraId="00E88935">
            <w:pPr>
              <w:adjustRightInd w:val="0"/>
              <w:snapToGrid w:val="0"/>
              <w:jc w:val="center"/>
              <w:rPr>
                <w:rFonts w:hint="eastAsia" w:ascii="宋体" w:hAnsi="宋体" w:cs="宋体"/>
                <w:color w:val="auto"/>
                <w:szCs w:val="21"/>
              </w:rPr>
            </w:pPr>
            <w:r>
              <w:rPr>
                <w:rFonts w:hint="eastAsia" w:ascii="宋体" w:hAnsi="宋体" w:cs="宋体"/>
                <w:color w:val="auto"/>
                <w:szCs w:val="21"/>
              </w:rPr>
              <w:t>声环境</w:t>
            </w:r>
          </w:p>
        </w:tc>
        <w:tc>
          <w:tcPr>
            <w:tcW w:w="1646" w:type="dxa"/>
            <w:noWrap w:val="0"/>
            <w:vAlign w:val="center"/>
          </w:tcPr>
          <w:p w14:paraId="3B13ADF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设备噪声</w:t>
            </w:r>
          </w:p>
        </w:tc>
        <w:tc>
          <w:tcPr>
            <w:tcW w:w="1300" w:type="dxa"/>
            <w:noWrap w:val="0"/>
            <w:vAlign w:val="center"/>
          </w:tcPr>
          <w:p w14:paraId="32301AC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等效连续A声级</w:t>
            </w:r>
          </w:p>
        </w:tc>
        <w:tc>
          <w:tcPr>
            <w:tcW w:w="2297" w:type="dxa"/>
            <w:noWrap w:val="0"/>
            <w:vAlign w:val="center"/>
          </w:tcPr>
          <w:p w14:paraId="6E0E0AB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选择低噪声设备、</w:t>
            </w:r>
            <w:r>
              <w:rPr>
                <w:rFonts w:hint="default" w:ascii="Times New Roman" w:hAnsi="Times New Roman" w:cs="Times New Roman"/>
                <w:color w:val="auto"/>
                <w:szCs w:val="21"/>
              </w:rPr>
              <w:t>基础减振、厂房隔声和距离衰减</w:t>
            </w:r>
          </w:p>
        </w:tc>
        <w:tc>
          <w:tcPr>
            <w:tcW w:w="2044" w:type="dxa"/>
            <w:noWrap w:val="0"/>
            <w:vAlign w:val="center"/>
          </w:tcPr>
          <w:p w14:paraId="6236B74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《工业企业厂界环境噪声排放标准》（GB12348-2008）中的</w:t>
            </w:r>
            <w:r>
              <w:rPr>
                <w:rFonts w:hint="default" w:ascii="Times New Roman" w:hAnsi="Times New Roman" w:cs="Times New Roman"/>
                <w:color w:val="auto"/>
                <w:szCs w:val="21"/>
                <w:lang w:val="en-US" w:eastAsia="zh-CN"/>
              </w:rPr>
              <w:t>3</w:t>
            </w:r>
            <w:r>
              <w:rPr>
                <w:rFonts w:hint="default" w:ascii="Times New Roman" w:hAnsi="Times New Roman" w:cs="Times New Roman"/>
                <w:color w:val="auto"/>
                <w:szCs w:val="21"/>
              </w:rPr>
              <w:t>类标准值</w:t>
            </w:r>
          </w:p>
        </w:tc>
      </w:tr>
      <w:tr w14:paraId="3B7CBF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noWrap w:val="0"/>
            <w:vAlign w:val="center"/>
          </w:tcPr>
          <w:p w14:paraId="1E7B54C3">
            <w:pPr>
              <w:adjustRightInd w:val="0"/>
              <w:snapToGrid w:val="0"/>
              <w:jc w:val="center"/>
              <w:rPr>
                <w:rFonts w:hint="eastAsia" w:ascii="宋体" w:hAnsi="宋体" w:cs="宋体"/>
                <w:color w:val="auto"/>
                <w:szCs w:val="21"/>
              </w:rPr>
            </w:pPr>
            <w:r>
              <w:rPr>
                <w:rFonts w:hint="eastAsia" w:ascii="宋体" w:hAnsi="宋体" w:cs="宋体"/>
                <w:color w:val="auto"/>
                <w:szCs w:val="21"/>
              </w:rPr>
              <w:t>电磁辐射</w:t>
            </w:r>
          </w:p>
        </w:tc>
        <w:tc>
          <w:tcPr>
            <w:tcW w:w="7287" w:type="dxa"/>
            <w:gridSpan w:val="4"/>
            <w:noWrap w:val="0"/>
            <w:vAlign w:val="center"/>
          </w:tcPr>
          <w:p w14:paraId="1E37D3C3">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r>
      <w:tr w14:paraId="5BA250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513" w:type="dxa"/>
            <w:vMerge w:val="restart"/>
            <w:noWrap w:val="0"/>
            <w:vAlign w:val="center"/>
          </w:tcPr>
          <w:p w14:paraId="4B54C4B7">
            <w:pPr>
              <w:adjustRightInd w:val="0"/>
              <w:snapToGrid w:val="0"/>
              <w:jc w:val="center"/>
              <w:rPr>
                <w:rFonts w:hint="eastAsia" w:ascii="宋体" w:hAnsi="宋体" w:cs="宋体"/>
                <w:color w:val="auto"/>
                <w:szCs w:val="21"/>
              </w:rPr>
            </w:pPr>
            <w:r>
              <w:rPr>
                <w:rFonts w:hint="eastAsia" w:ascii="宋体" w:hAnsi="宋体" w:cs="宋体"/>
                <w:color w:val="auto"/>
                <w:szCs w:val="21"/>
              </w:rPr>
              <w:t>固体废物</w:t>
            </w:r>
          </w:p>
        </w:tc>
        <w:tc>
          <w:tcPr>
            <w:tcW w:w="1646" w:type="dxa"/>
            <w:noWrap w:val="0"/>
            <w:vAlign w:val="center"/>
          </w:tcPr>
          <w:p w14:paraId="790949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除尘器收集粉尘</w:t>
            </w:r>
          </w:p>
        </w:tc>
        <w:tc>
          <w:tcPr>
            <w:tcW w:w="1300" w:type="dxa"/>
            <w:noWrap w:val="0"/>
            <w:vAlign w:val="center"/>
          </w:tcPr>
          <w:p w14:paraId="561FB1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粉尘</w:t>
            </w:r>
          </w:p>
        </w:tc>
        <w:tc>
          <w:tcPr>
            <w:tcW w:w="4341" w:type="dxa"/>
            <w:gridSpan w:val="2"/>
            <w:noWrap w:val="0"/>
            <w:vAlign w:val="center"/>
          </w:tcPr>
          <w:p w14:paraId="5A51F7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不在厂内储存</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作为原料回用于生产</w:t>
            </w:r>
          </w:p>
        </w:tc>
      </w:tr>
      <w:tr w14:paraId="3F914D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513" w:type="dxa"/>
            <w:vMerge w:val="continue"/>
            <w:noWrap w:val="0"/>
            <w:vAlign w:val="center"/>
          </w:tcPr>
          <w:p w14:paraId="3AC02D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pPr>
          </w:p>
        </w:tc>
        <w:tc>
          <w:tcPr>
            <w:tcW w:w="1646" w:type="dxa"/>
            <w:noWrap w:val="0"/>
            <w:vAlign w:val="center"/>
          </w:tcPr>
          <w:p w14:paraId="774BDF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底泥</w:t>
            </w:r>
          </w:p>
        </w:tc>
        <w:tc>
          <w:tcPr>
            <w:tcW w:w="1300" w:type="dxa"/>
            <w:noWrap w:val="0"/>
            <w:vAlign w:val="center"/>
          </w:tcPr>
          <w:p w14:paraId="10848E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cs="Times New Roman"/>
                <w:color w:val="auto"/>
                <w:szCs w:val="21"/>
              </w:rPr>
            </w:pPr>
            <w:r>
              <w:rPr>
                <w:rFonts w:hint="eastAsia" w:cs="Times New Roman"/>
                <w:color w:val="auto"/>
                <w:szCs w:val="21"/>
                <w:lang w:eastAsia="zh-CN"/>
              </w:rPr>
              <w:t>污泥</w:t>
            </w:r>
          </w:p>
        </w:tc>
        <w:tc>
          <w:tcPr>
            <w:tcW w:w="4341" w:type="dxa"/>
            <w:gridSpan w:val="2"/>
            <w:noWrap w:val="0"/>
            <w:vAlign w:val="center"/>
          </w:tcPr>
          <w:p w14:paraId="243D74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四级沉淀池定期清理产生的底泥，暂存于一般固废间，定期委托有资质单位进行处理</w:t>
            </w:r>
          </w:p>
        </w:tc>
      </w:tr>
      <w:tr w14:paraId="05FCED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513" w:type="dxa"/>
            <w:vMerge w:val="continue"/>
            <w:noWrap w:val="0"/>
            <w:vAlign w:val="center"/>
          </w:tcPr>
          <w:p w14:paraId="14AB00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cs="Times New Roman"/>
                <w:color w:val="auto"/>
                <w:szCs w:val="21"/>
              </w:rPr>
            </w:pPr>
          </w:p>
        </w:tc>
        <w:tc>
          <w:tcPr>
            <w:tcW w:w="1646" w:type="dxa"/>
            <w:noWrap w:val="0"/>
            <w:vAlign w:val="center"/>
          </w:tcPr>
          <w:p w14:paraId="3C78B1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脱膜产生的废塑料薄膜</w:t>
            </w:r>
          </w:p>
        </w:tc>
        <w:tc>
          <w:tcPr>
            <w:tcW w:w="1300" w:type="dxa"/>
            <w:noWrap w:val="0"/>
            <w:vAlign w:val="center"/>
          </w:tcPr>
          <w:p w14:paraId="04F0E0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废塑料薄膜</w:t>
            </w:r>
          </w:p>
        </w:tc>
        <w:tc>
          <w:tcPr>
            <w:tcW w:w="4341" w:type="dxa"/>
            <w:gridSpan w:val="2"/>
            <w:noWrap w:val="0"/>
            <w:vAlign w:val="center"/>
          </w:tcPr>
          <w:p w14:paraId="56A100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脱膜产生的废塑料薄膜，暂存于一般固废间，定期委托有资质单位进行处理</w:t>
            </w:r>
          </w:p>
        </w:tc>
      </w:tr>
      <w:tr w14:paraId="153250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513" w:type="dxa"/>
            <w:vMerge w:val="continue"/>
            <w:noWrap w:val="0"/>
            <w:vAlign w:val="center"/>
          </w:tcPr>
          <w:p w14:paraId="59CC67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pPr>
          </w:p>
        </w:tc>
        <w:tc>
          <w:tcPr>
            <w:tcW w:w="1646" w:type="dxa"/>
            <w:noWrap w:val="0"/>
            <w:vAlign w:val="center"/>
          </w:tcPr>
          <w:p w14:paraId="1103A8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color w:val="auto"/>
                <w:szCs w:val="21"/>
                <w:lang w:eastAsia="zh-CN"/>
              </w:rPr>
            </w:pPr>
            <w:r>
              <w:rPr>
                <w:rFonts w:hint="eastAsia" w:cs="Times New Roman"/>
                <w:color w:val="auto"/>
                <w:szCs w:val="21"/>
                <w:lang w:eastAsia="zh-CN"/>
              </w:rPr>
              <w:t>吸附有机废气产生的</w:t>
            </w:r>
            <w:r>
              <w:rPr>
                <w:rFonts w:hint="eastAsia"/>
                <w:color w:val="auto"/>
                <w:szCs w:val="21"/>
                <w:lang w:val="en-US" w:eastAsia="zh-CN"/>
              </w:rPr>
              <w:t>废活性炭</w:t>
            </w:r>
          </w:p>
        </w:tc>
        <w:tc>
          <w:tcPr>
            <w:tcW w:w="1300" w:type="dxa"/>
            <w:noWrap w:val="0"/>
            <w:vAlign w:val="center"/>
          </w:tcPr>
          <w:p w14:paraId="1B839A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cs="Times New Roman"/>
                <w:color w:val="auto"/>
                <w:szCs w:val="21"/>
              </w:rPr>
            </w:pPr>
            <w:r>
              <w:rPr>
                <w:rFonts w:hint="eastAsia"/>
                <w:color w:val="auto"/>
                <w:szCs w:val="21"/>
                <w:lang w:val="en-US" w:eastAsia="zh-CN"/>
              </w:rPr>
              <w:t>废活性炭</w:t>
            </w:r>
          </w:p>
        </w:tc>
        <w:tc>
          <w:tcPr>
            <w:tcW w:w="4341" w:type="dxa"/>
            <w:gridSpan w:val="2"/>
            <w:noWrap w:val="0"/>
            <w:vAlign w:val="center"/>
          </w:tcPr>
          <w:p w14:paraId="6ED6F4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cs="Times New Roman"/>
                <w:color w:val="auto"/>
                <w:szCs w:val="21"/>
              </w:rPr>
            </w:pPr>
            <w:r>
              <w:rPr>
                <w:rFonts w:hint="eastAsia"/>
                <w:color w:val="auto"/>
                <w:kern w:val="0"/>
                <w:szCs w:val="21"/>
              </w:rPr>
              <w:t>储存于</w:t>
            </w:r>
            <w:r>
              <w:rPr>
                <w:rFonts w:hint="eastAsia"/>
                <w:color w:val="auto"/>
                <w:kern w:val="0"/>
                <w:szCs w:val="21"/>
                <w:lang w:eastAsia="zh-CN"/>
              </w:rPr>
              <w:t>危险废物贮存点</w:t>
            </w:r>
            <w:r>
              <w:rPr>
                <w:rFonts w:hint="eastAsia"/>
                <w:color w:val="auto"/>
                <w:kern w:val="0"/>
                <w:szCs w:val="21"/>
              </w:rPr>
              <w:t>后，由有资质单位回收处置</w:t>
            </w:r>
          </w:p>
        </w:tc>
      </w:tr>
      <w:tr w14:paraId="7DB951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513" w:type="dxa"/>
            <w:vMerge w:val="continue"/>
            <w:noWrap w:val="0"/>
            <w:vAlign w:val="center"/>
          </w:tcPr>
          <w:p w14:paraId="715EF668">
            <w:pPr>
              <w:adjustRightInd w:val="0"/>
              <w:snapToGrid w:val="0"/>
              <w:jc w:val="center"/>
              <w:rPr>
                <w:rFonts w:hint="eastAsia" w:ascii="宋体" w:hAnsi="宋体" w:cs="宋体"/>
                <w:color w:val="auto"/>
                <w:szCs w:val="21"/>
              </w:rPr>
            </w:pPr>
          </w:p>
        </w:tc>
        <w:tc>
          <w:tcPr>
            <w:tcW w:w="1646" w:type="dxa"/>
            <w:noWrap w:val="0"/>
            <w:vAlign w:val="center"/>
          </w:tcPr>
          <w:p w14:paraId="7DD37B3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员工生活</w:t>
            </w:r>
          </w:p>
        </w:tc>
        <w:tc>
          <w:tcPr>
            <w:tcW w:w="1300" w:type="dxa"/>
            <w:noWrap w:val="0"/>
            <w:vAlign w:val="center"/>
          </w:tcPr>
          <w:p w14:paraId="2053BDB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生活垃圾</w:t>
            </w:r>
          </w:p>
        </w:tc>
        <w:tc>
          <w:tcPr>
            <w:tcW w:w="4341" w:type="dxa"/>
            <w:gridSpan w:val="2"/>
            <w:noWrap w:val="0"/>
            <w:vAlign w:val="center"/>
          </w:tcPr>
          <w:p w14:paraId="277CF65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kern w:val="0"/>
                <w:szCs w:val="21"/>
              </w:rPr>
              <w:t>分类收集后委托环卫部门及时清运</w:t>
            </w:r>
          </w:p>
        </w:tc>
      </w:tr>
      <w:tr w14:paraId="2D1AEA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513" w:type="dxa"/>
            <w:vMerge w:val="continue"/>
            <w:noWrap w:val="0"/>
            <w:vAlign w:val="center"/>
          </w:tcPr>
          <w:p w14:paraId="4F7D3266">
            <w:pPr>
              <w:adjustRightInd w:val="0"/>
              <w:snapToGrid w:val="0"/>
              <w:jc w:val="center"/>
              <w:rPr>
                <w:rFonts w:hint="eastAsia" w:ascii="宋体" w:hAnsi="宋体" w:cs="宋体"/>
                <w:color w:val="auto"/>
                <w:szCs w:val="21"/>
              </w:rPr>
            </w:pPr>
          </w:p>
        </w:tc>
        <w:tc>
          <w:tcPr>
            <w:tcW w:w="1646" w:type="dxa"/>
            <w:noWrap w:val="0"/>
            <w:vAlign w:val="center"/>
          </w:tcPr>
          <w:p w14:paraId="48056B9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设备日常维护</w:t>
            </w:r>
          </w:p>
        </w:tc>
        <w:tc>
          <w:tcPr>
            <w:tcW w:w="1300" w:type="dxa"/>
            <w:noWrap w:val="0"/>
            <w:vAlign w:val="center"/>
          </w:tcPr>
          <w:p w14:paraId="6E3804B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废机油</w:t>
            </w:r>
          </w:p>
        </w:tc>
        <w:tc>
          <w:tcPr>
            <w:tcW w:w="4341" w:type="dxa"/>
            <w:gridSpan w:val="2"/>
            <w:noWrap w:val="0"/>
            <w:vAlign w:val="center"/>
          </w:tcPr>
          <w:p w14:paraId="5CD79DF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储存于</w:t>
            </w:r>
            <w:r>
              <w:rPr>
                <w:rFonts w:hint="eastAsia" w:cs="Times New Roman"/>
                <w:color w:val="auto"/>
                <w:kern w:val="0"/>
                <w:szCs w:val="21"/>
                <w:lang w:eastAsia="zh-CN"/>
              </w:rPr>
              <w:t>危险废物贮存点</w:t>
            </w:r>
            <w:r>
              <w:rPr>
                <w:rFonts w:hint="default" w:ascii="Times New Roman" w:hAnsi="Times New Roman" w:cs="Times New Roman"/>
                <w:color w:val="auto"/>
                <w:kern w:val="0"/>
                <w:szCs w:val="21"/>
              </w:rPr>
              <w:t>后，由有资质单位回收处置</w:t>
            </w:r>
          </w:p>
        </w:tc>
      </w:tr>
      <w:tr w14:paraId="009809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513" w:type="dxa"/>
            <w:noWrap w:val="0"/>
            <w:vAlign w:val="center"/>
          </w:tcPr>
          <w:p w14:paraId="57864184">
            <w:pPr>
              <w:adjustRightInd w:val="0"/>
              <w:snapToGrid w:val="0"/>
              <w:jc w:val="center"/>
              <w:rPr>
                <w:rFonts w:hint="eastAsia" w:ascii="宋体" w:hAnsi="宋体" w:cs="宋体"/>
                <w:color w:val="auto"/>
                <w:szCs w:val="21"/>
              </w:rPr>
            </w:pPr>
            <w:r>
              <w:rPr>
                <w:rFonts w:hint="eastAsia" w:ascii="宋体" w:hAnsi="宋体" w:cs="宋体"/>
                <w:color w:val="auto"/>
                <w:szCs w:val="21"/>
              </w:rPr>
              <w:t>土壤及地下水</w:t>
            </w:r>
          </w:p>
          <w:p w14:paraId="49B96F70">
            <w:pPr>
              <w:adjustRightInd w:val="0"/>
              <w:snapToGrid w:val="0"/>
              <w:jc w:val="center"/>
              <w:rPr>
                <w:rFonts w:hint="eastAsia" w:ascii="宋体" w:hAnsi="宋体" w:cs="宋体"/>
                <w:color w:val="auto"/>
                <w:szCs w:val="21"/>
              </w:rPr>
            </w:pPr>
            <w:r>
              <w:rPr>
                <w:rFonts w:hint="eastAsia" w:ascii="宋体" w:hAnsi="宋体" w:cs="宋体"/>
                <w:color w:val="auto"/>
                <w:szCs w:val="21"/>
              </w:rPr>
              <w:t>污染防治措施</w:t>
            </w:r>
          </w:p>
        </w:tc>
        <w:tc>
          <w:tcPr>
            <w:tcW w:w="7287" w:type="dxa"/>
            <w:gridSpan w:val="4"/>
            <w:noWrap w:val="0"/>
            <w:vAlign w:val="center"/>
          </w:tcPr>
          <w:p w14:paraId="7DE78B90">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szCs w:val="21"/>
                <w:lang w:val="en-US" w:eastAsia="zh-CN"/>
              </w:rPr>
            </w:pPr>
            <w:r>
              <w:rPr>
                <w:rFonts w:hint="eastAsia"/>
                <w:color w:val="auto"/>
              </w:rPr>
              <w:t>危废放置在做好“三防”措施的</w:t>
            </w:r>
            <w:r>
              <w:rPr>
                <w:rFonts w:hint="eastAsia"/>
                <w:color w:val="auto"/>
                <w:lang w:eastAsia="zh-CN"/>
              </w:rPr>
              <w:t>危险废物贮存点</w:t>
            </w:r>
            <w:r>
              <w:rPr>
                <w:rFonts w:hint="eastAsia"/>
                <w:color w:val="auto"/>
              </w:rPr>
              <w:t>。</w:t>
            </w:r>
          </w:p>
        </w:tc>
      </w:tr>
      <w:tr w14:paraId="5D7D31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513" w:type="dxa"/>
            <w:noWrap w:val="0"/>
            <w:vAlign w:val="center"/>
          </w:tcPr>
          <w:p w14:paraId="493C4DE7">
            <w:pPr>
              <w:adjustRightInd w:val="0"/>
              <w:snapToGrid w:val="0"/>
              <w:jc w:val="center"/>
              <w:rPr>
                <w:rFonts w:hint="eastAsia" w:ascii="宋体" w:hAnsi="宋体" w:cs="宋体"/>
                <w:color w:val="auto"/>
                <w:szCs w:val="21"/>
              </w:rPr>
            </w:pPr>
            <w:r>
              <w:rPr>
                <w:rFonts w:hint="eastAsia" w:ascii="宋体" w:hAnsi="宋体" w:cs="宋体"/>
                <w:color w:val="auto"/>
                <w:szCs w:val="21"/>
              </w:rPr>
              <w:t>生态保护措施</w:t>
            </w:r>
          </w:p>
        </w:tc>
        <w:tc>
          <w:tcPr>
            <w:tcW w:w="7287" w:type="dxa"/>
            <w:gridSpan w:val="4"/>
            <w:noWrap w:val="0"/>
            <w:vAlign w:val="center"/>
          </w:tcPr>
          <w:p w14:paraId="40127767">
            <w:pPr>
              <w:keepNext w:val="0"/>
              <w:keepLines w:val="0"/>
              <w:suppressLineNumbers w:val="0"/>
              <w:adjustRightInd w:val="0"/>
              <w:snapToGrid w:val="0"/>
              <w:spacing w:before="0" w:beforeAutospacing="0" w:after="0" w:afterAutospacing="0"/>
              <w:ind w:left="0" w:leftChars="0" w:right="0" w:rightChars="0"/>
              <w:jc w:val="center"/>
              <w:rPr>
                <w:rFonts w:hint="eastAsia"/>
                <w:color w:val="auto"/>
              </w:rPr>
            </w:pPr>
            <w:r>
              <w:rPr>
                <w:rFonts w:hint="eastAsia"/>
                <w:color w:val="auto"/>
                <w:lang w:eastAsia="zh-CN"/>
              </w:rPr>
              <w:t>本</w:t>
            </w:r>
            <w:r>
              <w:rPr>
                <w:rFonts w:hint="eastAsia"/>
                <w:color w:val="auto"/>
              </w:rPr>
              <w:t>项目占地内无国家重点保护的</w:t>
            </w:r>
            <w:r>
              <w:rPr>
                <w:rFonts w:hint="eastAsia"/>
                <w:color w:val="auto"/>
                <w:lang w:eastAsia="zh-CN"/>
              </w:rPr>
              <w:t>珍稀</w:t>
            </w:r>
            <w:r>
              <w:rPr>
                <w:rFonts w:hint="eastAsia"/>
                <w:color w:val="auto"/>
              </w:rPr>
              <w:t>濒危植物和野生植物，项目占地属于园</w:t>
            </w:r>
          </w:p>
          <w:p w14:paraId="399C09CE">
            <w:pPr>
              <w:keepNext w:val="0"/>
              <w:keepLines w:val="0"/>
              <w:suppressLineNumbers w:val="0"/>
              <w:adjustRightInd w:val="0"/>
              <w:snapToGrid w:val="0"/>
              <w:spacing w:before="0" w:beforeAutospacing="0" w:after="0" w:afterAutospacing="0"/>
              <w:ind w:left="0" w:leftChars="0" w:right="0" w:rightChars="0"/>
              <w:jc w:val="center"/>
              <w:rPr>
                <w:rFonts w:hint="eastAsia"/>
                <w:color w:val="auto"/>
              </w:rPr>
            </w:pPr>
            <w:r>
              <w:rPr>
                <w:rFonts w:hint="eastAsia"/>
                <w:color w:val="auto"/>
              </w:rPr>
              <w:t>区工业用地，不占用基本农田等，项目建设后随着绿化建设，一定程度上</w:t>
            </w:r>
          </w:p>
          <w:p w14:paraId="3364F493">
            <w:pPr>
              <w:keepNext w:val="0"/>
              <w:keepLines w:val="0"/>
              <w:suppressLineNumbers w:val="0"/>
              <w:adjustRightInd w:val="0"/>
              <w:snapToGrid w:val="0"/>
              <w:spacing w:before="0" w:beforeAutospacing="0" w:after="0" w:afterAutospacing="0"/>
              <w:ind w:left="0" w:leftChars="0" w:right="0" w:rightChars="0"/>
              <w:jc w:val="center"/>
              <w:rPr>
                <w:rFonts w:hint="eastAsia"/>
                <w:color w:val="auto"/>
              </w:rPr>
            </w:pPr>
            <w:r>
              <w:rPr>
                <w:rFonts w:hint="eastAsia"/>
                <w:color w:val="auto"/>
              </w:rPr>
              <w:t>会增加区域内植物的多样性，项目建设对周围生态环境基本上没有产生明</w:t>
            </w:r>
          </w:p>
          <w:p w14:paraId="7516249F">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cs="宋体"/>
                <w:color w:val="auto"/>
                <w:szCs w:val="21"/>
              </w:rPr>
            </w:pPr>
            <w:r>
              <w:rPr>
                <w:rFonts w:hint="eastAsia"/>
                <w:color w:val="auto"/>
              </w:rPr>
              <w:t>显的影响。</w:t>
            </w:r>
          </w:p>
        </w:tc>
      </w:tr>
      <w:tr w14:paraId="5B8682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13" w:type="dxa"/>
            <w:noWrap w:val="0"/>
            <w:vAlign w:val="center"/>
          </w:tcPr>
          <w:p w14:paraId="7F9D14A3">
            <w:pPr>
              <w:adjustRightInd w:val="0"/>
              <w:snapToGrid w:val="0"/>
              <w:jc w:val="center"/>
              <w:rPr>
                <w:rFonts w:ascii="宋体" w:hAnsi="宋体" w:cs="宋体"/>
                <w:color w:val="auto"/>
                <w:spacing w:val="-8"/>
                <w:szCs w:val="21"/>
              </w:rPr>
            </w:pPr>
            <w:r>
              <w:rPr>
                <w:rFonts w:hint="eastAsia" w:ascii="宋体" w:hAnsi="宋体" w:cs="宋体"/>
                <w:color w:val="auto"/>
                <w:spacing w:val="-8"/>
                <w:szCs w:val="21"/>
              </w:rPr>
              <w:t>环境风险</w:t>
            </w:r>
          </w:p>
          <w:p w14:paraId="13409207">
            <w:pPr>
              <w:adjustRightInd w:val="0"/>
              <w:snapToGrid w:val="0"/>
              <w:jc w:val="center"/>
              <w:rPr>
                <w:rFonts w:hint="eastAsia" w:ascii="宋体" w:hAnsi="宋体" w:cs="宋体"/>
                <w:color w:val="auto"/>
                <w:spacing w:val="-8"/>
                <w:szCs w:val="21"/>
              </w:rPr>
            </w:pPr>
            <w:r>
              <w:rPr>
                <w:rFonts w:hint="eastAsia" w:ascii="宋体" w:hAnsi="宋体" w:cs="宋体"/>
                <w:color w:val="auto"/>
                <w:spacing w:val="-8"/>
                <w:szCs w:val="21"/>
              </w:rPr>
              <w:t>防范措施</w:t>
            </w:r>
          </w:p>
        </w:tc>
        <w:tc>
          <w:tcPr>
            <w:tcW w:w="7287" w:type="dxa"/>
            <w:gridSpan w:val="4"/>
            <w:noWrap w:val="0"/>
            <w:vAlign w:val="center"/>
          </w:tcPr>
          <w:p w14:paraId="7D25E3E0">
            <w:pPr>
              <w:keepNext w:val="0"/>
              <w:keepLines w:val="0"/>
              <w:suppressLineNumbers w:val="0"/>
              <w:adjustRightInd w:val="0"/>
              <w:snapToGrid w:val="0"/>
              <w:spacing w:before="0" w:beforeAutospacing="0" w:after="0" w:afterAutospacing="0"/>
              <w:ind w:left="0" w:right="0"/>
              <w:jc w:val="left"/>
              <w:rPr>
                <w:rFonts w:hint="default"/>
                <w:color w:val="auto"/>
              </w:rPr>
            </w:pPr>
            <w:r>
              <w:rPr>
                <w:rFonts w:hint="default"/>
                <w:color w:val="auto"/>
              </w:rPr>
              <w:t>（1）建设单位应制定项目的突发环境事件应急预案，定期检查风险防范措施和应急预案的有效性，定期进行风险救援训练，确保责任到人、措施到位。</w:t>
            </w:r>
          </w:p>
          <w:p w14:paraId="66049A0C">
            <w:pPr>
              <w:keepNext w:val="0"/>
              <w:keepLines w:val="0"/>
              <w:suppressLineNumbers w:val="0"/>
              <w:adjustRightInd w:val="0"/>
              <w:snapToGrid w:val="0"/>
              <w:spacing w:before="0" w:beforeAutospacing="0" w:after="0" w:afterAutospacing="0"/>
              <w:ind w:left="0" w:leftChars="0" w:right="0" w:rightChars="0"/>
              <w:jc w:val="left"/>
              <w:rPr>
                <w:rFonts w:hint="default" w:eastAsia="宋体"/>
                <w:color w:val="auto"/>
                <w:lang w:val="en-US" w:eastAsia="zh-CN"/>
              </w:rPr>
            </w:pPr>
            <w:r>
              <w:rPr>
                <w:rFonts w:hint="default"/>
                <w:color w:val="auto"/>
              </w:rPr>
              <w:t>（</w:t>
            </w:r>
            <w:r>
              <w:rPr>
                <w:rFonts w:hint="eastAsia"/>
                <w:color w:val="auto"/>
                <w:lang w:val="en-US" w:eastAsia="zh-CN"/>
              </w:rPr>
              <w:t>2</w:t>
            </w:r>
            <w:r>
              <w:rPr>
                <w:rFonts w:hint="default"/>
                <w:color w:val="auto"/>
              </w:rPr>
              <w:t>）</w:t>
            </w:r>
            <w:r>
              <w:rPr>
                <w:rFonts w:hint="eastAsia"/>
                <w:color w:val="auto"/>
                <w:lang w:val="en-US" w:eastAsia="zh-CN"/>
              </w:rPr>
              <w:t>场内产生的危废统一暂存于危险废物贮存点，定期交由有危险废物处置资质的单位进行处理。</w:t>
            </w:r>
          </w:p>
          <w:p w14:paraId="1AE2F9F5">
            <w:pPr>
              <w:keepNext w:val="0"/>
              <w:keepLines w:val="0"/>
              <w:suppressLineNumbers w:val="0"/>
              <w:adjustRightInd w:val="0"/>
              <w:snapToGrid w:val="0"/>
              <w:spacing w:before="0" w:beforeAutospacing="0" w:after="0" w:afterAutospacing="0"/>
              <w:ind w:left="0" w:leftChars="0" w:right="0" w:rightChars="0"/>
              <w:jc w:val="left"/>
              <w:rPr>
                <w:rFonts w:hint="eastAsia" w:ascii="宋体" w:hAnsi="宋体" w:cs="宋体"/>
                <w:color w:val="auto"/>
                <w:szCs w:val="21"/>
              </w:rPr>
            </w:pPr>
            <w:r>
              <w:rPr>
                <w:rFonts w:hint="eastAsia"/>
                <w:color w:val="auto"/>
                <w:lang w:eastAsia="zh-CN"/>
              </w:rPr>
              <w:t>（</w:t>
            </w:r>
            <w:r>
              <w:rPr>
                <w:rFonts w:hint="eastAsia"/>
                <w:color w:val="auto"/>
                <w:lang w:val="en-US" w:eastAsia="zh-CN"/>
              </w:rPr>
              <w:t>3</w:t>
            </w:r>
            <w:r>
              <w:rPr>
                <w:rFonts w:hint="eastAsia"/>
                <w:color w:val="auto"/>
                <w:lang w:eastAsia="zh-CN"/>
              </w:rPr>
              <w:t>）</w:t>
            </w:r>
            <w:r>
              <w:rPr>
                <w:rFonts w:hint="default"/>
                <w:color w:val="auto"/>
              </w:rPr>
              <w:t>加大宣传教育力度，增强工作人员的整体环境保护意识。</w:t>
            </w:r>
          </w:p>
        </w:tc>
      </w:tr>
      <w:tr w14:paraId="360A7D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noWrap w:val="0"/>
            <w:vAlign w:val="center"/>
          </w:tcPr>
          <w:p w14:paraId="30614279">
            <w:pPr>
              <w:adjustRightInd w:val="0"/>
              <w:snapToGrid w:val="0"/>
              <w:jc w:val="center"/>
              <w:rPr>
                <w:rFonts w:ascii="宋体" w:hAnsi="宋体" w:cs="宋体"/>
                <w:color w:val="auto"/>
                <w:spacing w:val="-8"/>
                <w:szCs w:val="21"/>
              </w:rPr>
            </w:pPr>
            <w:r>
              <w:rPr>
                <w:rFonts w:hint="eastAsia" w:ascii="宋体" w:hAnsi="宋体" w:cs="宋体"/>
                <w:color w:val="auto"/>
                <w:spacing w:val="-8"/>
                <w:szCs w:val="21"/>
              </w:rPr>
              <w:t>其他环境</w:t>
            </w:r>
          </w:p>
          <w:p w14:paraId="4D960E44">
            <w:pPr>
              <w:adjustRightInd w:val="0"/>
              <w:snapToGrid w:val="0"/>
              <w:jc w:val="center"/>
              <w:rPr>
                <w:rFonts w:hint="eastAsia" w:ascii="宋体" w:hAnsi="宋体" w:cs="宋体"/>
                <w:color w:val="auto"/>
                <w:spacing w:val="-8"/>
                <w:szCs w:val="21"/>
              </w:rPr>
            </w:pPr>
            <w:r>
              <w:rPr>
                <w:rFonts w:hint="eastAsia" w:ascii="宋体" w:hAnsi="宋体" w:cs="宋体"/>
                <w:color w:val="auto"/>
                <w:spacing w:val="-8"/>
                <w:szCs w:val="21"/>
              </w:rPr>
              <w:t>管理要求</w:t>
            </w:r>
          </w:p>
        </w:tc>
        <w:tc>
          <w:tcPr>
            <w:tcW w:w="7287" w:type="dxa"/>
            <w:gridSpan w:val="4"/>
            <w:noWrap w:val="0"/>
            <w:vAlign w:val="center"/>
          </w:tcPr>
          <w:p w14:paraId="27FF08DC">
            <w:pPr>
              <w:keepNext w:val="0"/>
              <w:keepLines w:val="0"/>
              <w:suppressLineNumbers w:val="0"/>
              <w:adjustRightInd w:val="0"/>
              <w:snapToGrid w:val="0"/>
              <w:spacing w:before="0" w:beforeAutospacing="0" w:after="0" w:afterAutospacing="0"/>
              <w:ind w:left="0" w:right="0"/>
              <w:jc w:val="left"/>
              <w:rPr>
                <w:rFonts w:hint="eastAsia"/>
                <w:color w:val="auto"/>
                <w:lang w:val="en-US" w:eastAsia="zh-CN"/>
              </w:rPr>
            </w:pPr>
            <w:r>
              <w:rPr>
                <w:rFonts w:hint="eastAsia"/>
                <w:color w:val="auto"/>
                <w:lang w:val="en-US" w:eastAsia="zh-CN"/>
              </w:rPr>
              <w:t>加强项目的环境管理，加大环境监测的力度，必须严格控制污染物的排放总量，执行建设项目防治污染设施“三同时”制度，为了既发展生产又保护环境，实现建设项目的经济效益，社会效益和环境效益的统一，更好地监控防治污染设施的运行及时掌握和了解污染治理措施的效果，必须设置相应的组织机构，制定项目环境管理和环境监测计划。</w:t>
            </w:r>
          </w:p>
          <w:p w14:paraId="3BE7C63E">
            <w:pPr>
              <w:keepNext w:val="0"/>
              <w:keepLines w:val="0"/>
              <w:suppressLineNumbers w:val="0"/>
              <w:adjustRightInd w:val="0"/>
              <w:snapToGrid w:val="0"/>
              <w:spacing w:before="0" w:beforeAutospacing="0" w:after="0" w:afterAutospacing="0"/>
              <w:ind w:left="0" w:right="0"/>
              <w:jc w:val="left"/>
              <w:rPr>
                <w:rFonts w:hint="eastAsia"/>
                <w:color w:val="auto"/>
                <w:lang w:val="en-US" w:eastAsia="zh-CN"/>
              </w:rPr>
            </w:pPr>
            <w:r>
              <w:rPr>
                <w:rFonts w:hint="eastAsia"/>
                <w:color w:val="auto"/>
                <w:lang w:val="en-US" w:eastAsia="zh-CN"/>
              </w:rPr>
              <w:t>1.环境管理计划</w:t>
            </w:r>
          </w:p>
          <w:p w14:paraId="6B055B98">
            <w:pPr>
              <w:keepNext w:val="0"/>
              <w:keepLines w:val="0"/>
              <w:suppressLineNumbers w:val="0"/>
              <w:adjustRightInd w:val="0"/>
              <w:snapToGrid w:val="0"/>
              <w:spacing w:before="0" w:beforeAutospacing="0" w:after="0" w:afterAutospacing="0"/>
              <w:ind w:left="0" w:right="0"/>
              <w:jc w:val="left"/>
              <w:rPr>
                <w:rFonts w:hint="eastAsia"/>
                <w:color w:val="auto"/>
                <w:lang w:val="en-US" w:eastAsia="zh-CN"/>
              </w:rPr>
            </w:pPr>
            <w:r>
              <w:rPr>
                <w:rFonts w:hint="eastAsia"/>
                <w:color w:val="auto"/>
                <w:lang w:val="en-US" w:eastAsia="zh-CN"/>
              </w:rPr>
              <w:t>为了保证环境管理工作的有效性，项目环境管理应指定专人主管，由专人负责运营期环境保护工作，环境监测可委托具有环境监测资质的单位进行监测监控，废气、废水排放情况及防治污染设施的运转状况。</w:t>
            </w:r>
          </w:p>
          <w:p w14:paraId="27F5FF94">
            <w:pPr>
              <w:keepNext w:val="0"/>
              <w:keepLines w:val="0"/>
              <w:suppressLineNumbers w:val="0"/>
              <w:adjustRightInd w:val="0"/>
              <w:snapToGrid w:val="0"/>
              <w:spacing w:before="0" w:beforeAutospacing="0" w:after="0" w:afterAutospacing="0"/>
              <w:ind w:left="0" w:right="0"/>
              <w:jc w:val="left"/>
              <w:rPr>
                <w:rFonts w:hint="eastAsia"/>
                <w:color w:val="auto"/>
                <w:lang w:val="en-US" w:eastAsia="zh-CN"/>
              </w:rPr>
            </w:pPr>
            <w:r>
              <w:rPr>
                <w:rFonts w:hint="eastAsia"/>
                <w:color w:val="auto"/>
                <w:lang w:val="en-US" w:eastAsia="zh-CN"/>
              </w:rPr>
              <w:t>2.建立污染源档案，定期由具有环境监测资质的单位对污染物进行监督监测和应急监测，掌握项目各污染源排放动态，以便为环境管理与污染防治提供科学依据。</w:t>
            </w:r>
          </w:p>
          <w:p w14:paraId="16D73AED">
            <w:pPr>
              <w:keepNext w:val="0"/>
              <w:keepLines w:val="0"/>
              <w:suppressLineNumbers w:val="0"/>
              <w:adjustRightInd w:val="0"/>
              <w:snapToGrid w:val="0"/>
              <w:spacing w:before="0" w:beforeAutospacing="0" w:after="0" w:afterAutospacing="0"/>
              <w:ind w:left="0" w:right="0"/>
              <w:jc w:val="left"/>
              <w:rPr>
                <w:rFonts w:hint="eastAsia"/>
                <w:color w:val="auto"/>
                <w:lang w:val="en-US" w:eastAsia="zh-CN"/>
              </w:rPr>
            </w:pPr>
            <w:r>
              <w:rPr>
                <w:rFonts w:hint="eastAsia"/>
                <w:color w:val="auto"/>
                <w:lang w:val="en-US" w:eastAsia="zh-CN"/>
              </w:rPr>
              <w:t>3.建设单位应设置环境管理人员，负责厂区环境管理日常事务。环境管理人员应做到有职、有权、有责，切实担负起环境管理及监督责任。该人员除对项目负责外，也应与地方环境保护管理部门加强联系，使项目环保工作纳入地方环境管理工作系统。</w:t>
            </w:r>
          </w:p>
          <w:p w14:paraId="5A61079E">
            <w:pPr>
              <w:keepNext w:val="0"/>
              <w:keepLines w:val="0"/>
              <w:suppressLineNumbers w:val="0"/>
              <w:adjustRightInd w:val="0"/>
              <w:snapToGrid w:val="0"/>
              <w:spacing w:before="0" w:beforeAutospacing="0" w:after="0" w:afterAutospacing="0"/>
              <w:ind w:left="0" w:right="0"/>
              <w:jc w:val="left"/>
              <w:rPr>
                <w:rFonts w:hint="eastAsia"/>
                <w:color w:val="auto"/>
                <w:lang w:val="en-US" w:eastAsia="zh-CN"/>
              </w:rPr>
            </w:pPr>
            <w:r>
              <w:rPr>
                <w:rFonts w:hint="eastAsia"/>
                <w:color w:val="auto"/>
                <w:lang w:val="en-US" w:eastAsia="zh-CN"/>
              </w:rPr>
              <w:t>4.严格遵照国家和地方有关环境保护的方针、政策、法规、条例，结合企业的实际情况，确定环境保护控制目标，制定环境保护发展规划和年度实施计划，建立环境保护制度，并组织、监督实施。</w:t>
            </w:r>
          </w:p>
          <w:p w14:paraId="351D8921">
            <w:pPr>
              <w:keepNext w:val="0"/>
              <w:keepLines w:val="0"/>
              <w:suppressLineNumbers w:val="0"/>
              <w:adjustRightInd w:val="0"/>
              <w:snapToGrid w:val="0"/>
              <w:spacing w:before="0" w:beforeAutospacing="0" w:after="0" w:afterAutospacing="0"/>
              <w:ind w:left="0" w:right="0"/>
              <w:jc w:val="left"/>
              <w:rPr>
                <w:rFonts w:hint="eastAsia"/>
                <w:color w:val="auto"/>
                <w:lang w:val="en-US" w:eastAsia="zh-CN"/>
              </w:rPr>
            </w:pPr>
            <w:r>
              <w:rPr>
                <w:rFonts w:hint="eastAsia"/>
                <w:color w:val="auto"/>
                <w:lang w:val="en-US" w:eastAsia="zh-CN"/>
              </w:rPr>
              <w:t>5.安排组织员工的环保教育、培训和考核，增强员工的环保意识和环境法治观念：推广并应用先进的环境管理经验和污染治理技术，提高环保管理人员业务水平。</w:t>
            </w:r>
          </w:p>
          <w:p w14:paraId="244C36C3">
            <w:pPr>
              <w:keepNext w:val="0"/>
              <w:keepLines w:val="0"/>
              <w:suppressLineNumbers w:val="0"/>
              <w:adjustRightInd w:val="0"/>
              <w:snapToGrid w:val="0"/>
              <w:spacing w:before="0" w:beforeAutospacing="0" w:after="0" w:afterAutospacing="0"/>
              <w:ind w:left="0" w:right="0"/>
              <w:jc w:val="left"/>
              <w:rPr>
                <w:rFonts w:hint="eastAsia"/>
                <w:color w:val="auto"/>
                <w:lang w:val="en-US" w:eastAsia="zh-CN"/>
              </w:rPr>
            </w:pPr>
            <w:r>
              <w:rPr>
                <w:rFonts w:hint="eastAsia"/>
                <w:color w:val="auto"/>
                <w:lang w:val="en-US" w:eastAsia="zh-CN"/>
              </w:rPr>
              <w:t>6.组织领导项目的环境监测和统计工作，掌握污染源动态。</w:t>
            </w:r>
          </w:p>
          <w:p w14:paraId="05063C81">
            <w:pPr>
              <w:keepNext w:val="0"/>
              <w:keepLines w:val="0"/>
              <w:suppressLineNumbers w:val="0"/>
              <w:adjustRightInd w:val="0"/>
              <w:snapToGrid w:val="0"/>
              <w:spacing w:before="0" w:beforeAutospacing="0" w:after="0" w:afterAutospacing="0"/>
              <w:ind w:left="0" w:right="0"/>
              <w:jc w:val="left"/>
              <w:rPr>
                <w:rFonts w:hint="eastAsia"/>
                <w:color w:val="auto"/>
                <w:lang w:val="en-US" w:eastAsia="zh-CN"/>
              </w:rPr>
            </w:pPr>
            <w:r>
              <w:rPr>
                <w:rFonts w:hint="eastAsia"/>
                <w:color w:val="auto"/>
                <w:lang w:val="en-US" w:eastAsia="zh-CN"/>
              </w:rPr>
              <w:t>7.监督、检查防治污染设施、设备的运行及维护，建立防治污染设施运行档案。</w:t>
            </w:r>
          </w:p>
          <w:p w14:paraId="36E63E53">
            <w:pPr>
              <w:keepNext w:val="0"/>
              <w:keepLines w:val="0"/>
              <w:suppressLineNumbers w:val="0"/>
              <w:adjustRightInd w:val="0"/>
              <w:snapToGrid w:val="0"/>
              <w:spacing w:before="0" w:beforeAutospacing="0" w:after="0" w:afterAutospacing="0"/>
              <w:ind w:left="0" w:right="0"/>
              <w:jc w:val="left"/>
              <w:rPr>
                <w:rFonts w:hint="eastAsia"/>
                <w:color w:val="auto"/>
                <w:lang w:val="en-US" w:eastAsia="zh-CN"/>
              </w:rPr>
            </w:pPr>
            <w:r>
              <w:rPr>
                <w:rFonts w:hint="eastAsia"/>
                <w:color w:val="auto"/>
                <w:lang w:val="en-US" w:eastAsia="zh-CN"/>
              </w:rPr>
              <w:t>8.加强环境管理，确保防治污染设施正常、稳定运行，确保污染物达标排放。</w:t>
            </w:r>
          </w:p>
          <w:p w14:paraId="4D5AE46B">
            <w:pPr>
              <w:keepNext w:val="0"/>
              <w:keepLines w:val="0"/>
              <w:suppressLineNumbers w:val="0"/>
              <w:adjustRightInd w:val="0"/>
              <w:snapToGrid w:val="0"/>
              <w:spacing w:before="0" w:beforeAutospacing="0" w:after="0" w:afterAutospacing="0"/>
              <w:ind w:left="0" w:right="0"/>
              <w:jc w:val="left"/>
              <w:rPr>
                <w:rFonts w:hint="eastAsia"/>
                <w:color w:val="auto"/>
                <w:lang w:val="en-US" w:eastAsia="zh-CN"/>
              </w:rPr>
            </w:pPr>
            <w:r>
              <w:rPr>
                <w:rFonts w:hint="eastAsia"/>
                <w:color w:val="auto"/>
                <w:lang w:val="en-US" w:eastAsia="zh-CN"/>
              </w:rPr>
              <w:t>9.落实“三同时”制度，按照要求开展竣工环境保护验收。</w:t>
            </w:r>
          </w:p>
          <w:p w14:paraId="06EFB5E8">
            <w:pPr>
              <w:keepNext w:val="0"/>
              <w:keepLines w:val="0"/>
              <w:suppressLineNumbers w:val="0"/>
              <w:adjustRightInd w:val="0"/>
              <w:snapToGrid w:val="0"/>
              <w:spacing w:before="0" w:beforeAutospacing="0" w:after="0" w:afterAutospacing="0"/>
              <w:ind w:left="0" w:right="0"/>
              <w:jc w:val="left"/>
              <w:rPr>
                <w:rFonts w:hint="eastAsia" w:ascii="宋体" w:hAnsi="宋体" w:cs="宋体"/>
                <w:color w:val="auto"/>
                <w:szCs w:val="21"/>
              </w:rPr>
            </w:pPr>
            <w:r>
              <w:rPr>
                <w:rFonts w:hint="eastAsia"/>
                <w:color w:val="auto"/>
                <w:lang w:val="en-US" w:eastAsia="zh-CN"/>
              </w:rPr>
              <w:t>10.</w:t>
            </w:r>
            <w:r>
              <w:rPr>
                <w:rFonts w:hint="default" w:ascii="Times New Roman" w:hAnsi="Times New Roman" w:eastAsia="宋体" w:cs="Times New Roman"/>
                <w:color w:val="auto"/>
                <w:lang w:val="en-US" w:eastAsia="zh-CN"/>
              </w:rPr>
              <w:t>本项目应根据《排污许可管理条例》和《固定源排污许可分类管理名录</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2019年版</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》可知本项目属于</w:t>
            </w:r>
            <w:r>
              <w:rPr>
                <w:rFonts w:hint="eastAsia" w:ascii="宋体" w:hAnsi="宋体" w:eastAsia="宋体" w:cs="宋体"/>
                <w:color w:val="auto"/>
                <w:lang w:val="en-US" w:eastAsia="zh-CN"/>
              </w:rPr>
              <w:t>“</w:t>
            </w:r>
            <w:r>
              <w:rPr>
                <w:rFonts w:hint="default" w:ascii="Times New Roman" w:hAnsi="Times New Roman" w:eastAsia="宋体" w:cs="Times New Roman"/>
                <w:color w:val="auto"/>
                <w:lang w:val="en-US" w:eastAsia="zh-CN"/>
              </w:rPr>
              <w:t>二十五、非金属矿物制品业</w:t>
            </w:r>
            <w:r>
              <w:rPr>
                <w:rFonts w:hint="eastAsia" w:ascii="宋体" w:hAnsi="宋体" w:eastAsia="宋体" w:cs="宋体"/>
                <w:color w:val="auto"/>
                <w:lang w:val="en-US" w:eastAsia="zh-CN"/>
              </w:rPr>
              <w:t>”中“</w:t>
            </w:r>
            <w:r>
              <w:rPr>
                <w:rFonts w:hint="eastAsia" w:ascii="Times New Roman" w:hAnsi="Times New Roman" w:eastAsia="宋体" w:cs="Times New Roman"/>
                <w:color w:val="auto"/>
                <w:lang w:val="en-US" w:eastAsia="zh-CN"/>
              </w:rPr>
              <w:t>64.砖瓦、石材等建筑材料制造303</w:t>
            </w:r>
            <w:r>
              <w:rPr>
                <w:rFonts w:hint="eastAsia" w:cs="Times New Roman"/>
                <w:color w:val="auto"/>
                <w:lang w:val="en-US" w:eastAsia="zh-CN"/>
              </w:rPr>
              <w:t>－</w:t>
            </w:r>
            <w:r>
              <w:rPr>
                <w:rFonts w:hint="eastAsia" w:ascii="Times New Roman" w:hAnsi="Times New Roman" w:eastAsia="宋体" w:cs="Times New Roman"/>
                <w:color w:val="auto"/>
                <w:lang w:val="en-US" w:eastAsia="zh-CN"/>
              </w:rPr>
              <w:t>建筑用石加工3032</w:t>
            </w:r>
            <w:r>
              <w:rPr>
                <w:rFonts w:hint="eastAsia" w:ascii="宋体" w:hAnsi="宋体" w:eastAsia="宋体" w:cs="宋体"/>
                <w:color w:val="auto"/>
                <w:lang w:val="en-US" w:eastAsia="zh-CN"/>
              </w:rPr>
              <w:t>”</w:t>
            </w:r>
            <w:r>
              <w:rPr>
                <w:rFonts w:hint="default" w:ascii="Times New Roman" w:hAnsi="Times New Roman" w:eastAsia="宋体" w:cs="Times New Roman"/>
                <w:color w:val="auto"/>
                <w:lang w:val="en-US" w:eastAsia="zh-CN"/>
              </w:rPr>
              <w:t>的简化管理项目，需按照要求取得排污许可证，未取得排污许可证，不得排放污染物。</w:t>
            </w:r>
          </w:p>
        </w:tc>
      </w:tr>
    </w:tbl>
    <w:p w14:paraId="200632BE">
      <w:pPr>
        <w:pStyle w:val="20"/>
        <w:jc w:val="center"/>
        <w:outlineLvl w:val="0"/>
        <w:rPr>
          <w:rFonts w:ascii="黑体" w:hAnsi="黑体" w:eastAsia="黑体"/>
          <w:snapToGrid w:val="0"/>
          <w:color w:val="auto"/>
          <w:sz w:val="30"/>
          <w:szCs w:val="30"/>
        </w:rPr>
      </w:pPr>
      <w:r>
        <w:rPr>
          <w:snapToGrid w:val="0"/>
          <w:color w:val="auto"/>
        </w:rPr>
        <w:br w:type="page"/>
      </w:r>
      <w:r>
        <w:rPr>
          <w:rFonts w:hint="eastAsia" w:ascii="黑体" w:hAnsi="黑体" w:eastAsia="黑体"/>
          <w:snapToGrid w:val="0"/>
          <w:color w:val="auto"/>
          <w:sz w:val="30"/>
          <w:szCs w:val="30"/>
        </w:rPr>
        <w:t>六、结论</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80473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14:paraId="0B9C20EE">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ascii="宋体" w:cs="宋体"/>
                <w:color w:val="auto"/>
                <w:sz w:val="24"/>
              </w:rPr>
            </w:pPr>
            <w:r>
              <w:rPr>
                <w:rFonts w:hint="eastAsia" w:ascii="宋体" w:cs="宋体"/>
                <w:color w:val="auto"/>
                <w:sz w:val="24"/>
                <w:lang w:val="en-US" w:eastAsia="zh-CN"/>
              </w:rPr>
              <w:t>综上所述，新疆富邦国源矿业有限公司和硕石材加工厂改扩建项目</w:t>
            </w:r>
            <w:r>
              <w:rPr>
                <w:rFonts w:hint="eastAsia"/>
                <w:b w:val="0"/>
                <w:bCs w:val="0"/>
                <w:color w:val="auto"/>
                <w:sz w:val="24"/>
                <w:lang w:val="en-US" w:eastAsia="zh-CN"/>
              </w:rPr>
              <w:t>（重新报批）</w:t>
            </w:r>
            <w:r>
              <w:rPr>
                <w:rFonts w:ascii="宋体" w:cs="宋体"/>
                <w:color w:val="auto"/>
                <w:sz w:val="24"/>
              </w:rPr>
              <w:t>符合国家产业政策，</w:t>
            </w:r>
            <w:r>
              <w:rPr>
                <w:rFonts w:hint="eastAsia" w:ascii="宋体" w:cs="宋体"/>
                <w:color w:val="auto"/>
                <w:sz w:val="24"/>
              </w:rPr>
              <w:t>所在区域</w:t>
            </w:r>
            <w:r>
              <w:rPr>
                <w:rFonts w:ascii="宋体" w:cs="宋体"/>
                <w:color w:val="auto"/>
                <w:sz w:val="24"/>
              </w:rPr>
              <w:t>不涉及自然保护区、风景名胜区、世界自然遗产地等环境敏感区。在实施过程中对环境产生的</w:t>
            </w:r>
            <w:r>
              <w:rPr>
                <w:rFonts w:hint="eastAsia" w:ascii="宋体" w:cs="宋体"/>
                <w:color w:val="auto"/>
                <w:sz w:val="24"/>
                <w:lang w:eastAsia="zh-CN"/>
              </w:rPr>
              <w:t>影响</w:t>
            </w:r>
            <w:r>
              <w:rPr>
                <w:rFonts w:hint="eastAsia" w:ascii="宋体" w:cs="宋体"/>
                <w:color w:val="auto"/>
                <w:sz w:val="24"/>
              </w:rPr>
              <w:t>主要是</w:t>
            </w:r>
            <w:r>
              <w:rPr>
                <w:rFonts w:ascii="宋体" w:cs="宋体"/>
                <w:color w:val="auto"/>
                <w:sz w:val="24"/>
              </w:rPr>
              <w:t>粉尘</w:t>
            </w:r>
            <w:r>
              <w:rPr>
                <w:rFonts w:hint="eastAsia" w:ascii="宋体" w:cs="宋体"/>
                <w:color w:val="auto"/>
                <w:sz w:val="24"/>
              </w:rPr>
              <w:t>、</w:t>
            </w:r>
            <w:r>
              <w:rPr>
                <w:rFonts w:ascii="宋体" w:cs="宋体"/>
                <w:color w:val="auto"/>
                <w:sz w:val="24"/>
              </w:rPr>
              <w:t>废水、噪声、</w:t>
            </w:r>
            <w:r>
              <w:rPr>
                <w:rFonts w:hint="eastAsia" w:ascii="宋体" w:cs="宋体"/>
                <w:color w:val="auto"/>
                <w:sz w:val="24"/>
              </w:rPr>
              <w:t>固废</w:t>
            </w:r>
            <w:r>
              <w:rPr>
                <w:rFonts w:hint="eastAsia" w:ascii="宋体" w:cs="宋体"/>
                <w:color w:val="auto"/>
                <w:sz w:val="24"/>
                <w:lang w:eastAsia="zh-CN"/>
              </w:rPr>
              <w:t>，</w:t>
            </w:r>
            <w:r>
              <w:rPr>
                <w:rFonts w:ascii="宋体" w:cs="宋体"/>
                <w:color w:val="auto"/>
                <w:sz w:val="24"/>
              </w:rPr>
              <w:t>切实落实报告表中提出的各项防治措施要求，严格执行各项污染物的排放标准，积极有效地进行治理和防范，</w:t>
            </w:r>
            <w:r>
              <w:rPr>
                <w:rFonts w:hint="eastAsia" w:ascii="宋体" w:cs="宋体"/>
                <w:color w:val="auto"/>
                <w:sz w:val="24"/>
              </w:rPr>
              <w:t>从环境保护角度，本建设项目环境影响可行</w:t>
            </w:r>
            <w:r>
              <w:rPr>
                <w:rFonts w:ascii="宋体" w:cs="宋体"/>
                <w:color w:val="auto"/>
                <w:sz w:val="24"/>
              </w:rPr>
              <w:t>。</w:t>
            </w:r>
          </w:p>
        </w:tc>
      </w:tr>
    </w:tbl>
    <w:p w14:paraId="01350A1C">
      <w:pPr>
        <w:rPr>
          <w:rFonts w:ascii="宋体"/>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44F0C751">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textAlignment w:val="auto"/>
        <w:outlineLvl w:val="0"/>
        <w:rPr>
          <w:rFonts w:ascii="黑体" w:hAnsi="黑体" w:eastAsia="黑体"/>
          <w:snapToGrid w:val="0"/>
          <w:color w:val="auto"/>
          <w:sz w:val="32"/>
          <w:szCs w:val="32"/>
        </w:rPr>
      </w:pPr>
      <w:r>
        <w:rPr>
          <w:rFonts w:hint="eastAsia" w:ascii="黑体" w:hAnsi="黑体" w:eastAsia="黑体"/>
          <w:snapToGrid w:val="0"/>
          <w:color w:val="auto"/>
          <w:sz w:val="32"/>
          <w:szCs w:val="32"/>
        </w:rPr>
        <w:t>附表</w:t>
      </w:r>
    </w:p>
    <w:p w14:paraId="67196237">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eastAsia" w:ascii="方正小标宋_GBK" w:hAnsi="黑体" w:eastAsia="方正小标宋_GBK"/>
          <w:snapToGrid w:val="0"/>
          <w:color w:val="auto"/>
          <w:sz w:val="38"/>
          <w:szCs w:val="38"/>
        </w:rPr>
      </w:pPr>
      <w:r>
        <w:rPr>
          <w:rFonts w:hint="eastAsia" w:ascii="方正小标宋_GBK" w:hAnsi="黑体" w:eastAsia="方正小标宋_GBK"/>
          <w:snapToGrid w:val="0"/>
          <w:color w:val="auto"/>
          <w:sz w:val="38"/>
          <w:szCs w:val="38"/>
        </w:rPr>
        <w:t>建设项目污染物排放量汇总表</w:t>
      </w:r>
    </w:p>
    <w:tbl>
      <w:tblPr>
        <w:tblStyle w:val="24"/>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86"/>
        <w:gridCol w:w="1619"/>
        <w:gridCol w:w="1701"/>
        <w:gridCol w:w="1276"/>
        <w:gridCol w:w="1701"/>
        <w:gridCol w:w="1559"/>
        <w:gridCol w:w="1498"/>
        <w:gridCol w:w="1680"/>
        <w:gridCol w:w="1368"/>
      </w:tblGrid>
      <w:tr w14:paraId="0FBE5B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386" w:type="dxa"/>
            <w:tcBorders>
              <w:tl2br w:val="single" w:color="auto" w:sz="4" w:space="0"/>
            </w:tcBorders>
            <w:noWrap w:val="0"/>
            <w:tcMar>
              <w:left w:w="28" w:type="dxa"/>
              <w:right w:w="28" w:type="dxa"/>
            </w:tcMar>
            <w:vAlign w:val="center"/>
          </w:tcPr>
          <w:p w14:paraId="21CCA098">
            <w:pPr>
              <w:pStyle w:val="31"/>
              <w:spacing w:beforeLines="0" w:afterLines="0" w:line="240" w:lineRule="auto"/>
              <w:jc w:val="righ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项目</w:t>
            </w:r>
          </w:p>
          <w:p w14:paraId="749DDD66">
            <w:pPr>
              <w:pStyle w:val="31"/>
              <w:spacing w:beforeLines="0" w:afterLines="0" w:line="240" w:lineRule="auto"/>
              <w:jc w:val="lef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分类</w:t>
            </w:r>
          </w:p>
        </w:tc>
        <w:tc>
          <w:tcPr>
            <w:tcW w:w="1619" w:type="dxa"/>
            <w:noWrap w:val="0"/>
            <w:tcMar>
              <w:left w:w="28" w:type="dxa"/>
              <w:right w:w="28" w:type="dxa"/>
            </w:tcMar>
            <w:vAlign w:val="center"/>
          </w:tcPr>
          <w:p w14:paraId="0576C6A1">
            <w:pPr>
              <w:pStyle w:val="31"/>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污染物名称</w:t>
            </w:r>
          </w:p>
        </w:tc>
        <w:tc>
          <w:tcPr>
            <w:tcW w:w="1701" w:type="dxa"/>
            <w:noWrap w:val="0"/>
            <w:tcMar>
              <w:left w:w="28" w:type="dxa"/>
              <w:right w:w="28" w:type="dxa"/>
            </w:tcMar>
            <w:vAlign w:val="center"/>
          </w:tcPr>
          <w:p w14:paraId="651ACB3D">
            <w:pPr>
              <w:pStyle w:val="31"/>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原有工程</w:t>
            </w:r>
          </w:p>
          <w:p w14:paraId="7BE76216">
            <w:pPr>
              <w:pStyle w:val="31"/>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1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①</w:t>
            </w:r>
            <w:r>
              <w:rPr>
                <w:rFonts w:hint="default" w:ascii="Times New Roman" w:hAnsi="Times New Roman" w:eastAsia="黑体" w:cs="Times New Roman"/>
                <w:snapToGrid w:val="0"/>
                <w:color w:val="auto"/>
                <w:spacing w:val="-6"/>
                <w:kern w:val="21"/>
                <w:szCs w:val="21"/>
              </w:rPr>
              <w:fldChar w:fldCharType="end"/>
            </w:r>
          </w:p>
        </w:tc>
        <w:tc>
          <w:tcPr>
            <w:tcW w:w="1276" w:type="dxa"/>
            <w:noWrap w:val="0"/>
            <w:tcMar>
              <w:left w:w="28" w:type="dxa"/>
              <w:right w:w="28" w:type="dxa"/>
            </w:tcMar>
            <w:vAlign w:val="center"/>
          </w:tcPr>
          <w:p w14:paraId="3080824A">
            <w:pPr>
              <w:pStyle w:val="31"/>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原有工程</w:t>
            </w:r>
          </w:p>
          <w:p w14:paraId="05CA8BA8">
            <w:pPr>
              <w:pStyle w:val="31"/>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许可排放量</w:t>
            </w:r>
          </w:p>
          <w:p w14:paraId="2FA9B85C">
            <w:pPr>
              <w:pStyle w:val="31"/>
              <w:spacing w:beforeLines="0" w:afterLines="0"/>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2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snapToGrid w:val="0"/>
                <w:color w:val="auto"/>
                <w:spacing w:val="-6"/>
                <w:kern w:val="21"/>
                <w:szCs w:val="21"/>
              </w:rPr>
              <w:t>②</w:t>
            </w:r>
            <w:r>
              <w:rPr>
                <w:rFonts w:hint="default" w:ascii="Times New Roman" w:hAnsi="Times New Roman" w:eastAsia="黑体" w:cs="Times New Roman"/>
                <w:snapToGrid w:val="0"/>
                <w:color w:val="auto"/>
                <w:spacing w:val="-6"/>
                <w:kern w:val="21"/>
                <w:szCs w:val="21"/>
              </w:rPr>
              <w:fldChar w:fldCharType="end"/>
            </w:r>
          </w:p>
        </w:tc>
        <w:tc>
          <w:tcPr>
            <w:tcW w:w="1701" w:type="dxa"/>
            <w:noWrap w:val="0"/>
            <w:tcMar>
              <w:left w:w="28" w:type="dxa"/>
              <w:right w:w="28" w:type="dxa"/>
            </w:tcMar>
            <w:vAlign w:val="center"/>
          </w:tcPr>
          <w:p w14:paraId="59E86F29">
            <w:pPr>
              <w:pStyle w:val="31"/>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在建工程</w:t>
            </w:r>
          </w:p>
          <w:p w14:paraId="2520810E">
            <w:pPr>
              <w:pStyle w:val="31"/>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3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③</w:t>
            </w:r>
            <w:r>
              <w:rPr>
                <w:rFonts w:hint="default" w:ascii="Times New Roman" w:hAnsi="Times New Roman" w:eastAsia="黑体" w:cs="Times New Roman"/>
                <w:snapToGrid w:val="0"/>
                <w:color w:val="auto"/>
                <w:spacing w:val="-6"/>
                <w:kern w:val="21"/>
                <w:szCs w:val="21"/>
              </w:rPr>
              <w:fldChar w:fldCharType="end"/>
            </w:r>
          </w:p>
        </w:tc>
        <w:tc>
          <w:tcPr>
            <w:tcW w:w="1559" w:type="dxa"/>
            <w:noWrap w:val="0"/>
            <w:tcMar>
              <w:left w:w="28" w:type="dxa"/>
              <w:right w:w="28" w:type="dxa"/>
            </w:tcMar>
            <w:vAlign w:val="center"/>
          </w:tcPr>
          <w:p w14:paraId="730CDE1C">
            <w:pPr>
              <w:pStyle w:val="31"/>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本项目</w:t>
            </w:r>
          </w:p>
          <w:p w14:paraId="4002A58A">
            <w:pPr>
              <w:pStyle w:val="31"/>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4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④</w:t>
            </w:r>
            <w:r>
              <w:rPr>
                <w:rFonts w:hint="default" w:ascii="Times New Roman" w:hAnsi="Times New Roman" w:eastAsia="黑体" w:cs="Times New Roman"/>
                <w:snapToGrid w:val="0"/>
                <w:color w:val="auto"/>
                <w:spacing w:val="-6"/>
                <w:kern w:val="21"/>
                <w:szCs w:val="21"/>
              </w:rPr>
              <w:fldChar w:fldCharType="end"/>
            </w:r>
          </w:p>
        </w:tc>
        <w:tc>
          <w:tcPr>
            <w:tcW w:w="1498" w:type="dxa"/>
            <w:noWrap w:val="0"/>
            <w:tcMar>
              <w:left w:w="28" w:type="dxa"/>
              <w:right w:w="28" w:type="dxa"/>
            </w:tcMar>
            <w:vAlign w:val="center"/>
          </w:tcPr>
          <w:p w14:paraId="14160A4C">
            <w:pPr>
              <w:pStyle w:val="31"/>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以新带老削减量</w:t>
            </w:r>
          </w:p>
          <w:p w14:paraId="43E9774F">
            <w:pPr>
              <w:pStyle w:val="31"/>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（新建项目不填）</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5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kern w:val="2"/>
                <w:szCs w:val="21"/>
              </w:rPr>
              <w:t>⑤</w:t>
            </w:r>
            <w:r>
              <w:rPr>
                <w:rFonts w:hint="default" w:ascii="Times New Roman" w:hAnsi="Times New Roman" w:eastAsia="黑体" w:cs="Times New Roman"/>
                <w:snapToGrid w:val="0"/>
                <w:color w:val="auto"/>
                <w:spacing w:val="-16"/>
                <w:kern w:val="21"/>
                <w:szCs w:val="21"/>
              </w:rPr>
              <w:fldChar w:fldCharType="end"/>
            </w:r>
          </w:p>
        </w:tc>
        <w:tc>
          <w:tcPr>
            <w:tcW w:w="1680" w:type="dxa"/>
            <w:noWrap w:val="0"/>
            <w:tcMar>
              <w:left w:w="28" w:type="dxa"/>
              <w:right w:w="28" w:type="dxa"/>
            </w:tcMar>
            <w:vAlign w:val="center"/>
          </w:tcPr>
          <w:p w14:paraId="4B84D694">
            <w:pPr>
              <w:pStyle w:val="31"/>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本项目建成后</w:t>
            </w:r>
          </w:p>
          <w:p w14:paraId="243B4716">
            <w:pPr>
              <w:pStyle w:val="31"/>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全厂排放量（固体废物产生量）</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6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kern w:val="2"/>
                <w:szCs w:val="21"/>
              </w:rPr>
              <w:t>⑥</w:t>
            </w:r>
            <w:r>
              <w:rPr>
                <w:rFonts w:hint="default" w:ascii="Times New Roman" w:hAnsi="Times New Roman" w:eastAsia="黑体" w:cs="Times New Roman"/>
                <w:snapToGrid w:val="0"/>
                <w:color w:val="auto"/>
                <w:spacing w:val="-16"/>
                <w:kern w:val="21"/>
                <w:szCs w:val="21"/>
              </w:rPr>
              <w:fldChar w:fldCharType="end"/>
            </w:r>
          </w:p>
        </w:tc>
        <w:tc>
          <w:tcPr>
            <w:tcW w:w="1368" w:type="dxa"/>
            <w:noWrap w:val="0"/>
            <w:tcMar>
              <w:left w:w="28" w:type="dxa"/>
              <w:right w:w="28" w:type="dxa"/>
            </w:tcMar>
            <w:vAlign w:val="center"/>
          </w:tcPr>
          <w:p w14:paraId="3FCD6A38">
            <w:pPr>
              <w:pStyle w:val="31"/>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变化量</w:t>
            </w:r>
          </w:p>
          <w:p w14:paraId="43BAFAB6">
            <w:pPr>
              <w:pStyle w:val="31"/>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7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⑦</w:t>
            </w:r>
            <w:r>
              <w:rPr>
                <w:rFonts w:hint="default" w:ascii="Times New Roman" w:hAnsi="Times New Roman" w:eastAsia="黑体" w:cs="Times New Roman"/>
                <w:snapToGrid w:val="0"/>
                <w:color w:val="auto"/>
                <w:spacing w:val="-6"/>
                <w:kern w:val="21"/>
                <w:szCs w:val="21"/>
              </w:rPr>
              <w:fldChar w:fldCharType="end"/>
            </w:r>
          </w:p>
        </w:tc>
      </w:tr>
      <w:tr w14:paraId="0A8E23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6" w:type="dxa"/>
            <w:vMerge w:val="restart"/>
            <w:noWrap w:val="0"/>
            <w:vAlign w:val="center"/>
          </w:tcPr>
          <w:p w14:paraId="15E5E6C4">
            <w:pPr>
              <w:pStyle w:val="31"/>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废气</w:t>
            </w:r>
          </w:p>
        </w:tc>
        <w:tc>
          <w:tcPr>
            <w:tcW w:w="1619" w:type="dxa"/>
            <w:noWrap w:val="0"/>
            <w:vAlign w:val="center"/>
          </w:tcPr>
          <w:p w14:paraId="079C6939">
            <w:pPr>
              <w:pStyle w:val="31"/>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粉尘</w:t>
            </w:r>
          </w:p>
        </w:tc>
        <w:tc>
          <w:tcPr>
            <w:tcW w:w="1701" w:type="dxa"/>
            <w:noWrap w:val="0"/>
            <w:vAlign w:val="center"/>
          </w:tcPr>
          <w:p w14:paraId="043A0DC0">
            <w:pPr>
              <w:pStyle w:val="31"/>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cs="Times New Roman"/>
                <w:snapToGrid w:val="0"/>
                <w:color w:val="auto"/>
                <w:kern w:val="21"/>
                <w:szCs w:val="21"/>
                <w:lang w:val="en-US" w:eastAsia="zh-CN"/>
              </w:rPr>
              <w:t>0.64</w:t>
            </w:r>
            <w:r>
              <w:rPr>
                <w:rFonts w:hint="default" w:ascii="Times New Roman" w:hAnsi="Times New Roman" w:cs="Times New Roman"/>
                <w:b w:val="0"/>
                <w:color w:val="auto"/>
                <w:sz w:val="21"/>
                <w:szCs w:val="21"/>
                <w:vertAlign w:val="baseline"/>
                <w:lang w:val="en-US" w:eastAsia="zh-CN"/>
              </w:rPr>
              <w:t>t/a</w:t>
            </w:r>
          </w:p>
        </w:tc>
        <w:tc>
          <w:tcPr>
            <w:tcW w:w="1276" w:type="dxa"/>
            <w:noWrap w:val="0"/>
            <w:vAlign w:val="center"/>
          </w:tcPr>
          <w:p w14:paraId="295AE269">
            <w:pPr>
              <w:pStyle w:val="31"/>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cs="Times New Roman"/>
                <w:snapToGrid w:val="0"/>
                <w:color w:val="auto"/>
                <w:kern w:val="21"/>
                <w:szCs w:val="21"/>
                <w:lang w:val="en-US" w:eastAsia="zh-CN"/>
              </w:rPr>
              <w:t>0.64</w:t>
            </w:r>
            <w:r>
              <w:rPr>
                <w:rFonts w:hint="default" w:ascii="Times New Roman" w:hAnsi="Times New Roman" w:cs="Times New Roman"/>
                <w:b w:val="0"/>
                <w:color w:val="auto"/>
                <w:sz w:val="21"/>
                <w:szCs w:val="21"/>
                <w:vertAlign w:val="baseline"/>
                <w:lang w:val="en-US" w:eastAsia="zh-CN"/>
              </w:rPr>
              <w:t>t/a</w:t>
            </w:r>
          </w:p>
        </w:tc>
        <w:tc>
          <w:tcPr>
            <w:tcW w:w="1701" w:type="dxa"/>
            <w:noWrap w:val="0"/>
            <w:vAlign w:val="center"/>
          </w:tcPr>
          <w:p w14:paraId="3ECD957C">
            <w:pPr>
              <w:pStyle w:val="31"/>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cs="Times New Roman"/>
                <w:snapToGrid w:val="0"/>
                <w:color w:val="auto"/>
                <w:kern w:val="21"/>
                <w:szCs w:val="21"/>
                <w:lang w:val="en-US" w:eastAsia="zh-CN"/>
              </w:rPr>
              <w:t>/</w:t>
            </w:r>
          </w:p>
        </w:tc>
        <w:tc>
          <w:tcPr>
            <w:tcW w:w="1559" w:type="dxa"/>
            <w:noWrap w:val="0"/>
            <w:vAlign w:val="center"/>
          </w:tcPr>
          <w:p w14:paraId="5CD3EBA5">
            <w:pPr>
              <w:pStyle w:val="31"/>
              <w:spacing w:beforeLines="0" w:afterLines="0" w:line="240" w:lineRule="auto"/>
              <w:rPr>
                <w:rFonts w:hint="default" w:ascii="Times New Roman" w:hAnsi="Times New Roman" w:eastAsia="宋体" w:cs="Times New Roman"/>
                <w:b w:val="0"/>
                <w:color w:val="auto"/>
                <w:kern w:val="0"/>
                <w:sz w:val="21"/>
                <w:szCs w:val="21"/>
                <w:vertAlign w:val="baseline"/>
                <w:lang w:val="en-US" w:eastAsia="zh-CN" w:bidi="ar-SA"/>
              </w:rPr>
            </w:pPr>
            <w:r>
              <w:rPr>
                <w:rFonts w:hint="eastAsia" w:ascii="Times New Roman" w:cs="Times New Roman"/>
                <w:b w:val="0"/>
                <w:color w:val="auto"/>
                <w:sz w:val="21"/>
                <w:szCs w:val="21"/>
                <w:vertAlign w:val="baseline"/>
                <w:lang w:val="en-US" w:eastAsia="zh-CN"/>
              </w:rPr>
              <w:t>13.55</w:t>
            </w:r>
            <w:r>
              <w:rPr>
                <w:rFonts w:hint="default" w:ascii="Times New Roman" w:hAnsi="Times New Roman" w:cs="Times New Roman"/>
                <w:b w:val="0"/>
                <w:color w:val="auto"/>
                <w:sz w:val="21"/>
                <w:szCs w:val="21"/>
                <w:vertAlign w:val="baseline"/>
                <w:lang w:val="en-US" w:eastAsia="zh-CN"/>
              </w:rPr>
              <w:t>t/a</w:t>
            </w:r>
          </w:p>
        </w:tc>
        <w:tc>
          <w:tcPr>
            <w:tcW w:w="1498" w:type="dxa"/>
            <w:noWrap w:val="0"/>
            <w:vAlign w:val="center"/>
          </w:tcPr>
          <w:p w14:paraId="6F0331EF">
            <w:pPr>
              <w:pStyle w:val="31"/>
              <w:spacing w:beforeLines="0" w:afterLines="0" w:line="240" w:lineRule="auto"/>
              <w:rPr>
                <w:rFonts w:hint="default" w:ascii="Times New Roman" w:hAnsi="Times New Roman" w:eastAsia="宋体" w:cs="Times New Roman"/>
                <w:b w:val="0"/>
                <w:color w:val="auto"/>
                <w:kern w:val="0"/>
                <w:sz w:val="21"/>
                <w:szCs w:val="21"/>
                <w:vertAlign w:val="baseline"/>
                <w:lang w:val="en-US" w:eastAsia="zh-CN" w:bidi="ar-SA"/>
              </w:rPr>
            </w:pPr>
            <w:r>
              <w:rPr>
                <w:rFonts w:hint="eastAsia" w:ascii="Times New Roman" w:cs="Times New Roman"/>
                <w:snapToGrid w:val="0"/>
                <w:color w:val="auto"/>
                <w:kern w:val="21"/>
                <w:szCs w:val="21"/>
                <w:lang w:val="en-US" w:eastAsia="zh-CN"/>
              </w:rPr>
              <w:t>/</w:t>
            </w:r>
          </w:p>
        </w:tc>
        <w:tc>
          <w:tcPr>
            <w:tcW w:w="1680" w:type="dxa"/>
            <w:noWrap w:val="0"/>
            <w:vAlign w:val="center"/>
          </w:tcPr>
          <w:p w14:paraId="0801359D">
            <w:pPr>
              <w:pStyle w:val="31"/>
              <w:spacing w:beforeLines="0" w:afterLines="0" w:line="240" w:lineRule="auto"/>
              <w:rPr>
                <w:rFonts w:hint="default" w:ascii="Times New Roman" w:hAnsi="Times New Roman" w:eastAsia="宋体" w:cs="Times New Roman"/>
                <w:b w:val="0"/>
                <w:color w:val="auto"/>
                <w:kern w:val="0"/>
                <w:sz w:val="21"/>
                <w:szCs w:val="21"/>
                <w:vertAlign w:val="baseline"/>
                <w:lang w:val="en-US" w:eastAsia="zh-CN" w:bidi="ar-SA"/>
              </w:rPr>
            </w:pPr>
            <w:r>
              <w:rPr>
                <w:rFonts w:hint="eastAsia" w:ascii="Times New Roman" w:cs="Times New Roman"/>
                <w:b w:val="0"/>
                <w:color w:val="auto"/>
                <w:sz w:val="21"/>
                <w:szCs w:val="21"/>
                <w:vertAlign w:val="baseline"/>
                <w:lang w:val="en-US" w:eastAsia="zh-CN"/>
              </w:rPr>
              <w:t>14.19</w:t>
            </w:r>
            <w:r>
              <w:rPr>
                <w:rFonts w:hint="default" w:ascii="Times New Roman" w:hAnsi="Times New Roman" w:cs="Times New Roman"/>
                <w:b w:val="0"/>
                <w:color w:val="auto"/>
                <w:sz w:val="21"/>
                <w:szCs w:val="21"/>
                <w:vertAlign w:val="baseline"/>
                <w:lang w:val="en-US" w:eastAsia="zh-CN"/>
              </w:rPr>
              <w:t>t/a</w:t>
            </w:r>
          </w:p>
        </w:tc>
        <w:tc>
          <w:tcPr>
            <w:tcW w:w="1368" w:type="dxa"/>
            <w:noWrap w:val="0"/>
            <w:vAlign w:val="center"/>
          </w:tcPr>
          <w:p w14:paraId="52C3F5C6">
            <w:pPr>
              <w:pStyle w:val="31"/>
              <w:spacing w:beforeLines="0" w:afterLines="0" w:line="240" w:lineRule="auto"/>
              <w:rPr>
                <w:rFonts w:hint="default" w:ascii="Times New Roman" w:hAnsi="Times New Roman" w:eastAsia="宋体" w:cs="Times New Roman"/>
                <w:b w:val="0"/>
                <w:color w:val="auto"/>
                <w:kern w:val="0"/>
                <w:sz w:val="21"/>
                <w:szCs w:val="21"/>
                <w:vertAlign w:val="baseline"/>
                <w:lang w:val="en-US" w:eastAsia="zh-CN" w:bidi="ar-SA"/>
              </w:rPr>
            </w:pPr>
            <w:r>
              <w:rPr>
                <w:rFonts w:hint="eastAsia" w:ascii="Times New Roman" w:cs="Times New Roman"/>
                <w:b w:val="0"/>
                <w:color w:val="auto"/>
                <w:sz w:val="21"/>
                <w:szCs w:val="21"/>
                <w:vertAlign w:val="baseline"/>
                <w:lang w:val="en-US" w:eastAsia="zh-CN"/>
              </w:rPr>
              <w:t>+13.55</w:t>
            </w:r>
            <w:r>
              <w:rPr>
                <w:rFonts w:hint="default" w:ascii="Times New Roman" w:hAnsi="Times New Roman" w:cs="Times New Roman"/>
                <w:b w:val="0"/>
                <w:color w:val="auto"/>
                <w:sz w:val="21"/>
                <w:szCs w:val="21"/>
                <w:vertAlign w:val="baseline"/>
                <w:lang w:val="en-US" w:eastAsia="zh-CN"/>
              </w:rPr>
              <w:t>t/a</w:t>
            </w:r>
          </w:p>
        </w:tc>
      </w:tr>
      <w:tr w14:paraId="100A5D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6" w:type="dxa"/>
            <w:vMerge w:val="continue"/>
            <w:noWrap w:val="0"/>
            <w:vAlign w:val="center"/>
          </w:tcPr>
          <w:p w14:paraId="36506929">
            <w:pPr>
              <w:pStyle w:val="31"/>
              <w:spacing w:beforeLines="0" w:afterLines="0" w:line="240" w:lineRule="auto"/>
              <w:rPr>
                <w:rFonts w:hint="default" w:ascii="Times New Roman" w:hAnsi="Times New Roman" w:cs="Times New Roman"/>
                <w:snapToGrid w:val="0"/>
                <w:color w:val="auto"/>
                <w:kern w:val="21"/>
                <w:szCs w:val="21"/>
              </w:rPr>
            </w:pPr>
          </w:p>
        </w:tc>
        <w:tc>
          <w:tcPr>
            <w:tcW w:w="1619" w:type="dxa"/>
            <w:noWrap w:val="0"/>
            <w:vAlign w:val="center"/>
          </w:tcPr>
          <w:p w14:paraId="00AB0EBF">
            <w:pPr>
              <w:pStyle w:val="31"/>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非甲烷总烃（有组织）</w:t>
            </w:r>
          </w:p>
        </w:tc>
        <w:tc>
          <w:tcPr>
            <w:tcW w:w="1701" w:type="dxa"/>
            <w:noWrap w:val="0"/>
            <w:vAlign w:val="center"/>
          </w:tcPr>
          <w:p w14:paraId="566C5523">
            <w:pPr>
              <w:pStyle w:val="31"/>
              <w:spacing w:beforeLines="0" w:afterLines="0" w:line="240" w:lineRule="auto"/>
              <w:rPr>
                <w:rFonts w:hint="eastAsia" w:ascii="Times New Roman" w:cs="Times New Roman"/>
                <w:snapToGrid w:val="0"/>
                <w:color w:val="auto"/>
                <w:kern w:val="21"/>
                <w:szCs w:val="21"/>
                <w:lang w:val="en-US" w:eastAsia="zh-CN"/>
              </w:rPr>
            </w:pPr>
            <w:r>
              <w:rPr>
                <w:rFonts w:hint="eastAsia" w:ascii="Times New Roman" w:cs="Times New Roman"/>
                <w:b w:val="0"/>
                <w:color w:val="auto"/>
                <w:sz w:val="21"/>
                <w:szCs w:val="21"/>
                <w:vertAlign w:val="baseline"/>
                <w:lang w:val="en-US" w:eastAsia="zh-CN"/>
              </w:rPr>
              <w:t>0</w:t>
            </w:r>
            <w:r>
              <w:rPr>
                <w:rFonts w:hint="default" w:ascii="Times New Roman" w:hAnsi="Times New Roman" w:cs="Times New Roman"/>
                <w:b w:val="0"/>
                <w:color w:val="auto"/>
                <w:sz w:val="21"/>
                <w:szCs w:val="21"/>
                <w:vertAlign w:val="baseline"/>
                <w:lang w:val="en-US" w:eastAsia="zh-CN"/>
              </w:rPr>
              <w:t>t/a</w:t>
            </w:r>
          </w:p>
        </w:tc>
        <w:tc>
          <w:tcPr>
            <w:tcW w:w="1276" w:type="dxa"/>
            <w:noWrap w:val="0"/>
            <w:vAlign w:val="center"/>
          </w:tcPr>
          <w:p w14:paraId="0833CA47">
            <w:pPr>
              <w:pStyle w:val="31"/>
              <w:spacing w:beforeLines="0" w:afterLines="0" w:line="240" w:lineRule="auto"/>
              <w:rPr>
                <w:rFonts w:hint="eastAsia"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w:t>
            </w:r>
            <w:r>
              <w:rPr>
                <w:rFonts w:hint="default" w:ascii="Times New Roman" w:hAnsi="Times New Roman" w:cs="Times New Roman"/>
                <w:b w:val="0"/>
                <w:color w:val="auto"/>
                <w:sz w:val="21"/>
                <w:szCs w:val="21"/>
                <w:vertAlign w:val="baseline"/>
                <w:lang w:val="en-US" w:eastAsia="zh-CN"/>
              </w:rPr>
              <w:t>t/a</w:t>
            </w:r>
          </w:p>
        </w:tc>
        <w:tc>
          <w:tcPr>
            <w:tcW w:w="1701" w:type="dxa"/>
            <w:noWrap w:val="0"/>
            <w:vAlign w:val="center"/>
          </w:tcPr>
          <w:p w14:paraId="42CCAE43">
            <w:pPr>
              <w:pStyle w:val="31"/>
              <w:spacing w:beforeLines="0" w:afterLines="0" w:line="240" w:lineRule="auto"/>
              <w:rPr>
                <w:rFonts w:hint="eastAsia"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w:t>
            </w:r>
          </w:p>
        </w:tc>
        <w:tc>
          <w:tcPr>
            <w:tcW w:w="1559" w:type="dxa"/>
            <w:noWrap w:val="0"/>
            <w:vAlign w:val="center"/>
          </w:tcPr>
          <w:p w14:paraId="03127EF1">
            <w:pPr>
              <w:pStyle w:val="31"/>
              <w:spacing w:beforeLines="0" w:afterLines="0" w:line="240" w:lineRule="auto"/>
              <w:rPr>
                <w:rFonts w:hint="eastAsia" w:ascii="Times New Roman" w:cs="Times New Roman"/>
                <w:b w:val="0"/>
                <w:color w:val="auto"/>
                <w:sz w:val="21"/>
                <w:szCs w:val="21"/>
                <w:vertAlign w:val="baseline"/>
                <w:lang w:val="en-US" w:eastAsia="zh-CN"/>
              </w:rPr>
            </w:pPr>
            <w:r>
              <w:rPr>
                <w:rFonts w:hint="eastAsia" w:ascii="Times New Roman" w:cs="Times New Roman"/>
                <w:b w:val="0"/>
                <w:color w:val="auto"/>
                <w:sz w:val="21"/>
                <w:szCs w:val="21"/>
                <w:vertAlign w:val="baseline"/>
                <w:lang w:val="en-US" w:eastAsia="zh-CN"/>
              </w:rPr>
              <w:t>3.32</w:t>
            </w:r>
            <w:r>
              <w:rPr>
                <w:rFonts w:hint="default" w:ascii="Times New Roman" w:hAnsi="Times New Roman" w:cs="Times New Roman"/>
                <w:b w:val="0"/>
                <w:color w:val="auto"/>
                <w:sz w:val="21"/>
                <w:szCs w:val="21"/>
                <w:vertAlign w:val="baseline"/>
                <w:lang w:val="en-US" w:eastAsia="zh-CN"/>
              </w:rPr>
              <w:t>t/a</w:t>
            </w:r>
          </w:p>
        </w:tc>
        <w:tc>
          <w:tcPr>
            <w:tcW w:w="1498" w:type="dxa"/>
            <w:noWrap w:val="0"/>
            <w:vAlign w:val="center"/>
          </w:tcPr>
          <w:p w14:paraId="53551E0B">
            <w:pPr>
              <w:pStyle w:val="31"/>
              <w:spacing w:beforeLines="0" w:afterLines="0" w:line="240" w:lineRule="auto"/>
              <w:rPr>
                <w:rFonts w:hint="eastAsia" w:ascii="Times New Roman" w:cs="Times New Roman"/>
                <w:b w:val="0"/>
                <w:color w:val="auto"/>
                <w:sz w:val="21"/>
                <w:szCs w:val="21"/>
                <w:vertAlign w:val="baseline"/>
                <w:lang w:val="en-US" w:eastAsia="zh-CN"/>
              </w:rPr>
            </w:pPr>
            <w:r>
              <w:rPr>
                <w:rFonts w:hint="eastAsia" w:ascii="Times New Roman" w:cs="Times New Roman"/>
                <w:snapToGrid w:val="0"/>
                <w:color w:val="auto"/>
                <w:kern w:val="21"/>
                <w:szCs w:val="21"/>
                <w:lang w:val="en-US" w:eastAsia="zh-CN"/>
              </w:rPr>
              <w:t>/</w:t>
            </w:r>
          </w:p>
        </w:tc>
        <w:tc>
          <w:tcPr>
            <w:tcW w:w="1680" w:type="dxa"/>
            <w:noWrap w:val="0"/>
            <w:vAlign w:val="center"/>
          </w:tcPr>
          <w:p w14:paraId="04E3306F">
            <w:pPr>
              <w:pStyle w:val="31"/>
              <w:spacing w:beforeLines="0" w:afterLines="0" w:line="240" w:lineRule="auto"/>
              <w:rPr>
                <w:rFonts w:hint="eastAsia" w:ascii="Times New Roman" w:cs="Times New Roman"/>
                <w:b w:val="0"/>
                <w:color w:val="auto"/>
                <w:sz w:val="21"/>
                <w:szCs w:val="21"/>
                <w:vertAlign w:val="baseline"/>
                <w:lang w:val="en-US" w:eastAsia="zh-CN"/>
              </w:rPr>
            </w:pPr>
            <w:r>
              <w:rPr>
                <w:rFonts w:hint="eastAsia" w:ascii="Times New Roman" w:cs="Times New Roman"/>
                <w:b w:val="0"/>
                <w:color w:val="auto"/>
                <w:sz w:val="21"/>
                <w:szCs w:val="21"/>
                <w:vertAlign w:val="baseline"/>
                <w:lang w:val="en-US" w:eastAsia="zh-CN"/>
              </w:rPr>
              <w:t>3.32</w:t>
            </w:r>
            <w:r>
              <w:rPr>
                <w:rFonts w:hint="default" w:ascii="Times New Roman" w:hAnsi="Times New Roman" w:cs="Times New Roman"/>
                <w:b w:val="0"/>
                <w:color w:val="auto"/>
                <w:sz w:val="21"/>
                <w:szCs w:val="21"/>
                <w:vertAlign w:val="baseline"/>
                <w:lang w:val="en-US" w:eastAsia="zh-CN"/>
              </w:rPr>
              <w:t>t/a</w:t>
            </w:r>
          </w:p>
        </w:tc>
        <w:tc>
          <w:tcPr>
            <w:tcW w:w="1368" w:type="dxa"/>
            <w:noWrap w:val="0"/>
            <w:vAlign w:val="center"/>
          </w:tcPr>
          <w:p w14:paraId="193B0CB9">
            <w:pPr>
              <w:pStyle w:val="31"/>
              <w:spacing w:beforeLines="0" w:afterLines="0" w:line="240" w:lineRule="auto"/>
              <w:rPr>
                <w:rFonts w:hint="default" w:ascii="Times New Roman" w:hAnsi="Times New Roman" w:cs="Times New Roman"/>
                <w:b w:val="0"/>
                <w:color w:val="auto"/>
                <w:sz w:val="21"/>
                <w:szCs w:val="21"/>
                <w:vertAlign w:val="baseline"/>
                <w:lang w:val="en-US" w:eastAsia="zh-CN"/>
              </w:rPr>
            </w:pPr>
            <w:r>
              <w:rPr>
                <w:rFonts w:hint="eastAsia" w:ascii="Times New Roman" w:cs="Times New Roman"/>
                <w:b w:val="0"/>
                <w:color w:val="auto"/>
                <w:sz w:val="21"/>
                <w:szCs w:val="21"/>
                <w:vertAlign w:val="baseline"/>
                <w:lang w:val="en-US" w:eastAsia="zh-CN"/>
              </w:rPr>
              <w:t>+3.32</w:t>
            </w:r>
            <w:r>
              <w:rPr>
                <w:rFonts w:hint="default" w:ascii="Times New Roman" w:hAnsi="Times New Roman" w:cs="Times New Roman"/>
                <w:b w:val="0"/>
                <w:color w:val="auto"/>
                <w:sz w:val="21"/>
                <w:szCs w:val="21"/>
                <w:vertAlign w:val="baseline"/>
                <w:lang w:val="en-US" w:eastAsia="zh-CN"/>
              </w:rPr>
              <w:t>t/a</w:t>
            </w:r>
          </w:p>
        </w:tc>
      </w:tr>
      <w:tr w14:paraId="49C90B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6" w:type="dxa"/>
            <w:vMerge w:val="continue"/>
            <w:noWrap w:val="0"/>
            <w:vAlign w:val="center"/>
          </w:tcPr>
          <w:p w14:paraId="47BBFC72">
            <w:pPr>
              <w:pStyle w:val="31"/>
              <w:spacing w:beforeLines="0" w:afterLines="0" w:line="240" w:lineRule="auto"/>
              <w:rPr>
                <w:rFonts w:hint="default" w:ascii="Times New Roman" w:hAnsi="Times New Roman" w:cs="Times New Roman"/>
                <w:snapToGrid w:val="0"/>
                <w:color w:val="auto"/>
                <w:kern w:val="21"/>
                <w:szCs w:val="21"/>
              </w:rPr>
            </w:pPr>
          </w:p>
        </w:tc>
        <w:tc>
          <w:tcPr>
            <w:tcW w:w="1619" w:type="dxa"/>
            <w:noWrap w:val="0"/>
            <w:vAlign w:val="center"/>
          </w:tcPr>
          <w:p w14:paraId="7E155930">
            <w:pPr>
              <w:pStyle w:val="31"/>
              <w:keepNext w:val="0"/>
              <w:keepLines w:val="0"/>
              <w:suppressLineNumbers w:val="0"/>
              <w:spacing w:before="0" w:beforeLines="0" w:beforeAutospacing="0" w:after="0" w:afterLines="0" w:afterAutospacing="0" w:line="240" w:lineRule="auto"/>
              <w:ind w:left="0" w:leftChars="0" w:right="0" w:rightChars="0"/>
              <w:rPr>
                <w:rFonts w:hint="eastAsia"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非甲烷总烃（无组织）</w:t>
            </w:r>
          </w:p>
        </w:tc>
        <w:tc>
          <w:tcPr>
            <w:tcW w:w="1701" w:type="dxa"/>
            <w:shd w:val="clear" w:color="auto" w:fill="auto"/>
            <w:noWrap w:val="0"/>
            <w:vAlign w:val="center"/>
          </w:tcPr>
          <w:p w14:paraId="56E1FC60">
            <w:pPr>
              <w:pStyle w:val="31"/>
              <w:spacing w:beforeLines="0" w:afterLines="0" w:line="240" w:lineRule="auto"/>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cs="Times New Roman"/>
                <w:b w:val="0"/>
                <w:color w:val="auto"/>
                <w:sz w:val="21"/>
                <w:szCs w:val="21"/>
                <w:vertAlign w:val="baseline"/>
                <w:lang w:val="en-US" w:eastAsia="zh-CN"/>
              </w:rPr>
              <w:t>0</w:t>
            </w:r>
            <w:r>
              <w:rPr>
                <w:rFonts w:hint="default" w:ascii="Times New Roman" w:hAnsi="Times New Roman" w:cs="Times New Roman"/>
                <w:b w:val="0"/>
                <w:color w:val="auto"/>
                <w:sz w:val="21"/>
                <w:szCs w:val="21"/>
                <w:vertAlign w:val="baseline"/>
                <w:lang w:val="en-US" w:eastAsia="zh-CN"/>
              </w:rPr>
              <w:t>t/a</w:t>
            </w:r>
          </w:p>
        </w:tc>
        <w:tc>
          <w:tcPr>
            <w:tcW w:w="1276" w:type="dxa"/>
            <w:shd w:val="clear" w:color="auto" w:fill="auto"/>
            <w:noWrap w:val="0"/>
            <w:vAlign w:val="center"/>
          </w:tcPr>
          <w:p w14:paraId="0D99A6B6">
            <w:pPr>
              <w:pStyle w:val="31"/>
              <w:spacing w:beforeLines="0" w:afterLines="0" w:line="240" w:lineRule="auto"/>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cs="Times New Roman"/>
                <w:snapToGrid w:val="0"/>
                <w:color w:val="auto"/>
                <w:kern w:val="21"/>
                <w:szCs w:val="21"/>
                <w:lang w:val="en-US" w:eastAsia="zh-CN"/>
              </w:rPr>
              <w:t>0</w:t>
            </w:r>
            <w:r>
              <w:rPr>
                <w:rFonts w:hint="default" w:ascii="Times New Roman" w:hAnsi="Times New Roman" w:cs="Times New Roman"/>
                <w:b w:val="0"/>
                <w:color w:val="auto"/>
                <w:sz w:val="21"/>
                <w:szCs w:val="21"/>
                <w:vertAlign w:val="baseline"/>
                <w:lang w:val="en-US" w:eastAsia="zh-CN"/>
              </w:rPr>
              <w:t>t/a</w:t>
            </w:r>
          </w:p>
        </w:tc>
        <w:tc>
          <w:tcPr>
            <w:tcW w:w="1701" w:type="dxa"/>
            <w:shd w:val="clear" w:color="auto" w:fill="auto"/>
            <w:noWrap w:val="0"/>
            <w:vAlign w:val="center"/>
          </w:tcPr>
          <w:p w14:paraId="41BF6FE4">
            <w:pPr>
              <w:pStyle w:val="31"/>
              <w:spacing w:beforeLines="0" w:afterLines="0" w:line="240" w:lineRule="auto"/>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cs="Times New Roman"/>
                <w:snapToGrid w:val="0"/>
                <w:color w:val="auto"/>
                <w:kern w:val="21"/>
                <w:szCs w:val="21"/>
                <w:lang w:val="en-US" w:eastAsia="zh-CN"/>
              </w:rPr>
              <w:t>/</w:t>
            </w:r>
          </w:p>
        </w:tc>
        <w:tc>
          <w:tcPr>
            <w:tcW w:w="1559" w:type="dxa"/>
            <w:shd w:val="clear" w:color="auto" w:fill="auto"/>
            <w:noWrap w:val="0"/>
            <w:vAlign w:val="center"/>
          </w:tcPr>
          <w:p w14:paraId="0AE596EB">
            <w:pPr>
              <w:pStyle w:val="31"/>
              <w:spacing w:beforeLines="0" w:afterLines="0" w:line="240" w:lineRule="auto"/>
              <w:rPr>
                <w:rFonts w:hint="eastAsia" w:ascii="Times New Roman" w:hAnsi="Times New Roman" w:eastAsia="宋体" w:cs="Times New Roman"/>
                <w:b w:val="0"/>
                <w:color w:val="auto"/>
                <w:kern w:val="0"/>
                <w:sz w:val="21"/>
                <w:szCs w:val="21"/>
                <w:vertAlign w:val="baseline"/>
                <w:lang w:val="en-US" w:eastAsia="zh-CN" w:bidi="ar-SA"/>
              </w:rPr>
            </w:pPr>
            <w:r>
              <w:rPr>
                <w:rFonts w:hint="eastAsia" w:ascii="Times New Roman" w:cs="Times New Roman"/>
                <w:b w:val="0"/>
                <w:color w:val="auto"/>
                <w:sz w:val="21"/>
                <w:szCs w:val="21"/>
                <w:vertAlign w:val="baseline"/>
                <w:lang w:val="en-US" w:eastAsia="zh-CN"/>
              </w:rPr>
              <w:t>0.74</w:t>
            </w:r>
            <w:r>
              <w:rPr>
                <w:rFonts w:hint="default" w:ascii="Times New Roman" w:hAnsi="Times New Roman" w:cs="Times New Roman"/>
                <w:b w:val="0"/>
                <w:color w:val="auto"/>
                <w:sz w:val="21"/>
                <w:szCs w:val="21"/>
                <w:vertAlign w:val="baseline"/>
                <w:lang w:val="en-US" w:eastAsia="zh-CN"/>
              </w:rPr>
              <w:t>t/a</w:t>
            </w:r>
          </w:p>
        </w:tc>
        <w:tc>
          <w:tcPr>
            <w:tcW w:w="1498" w:type="dxa"/>
            <w:shd w:val="clear" w:color="auto" w:fill="auto"/>
            <w:noWrap w:val="0"/>
            <w:vAlign w:val="center"/>
          </w:tcPr>
          <w:p w14:paraId="6019EE32">
            <w:pPr>
              <w:pStyle w:val="31"/>
              <w:spacing w:beforeLines="0" w:afterLines="0" w:line="240" w:lineRule="auto"/>
              <w:rPr>
                <w:rFonts w:hint="eastAsia" w:ascii="Times New Roman" w:hAnsi="Times New Roman" w:eastAsia="宋体" w:cs="Times New Roman"/>
                <w:b w:val="0"/>
                <w:color w:val="auto"/>
                <w:kern w:val="0"/>
                <w:sz w:val="21"/>
                <w:szCs w:val="21"/>
                <w:vertAlign w:val="baseline"/>
                <w:lang w:val="en-US" w:eastAsia="zh-CN" w:bidi="ar-SA"/>
              </w:rPr>
            </w:pPr>
            <w:r>
              <w:rPr>
                <w:rFonts w:hint="eastAsia" w:ascii="Times New Roman" w:cs="Times New Roman"/>
                <w:snapToGrid w:val="0"/>
                <w:color w:val="auto"/>
                <w:kern w:val="21"/>
                <w:szCs w:val="21"/>
                <w:lang w:val="en-US" w:eastAsia="zh-CN"/>
              </w:rPr>
              <w:t>/</w:t>
            </w:r>
          </w:p>
        </w:tc>
        <w:tc>
          <w:tcPr>
            <w:tcW w:w="1680" w:type="dxa"/>
            <w:shd w:val="clear" w:color="auto" w:fill="auto"/>
            <w:noWrap w:val="0"/>
            <w:vAlign w:val="center"/>
          </w:tcPr>
          <w:p w14:paraId="36141E51">
            <w:pPr>
              <w:pStyle w:val="31"/>
              <w:spacing w:beforeLines="0" w:afterLines="0" w:line="240" w:lineRule="auto"/>
              <w:rPr>
                <w:rFonts w:hint="eastAsia" w:ascii="Times New Roman" w:hAnsi="Times New Roman" w:eastAsia="宋体" w:cs="Times New Roman"/>
                <w:b w:val="0"/>
                <w:color w:val="auto"/>
                <w:kern w:val="0"/>
                <w:sz w:val="21"/>
                <w:szCs w:val="21"/>
                <w:vertAlign w:val="baseline"/>
                <w:lang w:val="en-US" w:eastAsia="zh-CN" w:bidi="ar-SA"/>
              </w:rPr>
            </w:pPr>
            <w:r>
              <w:rPr>
                <w:rFonts w:hint="eastAsia" w:ascii="Times New Roman" w:cs="Times New Roman"/>
                <w:b w:val="0"/>
                <w:color w:val="auto"/>
                <w:sz w:val="21"/>
                <w:szCs w:val="21"/>
                <w:vertAlign w:val="baseline"/>
                <w:lang w:val="en-US" w:eastAsia="zh-CN"/>
              </w:rPr>
              <w:t>0.74</w:t>
            </w:r>
            <w:r>
              <w:rPr>
                <w:rFonts w:hint="default" w:ascii="Times New Roman" w:hAnsi="Times New Roman" w:cs="Times New Roman"/>
                <w:b w:val="0"/>
                <w:color w:val="auto"/>
                <w:sz w:val="21"/>
                <w:szCs w:val="21"/>
                <w:vertAlign w:val="baseline"/>
                <w:lang w:val="en-US" w:eastAsia="zh-CN"/>
              </w:rPr>
              <w:t>t/a</w:t>
            </w:r>
          </w:p>
        </w:tc>
        <w:tc>
          <w:tcPr>
            <w:tcW w:w="1368" w:type="dxa"/>
            <w:shd w:val="clear" w:color="auto" w:fill="auto"/>
            <w:noWrap w:val="0"/>
            <w:vAlign w:val="center"/>
          </w:tcPr>
          <w:p w14:paraId="5D47D486">
            <w:pPr>
              <w:pStyle w:val="31"/>
              <w:spacing w:beforeLines="0" w:afterLines="0" w:line="240" w:lineRule="auto"/>
              <w:rPr>
                <w:rFonts w:hint="default" w:ascii="Times New Roman" w:hAnsi="Times New Roman" w:eastAsia="宋体" w:cs="Times New Roman"/>
                <w:b w:val="0"/>
                <w:color w:val="auto"/>
                <w:kern w:val="0"/>
                <w:sz w:val="21"/>
                <w:szCs w:val="21"/>
                <w:vertAlign w:val="baseline"/>
                <w:lang w:val="en-US" w:eastAsia="zh-CN" w:bidi="ar-SA"/>
              </w:rPr>
            </w:pPr>
            <w:r>
              <w:rPr>
                <w:rFonts w:hint="eastAsia" w:ascii="Times New Roman" w:cs="Times New Roman"/>
                <w:b w:val="0"/>
                <w:color w:val="auto"/>
                <w:sz w:val="21"/>
                <w:szCs w:val="21"/>
                <w:vertAlign w:val="baseline"/>
                <w:lang w:val="en-US" w:eastAsia="zh-CN"/>
              </w:rPr>
              <w:t>+0.74</w:t>
            </w:r>
            <w:r>
              <w:rPr>
                <w:rFonts w:hint="default" w:ascii="Times New Roman" w:hAnsi="Times New Roman" w:cs="Times New Roman"/>
                <w:b w:val="0"/>
                <w:color w:val="auto"/>
                <w:sz w:val="21"/>
                <w:szCs w:val="21"/>
                <w:vertAlign w:val="baseline"/>
                <w:lang w:val="en-US" w:eastAsia="zh-CN"/>
              </w:rPr>
              <w:t>t/a</w:t>
            </w:r>
          </w:p>
        </w:tc>
      </w:tr>
      <w:tr w14:paraId="6BA654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6" w:type="dxa"/>
            <w:vMerge w:val="restart"/>
            <w:noWrap w:val="0"/>
            <w:vAlign w:val="center"/>
          </w:tcPr>
          <w:p w14:paraId="09B330C8">
            <w:pPr>
              <w:pStyle w:val="3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废水</w:t>
            </w:r>
          </w:p>
        </w:tc>
        <w:tc>
          <w:tcPr>
            <w:tcW w:w="1619" w:type="dxa"/>
            <w:noWrap w:val="0"/>
            <w:vAlign w:val="center"/>
          </w:tcPr>
          <w:p w14:paraId="34957C8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napToGrid w:val="0"/>
                <w:color w:val="auto"/>
                <w:kern w:val="21"/>
                <w:szCs w:val="21"/>
              </w:rPr>
            </w:pPr>
            <w:r>
              <w:rPr>
                <w:rFonts w:hint="default" w:ascii="Times New Roman" w:hAnsi="Times New Roman" w:cs="Times New Roman"/>
                <w:color w:val="auto"/>
                <w:szCs w:val="21"/>
              </w:rPr>
              <w:t>COD</w:t>
            </w:r>
          </w:p>
        </w:tc>
        <w:tc>
          <w:tcPr>
            <w:tcW w:w="1701" w:type="dxa"/>
            <w:noWrap w:val="0"/>
            <w:vAlign w:val="center"/>
          </w:tcPr>
          <w:p w14:paraId="6770731B">
            <w:pPr>
              <w:pStyle w:val="31"/>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cs="Times New Roman"/>
                <w:snapToGrid w:val="0"/>
                <w:color w:val="auto"/>
                <w:kern w:val="21"/>
                <w:szCs w:val="21"/>
                <w:lang w:val="en-US" w:eastAsia="zh-CN"/>
              </w:rPr>
              <w:t>2.35</w:t>
            </w:r>
            <w:r>
              <w:rPr>
                <w:rFonts w:hint="default" w:ascii="Times New Roman" w:hAnsi="Times New Roman" w:cs="Times New Roman"/>
                <w:b w:val="0"/>
                <w:color w:val="auto"/>
                <w:sz w:val="21"/>
                <w:szCs w:val="21"/>
                <w:vertAlign w:val="baseline"/>
                <w:lang w:val="en-US" w:eastAsia="zh-CN"/>
              </w:rPr>
              <w:t>t/a</w:t>
            </w:r>
          </w:p>
        </w:tc>
        <w:tc>
          <w:tcPr>
            <w:tcW w:w="1276" w:type="dxa"/>
            <w:noWrap w:val="0"/>
            <w:vAlign w:val="center"/>
          </w:tcPr>
          <w:p w14:paraId="271F4928">
            <w:pPr>
              <w:pStyle w:val="31"/>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cs="Times New Roman"/>
                <w:snapToGrid w:val="0"/>
                <w:color w:val="auto"/>
                <w:kern w:val="21"/>
                <w:szCs w:val="21"/>
                <w:lang w:val="en-US" w:eastAsia="zh-CN"/>
              </w:rPr>
              <w:t>2.35</w:t>
            </w:r>
            <w:r>
              <w:rPr>
                <w:rFonts w:hint="default" w:ascii="Times New Roman" w:hAnsi="Times New Roman" w:cs="Times New Roman"/>
                <w:b w:val="0"/>
                <w:color w:val="auto"/>
                <w:sz w:val="21"/>
                <w:szCs w:val="21"/>
                <w:vertAlign w:val="baseline"/>
                <w:lang w:val="en-US" w:eastAsia="zh-CN"/>
              </w:rPr>
              <w:t>t/a</w:t>
            </w:r>
          </w:p>
        </w:tc>
        <w:tc>
          <w:tcPr>
            <w:tcW w:w="1701" w:type="dxa"/>
            <w:noWrap w:val="0"/>
            <w:vAlign w:val="center"/>
          </w:tcPr>
          <w:p w14:paraId="76C2D6F2">
            <w:pPr>
              <w:pStyle w:val="31"/>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cs="Times New Roman"/>
                <w:snapToGrid w:val="0"/>
                <w:color w:val="auto"/>
                <w:kern w:val="21"/>
                <w:szCs w:val="21"/>
                <w:lang w:val="en-US" w:eastAsia="zh-CN"/>
              </w:rPr>
              <w:t>/</w:t>
            </w:r>
          </w:p>
        </w:tc>
        <w:tc>
          <w:tcPr>
            <w:tcW w:w="1559" w:type="dxa"/>
            <w:noWrap w:val="0"/>
            <w:vAlign w:val="center"/>
          </w:tcPr>
          <w:p w14:paraId="4F226775">
            <w:pPr>
              <w:pStyle w:val="31"/>
              <w:spacing w:beforeLines="0" w:afterLines="0" w:line="240" w:lineRule="auto"/>
              <w:rPr>
                <w:rFonts w:hint="default" w:ascii="Times New Roman" w:hAnsi="Times New Roman" w:eastAsia="宋体" w:cs="Times New Roman"/>
                <w:b w:val="0"/>
                <w:color w:val="auto"/>
                <w:kern w:val="0"/>
                <w:sz w:val="21"/>
                <w:szCs w:val="21"/>
                <w:vertAlign w:val="baseline"/>
                <w:lang w:val="en-US" w:eastAsia="zh-CN" w:bidi="ar-SA"/>
              </w:rPr>
            </w:pPr>
            <w:r>
              <w:rPr>
                <w:rFonts w:hint="eastAsia" w:ascii="Times New Roman" w:cs="Times New Roman"/>
                <w:snapToGrid w:val="0"/>
                <w:color w:val="auto"/>
                <w:kern w:val="21"/>
                <w:szCs w:val="21"/>
                <w:lang w:val="en-US" w:eastAsia="zh-CN"/>
              </w:rPr>
              <w:t>0.17</w:t>
            </w:r>
            <w:r>
              <w:rPr>
                <w:rFonts w:hint="default" w:ascii="Times New Roman" w:hAnsi="Times New Roman" w:cs="Times New Roman"/>
                <w:b w:val="0"/>
                <w:color w:val="auto"/>
                <w:sz w:val="21"/>
                <w:szCs w:val="21"/>
                <w:vertAlign w:val="baseline"/>
                <w:lang w:val="en-US" w:eastAsia="zh-CN"/>
              </w:rPr>
              <w:t>t/a</w:t>
            </w:r>
          </w:p>
        </w:tc>
        <w:tc>
          <w:tcPr>
            <w:tcW w:w="1498" w:type="dxa"/>
            <w:noWrap w:val="0"/>
            <w:vAlign w:val="center"/>
          </w:tcPr>
          <w:p w14:paraId="38A4057B">
            <w:pPr>
              <w:pStyle w:val="31"/>
              <w:spacing w:beforeLines="0" w:afterLines="0" w:line="240" w:lineRule="auto"/>
              <w:rPr>
                <w:rFonts w:hint="default" w:ascii="Times New Roman" w:hAnsi="Times New Roman" w:eastAsia="宋体" w:cs="Times New Roman"/>
                <w:b w:val="0"/>
                <w:color w:val="auto"/>
                <w:kern w:val="0"/>
                <w:sz w:val="21"/>
                <w:szCs w:val="21"/>
                <w:vertAlign w:val="baseline"/>
                <w:lang w:val="en-US" w:eastAsia="zh-CN" w:bidi="ar-SA"/>
              </w:rPr>
            </w:pPr>
            <w:r>
              <w:rPr>
                <w:rFonts w:hint="eastAsia" w:ascii="Times New Roman" w:cs="Times New Roman"/>
                <w:snapToGrid w:val="0"/>
                <w:color w:val="auto"/>
                <w:kern w:val="21"/>
                <w:szCs w:val="21"/>
                <w:lang w:val="en-US" w:eastAsia="zh-CN"/>
              </w:rPr>
              <w:t>/</w:t>
            </w:r>
          </w:p>
        </w:tc>
        <w:tc>
          <w:tcPr>
            <w:tcW w:w="1680" w:type="dxa"/>
            <w:noWrap w:val="0"/>
            <w:vAlign w:val="center"/>
          </w:tcPr>
          <w:p w14:paraId="488D68BB">
            <w:pPr>
              <w:pStyle w:val="31"/>
              <w:spacing w:beforeLines="0" w:afterLines="0" w:line="240" w:lineRule="auto"/>
              <w:rPr>
                <w:rFonts w:hint="default" w:ascii="Times New Roman" w:hAnsi="Times New Roman" w:eastAsia="宋体" w:cs="Times New Roman"/>
                <w:b w:val="0"/>
                <w:color w:val="auto"/>
                <w:kern w:val="0"/>
                <w:sz w:val="21"/>
                <w:szCs w:val="21"/>
                <w:vertAlign w:val="baseline"/>
                <w:lang w:val="en-US" w:eastAsia="zh-CN" w:bidi="ar-SA"/>
              </w:rPr>
            </w:pPr>
            <w:r>
              <w:rPr>
                <w:rFonts w:hint="eastAsia" w:ascii="Times New Roman" w:cs="Times New Roman"/>
                <w:snapToGrid w:val="0"/>
                <w:color w:val="auto"/>
                <w:kern w:val="21"/>
                <w:szCs w:val="21"/>
                <w:lang w:val="en-US" w:eastAsia="zh-CN"/>
              </w:rPr>
              <w:t>2.52</w:t>
            </w:r>
            <w:r>
              <w:rPr>
                <w:rFonts w:hint="default" w:ascii="Times New Roman" w:hAnsi="Times New Roman" w:cs="Times New Roman"/>
                <w:b w:val="0"/>
                <w:color w:val="auto"/>
                <w:sz w:val="21"/>
                <w:szCs w:val="21"/>
                <w:vertAlign w:val="baseline"/>
                <w:lang w:val="en-US" w:eastAsia="zh-CN"/>
              </w:rPr>
              <w:t>t/a</w:t>
            </w:r>
          </w:p>
        </w:tc>
        <w:tc>
          <w:tcPr>
            <w:tcW w:w="1368" w:type="dxa"/>
            <w:noWrap w:val="0"/>
            <w:vAlign w:val="center"/>
          </w:tcPr>
          <w:p w14:paraId="6CCB203B">
            <w:pPr>
              <w:pStyle w:val="31"/>
              <w:spacing w:beforeLines="0" w:afterLines="0" w:line="240" w:lineRule="auto"/>
              <w:rPr>
                <w:rFonts w:hint="default" w:ascii="Times New Roman" w:hAnsi="Times New Roman" w:eastAsia="宋体" w:cs="Times New Roman"/>
                <w:b w:val="0"/>
                <w:color w:val="auto"/>
                <w:kern w:val="0"/>
                <w:sz w:val="21"/>
                <w:szCs w:val="21"/>
                <w:vertAlign w:val="baseline"/>
                <w:lang w:val="en-US" w:eastAsia="zh-CN" w:bidi="ar-SA"/>
              </w:rPr>
            </w:pPr>
            <w:r>
              <w:rPr>
                <w:rFonts w:hint="eastAsia" w:ascii="Times New Roman" w:cs="Times New Roman"/>
                <w:snapToGrid w:val="0"/>
                <w:color w:val="auto"/>
                <w:kern w:val="21"/>
                <w:szCs w:val="21"/>
                <w:lang w:val="en-US" w:eastAsia="zh-CN"/>
              </w:rPr>
              <w:t>+0.17</w:t>
            </w:r>
            <w:r>
              <w:rPr>
                <w:rFonts w:hint="default" w:ascii="Times New Roman" w:hAnsi="Times New Roman" w:cs="Times New Roman"/>
                <w:b w:val="0"/>
                <w:color w:val="auto"/>
                <w:sz w:val="21"/>
                <w:szCs w:val="21"/>
                <w:vertAlign w:val="baseline"/>
                <w:lang w:val="en-US" w:eastAsia="zh-CN"/>
              </w:rPr>
              <w:t>t/a</w:t>
            </w:r>
          </w:p>
        </w:tc>
      </w:tr>
      <w:tr w14:paraId="70C7BF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6" w:type="dxa"/>
            <w:vMerge w:val="continue"/>
            <w:noWrap w:val="0"/>
            <w:vAlign w:val="center"/>
          </w:tcPr>
          <w:p w14:paraId="1535B4F4">
            <w:pPr>
              <w:pStyle w:val="31"/>
              <w:spacing w:beforeLines="0" w:afterLines="0" w:line="240" w:lineRule="auto"/>
              <w:rPr>
                <w:rFonts w:hint="default" w:ascii="Times New Roman" w:hAnsi="Times New Roman" w:cs="Times New Roman"/>
                <w:snapToGrid w:val="0"/>
                <w:color w:val="auto"/>
                <w:kern w:val="21"/>
                <w:szCs w:val="21"/>
              </w:rPr>
            </w:pPr>
          </w:p>
        </w:tc>
        <w:tc>
          <w:tcPr>
            <w:tcW w:w="1619" w:type="dxa"/>
            <w:noWrap w:val="0"/>
            <w:vAlign w:val="center"/>
          </w:tcPr>
          <w:p w14:paraId="420A8DF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napToGrid w:val="0"/>
                <w:color w:val="auto"/>
                <w:kern w:val="21"/>
                <w:szCs w:val="21"/>
              </w:rPr>
            </w:pPr>
            <w:r>
              <w:rPr>
                <w:rFonts w:hint="default" w:ascii="Times New Roman" w:hAnsi="Times New Roman" w:cs="Times New Roman"/>
                <w:color w:val="auto"/>
                <w:szCs w:val="21"/>
              </w:rPr>
              <w:t>BOD</w:t>
            </w:r>
          </w:p>
        </w:tc>
        <w:tc>
          <w:tcPr>
            <w:tcW w:w="1701" w:type="dxa"/>
            <w:noWrap w:val="0"/>
            <w:vAlign w:val="center"/>
          </w:tcPr>
          <w:p w14:paraId="720BD662">
            <w:pPr>
              <w:pStyle w:val="31"/>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cs="Times New Roman"/>
                <w:b w:val="0"/>
                <w:color w:val="auto"/>
                <w:sz w:val="21"/>
                <w:szCs w:val="21"/>
                <w:vertAlign w:val="baseline"/>
                <w:lang w:val="en-US" w:eastAsia="zh-CN"/>
              </w:rPr>
              <w:t>1.175</w:t>
            </w:r>
            <w:r>
              <w:rPr>
                <w:rFonts w:hint="default" w:ascii="Times New Roman" w:hAnsi="Times New Roman" w:cs="Times New Roman"/>
                <w:b w:val="0"/>
                <w:color w:val="auto"/>
                <w:sz w:val="21"/>
                <w:szCs w:val="21"/>
                <w:vertAlign w:val="baseline"/>
                <w:lang w:val="en-US" w:eastAsia="zh-CN"/>
              </w:rPr>
              <w:t>t/a</w:t>
            </w:r>
          </w:p>
        </w:tc>
        <w:tc>
          <w:tcPr>
            <w:tcW w:w="1276" w:type="dxa"/>
            <w:noWrap w:val="0"/>
            <w:vAlign w:val="center"/>
          </w:tcPr>
          <w:p w14:paraId="1EF1180B">
            <w:pPr>
              <w:pStyle w:val="31"/>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cs="Times New Roman"/>
                <w:b w:val="0"/>
                <w:color w:val="auto"/>
                <w:sz w:val="21"/>
                <w:szCs w:val="21"/>
                <w:vertAlign w:val="baseline"/>
                <w:lang w:val="en-US" w:eastAsia="zh-CN"/>
              </w:rPr>
              <w:t>1.175</w:t>
            </w:r>
            <w:r>
              <w:rPr>
                <w:rFonts w:hint="default" w:ascii="Times New Roman" w:hAnsi="Times New Roman" w:cs="Times New Roman"/>
                <w:b w:val="0"/>
                <w:color w:val="auto"/>
                <w:sz w:val="21"/>
                <w:szCs w:val="21"/>
                <w:vertAlign w:val="baseline"/>
                <w:lang w:val="en-US" w:eastAsia="zh-CN"/>
              </w:rPr>
              <w:t>t/a</w:t>
            </w:r>
          </w:p>
        </w:tc>
        <w:tc>
          <w:tcPr>
            <w:tcW w:w="1701" w:type="dxa"/>
            <w:noWrap w:val="0"/>
            <w:vAlign w:val="center"/>
          </w:tcPr>
          <w:p w14:paraId="59B3C984">
            <w:pPr>
              <w:pStyle w:val="31"/>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cs="Times New Roman"/>
                <w:snapToGrid w:val="0"/>
                <w:color w:val="auto"/>
                <w:kern w:val="21"/>
                <w:szCs w:val="21"/>
                <w:lang w:val="en-US" w:eastAsia="zh-CN"/>
              </w:rPr>
              <w:t>/</w:t>
            </w:r>
          </w:p>
        </w:tc>
        <w:tc>
          <w:tcPr>
            <w:tcW w:w="1559" w:type="dxa"/>
            <w:noWrap w:val="0"/>
            <w:vAlign w:val="center"/>
          </w:tcPr>
          <w:p w14:paraId="174514A4">
            <w:pPr>
              <w:pStyle w:val="31"/>
              <w:spacing w:beforeLines="0" w:afterLines="0" w:line="240" w:lineRule="auto"/>
              <w:rPr>
                <w:rFonts w:hint="default" w:ascii="Times New Roman" w:hAnsi="Times New Roman" w:eastAsia="宋体" w:cs="Times New Roman"/>
                <w:b w:val="0"/>
                <w:color w:val="auto"/>
                <w:kern w:val="0"/>
                <w:sz w:val="21"/>
                <w:szCs w:val="21"/>
                <w:vertAlign w:val="baseline"/>
                <w:lang w:val="en-US" w:eastAsia="zh-CN" w:bidi="ar-SA"/>
              </w:rPr>
            </w:pPr>
            <w:r>
              <w:rPr>
                <w:rFonts w:hint="eastAsia" w:ascii="Times New Roman" w:cs="Times New Roman"/>
                <w:b w:val="0"/>
                <w:color w:val="auto"/>
                <w:sz w:val="21"/>
                <w:szCs w:val="21"/>
                <w:vertAlign w:val="baseline"/>
                <w:lang w:val="en-US" w:eastAsia="zh-CN"/>
              </w:rPr>
              <w:t>0.09</w:t>
            </w:r>
            <w:r>
              <w:rPr>
                <w:rFonts w:hint="default" w:ascii="Times New Roman" w:hAnsi="Times New Roman" w:cs="Times New Roman"/>
                <w:b w:val="0"/>
                <w:color w:val="auto"/>
                <w:sz w:val="21"/>
                <w:szCs w:val="21"/>
                <w:vertAlign w:val="baseline"/>
                <w:lang w:val="en-US" w:eastAsia="zh-CN"/>
              </w:rPr>
              <w:t>t/a</w:t>
            </w:r>
          </w:p>
        </w:tc>
        <w:tc>
          <w:tcPr>
            <w:tcW w:w="1498" w:type="dxa"/>
            <w:noWrap w:val="0"/>
            <w:vAlign w:val="center"/>
          </w:tcPr>
          <w:p w14:paraId="715B8621">
            <w:pPr>
              <w:pStyle w:val="31"/>
              <w:spacing w:beforeLines="0" w:afterLines="0" w:line="240" w:lineRule="auto"/>
              <w:rPr>
                <w:rFonts w:hint="default" w:ascii="Times New Roman" w:hAnsi="Times New Roman" w:eastAsia="宋体" w:cs="Times New Roman"/>
                <w:b w:val="0"/>
                <w:color w:val="auto"/>
                <w:kern w:val="0"/>
                <w:sz w:val="21"/>
                <w:szCs w:val="21"/>
                <w:vertAlign w:val="baseline"/>
                <w:lang w:val="en-US" w:eastAsia="zh-CN" w:bidi="ar-SA"/>
              </w:rPr>
            </w:pPr>
            <w:r>
              <w:rPr>
                <w:rFonts w:hint="eastAsia" w:ascii="Times New Roman" w:cs="Times New Roman"/>
                <w:snapToGrid w:val="0"/>
                <w:color w:val="auto"/>
                <w:kern w:val="21"/>
                <w:szCs w:val="21"/>
                <w:lang w:val="en-US" w:eastAsia="zh-CN"/>
              </w:rPr>
              <w:t>/</w:t>
            </w:r>
          </w:p>
        </w:tc>
        <w:tc>
          <w:tcPr>
            <w:tcW w:w="1680" w:type="dxa"/>
            <w:noWrap w:val="0"/>
            <w:vAlign w:val="center"/>
          </w:tcPr>
          <w:p w14:paraId="0E54AC86">
            <w:pPr>
              <w:pStyle w:val="31"/>
              <w:spacing w:beforeLines="0" w:afterLines="0" w:line="240" w:lineRule="auto"/>
              <w:rPr>
                <w:rFonts w:hint="default" w:ascii="Times New Roman" w:hAnsi="Times New Roman" w:eastAsia="宋体" w:cs="Times New Roman"/>
                <w:b w:val="0"/>
                <w:color w:val="auto"/>
                <w:kern w:val="0"/>
                <w:sz w:val="21"/>
                <w:szCs w:val="21"/>
                <w:vertAlign w:val="baseline"/>
                <w:lang w:val="en-US" w:eastAsia="zh-CN" w:bidi="ar-SA"/>
              </w:rPr>
            </w:pPr>
            <w:r>
              <w:rPr>
                <w:rFonts w:hint="eastAsia" w:ascii="Times New Roman" w:cs="Times New Roman"/>
                <w:b w:val="0"/>
                <w:color w:val="auto"/>
                <w:sz w:val="21"/>
                <w:szCs w:val="21"/>
                <w:vertAlign w:val="baseline"/>
                <w:lang w:val="en-US" w:eastAsia="zh-CN"/>
              </w:rPr>
              <w:t>1.26</w:t>
            </w:r>
            <w:r>
              <w:rPr>
                <w:rFonts w:hint="default" w:ascii="Times New Roman" w:hAnsi="Times New Roman" w:cs="Times New Roman"/>
                <w:b w:val="0"/>
                <w:color w:val="auto"/>
                <w:sz w:val="21"/>
                <w:szCs w:val="21"/>
                <w:vertAlign w:val="baseline"/>
                <w:lang w:val="en-US" w:eastAsia="zh-CN"/>
              </w:rPr>
              <w:t>t/a</w:t>
            </w:r>
          </w:p>
        </w:tc>
        <w:tc>
          <w:tcPr>
            <w:tcW w:w="1368" w:type="dxa"/>
            <w:noWrap w:val="0"/>
            <w:vAlign w:val="center"/>
          </w:tcPr>
          <w:p w14:paraId="0C167F59">
            <w:pPr>
              <w:pStyle w:val="31"/>
              <w:spacing w:beforeLines="0" w:afterLines="0" w:line="240" w:lineRule="auto"/>
              <w:rPr>
                <w:rFonts w:hint="default" w:ascii="Times New Roman" w:hAnsi="Times New Roman" w:eastAsia="宋体" w:cs="Times New Roman"/>
                <w:b w:val="0"/>
                <w:color w:val="auto"/>
                <w:kern w:val="0"/>
                <w:sz w:val="21"/>
                <w:szCs w:val="21"/>
                <w:vertAlign w:val="baseline"/>
                <w:lang w:val="en-US" w:eastAsia="zh-CN" w:bidi="ar-SA"/>
              </w:rPr>
            </w:pPr>
            <w:r>
              <w:rPr>
                <w:rFonts w:hint="eastAsia" w:ascii="Times New Roman" w:cs="Times New Roman"/>
                <w:b w:val="0"/>
                <w:color w:val="auto"/>
                <w:sz w:val="21"/>
                <w:szCs w:val="21"/>
                <w:vertAlign w:val="baseline"/>
                <w:lang w:val="en-US" w:eastAsia="zh-CN"/>
              </w:rPr>
              <w:t>+0.09</w:t>
            </w:r>
            <w:r>
              <w:rPr>
                <w:rFonts w:hint="default" w:ascii="Times New Roman" w:hAnsi="Times New Roman" w:cs="Times New Roman"/>
                <w:b w:val="0"/>
                <w:color w:val="auto"/>
                <w:sz w:val="21"/>
                <w:szCs w:val="21"/>
                <w:vertAlign w:val="baseline"/>
                <w:lang w:val="en-US" w:eastAsia="zh-CN"/>
              </w:rPr>
              <w:t>t/a</w:t>
            </w:r>
          </w:p>
        </w:tc>
      </w:tr>
      <w:tr w14:paraId="081481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6" w:type="dxa"/>
            <w:vMerge w:val="continue"/>
            <w:noWrap w:val="0"/>
            <w:vAlign w:val="center"/>
          </w:tcPr>
          <w:p w14:paraId="3D1FF88D">
            <w:pPr>
              <w:pStyle w:val="31"/>
              <w:spacing w:beforeLines="0" w:afterLines="0" w:line="240" w:lineRule="auto"/>
              <w:rPr>
                <w:rFonts w:hint="default" w:ascii="Times New Roman" w:hAnsi="Times New Roman" w:cs="Times New Roman"/>
                <w:snapToGrid w:val="0"/>
                <w:color w:val="auto"/>
                <w:kern w:val="21"/>
                <w:szCs w:val="21"/>
              </w:rPr>
            </w:pPr>
          </w:p>
        </w:tc>
        <w:tc>
          <w:tcPr>
            <w:tcW w:w="1619" w:type="dxa"/>
            <w:noWrap w:val="0"/>
            <w:vAlign w:val="center"/>
          </w:tcPr>
          <w:p w14:paraId="6F106A4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napToGrid w:val="0"/>
                <w:color w:val="auto"/>
                <w:kern w:val="21"/>
                <w:szCs w:val="21"/>
              </w:rPr>
            </w:pPr>
            <w:r>
              <w:rPr>
                <w:rFonts w:hint="default" w:ascii="Times New Roman" w:hAnsi="Times New Roman" w:cs="Times New Roman"/>
                <w:color w:val="auto"/>
                <w:szCs w:val="21"/>
              </w:rPr>
              <w:t>SS</w:t>
            </w:r>
          </w:p>
        </w:tc>
        <w:tc>
          <w:tcPr>
            <w:tcW w:w="1701" w:type="dxa"/>
            <w:noWrap w:val="0"/>
            <w:vAlign w:val="center"/>
          </w:tcPr>
          <w:p w14:paraId="65DD5327">
            <w:pPr>
              <w:pStyle w:val="31"/>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cs="Times New Roman"/>
                <w:b w:val="0"/>
                <w:color w:val="auto"/>
                <w:sz w:val="21"/>
                <w:szCs w:val="21"/>
                <w:vertAlign w:val="baseline"/>
                <w:lang w:val="en-US" w:eastAsia="zh-CN"/>
              </w:rPr>
              <w:t>1.763</w:t>
            </w:r>
            <w:r>
              <w:rPr>
                <w:rFonts w:hint="default" w:ascii="Times New Roman" w:hAnsi="Times New Roman" w:cs="Times New Roman"/>
                <w:b w:val="0"/>
                <w:color w:val="auto"/>
                <w:sz w:val="21"/>
                <w:szCs w:val="21"/>
                <w:vertAlign w:val="baseline"/>
                <w:lang w:val="en-US" w:eastAsia="zh-CN"/>
              </w:rPr>
              <w:t>t/a</w:t>
            </w:r>
          </w:p>
        </w:tc>
        <w:tc>
          <w:tcPr>
            <w:tcW w:w="1276" w:type="dxa"/>
            <w:noWrap w:val="0"/>
            <w:vAlign w:val="center"/>
          </w:tcPr>
          <w:p w14:paraId="03ACBEFA">
            <w:pPr>
              <w:pStyle w:val="31"/>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cs="Times New Roman"/>
                <w:b w:val="0"/>
                <w:color w:val="auto"/>
                <w:sz w:val="21"/>
                <w:szCs w:val="21"/>
                <w:vertAlign w:val="baseline"/>
                <w:lang w:val="en-US" w:eastAsia="zh-CN"/>
              </w:rPr>
              <w:t>1.763</w:t>
            </w:r>
            <w:r>
              <w:rPr>
                <w:rFonts w:hint="default" w:ascii="Times New Roman" w:hAnsi="Times New Roman" w:cs="Times New Roman"/>
                <w:b w:val="0"/>
                <w:color w:val="auto"/>
                <w:sz w:val="21"/>
                <w:szCs w:val="21"/>
                <w:vertAlign w:val="baseline"/>
                <w:lang w:val="en-US" w:eastAsia="zh-CN"/>
              </w:rPr>
              <w:t>t/a</w:t>
            </w:r>
          </w:p>
        </w:tc>
        <w:tc>
          <w:tcPr>
            <w:tcW w:w="1701" w:type="dxa"/>
            <w:noWrap w:val="0"/>
            <w:vAlign w:val="center"/>
          </w:tcPr>
          <w:p w14:paraId="25F74151">
            <w:pPr>
              <w:pStyle w:val="31"/>
              <w:spacing w:beforeLines="0" w:afterLines="0" w:line="240" w:lineRule="auto"/>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cs="Times New Roman"/>
                <w:snapToGrid w:val="0"/>
                <w:color w:val="auto"/>
                <w:kern w:val="21"/>
                <w:szCs w:val="21"/>
                <w:lang w:val="en-US" w:eastAsia="zh-CN"/>
              </w:rPr>
              <w:t>/</w:t>
            </w:r>
          </w:p>
        </w:tc>
        <w:tc>
          <w:tcPr>
            <w:tcW w:w="1559" w:type="dxa"/>
            <w:noWrap w:val="0"/>
            <w:vAlign w:val="center"/>
          </w:tcPr>
          <w:p w14:paraId="7F5CF8C1">
            <w:pPr>
              <w:pStyle w:val="31"/>
              <w:spacing w:beforeLines="0" w:afterLines="0" w:line="240" w:lineRule="auto"/>
              <w:rPr>
                <w:rFonts w:hint="default" w:ascii="Times New Roman" w:hAnsi="Times New Roman" w:eastAsia="宋体" w:cs="Times New Roman"/>
                <w:b w:val="0"/>
                <w:color w:val="auto"/>
                <w:kern w:val="0"/>
                <w:sz w:val="21"/>
                <w:szCs w:val="21"/>
                <w:vertAlign w:val="baseline"/>
                <w:lang w:val="en-US" w:eastAsia="zh-CN" w:bidi="ar-SA"/>
              </w:rPr>
            </w:pPr>
            <w:r>
              <w:rPr>
                <w:rFonts w:hint="eastAsia" w:ascii="Times New Roman" w:cs="Times New Roman"/>
                <w:b w:val="0"/>
                <w:color w:val="auto"/>
                <w:sz w:val="21"/>
                <w:szCs w:val="21"/>
                <w:vertAlign w:val="baseline"/>
                <w:lang w:val="en-US" w:eastAsia="zh-CN"/>
              </w:rPr>
              <w:t>0.09</w:t>
            </w:r>
            <w:r>
              <w:rPr>
                <w:rFonts w:hint="default" w:ascii="Times New Roman" w:hAnsi="Times New Roman" w:cs="Times New Roman"/>
                <w:b w:val="0"/>
                <w:color w:val="auto"/>
                <w:sz w:val="21"/>
                <w:szCs w:val="21"/>
                <w:vertAlign w:val="baseline"/>
                <w:lang w:val="en-US" w:eastAsia="zh-CN"/>
              </w:rPr>
              <w:t>t/a</w:t>
            </w:r>
          </w:p>
        </w:tc>
        <w:tc>
          <w:tcPr>
            <w:tcW w:w="1498" w:type="dxa"/>
            <w:noWrap w:val="0"/>
            <w:vAlign w:val="center"/>
          </w:tcPr>
          <w:p w14:paraId="747B544B">
            <w:pPr>
              <w:pStyle w:val="31"/>
              <w:spacing w:beforeLines="0" w:afterLines="0" w:line="240" w:lineRule="auto"/>
              <w:rPr>
                <w:rFonts w:hint="default" w:ascii="Times New Roman" w:hAnsi="Times New Roman" w:eastAsia="宋体" w:cs="Times New Roman"/>
                <w:b w:val="0"/>
                <w:color w:val="auto"/>
                <w:kern w:val="0"/>
                <w:sz w:val="21"/>
                <w:szCs w:val="21"/>
                <w:vertAlign w:val="baseline"/>
                <w:lang w:val="en-US" w:eastAsia="zh-CN" w:bidi="ar-SA"/>
              </w:rPr>
            </w:pPr>
            <w:r>
              <w:rPr>
                <w:rFonts w:hint="eastAsia" w:ascii="Times New Roman" w:cs="Times New Roman"/>
                <w:snapToGrid w:val="0"/>
                <w:color w:val="auto"/>
                <w:kern w:val="21"/>
                <w:szCs w:val="21"/>
                <w:lang w:val="en-US" w:eastAsia="zh-CN"/>
              </w:rPr>
              <w:t>/</w:t>
            </w:r>
          </w:p>
        </w:tc>
        <w:tc>
          <w:tcPr>
            <w:tcW w:w="1680" w:type="dxa"/>
            <w:noWrap w:val="0"/>
            <w:vAlign w:val="center"/>
          </w:tcPr>
          <w:p w14:paraId="5A2A9CA8">
            <w:pPr>
              <w:pStyle w:val="31"/>
              <w:spacing w:beforeLines="0" w:afterLines="0" w:line="240" w:lineRule="auto"/>
              <w:rPr>
                <w:rFonts w:hint="default" w:ascii="Times New Roman" w:hAnsi="Times New Roman" w:eastAsia="宋体" w:cs="Times New Roman"/>
                <w:b w:val="0"/>
                <w:color w:val="auto"/>
                <w:kern w:val="0"/>
                <w:sz w:val="21"/>
                <w:szCs w:val="21"/>
                <w:vertAlign w:val="baseline"/>
                <w:lang w:val="en-US" w:eastAsia="zh-CN" w:bidi="ar-SA"/>
              </w:rPr>
            </w:pPr>
            <w:r>
              <w:rPr>
                <w:rFonts w:hint="eastAsia" w:ascii="Times New Roman" w:cs="Times New Roman"/>
                <w:b w:val="0"/>
                <w:color w:val="auto"/>
                <w:sz w:val="21"/>
                <w:szCs w:val="21"/>
                <w:vertAlign w:val="baseline"/>
                <w:lang w:val="en-US" w:eastAsia="zh-CN"/>
              </w:rPr>
              <w:t>1.85</w:t>
            </w:r>
            <w:r>
              <w:rPr>
                <w:rFonts w:hint="default" w:ascii="Times New Roman" w:hAnsi="Times New Roman" w:cs="Times New Roman"/>
                <w:b w:val="0"/>
                <w:color w:val="auto"/>
                <w:sz w:val="21"/>
                <w:szCs w:val="21"/>
                <w:vertAlign w:val="baseline"/>
                <w:lang w:val="en-US" w:eastAsia="zh-CN"/>
              </w:rPr>
              <w:t>t/a</w:t>
            </w:r>
          </w:p>
        </w:tc>
        <w:tc>
          <w:tcPr>
            <w:tcW w:w="1368" w:type="dxa"/>
            <w:noWrap w:val="0"/>
            <w:vAlign w:val="center"/>
          </w:tcPr>
          <w:p w14:paraId="690523AC">
            <w:pPr>
              <w:pStyle w:val="31"/>
              <w:spacing w:beforeLines="0" w:afterLines="0" w:line="240" w:lineRule="auto"/>
              <w:rPr>
                <w:rFonts w:hint="default" w:ascii="Times New Roman" w:hAnsi="Times New Roman" w:eastAsia="宋体" w:cs="Times New Roman"/>
                <w:b w:val="0"/>
                <w:color w:val="auto"/>
                <w:kern w:val="0"/>
                <w:sz w:val="21"/>
                <w:szCs w:val="21"/>
                <w:vertAlign w:val="baseline"/>
                <w:lang w:val="en-US" w:eastAsia="zh-CN" w:bidi="ar-SA"/>
              </w:rPr>
            </w:pPr>
            <w:r>
              <w:rPr>
                <w:rFonts w:hint="eastAsia" w:ascii="Times New Roman" w:cs="Times New Roman"/>
                <w:b w:val="0"/>
                <w:color w:val="auto"/>
                <w:sz w:val="21"/>
                <w:szCs w:val="21"/>
                <w:vertAlign w:val="baseline"/>
                <w:lang w:val="en-US" w:eastAsia="zh-CN"/>
              </w:rPr>
              <w:t>+0.09</w:t>
            </w:r>
            <w:r>
              <w:rPr>
                <w:rFonts w:hint="default" w:ascii="Times New Roman" w:hAnsi="Times New Roman" w:cs="Times New Roman"/>
                <w:b w:val="0"/>
                <w:color w:val="auto"/>
                <w:sz w:val="21"/>
                <w:szCs w:val="21"/>
                <w:vertAlign w:val="baseline"/>
                <w:lang w:val="en-US" w:eastAsia="zh-CN"/>
              </w:rPr>
              <w:t>t/a</w:t>
            </w:r>
          </w:p>
        </w:tc>
      </w:tr>
      <w:tr w14:paraId="12CFB8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6" w:type="dxa"/>
            <w:vMerge w:val="continue"/>
            <w:noWrap w:val="0"/>
            <w:vAlign w:val="center"/>
          </w:tcPr>
          <w:p w14:paraId="46CE0B9C">
            <w:pPr>
              <w:pStyle w:val="31"/>
              <w:spacing w:beforeLines="0" w:afterLines="0" w:line="240" w:lineRule="auto"/>
              <w:rPr>
                <w:rFonts w:hint="default" w:ascii="Times New Roman" w:hAnsi="Times New Roman" w:cs="Times New Roman"/>
                <w:snapToGrid w:val="0"/>
                <w:color w:val="auto"/>
                <w:kern w:val="21"/>
                <w:szCs w:val="21"/>
              </w:rPr>
            </w:pPr>
          </w:p>
        </w:tc>
        <w:tc>
          <w:tcPr>
            <w:tcW w:w="1619" w:type="dxa"/>
            <w:noWrap w:val="0"/>
            <w:vAlign w:val="center"/>
          </w:tcPr>
          <w:p w14:paraId="4E6A366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napToGrid w:val="0"/>
                <w:color w:val="auto"/>
                <w:kern w:val="21"/>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-N</w:t>
            </w:r>
          </w:p>
        </w:tc>
        <w:tc>
          <w:tcPr>
            <w:tcW w:w="1701" w:type="dxa"/>
            <w:noWrap w:val="0"/>
            <w:vAlign w:val="center"/>
          </w:tcPr>
          <w:p w14:paraId="1116C7F7">
            <w:pPr>
              <w:pStyle w:val="31"/>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Cs w:val="21"/>
                <w:lang w:val="en-US" w:eastAsia="zh-CN"/>
              </w:rPr>
              <w:t>0</w:t>
            </w:r>
            <w:r>
              <w:rPr>
                <w:rFonts w:hint="eastAsia" w:ascii="Times New Roman" w:cs="Times New Roman"/>
                <w:snapToGrid w:val="0"/>
                <w:color w:val="auto"/>
                <w:kern w:val="21"/>
                <w:szCs w:val="21"/>
                <w:lang w:val="en-US" w:eastAsia="zh-CN"/>
              </w:rPr>
              <w:t>.294</w:t>
            </w:r>
            <w:r>
              <w:rPr>
                <w:rFonts w:hint="default" w:ascii="Times New Roman" w:hAnsi="Times New Roman" w:cs="Times New Roman"/>
                <w:b w:val="0"/>
                <w:color w:val="auto"/>
                <w:sz w:val="21"/>
                <w:szCs w:val="21"/>
                <w:vertAlign w:val="baseline"/>
                <w:lang w:val="en-US" w:eastAsia="zh-CN"/>
              </w:rPr>
              <w:t>t/a</w:t>
            </w:r>
          </w:p>
        </w:tc>
        <w:tc>
          <w:tcPr>
            <w:tcW w:w="1276" w:type="dxa"/>
            <w:noWrap w:val="0"/>
            <w:vAlign w:val="center"/>
          </w:tcPr>
          <w:p w14:paraId="2F3A5152">
            <w:pPr>
              <w:pStyle w:val="31"/>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Cs w:val="21"/>
                <w:lang w:val="en-US" w:eastAsia="zh-CN"/>
              </w:rPr>
              <w:t>0</w:t>
            </w:r>
            <w:r>
              <w:rPr>
                <w:rFonts w:hint="eastAsia" w:ascii="Times New Roman" w:cs="Times New Roman"/>
                <w:snapToGrid w:val="0"/>
                <w:color w:val="auto"/>
                <w:kern w:val="21"/>
                <w:szCs w:val="21"/>
                <w:lang w:val="en-US" w:eastAsia="zh-CN"/>
              </w:rPr>
              <w:t>.294</w:t>
            </w:r>
            <w:r>
              <w:rPr>
                <w:rFonts w:hint="default" w:ascii="Times New Roman" w:hAnsi="Times New Roman" w:cs="Times New Roman"/>
                <w:b w:val="0"/>
                <w:color w:val="auto"/>
                <w:sz w:val="21"/>
                <w:szCs w:val="21"/>
                <w:vertAlign w:val="baseline"/>
                <w:lang w:val="en-US" w:eastAsia="zh-CN"/>
              </w:rPr>
              <w:t>t/a</w:t>
            </w:r>
          </w:p>
        </w:tc>
        <w:tc>
          <w:tcPr>
            <w:tcW w:w="1701" w:type="dxa"/>
            <w:noWrap w:val="0"/>
            <w:vAlign w:val="center"/>
          </w:tcPr>
          <w:p w14:paraId="498F4168">
            <w:pPr>
              <w:pStyle w:val="31"/>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cs="Times New Roman"/>
                <w:snapToGrid w:val="0"/>
                <w:color w:val="auto"/>
                <w:kern w:val="21"/>
                <w:szCs w:val="21"/>
                <w:lang w:val="en-US" w:eastAsia="zh-CN"/>
              </w:rPr>
              <w:t>/</w:t>
            </w:r>
          </w:p>
        </w:tc>
        <w:tc>
          <w:tcPr>
            <w:tcW w:w="1559" w:type="dxa"/>
            <w:noWrap w:val="0"/>
            <w:vAlign w:val="center"/>
          </w:tcPr>
          <w:p w14:paraId="46D54461">
            <w:pPr>
              <w:pStyle w:val="31"/>
              <w:spacing w:beforeLines="0" w:afterLines="0" w:line="240" w:lineRule="auto"/>
              <w:rPr>
                <w:rFonts w:hint="default" w:ascii="Times New Roman" w:hAnsi="Times New Roman" w:eastAsia="宋体" w:cs="Times New Roman"/>
                <w:b w:val="0"/>
                <w:color w:val="auto"/>
                <w:kern w:val="0"/>
                <w:sz w:val="21"/>
                <w:szCs w:val="21"/>
                <w:vertAlign w:val="baseline"/>
                <w:lang w:val="en-US" w:eastAsia="zh-CN" w:bidi="ar-SA"/>
              </w:rPr>
            </w:pPr>
            <w:r>
              <w:rPr>
                <w:rFonts w:hint="eastAsia" w:ascii="Times New Roman" w:cs="Times New Roman"/>
                <w:snapToGrid w:val="0"/>
                <w:color w:val="auto"/>
                <w:kern w:val="21"/>
                <w:szCs w:val="21"/>
                <w:lang w:val="en-US" w:eastAsia="zh-CN"/>
              </w:rPr>
              <w:t>0.01</w:t>
            </w:r>
            <w:r>
              <w:rPr>
                <w:rFonts w:hint="default" w:ascii="Times New Roman" w:hAnsi="Times New Roman" w:cs="Times New Roman"/>
                <w:b w:val="0"/>
                <w:color w:val="auto"/>
                <w:sz w:val="21"/>
                <w:szCs w:val="21"/>
                <w:vertAlign w:val="baseline"/>
                <w:lang w:val="en-US" w:eastAsia="zh-CN"/>
              </w:rPr>
              <w:t>t/a</w:t>
            </w:r>
          </w:p>
        </w:tc>
        <w:tc>
          <w:tcPr>
            <w:tcW w:w="1498" w:type="dxa"/>
            <w:noWrap w:val="0"/>
            <w:vAlign w:val="center"/>
          </w:tcPr>
          <w:p w14:paraId="6448EECE">
            <w:pPr>
              <w:pStyle w:val="31"/>
              <w:spacing w:beforeLines="0" w:afterLines="0" w:line="240" w:lineRule="auto"/>
              <w:rPr>
                <w:rFonts w:hint="default" w:ascii="Times New Roman" w:hAnsi="Times New Roman" w:eastAsia="宋体" w:cs="Times New Roman"/>
                <w:b w:val="0"/>
                <w:color w:val="auto"/>
                <w:kern w:val="0"/>
                <w:sz w:val="21"/>
                <w:szCs w:val="21"/>
                <w:vertAlign w:val="baseline"/>
                <w:lang w:val="en-US" w:eastAsia="zh-CN" w:bidi="ar-SA"/>
              </w:rPr>
            </w:pPr>
            <w:r>
              <w:rPr>
                <w:rFonts w:hint="eastAsia" w:ascii="Times New Roman" w:cs="Times New Roman"/>
                <w:snapToGrid w:val="0"/>
                <w:color w:val="auto"/>
                <w:kern w:val="21"/>
                <w:szCs w:val="21"/>
                <w:lang w:val="en-US" w:eastAsia="zh-CN"/>
              </w:rPr>
              <w:t>/</w:t>
            </w:r>
          </w:p>
        </w:tc>
        <w:tc>
          <w:tcPr>
            <w:tcW w:w="1680" w:type="dxa"/>
            <w:noWrap w:val="0"/>
            <w:vAlign w:val="center"/>
          </w:tcPr>
          <w:p w14:paraId="0405F825">
            <w:pPr>
              <w:pStyle w:val="31"/>
              <w:spacing w:beforeLines="0" w:afterLines="0" w:line="240" w:lineRule="auto"/>
              <w:rPr>
                <w:rFonts w:hint="default" w:ascii="Times New Roman" w:hAnsi="Times New Roman" w:eastAsia="宋体" w:cs="Times New Roman"/>
                <w:b w:val="0"/>
                <w:color w:val="auto"/>
                <w:kern w:val="0"/>
                <w:sz w:val="21"/>
                <w:szCs w:val="21"/>
                <w:vertAlign w:val="baseline"/>
                <w:lang w:val="en-US" w:eastAsia="zh-CN" w:bidi="ar-SA"/>
              </w:rPr>
            </w:pPr>
            <w:r>
              <w:rPr>
                <w:rFonts w:hint="eastAsia" w:ascii="Times New Roman" w:cs="Times New Roman"/>
                <w:snapToGrid w:val="0"/>
                <w:color w:val="auto"/>
                <w:kern w:val="21"/>
                <w:szCs w:val="21"/>
                <w:lang w:val="en-US" w:eastAsia="zh-CN"/>
              </w:rPr>
              <w:t>0.31</w:t>
            </w:r>
            <w:r>
              <w:rPr>
                <w:rFonts w:hint="default" w:ascii="Times New Roman" w:hAnsi="Times New Roman" w:cs="Times New Roman"/>
                <w:b w:val="0"/>
                <w:color w:val="auto"/>
                <w:sz w:val="21"/>
                <w:szCs w:val="21"/>
                <w:vertAlign w:val="baseline"/>
                <w:lang w:val="en-US" w:eastAsia="zh-CN"/>
              </w:rPr>
              <w:t>t/a</w:t>
            </w:r>
          </w:p>
        </w:tc>
        <w:tc>
          <w:tcPr>
            <w:tcW w:w="1368" w:type="dxa"/>
            <w:noWrap w:val="0"/>
            <w:vAlign w:val="center"/>
          </w:tcPr>
          <w:p w14:paraId="677A5538">
            <w:pPr>
              <w:pStyle w:val="31"/>
              <w:spacing w:beforeLines="0" w:afterLines="0" w:line="240" w:lineRule="auto"/>
              <w:rPr>
                <w:rFonts w:hint="default" w:ascii="Times New Roman" w:hAnsi="Times New Roman" w:eastAsia="宋体" w:cs="Times New Roman"/>
                <w:b w:val="0"/>
                <w:color w:val="auto"/>
                <w:kern w:val="0"/>
                <w:sz w:val="21"/>
                <w:szCs w:val="21"/>
                <w:vertAlign w:val="baseline"/>
                <w:lang w:val="en-US" w:eastAsia="zh-CN" w:bidi="ar-SA"/>
              </w:rPr>
            </w:pPr>
            <w:r>
              <w:rPr>
                <w:rFonts w:hint="eastAsia" w:ascii="Times New Roman" w:cs="Times New Roman"/>
                <w:snapToGrid w:val="0"/>
                <w:color w:val="auto"/>
                <w:kern w:val="21"/>
                <w:szCs w:val="21"/>
                <w:lang w:val="en-US" w:eastAsia="zh-CN"/>
              </w:rPr>
              <w:t>+0.01</w:t>
            </w:r>
            <w:r>
              <w:rPr>
                <w:rFonts w:hint="default" w:ascii="Times New Roman" w:hAnsi="Times New Roman" w:cs="Times New Roman"/>
                <w:b w:val="0"/>
                <w:color w:val="auto"/>
                <w:sz w:val="21"/>
                <w:szCs w:val="21"/>
                <w:vertAlign w:val="baseline"/>
                <w:lang w:val="en-US" w:eastAsia="zh-CN"/>
              </w:rPr>
              <w:t>t/a</w:t>
            </w:r>
          </w:p>
        </w:tc>
      </w:tr>
      <w:tr w14:paraId="6F45ED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386" w:type="dxa"/>
            <w:vMerge w:val="restart"/>
            <w:noWrap w:val="0"/>
            <w:vAlign w:val="center"/>
          </w:tcPr>
          <w:p w14:paraId="6D220069">
            <w:pPr>
              <w:pStyle w:val="3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一般工业</w:t>
            </w:r>
          </w:p>
          <w:p w14:paraId="46A15AAC">
            <w:pPr>
              <w:pStyle w:val="3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固体废物</w:t>
            </w:r>
          </w:p>
        </w:tc>
        <w:tc>
          <w:tcPr>
            <w:tcW w:w="1619" w:type="dxa"/>
            <w:noWrap w:val="0"/>
            <w:vAlign w:val="center"/>
          </w:tcPr>
          <w:p w14:paraId="5EB346F1">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生活垃圾</w:t>
            </w:r>
          </w:p>
        </w:tc>
        <w:tc>
          <w:tcPr>
            <w:tcW w:w="1701" w:type="dxa"/>
            <w:noWrap w:val="0"/>
            <w:vAlign w:val="center"/>
          </w:tcPr>
          <w:p w14:paraId="25A83704">
            <w:pPr>
              <w:pStyle w:val="31"/>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cs="Times New Roman"/>
                <w:snapToGrid w:val="0"/>
                <w:color w:val="auto"/>
                <w:kern w:val="21"/>
                <w:szCs w:val="21"/>
                <w:lang w:val="en-US" w:eastAsia="zh-CN"/>
              </w:rPr>
              <w:t>72</w:t>
            </w:r>
            <w:r>
              <w:rPr>
                <w:rFonts w:hint="default" w:ascii="Times New Roman" w:hAnsi="Times New Roman" w:cs="Times New Roman"/>
                <w:b w:val="0"/>
                <w:color w:val="auto"/>
                <w:sz w:val="21"/>
                <w:szCs w:val="21"/>
                <w:vertAlign w:val="baseline"/>
                <w:lang w:val="en-US" w:eastAsia="zh-CN"/>
              </w:rPr>
              <w:t>t/a</w:t>
            </w:r>
          </w:p>
        </w:tc>
        <w:tc>
          <w:tcPr>
            <w:tcW w:w="1276" w:type="dxa"/>
            <w:noWrap w:val="0"/>
            <w:vAlign w:val="center"/>
          </w:tcPr>
          <w:p w14:paraId="20BA2FFD">
            <w:pPr>
              <w:pStyle w:val="31"/>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eastAsia="宋体" w:cs="Times New Roman"/>
                <w:snapToGrid w:val="0"/>
                <w:color w:val="auto"/>
                <w:kern w:val="21"/>
                <w:sz w:val="21"/>
                <w:szCs w:val="21"/>
                <w:lang w:val="en-US" w:eastAsia="zh-CN" w:bidi="ar-SA"/>
              </w:rPr>
            </w:pPr>
            <w:r>
              <w:rPr>
                <w:rFonts w:hint="eastAsia" w:ascii="Times New Roman" w:cs="Times New Roman"/>
                <w:b w:val="0"/>
                <w:color w:val="auto"/>
                <w:sz w:val="21"/>
                <w:szCs w:val="21"/>
                <w:vertAlign w:val="baseline"/>
                <w:lang w:val="en-US" w:eastAsia="zh-CN"/>
              </w:rPr>
              <w:t>0</w:t>
            </w:r>
            <w:r>
              <w:rPr>
                <w:rFonts w:hint="default" w:ascii="Times New Roman" w:hAnsi="Times New Roman" w:cs="Times New Roman"/>
                <w:b w:val="0"/>
                <w:color w:val="auto"/>
                <w:sz w:val="21"/>
                <w:szCs w:val="21"/>
                <w:vertAlign w:val="baseline"/>
                <w:lang w:val="en-US" w:eastAsia="zh-CN"/>
              </w:rPr>
              <w:t>t/a</w:t>
            </w:r>
          </w:p>
        </w:tc>
        <w:tc>
          <w:tcPr>
            <w:tcW w:w="1701" w:type="dxa"/>
            <w:noWrap w:val="0"/>
            <w:vAlign w:val="center"/>
          </w:tcPr>
          <w:p w14:paraId="52F14AFA">
            <w:pPr>
              <w:pStyle w:val="31"/>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cs="Times New Roman"/>
                <w:snapToGrid w:val="0"/>
                <w:color w:val="auto"/>
                <w:kern w:val="21"/>
                <w:szCs w:val="21"/>
                <w:lang w:val="en-US" w:eastAsia="zh-CN"/>
              </w:rPr>
              <w:t>/</w:t>
            </w:r>
          </w:p>
        </w:tc>
        <w:tc>
          <w:tcPr>
            <w:tcW w:w="1559" w:type="dxa"/>
            <w:noWrap w:val="0"/>
            <w:vAlign w:val="center"/>
          </w:tcPr>
          <w:p w14:paraId="3D118014">
            <w:pPr>
              <w:pStyle w:val="31"/>
              <w:spacing w:beforeLines="0" w:afterLines="0" w:line="240" w:lineRule="auto"/>
              <w:rPr>
                <w:rFonts w:hint="default" w:ascii="Times New Roman" w:hAnsi="Times New Roman" w:eastAsia="宋体" w:cs="Times New Roman"/>
                <w:b w:val="0"/>
                <w:color w:val="auto"/>
                <w:kern w:val="0"/>
                <w:sz w:val="21"/>
                <w:szCs w:val="21"/>
                <w:vertAlign w:val="baseline"/>
                <w:lang w:val="en-US" w:eastAsia="zh-CN" w:bidi="ar-SA"/>
              </w:rPr>
            </w:pPr>
            <w:r>
              <w:rPr>
                <w:rFonts w:hint="eastAsia" w:ascii="Times New Roman" w:cs="Times New Roman"/>
                <w:b w:val="0"/>
                <w:color w:val="auto"/>
                <w:kern w:val="0"/>
                <w:sz w:val="21"/>
                <w:szCs w:val="21"/>
                <w:vertAlign w:val="baseline"/>
                <w:lang w:val="en-US" w:eastAsia="zh-CN" w:bidi="ar-SA"/>
              </w:rPr>
              <w:t>3.7</w:t>
            </w:r>
            <w:r>
              <w:rPr>
                <w:rFonts w:hint="default" w:ascii="Times New Roman" w:hAnsi="Times New Roman" w:cs="Times New Roman"/>
                <w:b w:val="0"/>
                <w:color w:val="auto"/>
                <w:sz w:val="21"/>
                <w:szCs w:val="21"/>
                <w:vertAlign w:val="baseline"/>
                <w:lang w:val="en-US" w:eastAsia="zh-CN"/>
              </w:rPr>
              <w:t>t/a</w:t>
            </w:r>
          </w:p>
        </w:tc>
        <w:tc>
          <w:tcPr>
            <w:tcW w:w="1498" w:type="dxa"/>
            <w:noWrap w:val="0"/>
            <w:vAlign w:val="center"/>
          </w:tcPr>
          <w:p w14:paraId="677A85AC">
            <w:pPr>
              <w:pStyle w:val="31"/>
              <w:spacing w:beforeLines="0" w:afterLines="0" w:line="240" w:lineRule="auto"/>
              <w:rPr>
                <w:rFonts w:hint="default" w:ascii="Times New Roman" w:hAnsi="Times New Roman" w:eastAsia="宋体" w:cs="Times New Roman"/>
                <w:b w:val="0"/>
                <w:color w:val="auto"/>
                <w:kern w:val="0"/>
                <w:sz w:val="21"/>
                <w:szCs w:val="21"/>
                <w:vertAlign w:val="baseline"/>
                <w:lang w:val="en-US" w:eastAsia="zh-CN" w:bidi="ar-SA"/>
              </w:rPr>
            </w:pPr>
            <w:r>
              <w:rPr>
                <w:rFonts w:hint="eastAsia" w:ascii="Times New Roman" w:cs="Times New Roman"/>
                <w:snapToGrid w:val="0"/>
                <w:color w:val="auto"/>
                <w:kern w:val="21"/>
                <w:szCs w:val="21"/>
                <w:lang w:val="en-US" w:eastAsia="zh-CN"/>
              </w:rPr>
              <w:t>/</w:t>
            </w:r>
          </w:p>
        </w:tc>
        <w:tc>
          <w:tcPr>
            <w:tcW w:w="1680" w:type="dxa"/>
            <w:noWrap w:val="0"/>
            <w:vAlign w:val="center"/>
          </w:tcPr>
          <w:p w14:paraId="09B1764F">
            <w:pPr>
              <w:pStyle w:val="31"/>
              <w:spacing w:beforeLines="0" w:afterLines="0" w:line="240" w:lineRule="auto"/>
              <w:rPr>
                <w:rFonts w:hint="default" w:ascii="Times New Roman" w:hAnsi="Times New Roman" w:eastAsia="宋体" w:cs="Times New Roman"/>
                <w:b w:val="0"/>
                <w:color w:val="auto"/>
                <w:kern w:val="0"/>
                <w:sz w:val="21"/>
                <w:szCs w:val="21"/>
                <w:vertAlign w:val="baseline"/>
                <w:lang w:val="en-US" w:eastAsia="zh-CN" w:bidi="ar-SA"/>
              </w:rPr>
            </w:pPr>
            <w:r>
              <w:rPr>
                <w:rFonts w:hint="eastAsia" w:ascii="Times New Roman" w:cs="Times New Roman"/>
                <w:b w:val="0"/>
                <w:color w:val="auto"/>
                <w:kern w:val="0"/>
                <w:sz w:val="21"/>
                <w:szCs w:val="21"/>
                <w:vertAlign w:val="baseline"/>
                <w:lang w:val="en-US" w:eastAsia="zh-CN" w:bidi="ar-SA"/>
              </w:rPr>
              <w:t>75.7</w:t>
            </w:r>
            <w:r>
              <w:rPr>
                <w:rFonts w:hint="default" w:ascii="Times New Roman" w:hAnsi="Times New Roman" w:cs="Times New Roman"/>
                <w:b w:val="0"/>
                <w:color w:val="auto"/>
                <w:sz w:val="21"/>
                <w:szCs w:val="21"/>
                <w:vertAlign w:val="baseline"/>
                <w:lang w:val="en-US" w:eastAsia="zh-CN"/>
              </w:rPr>
              <w:t>t/a</w:t>
            </w:r>
          </w:p>
        </w:tc>
        <w:tc>
          <w:tcPr>
            <w:tcW w:w="1368" w:type="dxa"/>
            <w:noWrap w:val="0"/>
            <w:vAlign w:val="center"/>
          </w:tcPr>
          <w:p w14:paraId="0FD6D603">
            <w:pPr>
              <w:pStyle w:val="31"/>
              <w:spacing w:beforeLines="0" w:afterLines="0" w:line="240" w:lineRule="auto"/>
              <w:rPr>
                <w:rFonts w:hint="default" w:ascii="Times New Roman" w:hAnsi="Times New Roman" w:eastAsia="宋体" w:cs="Times New Roman"/>
                <w:b w:val="0"/>
                <w:color w:val="auto"/>
                <w:kern w:val="0"/>
                <w:sz w:val="21"/>
                <w:szCs w:val="21"/>
                <w:vertAlign w:val="baseline"/>
                <w:lang w:val="en-US" w:eastAsia="zh-CN" w:bidi="ar-SA"/>
              </w:rPr>
            </w:pPr>
            <w:r>
              <w:rPr>
                <w:rFonts w:hint="eastAsia" w:ascii="Times New Roman" w:cs="Times New Roman"/>
                <w:b w:val="0"/>
                <w:color w:val="auto"/>
                <w:kern w:val="0"/>
                <w:sz w:val="21"/>
                <w:szCs w:val="21"/>
                <w:vertAlign w:val="baseline"/>
                <w:lang w:val="en-US" w:eastAsia="zh-CN" w:bidi="ar-SA"/>
              </w:rPr>
              <w:t>+3.7</w:t>
            </w:r>
            <w:r>
              <w:rPr>
                <w:rFonts w:hint="default" w:ascii="Times New Roman" w:hAnsi="Times New Roman" w:cs="Times New Roman"/>
                <w:b w:val="0"/>
                <w:color w:val="auto"/>
                <w:sz w:val="21"/>
                <w:szCs w:val="21"/>
                <w:vertAlign w:val="baseline"/>
                <w:lang w:val="en-US" w:eastAsia="zh-CN"/>
              </w:rPr>
              <w:t>t/a</w:t>
            </w:r>
          </w:p>
        </w:tc>
      </w:tr>
      <w:tr w14:paraId="6F5015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386" w:type="dxa"/>
            <w:vMerge w:val="continue"/>
            <w:noWrap w:val="0"/>
            <w:vAlign w:val="center"/>
          </w:tcPr>
          <w:p w14:paraId="21C6CBE3">
            <w:pPr>
              <w:keepNext w:val="0"/>
              <w:keepLines w:val="0"/>
              <w:suppressLineNumbers w:val="0"/>
              <w:spacing w:before="0" w:beforeAutospacing="0" w:after="0" w:afterAutospacing="0"/>
              <w:ind w:left="0" w:leftChars="0" w:right="0" w:rightChars="0"/>
              <w:jc w:val="center"/>
            </w:pPr>
          </w:p>
        </w:tc>
        <w:tc>
          <w:tcPr>
            <w:tcW w:w="1619" w:type="dxa"/>
            <w:noWrap w:val="0"/>
            <w:vAlign w:val="center"/>
          </w:tcPr>
          <w:p w14:paraId="274923D3">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cs="Times New Roman"/>
                <w:snapToGrid w:val="0"/>
                <w:color w:val="auto"/>
                <w:kern w:val="21"/>
                <w:szCs w:val="21"/>
                <w:lang w:val="en-US" w:eastAsia="zh-CN"/>
              </w:rPr>
            </w:pPr>
            <w:r>
              <w:rPr>
                <w:rFonts w:hint="eastAsia" w:cs="Times New Roman"/>
                <w:snapToGrid w:val="0"/>
                <w:color w:val="auto"/>
                <w:kern w:val="21"/>
                <w:szCs w:val="21"/>
                <w:lang w:val="en-US" w:eastAsia="zh-CN"/>
              </w:rPr>
              <w:t>边角料</w:t>
            </w:r>
          </w:p>
        </w:tc>
        <w:tc>
          <w:tcPr>
            <w:tcW w:w="1701" w:type="dxa"/>
            <w:noWrap w:val="0"/>
            <w:vAlign w:val="center"/>
          </w:tcPr>
          <w:p w14:paraId="0657277B">
            <w:pPr>
              <w:pStyle w:val="3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3360m</w:t>
            </w:r>
            <w:r>
              <w:rPr>
                <w:rFonts w:hint="eastAsia" w:ascii="Times New Roman" w:cs="Times New Roman"/>
                <w:snapToGrid w:val="0"/>
                <w:color w:val="auto"/>
                <w:kern w:val="21"/>
                <w:szCs w:val="21"/>
                <w:vertAlign w:val="superscript"/>
                <w:lang w:val="en-US" w:eastAsia="zh-CN"/>
              </w:rPr>
              <w:t>3</w:t>
            </w:r>
            <w:r>
              <w:rPr>
                <w:rFonts w:hint="eastAsia" w:ascii="Times New Roman" w:cs="Times New Roman"/>
                <w:snapToGrid w:val="0"/>
                <w:color w:val="auto"/>
                <w:kern w:val="21"/>
                <w:szCs w:val="21"/>
                <w:lang w:val="en-US" w:eastAsia="zh-CN"/>
              </w:rPr>
              <w:t>/a</w:t>
            </w:r>
          </w:p>
        </w:tc>
        <w:tc>
          <w:tcPr>
            <w:tcW w:w="1276" w:type="dxa"/>
            <w:noWrap w:val="0"/>
            <w:vAlign w:val="center"/>
          </w:tcPr>
          <w:p w14:paraId="4597713E">
            <w:pPr>
              <w:pStyle w:val="3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3360m</w:t>
            </w:r>
            <w:r>
              <w:rPr>
                <w:rFonts w:hint="eastAsia" w:ascii="Times New Roman" w:cs="Times New Roman"/>
                <w:snapToGrid w:val="0"/>
                <w:color w:val="auto"/>
                <w:kern w:val="21"/>
                <w:szCs w:val="21"/>
                <w:vertAlign w:val="superscript"/>
                <w:lang w:val="en-US" w:eastAsia="zh-CN"/>
              </w:rPr>
              <w:t>3</w:t>
            </w:r>
            <w:r>
              <w:rPr>
                <w:rFonts w:hint="eastAsia" w:ascii="Times New Roman" w:cs="Times New Roman"/>
                <w:snapToGrid w:val="0"/>
                <w:color w:val="auto"/>
                <w:kern w:val="21"/>
                <w:szCs w:val="21"/>
                <w:lang w:val="en-US" w:eastAsia="zh-CN"/>
              </w:rPr>
              <w:t>/a</w:t>
            </w:r>
          </w:p>
        </w:tc>
        <w:tc>
          <w:tcPr>
            <w:tcW w:w="1701" w:type="dxa"/>
            <w:noWrap w:val="0"/>
            <w:vAlign w:val="center"/>
          </w:tcPr>
          <w:p w14:paraId="276BBAD6">
            <w:pPr>
              <w:pStyle w:val="3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w:t>
            </w:r>
          </w:p>
        </w:tc>
        <w:tc>
          <w:tcPr>
            <w:tcW w:w="1559" w:type="dxa"/>
            <w:noWrap w:val="0"/>
            <w:vAlign w:val="center"/>
          </w:tcPr>
          <w:p w14:paraId="571A9375">
            <w:pPr>
              <w:pStyle w:val="3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w:t>
            </w:r>
          </w:p>
        </w:tc>
        <w:tc>
          <w:tcPr>
            <w:tcW w:w="1498" w:type="dxa"/>
            <w:noWrap w:val="0"/>
            <w:vAlign w:val="center"/>
          </w:tcPr>
          <w:p w14:paraId="53A24D3F">
            <w:pPr>
              <w:pStyle w:val="3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w:t>
            </w:r>
          </w:p>
        </w:tc>
        <w:tc>
          <w:tcPr>
            <w:tcW w:w="1680" w:type="dxa"/>
            <w:noWrap w:val="0"/>
            <w:vAlign w:val="center"/>
          </w:tcPr>
          <w:p w14:paraId="67FBFD17">
            <w:pPr>
              <w:pStyle w:val="3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w:t>
            </w:r>
          </w:p>
        </w:tc>
        <w:tc>
          <w:tcPr>
            <w:tcW w:w="1368" w:type="dxa"/>
            <w:noWrap w:val="0"/>
            <w:vAlign w:val="center"/>
          </w:tcPr>
          <w:p w14:paraId="3F812D8B">
            <w:pPr>
              <w:pStyle w:val="3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w:t>
            </w:r>
            <w:r>
              <w:rPr>
                <w:rFonts w:hint="default" w:ascii="Times New Roman" w:hAnsi="Times New Roman" w:cs="Times New Roman"/>
                <w:b w:val="0"/>
                <w:color w:val="auto"/>
                <w:sz w:val="21"/>
                <w:szCs w:val="21"/>
                <w:vertAlign w:val="baseline"/>
                <w:lang w:val="en-US" w:eastAsia="zh-CN"/>
              </w:rPr>
              <w:t>t/a</w:t>
            </w:r>
          </w:p>
        </w:tc>
      </w:tr>
      <w:tr w14:paraId="1B2EC1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1386" w:type="dxa"/>
            <w:vMerge w:val="continue"/>
            <w:noWrap w:val="0"/>
            <w:vAlign w:val="center"/>
          </w:tcPr>
          <w:p w14:paraId="4AD228AD">
            <w:pPr>
              <w:keepNext w:val="0"/>
              <w:keepLines w:val="0"/>
              <w:suppressLineNumbers w:val="0"/>
              <w:spacing w:before="0" w:beforeAutospacing="0" w:after="0" w:afterAutospacing="0"/>
              <w:ind w:left="0" w:leftChars="0" w:right="0" w:rightChars="0"/>
              <w:jc w:val="center"/>
            </w:pPr>
          </w:p>
        </w:tc>
        <w:tc>
          <w:tcPr>
            <w:tcW w:w="1619" w:type="dxa"/>
            <w:noWrap w:val="0"/>
            <w:vAlign w:val="center"/>
          </w:tcPr>
          <w:p w14:paraId="219289F7">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cs="Times New Roman"/>
                <w:snapToGrid w:val="0"/>
                <w:color w:val="auto"/>
                <w:kern w:val="21"/>
                <w:szCs w:val="21"/>
                <w:lang w:val="en-US" w:eastAsia="zh-CN"/>
              </w:rPr>
            </w:pPr>
            <w:r>
              <w:rPr>
                <w:rFonts w:hint="eastAsia" w:cs="Times New Roman"/>
                <w:snapToGrid w:val="0"/>
                <w:color w:val="auto"/>
                <w:kern w:val="21"/>
                <w:szCs w:val="21"/>
                <w:lang w:val="en-US" w:eastAsia="zh-CN"/>
              </w:rPr>
              <w:t>石粉泥饼</w:t>
            </w:r>
          </w:p>
        </w:tc>
        <w:tc>
          <w:tcPr>
            <w:tcW w:w="1701" w:type="dxa"/>
            <w:noWrap w:val="0"/>
            <w:vAlign w:val="center"/>
          </w:tcPr>
          <w:p w14:paraId="073B495D">
            <w:pPr>
              <w:pStyle w:val="3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7840m</w:t>
            </w:r>
            <w:r>
              <w:rPr>
                <w:rFonts w:hint="eastAsia" w:ascii="Times New Roman" w:cs="Times New Roman"/>
                <w:snapToGrid w:val="0"/>
                <w:color w:val="auto"/>
                <w:kern w:val="21"/>
                <w:szCs w:val="21"/>
                <w:vertAlign w:val="superscript"/>
                <w:lang w:val="en-US" w:eastAsia="zh-CN"/>
              </w:rPr>
              <w:t>3</w:t>
            </w:r>
            <w:r>
              <w:rPr>
                <w:rFonts w:hint="eastAsia" w:ascii="Times New Roman" w:cs="Times New Roman"/>
                <w:snapToGrid w:val="0"/>
                <w:color w:val="auto"/>
                <w:kern w:val="21"/>
                <w:szCs w:val="21"/>
                <w:lang w:val="en-US" w:eastAsia="zh-CN"/>
              </w:rPr>
              <w:t>/a</w:t>
            </w:r>
          </w:p>
        </w:tc>
        <w:tc>
          <w:tcPr>
            <w:tcW w:w="1276" w:type="dxa"/>
            <w:noWrap w:val="0"/>
            <w:vAlign w:val="center"/>
          </w:tcPr>
          <w:p w14:paraId="22DF94D8">
            <w:pPr>
              <w:pStyle w:val="3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7840m</w:t>
            </w:r>
            <w:r>
              <w:rPr>
                <w:rFonts w:hint="eastAsia" w:ascii="Times New Roman" w:cs="Times New Roman"/>
                <w:snapToGrid w:val="0"/>
                <w:color w:val="auto"/>
                <w:kern w:val="21"/>
                <w:szCs w:val="21"/>
                <w:vertAlign w:val="superscript"/>
                <w:lang w:val="en-US" w:eastAsia="zh-CN"/>
              </w:rPr>
              <w:t>3</w:t>
            </w:r>
            <w:r>
              <w:rPr>
                <w:rFonts w:hint="eastAsia" w:ascii="Times New Roman" w:cs="Times New Roman"/>
                <w:snapToGrid w:val="0"/>
                <w:color w:val="auto"/>
                <w:kern w:val="21"/>
                <w:szCs w:val="21"/>
                <w:lang w:val="en-US" w:eastAsia="zh-CN"/>
              </w:rPr>
              <w:t>/a</w:t>
            </w:r>
          </w:p>
        </w:tc>
        <w:tc>
          <w:tcPr>
            <w:tcW w:w="1701" w:type="dxa"/>
            <w:noWrap w:val="0"/>
            <w:vAlign w:val="center"/>
          </w:tcPr>
          <w:p w14:paraId="2F5BF421">
            <w:pPr>
              <w:pStyle w:val="3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w:t>
            </w:r>
          </w:p>
        </w:tc>
        <w:tc>
          <w:tcPr>
            <w:tcW w:w="1559" w:type="dxa"/>
            <w:noWrap w:val="0"/>
            <w:vAlign w:val="center"/>
          </w:tcPr>
          <w:p w14:paraId="43C13EE6">
            <w:pPr>
              <w:pStyle w:val="3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w:t>
            </w:r>
          </w:p>
        </w:tc>
        <w:tc>
          <w:tcPr>
            <w:tcW w:w="1498" w:type="dxa"/>
            <w:noWrap w:val="0"/>
            <w:vAlign w:val="center"/>
          </w:tcPr>
          <w:p w14:paraId="1E0F94F5">
            <w:pPr>
              <w:pStyle w:val="3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w:t>
            </w:r>
          </w:p>
        </w:tc>
        <w:tc>
          <w:tcPr>
            <w:tcW w:w="1680" w:type="dxa"/>
            <w:noWrap w:val="0"/>
            <w:vAlign w:val="center"/>
          </w:tcPr>
          <w:p w14:paraId="38A1B5E5">
            <w:pPr>
              <w:pStyle w:val="3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w:t>
            </w:r>
          </w:p>
        </w:tc>
        <w:tc>
          <w:tcPr>
            <w:tcW w:w="1368" w:type="dxa"/>
            <w:noWrap w:val="0"/>
            <w:vAlign w:val="center"/>
          </w:tcPr>
          <w:p w14:paraId="76669F08">
            <w:pPr>
              <w:pStyle w:val="3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w:t>
            </w:r>
            <w:r>
              <w:rPr>
                <w:rFonts w:hint="default" w:ascii="Times New Roman" w:hAnsi="Times New Roman" w:cs="Times New Roman"/>
                <w:b w:val="0"/>
                <w:color w:val="auto"/>
                <w:sz w:val="21"/>
                <w:szCs w:val="21"/>
                <w:vertAlign w:val="baseline"/>
                <w:lang w:val="en-US" w:eastAsia="zh-CN"/>
              </w:rPr>
              <w:t>t/a</w:t>
            </w:r>
          </w:p>
        </w:tc>
      </w:tr>
      <w:tr w14:paraId="57E57D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386" w:type="dxa"/>
            <w:vMerge w:val="continue"/>
            <w:noWrap w:val="0"/>
            <w:vAlign w:val="center"/>
          </w:tcPr>
          <w:p w14:paraId="0B105B60">
            <w:pPr>
              <w:pStyle w:val="31"/>
              <w:spacing w:beforeLines="0" w:afterLines="0" w:line="240" w:lineRule="auto"/>
              <w:rPr>
                <w:rFonts w:hint="default" w:ascii="Times New Roman" w:hAnsi="Times New Roman" w:cs="Times New Roman"/>
                <w:snapToGrid w:val="0"/>
                <w:color w:val="auto"/>
                <w:kern w:val="21"/>
                <w:szCs w:val="21"/>
              </w:rPr>
            </w:pPr>
          </w:p>
        </w:tc>
        <w:tc>
          <w:tcPr>
            <w:tcW w:w="1619" w:type="dxa"/>
            <w:noWrap w:val="0"/>
            <w:vAlign w:val="center"/>
          </w:tcPr>
          <w:p w14:paraId="6E9AA505">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cs="Times New Roman"/>
                <w:snapToGrid w:val="0"/>
                <w:color w:val="auto"/>
                <w:kern w:val="21"/>
                <w:szCs w:val="21"/>
                <w:lang w:val="en-US" w:eastAsia="zh-CN"/>
              </w:rPr>
            </w:pPr>
            <w:r>
              <w:rPr>
                <w:rFonts w:hint="eastAsia" w:cs="Times New Roman"/>
                <w:snapToGrid w:val="0"/>
                <w:color w:val="auto"/>
                <w:kern w:val="21"/>
                <w:szCs w:val="21"/>
                <w:lang w:val="en-US" w:eastAsia="zh-CN"/>
              </w:rPr>
              <w:t>布袋除尘器收集粉尘</w:t>
            </w:r>
          </w:p>
        </w:tc>
        <w:tc>
          <w:tcPr>
            <w:tcW w:w="1701" w:type="dxa"/>
            <w:noWrap w:val="0"/>
            <w:vAlign w:val="center"/>
          </w:tcPr>
          <w:p w14:paraId="4C7B1C9C">
            <w:pPr>
              <w:keepNext w:val="0"/>
              <w:keepLines w:val="0"/>
              <w:suppressLineNumbers w:val="0"/>
              <w:spacing w:before="0" w:beforeAutospacing="0" w:after="0" w:afterAutospacing="0"/>
              <w:ind w:left="0" w:leftChars="0" w:right="0" w:rightChars="0"/>
              <w:jc w:val="center"/>
              <w:rPr>
                <w:rFonts w:hint="default" w:ascii="Times New Roman" w:cs="Times New Roman"/>
                <w:snapToGrid w:val="0"/>
                <w:color w:val="auto"/>
                <w:kern w:val="21"/>
                <w:szCs w:val="21"/>
                <w:lang w:val="en-US" w:eastAsia="zh-CN"/>
              </w:rPr>
            </w:pPr>
            <w:r>
              <w:rPr>
                <w:rFonts w:hint="default" w:ascii="Times New Roman" w:hAnsi="Times New Roman" w:eastAsia="宋体" w:cs="Times New Roman"/>
                <w:b w:val="0"/>
                <w:color w:val="auto"/>
                <w:kern w:val="0"/>
                <w:sz w:val="21"/>
                <w:szCs w:val="21"/>
                <w:vertAlign w:val="baseline"/>
                <w:lang w:val="en-US" w:eastAsia="zh-CN" w:bidi="ar-SA"/>
              </w:rPr>
              <w:t>0</w:t>
            </w:r>
            <w:r>
              <w:rPr>
                <w:rFonts w:hint="default" w:ascii="Times New Roman" w:hAnsi="Times New Roman" w:cs="Times New Roman"/>
                <w:b w:val="0"/>
                <w:color w:val="auto"/>
                <w:sz w:val="21"/>
                <w:szCs w:val="21"/>
                <w:vertAlign w:val="baseline"/>
                <w:lang w:val="en-US" w:eastAsia="zh-CN"/>
              </w:rPr>
              <w:t>t/a</w:t>
            </w:r>
          </w:p>
        </w:tc>
        <w:tc>
          <w:tcPr>
            <w:tcW w:w="1276" w:type="dxa"/>
            <w:noWrap w:val="0"/>
            <w:vAlign w:val="center"/>
          </w:tcPr>
          <w:p w14:paraId="170899D0">
            <w:pPr>
              <w:keepNext w:val="0"/>
              <w:keepLines w:val="0"/>
              <w:suppressLineNumbers w:val="0"/>
              <w:spacing w:before="0" w:beforeAutospacing="0" w:after="0" w:afterAutospacing="0"/>
              <w:ind w:left="0" w:leftChars="0" w:right="0" w:rightChars="0"/>
              <w:jc w:val="center"/>
              <w:rPr>
                <w:rFonts w:hint="eastAsia" w:ascii="Times New Roman" w:cs="Times New Roman"/>
                <w:b w:val="0"/>
                <w:color w:val="auto"/>
                <w:sz w:val="21"/>
                <w:szCs w:val="21"/>
                <w:vertAlign w:val="baseline"/>
                <w:lang w:val="en-US" w:eastAsia="zh-CN"/>
              </w:rPr>
            </w:pPr>
            <w:r>
              <w:rPr>
                <w:rFonts w:hint="default" w:ascii="Times New Roman" w:hAnsi="Times New Roman" w:eastAsia="宋体" w:cs="Times New Roman"/>
                <w:b w:val="0"/>
                <w:color w:val="auto"/>
                <w:kern w:val="0"/>
                <w:sz w:val="21"/>
                <w:szCs w:val="21"/>
                <w:vertAlign w:val="baseline"/>
                <w:lang w:val="en-US" w:eastAsia="zh-CN" w:bidi="ar-SA"/>
              </w:rPr>
              <w:t>0</w:t>
            </w:r>
            <w:r>
              <w:rPr>
                <w:rFonts w:hint="default" w:ascii="Times New Roman" w:hAnsi="Times New Roman" w:cs="Times New Roman"/>
                <w:b w:val="0"/>
                <w:color w:val="auto"/>
                <w:sz w:val="21"/>
                <w:szCs w:val="21"/>
                <w:vertAlign w:val="baseline"/>
                <w:lang w:val="en-US" w:eastAsia="zh-CN"/>
              </w:rPr>
              <w:t>t/a</w:t>
            </w:r>
          </w:p>
        </w:tc>
        <w:tc>
          <w:tcPr>
            <w:tcW w:w="1701" w:type="dxa"/>
            <w:noWrap w:val="0"/>
            <w:vAlign w:val="center"/>
          </w:tcPr>
          <w:p w14:paraId="082B5ED7">
            <w:pPr>
              <w:pStyle w:val="31"/>
              <w:spacing w:beforeLines="0" w:afterLines="0" w:line="240" w:lineRule="auto"/>
              <w:rPr>
                <w:rFonts w:hint="eastAsia"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w:t>
            </w:r>
          </w:p>
        </w:tc>
        <w:tc>
          <w:tcPr>
            <w:tcW w:w="1559" w:type="dxa"/>
            <w:noWrap w:val="0"/>
            <w:vAlign w:val="center"/>
          </w:tcPr>
          <w:p w14:paraId="7FF9086A">
            <w:pPr>
              <w:pStyle w:val="31"/>
              <w:spacing w:beforeLines="0" w:afterLines="0" w:line="240" w:lineRule="auto"/>
              <w:rPr>
                <w:rFonts w:hint="default" w:ascii="Times New Roman" w:hAnsi="Times New Roman" w:cs="Times New Roman"/>
                <w:b w:val="0"/>
                <w:color w:val="auto"/>
                <w:kern w:val="0"/>
                <w:sz w:val="21"/>
                <w:szCs w:val="21"/>
                <w:vertAlign w:val="baseline"/>
                <w:lang w:val="en-US" w:eastAsia="zh-CN" w:bidi="ar-SA"/>
              </w:rPr>
            </w:pPr>
            <w:r>
              <w:rPr>
                <w:rFonts w:hint="eastAsia" w:ascii="Times New Roman" w:cs="Times New Roman"/>
                <w:b w:val="0"/>
                <w:color w:val="auto"/>
                <w:sz w:val="21"/>
                <w:szCs w:val="21"/>
                <w:vertAlign w:val="baseline"/>
                <w:lang w:val="en-US" w:eastAsia="zh-CN"/>
              </w:rPr>
              <w:t>59.61</w:t>
            </w:r>
            <w:r>
              <w:rPr>
                <w:rFonts w:hint="default" w:ascii="Times New Roman" w:hAnsi="Times New Roman" w:cs="Times New Roman"/>
                <w:b w:val="0"/>
                <w:color w:val="auto"/>
                <w:sz w:val="21"/>
                <w:szCs w:val="21"/>
                <w:vertAlign w:val="baseline"/>
                <w:lang w:val="en-US" w:eastAsia="zh-CN"/>
              </w:rPr>
              <w:t>t/a</w:t>
            </w:r>
          </w:p>
        </w:tc>
        <w:tc>
          <w:tcPr>
            <w:tcW w:w="1498" w:type="dxa"/>
            <w:noWrap w:val="0"/>
            <w:vAlign w:val="center"/>
          </w:tcPr>
          <w:p w14:paraId="2C55D9D4">
            <w:pPr>
              <w:pStyle w:val="31"/>
              <w:spacing w:beforeLines="0" w:afterLines="0" w:line="240" w:lineRule="auto"/>
              <w:rPr>
                <w:rFonts w:hint="default" w:ascii="Times New Roman" w:cs="Times New Roman"/>
                <w:b w:val="0"/>
                <w:color w:val="auto"/>
                <w:kern w:val="0"/>
                <w:sz w:val="21"/>
                <w:szCs w:val="21"/>
                <w:vertAlign w:val="baseline"/>
                <w:lang w:val="en-US" w:eastAsia="zh-CN" w:bidi="ar-SA"/>
              </w:rPr>
            </w:pPr>
            <w:r>
              <w:rPr>
                <w:rFonts w:hint="eastAsia" w:ascii="Times New Roman" w:cs="Times New Roman"/>
                <w:snapToGrid w:val="0"/>
                <w:color w:val="auto"/>
                <w:kern w:val="21"/>
                <w:szCs w:val="21"/>
                <w:lang w:val="en-US" w:eastAsia="zh-CN"/>
              </w:rPr>
              <w:t>/</w:t>
            </w:r>
          </w:p>
        </w:tc>
        <w:tc>
          <w:tcPr>
            <w:tcW w:w="1680" w:type="dxa"/>
            <w:noWrap w:val="0"/>
            <w:vAlign w:val="center"/>
          </w:tcPr>
          <w:p w14:paraId="44D64EBB">
            <w:pPr>
              <w:pStyle w:val="31"/>
              <w:spacing w:beforeLines="0" w:afterLines="0" w:line="240" w:lineRule="auto"/>
              <w:rPr>
                <w:rFonts w:hint="default" w:ascii="Times New Roman" w:cs="Times New Roman"/>
                <w:b w:val="0"/>
                <w:color w:val="auto"/>
                <w:kern w:val="0"/>
                <w:sz w:val="21"/>
                <w:szCs w:val="21"/>
                <w:vertAlign w:val="baseline"/>
                <w:lang w:val="en-US" w:eastAsia="zh-CN" w:bidi="ar-SA"/>
              </w:rPr>
            </w:pPr>
            <w:r>
              <w:rPr>
                <w:rFonts w:hint="eastAsia" w:ascii="Times New Roman" w:cs="Times New Roman"/>
                <w:b w:val="0"/>
                <w:color w:val="auto"/>
                <w:sz w:val="21"/>
                <w:szCs w:val="21"/>
                <w:vertAlign w:val="baseline"/>
                <w:lang w:val="en-US" w:eastAsia="zh-CN"/>
              </w:rPr>
              <w:t>59.61</w:t>
            </w:r>
            <w:r>
              <w:rPr>
                <w:rFonts w:hint="default" w:ascii="Times New Roman" w:hAnsi="Times New Roman" w:cs="Times New Roman"/>
                <w:b w:val="0"/>
                <w:color w:val="auto"/>
                <w:sz w:val="21"/>
                <w:szCs w:val="21"/>
                <w:vertAlign w:val="baseline"/>
                <w:lang w:val="en-US" w:eastAsia="zh-CN"/>
              </w:rPr>
              <w:t>t/a</w:t>
            </w:r>
          </w:p>
        </w:tc>
        <w:tc>
          <w:tcPr>
            <w:tcW w:w="1368" w:type="dxa"/>
            <w:noWrap w:val="0"/>
            <w:vAlign w:val="center"/>
          </w:tcPr>
          <w:p w14:paraId="7E488A5A">
            <w:pPr>
              <w:pStyle w:val="31"/>
              <w:spacing w:beforeLines="0" w:afterLines="0" w:line="240" w:lineRule="auto"/>
              <w:rPr>
                <w:rFonts w:hint="default" w:ascii="Times New Roman" w:hAnsi="Times New Roman" w:cs="Times New Roman"/>
                <w:b w:val="0"/>
                <w:color w:val="auto"/>
                <w:kern w:val="0"/>
                <w:sz w:val="21"/>
                <w:szCs w:val="21"/>
                <w:vertAlign w:val="baseline"/>
                <w:lang w:val="en-US" w:eastAsia="zh-CN" w:bidi="ar-SA"/>
              </w:rPr>
            </w:pPr>
            <w:r>
              <w:rPr>
                <w:rFonts w:hint="eastAsia" w:ascii="Times New Roman" w:cs="Times New Roman"/>
                <w:b w:val="0"/>
                <w:color w:val="auto"/>
                <w:sz w:val="21"/>
                <w:szCs w:val="21"/>
                <w:vertAlign w:val="baseline"/>
                <w:lang w:val="en-US" w:eastAsia="zh-CN"/>
              </w:rPr>
              <w:t>+59.61</w:t>
            </w:r>
            <w:r>
              <w:rPr>
                <w:rFonts w:hint="default" w:ascii="Times New Roman" w:hAnsi="Times New Roman" w:cs="Times New Roman"/>
                <w:b w:val="0"/>
                <w:color w:val="auto"/>
                <w:sz w:val="21"/>
                <w:szCs w:val="21"/>
                <w:vertAlign w:val="baseline"/>
                <w:lang w:val="en-US" w:eastAsia="zh-CN"/>
              </w:rPr>
              <w:t>t/a</w:t>
            </w:r>
          </w:p>
        </w:tc>
      </w:tr>
      <w:tr w14:paraId="1D7F19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386" w:type="dxa"/>
            <w:vMerge w:val="continue"/>
            <w:noWrap w:val="0"/>
            <w:vAlign w:val="center"/>
          </w:tcPr>
          <w:p w14:paraId="63E4CDFC">
            <w:pPr>
              <w:pStyle w:val="31"/>
              <w:spacing w:beforeLines="0" w:afterLines="0" w:line="240" w:lineRule="auto"/>
              <w:rPr>
                <w:rFonts w:hint="default" w:ascii="Times New Roman" w:hAnsi="Times New Roman" w:cs="Times New Roman"/>
              </w:rPr>
            </w:pPr>
          </w:p>
        </w:tc>
        <w:tc>
          <w:tcPr>
            <w:tcW w:w="1619" w:type="dxa"/>
            <w:noWrap w:val="0"/>
            <w:vAlign w:val="center"/>
          </w:tcPr>
          <w:p w14:paraId="56FE6A04">
            <w:pPr>
              <w:pStyle w:val="31"/>
              <w:spacing w:beforeLines="0" w:afterLines="0" w:line="240" w:lineRule="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污泥</w:t>
            </w:r>
          </w:p>
        </w:tc>
        <w:tc>
          <w:tcPr>
            <w:tcW w:w="1701" w:type="dxa"/>
            <w:noWrap w:val="0"/>
            <w:vAlign w:val="center"/>
          </w:tcPr>
          <w:p w14:paraId="7ADB0B5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napToGrid w:val="0"/>
                <w:color w:val="auto"/>
                <w:kern w:val="21"/>
                <w:szCs w:val="21"/>
                <w:lang w:val="en-US" w:eastAsia="zh-CN"/>
              </w:rPr>
            </w:pPr>
            <w:r>
              <w:rPr>
                <w:rFonts w:hint="eastAsia" w:cs="Times New Roman"/>
                <w:b w:val="0"/>
                <w:color w:val="auto"/>
                <w:sz w:val="21"/>
                <w:szCs w:val="21"/>
                <w:vertAlign w:val="baseline"/>
                <w:lang w:val="en-US" w:eastAsia="zh-CN"/>
              </w:rPr>
              <w:t>0</w:t>
            </w:r>
            <w:r>
              <w:rPr>
                <w:rFonts w:hint="default" w:ascii="Times New Roman" w:hAnsi="Times New Roman" w:cs="Times New Roman"/>
                <w:b w:val="0"/>
                <w:color w:val="auto"/>
                <w:sz w:val="21"/>
                <w:szCs w:val="21"/>
                <w:vertAlign w:val="baseline"/>
                <w:lang w:val="en-US" w:eastAsia="zh-CN"/>
              </w:rPr>
              <w:t>t/a</w:t>
            </w:r>
          </w:p>
        </w:tc>
        <w:tc>
          <w:tcPr>
            <w:tcW w:w="1276" w:type="dxa"/>
            <w:noWrap w:val="0"/>
            <w:vAlign w:val="center"/>
          </w:tcPr>
          <w:p w14:paraId="652CF7B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napToGrid w:val="0"/>
                <w:color w:val="auto"/>
                <w:kern w:val="21"/>
                <w:szCs w:val="21"/>
                <w:lang w:val="en-US" w:eastAsia="zh-CN"/>
              </w:rPr>
            </w:pPr>
            <w:r>
              <w:rPr>
                <w:rFonts w:hint="eastAsia" w:cs="Times New Roman"/>
                <w:b w:val="0"/>
                <w:color w:val="auto"/>
                <w:sz w:val="21"/>
                <w:szCs w:val="21"/>
                <w:vertAlign w:val="baseline"/>
                <w:lang w:val="en-US" w:eastAsia="zh-CN"/>
              </w:rPr>
              <w:t>0</w:t>
            </w:r>
            <w:r>
              <w:rPr>
                <w:rFonts w:hint="default" w:ascii="Times New Roman" w:hAnsi="Times New Roman" w:cs="Times New Roman"/>
                <w:b w:val="0"/>
                <w:color w:val="auto"/>
                <w:sz w:val="21"/>
                <w:szCs w:val="21"/>
                <w:vertAlign w:val="baseline"/>
                <w:lang w:val="en-US" w:eastAsia="zh-CN"/>
              </w:rPr>
              <w:t>t/a</w:t>
            </w:r>
          </w:p>
        </w:tc>
        <w:tc>
          <w:tcPr>
            <w:tcW w:w="1701" w:type="dxa"/>
            <w:noWrap w:val="0"/>
            <w:vAlign w:val="center"/>
          </w:tcPr>
          <w:p w14:paraId="24B59EB3">
            <w:pPr>
              <w:pStyle w:val="3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w:t>
            </w:r>
          </w:p>
        </w:tc>
        <w:tc>
          <w:tcPr>
            <w:tcW w:w="1559" w:type="dxa"/>
            <w:noWrap w:val="0"/>
            <w:vAlign w:val="center"/>
          </w:tcPr>
          <w:p w14:paraId="6BCD863A">
            <w:pPr>
              <w:pStyle w:val="31"/>
              <w:spacing w:beforeLines="0" w:afterLines="0" w:line="240" w:lineRule="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2.96t/a</w:t>
            </w:r>
          </w:p>
        </w:tc>
        <w:tc>
          <w:tcPr>
            <w:tcW w:w="1498" w:type="dxa"/>
            <w:noWrap w:val="0"/>
            <w:vAlign w:val="center"/>
          </w:tcPr>
          <w:p w14:paraId="27AD9563">
            <w:pPr>
              <w:pStyle w:val="3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w:t>
            </w:r>
          </w:p>
        </w:tc>
        <w:tc>
          <w:tcPr>
            <w:tcW w:w="1680" w:type="dxa"/>
            <w:noWrap w:val="0"/>
            <w:vAlign w:val="center"/>
          </w:tcPr>
          <w:p w14:paraId="2E7860F4">
            <w:pPr>
              <w:pStyle w:val="31"/>
              <w:spacing w:beforeLines="0" w:afterLines="0" w:line="240" w:lineRule="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2.96t/a</w:t>
            </w:r>
          </w:p>
        </w:tc>
        <w:tc>
          <w:tcPr>
            <w:tcW w:w="1368" w:type="dxa"/>
            <w:noWrap w:val="0"/>
            <w:vAlign w:val="center"/>
          </w:tcPr>
          <w:p w14:paraId="007ED09E">
            <w:pPr>
              <w:pStyle w:val="3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r>
              <w:rPr>
                <w:rFonts w:hint="default" w:ascii="Times New Roman" w:hAnsi="Times New Roman" w:cs="Times New Roman"/>
                <w:snapToGrid w:val="0"/>
                <w:color w:val="auto"/>
                <w:kern w:val="21"/>
                <w:szCs w:val="21"/>
                <w:lang w:val="en-US" w:eastAsia="zh-CN"/>
              </w:rPr>
              <w:t>2.96t/a</w:t>
            </w:r>
          </w:p>
        </w:tc>
      </w:tr>
      <w:tr w14:paraId="1DE3FC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386" w:type="dxa"/>
            <w:vMerge w:val="continue"/>
            <w:noWrap w:val="0"/>
            <w:vAlign w:val="center"/>
          </w:tcPr>
          <w:p w14:paraId="5DB38BCD">
            <w:pPr>
              <w:pStyle w:val="31"/>
              <w:spacing w:beforeLines="0" w:afterLines="0" w:line="240" w:lineRule="auto"/>
              <w:rPr>
                <w:rFonts w:hint="default" w:ascii="Times New Roman" w:hAnsi="Times New Roman" w:cs="Times New Roman"/>
                <w:snapToGrid w:val="0"/>
                <w:color w:val="auto"/>
                <w:kern w:val="21"/>
                <w:szCs w:val="21"/>
                <w:lang w:val="en-US" w:eastAsia="zh-CN"/>
              </w:rPr>
            </w:pPr>
          </w:p>
        </w:tc>
        <w:tc>
          <w:tcPr>
            <w:tcW w:w="1619" w:type="dxa"/>
            <w:noWrap w:val="0"/>
            <w:vAlign w:val="center"/>
          </w:tcPr>
          <w:p w14:paraId="6559205A">
            <w:pPr>
              <w:pStyle w:val="31"/>
              <w:spacing w:beforeLines="0" w:afterLines="0" w:line="240" w:lineRule="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废塑料薄膜</w:t>
            </w:r>
          </w:p>
        </w:tc>
        <w:tc>
          <w:tcPr>
            <w:tcW w:w="1701" w:type="dxa"/>
            <w:noWrap w:val="0"/>
            <w:vAlign w:val="center"/>
          </w:tcPr>
          <w:p w14:paraId="61E807DE">
            <w:pPr>
              <w:pStyle w:val="3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w:t>
            </w:r>
            <w:r>
              <w:rPr>
                <w:rFonts w:hint="default" w:ascii="Times New Roman" w:hAnsi="Times New Roman" w:cs="Times New Roman"/>
                <w:b w:val="0"/>
                <w:color w:val="auto"/>
                <w:sz w:val="21"/>
                <w:szCs w:val="21"/>
                <w:vertAlign w:val="baseline"/>
                <w:lang w:val="en-US" w:eastAsia="zh-CN"/>
              </w:rPr>
              <w:t>t/a</w:t>
            </w:r>
          </w:p>
        </w:tc>
        <w:tc>
          <w:tcPr>
            <w:tcW w:w="1276" w:type="dxa"/>
            <w:noWrap w:val="0"/>
            <w:vAlign w:val="center"/>
          </w:tcPr>
          <w:p w14:paraId="7A164DF1">
            <w:pPr>
              <w:pStyle w:val="31"/>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w:t>
            </w:r>
            <w:r>
              <w:rPr>
                <w:rFonts w:hint="default" w:ascii="Times New Roman" w:hAnsi="Times New Roman" w:cs="Times New Roman"/>
                <w:b w:val="0"/>
                <w:color w:val="auto"/>
                <w:sz w:val="21"/>
                <w:szCs w:val="21"/>
                <w:vertAlign w:val="baseline"/>
                <w:lang w:val="en-US" w:eastAsia="zh-CN"/>
              </w:rPr>
              <w:t>t/a</w:t>
            </w:r>
          </w:p>
        </w:tc>
        <w:tc>
          <w:tcPr>
            <w:tcW w:w="1701" w:type="dxa"/>
            <w:noWrap w:val="0"/>
            <w:vAlign w:val="center"/>
          </w:tcPr>
          <w:p w14:paraId="15454649">
            <w:pPr>
              <w:pStyle w:val="3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w:t>
            </w:r>
          </w:p>
        </w:tc>
        <w:tc>
          <w:tcPr>
            <w:tcW w:w="1559" w:type="dxa"/>
            <w:noWrap w:val="0"/>
            <w:vAlign w:val="center"/>
          </w:tcPr>
          <w:p w14:paraId="318BB959">
            <w:pPr>
              <w:pStyle w:val="31"/>
              <w:spacing w:beforeLines="0" w:afterLines="0" w:line="240" w:lineRule="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1.66t/a</w:t>
            </w:r>
          </w:p>
        </w:tc>
        <w:tc>
          <w:tcPr>
            <w:tcW w:w="1498" w:type="dxa"/>
            <w:noWrap w:val="0"/>
            <w:vAlign w:val="center"/>
          </w:tcPr>
          <w:p w14:paraId="3CD94EE0">
            <w:pPr>
              <w:pStyle w:val="3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w:t>
            </w:r>
          </w:p>
        </w:tc>
        <w:tc>
          <w:tcPr>
            <w:tcW w:w="1680" w:type="dxa"/>
            <w:noWrap w:val="0"/>
            <w:vAlign w:val="center"/>
          </w:tcPr>
          <w:p w14:paraId="7C26A4C5">
            <w:pPr>
              <w:pStyle w:val="31"/>
              <w:spacing w:beforeLines="0" w:afterLines="0" w:line="240" w:lineRule="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1.66t/a</w:t>
            </w:r>
          </w:p>
        </w:tc>
        <w:tc>
          <w:tcPr>
            <w:tcW w:w="1368" w:type="dxa"/>
            <w:noWrap w:val="0"/>
            <w:vAlign w:val="center"/>
          </w:tcPr>
          <w:p w14:paraId="205BD236">
            <w:pPr>
              <w:pStyle w:val="3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r>
              <w:rPr>
                <w:rFonts w:hint="default" w:ascii="Times New Roman" w:hAnsi="Times New Roman" w:cs="Times New Roman"/>
                <w:snapToGrid w:val="0"/>
                <w:color w:val="auto"/>
                <w:kern w:val="21"/>
                <w:szCs w:val="21"/>
                <w:lang w:val="en-US" w:eastAsia="zh-CN"/>
              </w:rPr>
              <w:t>1.66t/a</w:t>
            </w:r>
          </w:p>
        </w:tc>
      </w:tr>
      <w:tr w14:paraId="690394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6" w:type="dxa"/>
            <w:vMerge w:val="restart"/>
            <w:noWrap w:val="0"/>
            <w:vAlign w:val="center"/>
          </w:tcPr>
          <w:p w14:paraId="391B7A76">
            <w:pPr>
              <w:pStyle w:val="3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危险废物</w:t>
            </w:r>
          </w:p>
        </w:tc>
        <w:tc>
          <w:tcPr>
            <w:tcW w:w="1619" w:type="dxa"/>
            <w:noWrap w:val="0"/>
            <w:vAlign w:val="center"/>
          </w:tcPr>
          <w:p w14:paraId="63CB1B63">
            <w:pPr>
              <w:pStyle w:val="31"/>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lang w:val="en-US" w:eastAsia="zh-CN"/>
              </w:rPr>
              <w:t>废机油</w:t>
            </w:r>
          </w:p>
        </w:tc>
        <w:tc>
          <w:tcPr>
            <w:tcW w:w="1701" w:type="dxa"/>
            <w:noWrap w:val="0"/>
            <w:vAlign w:val="center"/>
          </w:tcPr>
          <w:p w14:paraId="6C0B328F">
            <w:pPr>
              <w:pStyle w:val="31"/>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Cs w:val="21"/>
                <w:lang w:val="en-US" w:eastAsia="zh-CN"/>
              </w:rPr>
              <w:t>0.</w:t>
            </w:r>
            <w:r>
              <w:rPr>
                <w:rFonts w:hint="eastAsia" w:ascii="Times New Roman" w:cs="Times New Roman"/>
                <w:snapToGrid w:val="0"/>
                <w:color w:val="auto"/>
                <w:kern w:val="21"/>
                <w:szCs w:val="21"/>
                <w:lang w:val="en-US" w:eastAsia="zh-CN"/>
              </w:rPr>
              <w:t>3</w:t>
            </w:r>
            <w:r>
              <w:rPr>
                <w:rFonts w:hint="default" w:ascii="Times New Roman" w:hAnsi="Times New Roman" w:cs="Times New Roman"/>
                <w:b w:val="0"/>
                <w:color w:val="auto"/>
                <w:sz w:val="21"/>
                <w:szCs w:val="21"/>
                <w:vertAlign w:val="baseline"/>
                <w:lang w:val="en-US" w:eastAsia="zh-CN"/>
              </w:rPr>
              <w:t>t/a</w:t>
            </w:r>
          </w:p>
        </w:tc>
        <w:tc>
          <w:tcPr>
            <w:tcW w:w="1276" w:type="dxa"/>
            <w:noWrap w:val="0"/>
            <w:vAlign w:val="center"/>
          </w:tcPr>
          <w:p w14:paraId="3127AA14">
            <w:pPr>
              <w:pStyle w:val="31"/>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eastAsia="宋体" w:cs="Times New Roman"/>
                <w:snapToGrid w:val="0"/>
                <w:color w:val="auto"/>
                <w:kern w:val="21"/>
                <w:sz w:val="21"/>
                <w:szCs w:val="21"/>
                <w:lang w:val="en-US" w:eastAsia="zh-CN" w:bidi="ar-SA"/>
              </w:rPr>
            </w:pPr>
            <w:r>
              <w:rPr>
                <w:rFonts w:hint="eastAsia" w:ascii="Times New Roman" w:cs="Times New Roman"/>
                <w:snapToGrid w:val="0"/>
                <w:color w:val="auto"/>
                <w:kern w:val="21"/>
                <w:szCs w:val="21"/>
                <w:lang w:val="en-US" w:eastAsia="zh-CN"/>
              </w:rPr>
              <w:t>0.3</w:t>
            </w:r>
            <w:r>
              <w:rPr>
                <w:rFonts w:hint="default" w:ascii="Times New Roman" w:hAnsi="Times New Roman" w:cs="Times New Roman"/>
                <w:b w:val="0"/>
                <w:color w:val="auto"/>
                <w:sz w:val="21"/>
                <w:szCs w:val="21"/>
                <w:vertAlign w:val="baseline"/>
                <w:lang w:val="en-US" w:eastAsia="zh-CN"/>
              </w:rPr>
              <w:t>t/a</w:t>
            </w:r>
          </w:p>
        </w:tc>
        <w:tc>
          <w:tcPr>
            <w:tcW w:w="1701" w:type="dxa"/>
            <w:noWrap w:val="0"/>
            <w:vAlign w:val="center"/>
          </w:tcPr>
          <w:p w14:paraId="348452CC">
            <w:pPr>
              <w:pStyle w:val="31"/>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cs="Times New Roman"/>
                <w:snapToGrid w:val="0"/>
                <w:color w:val="auto"/>
                <w:kern w:val="21"/>
                <w:szCs w:val="21"/>
                <w:lang w:val="en-US" w:eastAsia="zh-CN"/>
              </w:rPr>
              <w:t>/</w:t>
            </w:r>
          </w:p>
        </w:tc>
        <w:tc>
          <w:tcPr>
            <w:tcW w:w="1559" w:type="dxa"/>
            <w:noWrap w:val="0"/>
            <w:vAlign w:val="center"/>
          </w:tcPr>
          <w:p w14:paraId="0A1F9F4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color w:val="auto"/>
                <w:kern w:val="0"/>
                <w:sz w:val="21"/>
                <w:szCs w:val="21"/>
                <w:vertAlign w:val="baseline"/>
                <w:lang w:val="en-US" w:eastAsia="zh-CN" w:bidi="ar-SA"/>
              </w:rPr>
            </w:pPr>
            <w:r>
              <w:rPr>
                <w:rFonts w:hint="default" w:ascii="Times New Roman" w:hAnsi="Times New Roman" w:eastAsia="宋体" w:cs="Times New Roman"/>
                <w:b w:val="0"/>
                <w:color w:val="auto"/>
                <w:kern w:val="0"/>
                <w:sz w:val="21"/>
                <w:szCs w:val="21"/>
                <w:vertAlign w:val="baseline"/>
                <w:lang w:val="en-US" w:eastAsia="zh-CN" w:bidi="ar-SA"/>
              </w:rPr>
              <w:t>0.0</w:t>
            </w:r>
            <w:r>
              <w:rPr>
                <w:rFonts w:hint="eastAsia" w:cs="Times New Roman"/>
                <w:b w:val="0"/>
                <w:color w:val="auto"/>
                <w:kern w:val="0"/>
                <w:sz w:val="21"/>
                <w:szCs w:val="21"/>
                <w:vertAlign w:val="baseline"/>
                <w:lang w:val="en-US" w:eastAsia="zh-CN" w:bidi="ar-SA"/>
              </w:rPr>
              <w:t>1</w:t>
            </w:r>
            <w:r>
              <w:rPr>
                <w:rFonts w:hint="default" w:ascii="Times New Roman" w:hAnsi="Times New Roman" w:cs="Times New Roman"/>
                <w:b w:val="0"/>
                <w:color w:val="auto"/>
                <w:sz w:val="21"/>
                <w:szCs w:val="21"/>
                <w:vertAlign w:val="baseline"/>
                <w:lang w:val="en-US" w:eastAsia="zh-CN"/>
              </w:rPr>
              <w:t>t/a</w:t>
            </w:r>
          </w:p>
        </w:tc>
        <w:tc>
          <w:tcPr>
            <w:tcW w:w="1498" w:type="dxa"/>
            <w:noWrap w:val="0"/>
            <w:vAlign w:val="center"/>
          </w:tcPr>
          <w:p w14:paraId="27DF79C0">
            <w:pPr>
              <w:pStyle w:val="31"/>
              <w:spacing w:beforeLines="0" w:afterLines="0" w:line="240" w:lineRule="auto"/>
              <w:rPr>
                <w:rFonts w:hint="default" w:ascii="Times New Roman" w:hAnsi="Times New Roman" w:eastAsia="宋体" w:cs="Times New Roman"/>
                <w:b w:val="0"/>
                <w:color w:val="auto"/>
                <w:kern w:val="0"/>
                <w:sz w:val="21"/>
                <w:szCs w:val="21"/>
                <w:vertAlign w:val="baseline"/>
                <w:lang w:val="en-US" w:eastAsia="zh-CN" w:bidi="ar-SA"/>
              </w:rPr>
            </w:pPr>
            <w:r>
              <w:rPr>
                <w:rFonts w:hint="eastAsia" w:ascii="Times New Roman" w:cs="Times New Roman"/>
                <w:snapToGrid w:val="0"/>
                <w:color w:val="auto"/>
                <w:kern w:val="21"/>
                <w:szCs w:val="21"/>
                <w:lang w:val="en-US" w:eastAsia="zh-CN"/>
              </w:rPr>
              <w:t>/</w:t>
            </w:r>
          </w:p>
        </w:tc>
        <w:tc>
          <w:tcPr>
            <w:tcW w:w="1680" w:type="dxa"/>
            <w:noWrap w:val="0"/>
            <w:vAlign w:val="center"/>
          </w:tcPr>
          <w:p w14:paraId="1A33A02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b w:val="0"/>
                <w:color w:val="auto"/>
                <w:kern w:val="0"/>
                <w:sz w:val="21"/>
                <w:szCs w:val="21"/>
                <w:vertAlign w:val="baseline"/>
                <w:lang w:val="en-US" w:eastAsia="zh-CN" w:bidi="ar-SA"/>
              </w:rPr>
              <w:t>0.</w:t>
            </w:r>
            <w:r>
              <w:rPr>
                <w:rFonts w:hint="eastAsia" w:cs="Times New Roman"/>
                <w:b w:val="0"/>
                <w:color w:val="auto"/>
                <w:kern w:val="0"/>
                <w:sz w:val="21"/>
                <w:szCs w:val="21"/>
                <w:vertAlign w:val="baseline"/>
                <w:lang w:val="en-US" w:eastAsia="zh-CN" w:bidi="ar-SA"/>
              </w:rPr>
              <w:t>31</w:t>
            </w:r>
            <w:r>
              <w:rPr>
                <w:rFonts w:hint="default" w:ascii="Times New Roman" w:hAnsi="Times New Roman" w:cs="Times New Roman"/>
                <w:b w:val="0"/>
                <w:color w:val="auto"/>
                <w:sz w:val="21"/>
                <w:szCs w:val="21"/>
                <w:vertAlign w:val="baseline"/>
                <w:lang w:val="en-US" w:eastAsia="zh-CN"/>
              </w:rPr>
              <w:t>t/a</w:t>
            </w:r>
          </w:p>
        </w:tc>
        <w:tc>
          <w:tcPr>
            <w:tcW w:w="1368" w:type="dxa"/>
            <w:noWrap w:val="0"/>
            <w:vAlign w:val="center"/>
          </w:tcPr>
          <w:p w14:paraId="4D3E73C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color w:val="auto"/>
                <w:kern w:val="0"/>
                <w:sz w:val="21"/>
                <w:szCs w:val="21"/>
                <w:vertAlign w:val="baseline"/>
                <w:lang w:val="en-US" w:eastAsia="zh-CN" w:bidi="ar-SA"/>
              </w:rPr>
            </w:pPr>
            <w:r>
              <w:rPr>
                <w:rFonts w:hint="eastAsia" w:ascii="Times New Roman" w:hAnsi="Times New Roman" w:eastAsia="宋体" w:cs="Times New Roman"/>
                <w:b w:val="0"/>
                <w:color w:val="auto"/>
                <w:kern w:val="0"/>
                <w:sz w:val="21"/>
                <w:szCs w:val="21"/>
                <w:vertAlign w:val="baseline"/>
                <w:lang w:val="en-US" w:eastAsia="zh-CN" w:bidi="ar-SA"/>
              </w:rPr>
              <w:t>+</w:t>
            </w:r>
            <w:r>
              <w:rPr>
                <w:rFonts w:hint="default" w:ascii="Times New Roman" w:hAnsi="Times New Roman" w:eastAsia="宋体" w:cs="Times New Roman"/>
                <w:b w:val="0"/>
                <w:color w:val="auto"/>
                <w:kern w:val="0"/>
                <w:sz w:val="21"/>
                <w:szCs w:val="21"/>
                <w:vertAlign w:val="baseline"/>
                <w:lang w:val="en-US" w:eastAsia="zh-CN" w:bidi="ar-SA"/>
              </w:rPr>
              <w:t>0.0</w:t>
            </w:r>
            <w:r>
              <w:rPr>
                <w:rFonts w:hint="eastAsia" w:cs="Times New Roman"/>
                <w:b w:val="0"/>
                <w:color w:val="auto"/>
                <w:kern w:val="0"/>
                <w:sz w:val="21"/>
                <w:szCs w:val="21"/>
                <w:vertAlign w:val="baseline"/>
                <w:lang w:val="en-US" w:eastAsia="zh-CN" w:bidi="ar-SA"/>
              </w:rPr>
              <w:t>1</w:t>
            </w:r>
            <w:r>
              <w:rPr>
                <w:rFonts w:hint="default" w:ascii="Times New Roman" w:hAnsi="Times New Roman" w:cs="Times New Roman"/>
                <w:b w:val="0"/>
                <w:color w:val="auto"/>
                <w:sz w:val="21"/>
                <w:szCs w:val="21"/>
                <w:vertAlign w:val="baseline"/>
                <w:lang w:val="en-US" w:eastAsia="zh-CN"/>
              </w:rPr>
              <w:t>t/a</w:t>
            </w:r>
          </w:p>
        </w:tc>
      </w:tr>
      <w:tr w14:paraId="41E10E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6" w:type="dxa"/>
            <w:vMerge w:val="continue"/>
            <w:noWrap w:val="0"/>
            <w:vAlign w:val="center"/>
          </w:tcPr>
          <w:p w14:paraId="21FEE322">
            <w:pPr>
              <w:pStyle w:val="31"/>
              <w:spacing w:beforeLines="0" w:afterLines="0" w:line="240" w:lineRule="auto"/>
              <w:rPr>
                <w:rFonts w:hint="default" w:ascii="Times New Roman" w:hAnsi="Times New Roman" w:cs="Times New Roman"/>
                <w:snapToGrid w:val="0"/>
                <w:color w:val="auto"/>
                <w:kern w:val="21"/>
                <w:szCs w:val="21"/>
              </w:rPr>
            </w:pPr>
          </w:p>
        </w:tc>
        <w:tc>
          <w:tcPr>
            <w:tcW w:w="1619" w:type="dxa"/>
            <w:noWrap w:val="0"/>
            <w:vAlign w:val="center"/>
          </w:tcPr>
          <w:p w14:paraId="1824B8F0">
            <w:pPr>
              <w:pStyle w:val="31"/>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废活性炭</w:t>
            </w:r>
          </w:p>
        </w:tc>
        <w:tc>
          <w:tcPr>
            <w:tcW w:w="1701" w:type="dxa"/>
            <w:noWrap w:val="0"/>
            <w:vAlign w:val="center"/>
          </w:tcPr>
          <w:p w14:paraId="57E115CF">
            <w:pPr>
              <w:pStyle w:val="31"/>
              <w:spacing w:beforeLines="0" w:afterLines="0" w:line="240" w:lineRule="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0</w:t>
            </w:r>
            <w:r>
              <w:rPr>
                <w:rFonts w:hint="default" w:ascii="Times New Roman" w:hAnsi="Times New Roman" w:cs="Times New Roman"/>
                <w:b w:val="0"/>
                <w:color w:val="auto"/>
                <w:sz w:val="21"/>
                <w:szCs w:val="21"/>
                <w:vertAlign w:val="baseline"/>
                <w:lang w:val="en-US" w:eastAsia="zh-CN"/>
              </w:rPr>
              <w:t>t/a</w:t>
            </w:r>
          </w:p>
        </w:tc>
        <w:tc>
          <w:tcPr>
            <w:tcW w:w="1276" w:type="dxa"/>
            <w:noWrap w:val="0"/>
            <w:vAlign w:val="center"/>
          </w:tcPr>
          <w:p w14:paraId="629263D0">
            <w:pPr>
              <w:pStyle w:val="31"/>
              <w:spacing w:beforeLines="0" w:afterLines="0" w:line="240" w:lineRule="auto"/>
              <w:rPr>
                <w:rFonts w:hint="eastAsia"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w:t>
            </w:r>
            <w:r>
              <w:rPr>
                <w:rFonts w:hint="default" w:ascii="Times New Roman" w:hAnsi="Times New Roman" w:cs="Times New Roman"/>
                <w:b w:val="0"/>
                <w:color w:val="auto"/>
                <w:sz w:val="21"/>
                <w:szCs w:val="21"/>
                <w:vertAlign w:val="baseline"/>
                <w:lang w:val="en-US" w:eastAsia="zh-CN"/>
              </w:rPr>
              <w:t>t/a</w:t>
            </w:r>
          </w:p>
        </w:tc>
        <w:tc>
          <w:tcPr>
            <w:tcW w:w="1701" w:type="dxa"/>
            <w:noWrap w:val="0"/>
            <w:vAlign w:val="center"/>
          </w:tcPr>
          <w:p w14:paraId="11ED59E3">
            <w:pPr>
              <w:pStyle w:val="31"/>
              <w:spacing w:beforeLines="0" w:afterLines="0" w:line="240" w:lineRule="auto"/>
              <w:rPr>
                <w:rFonts w:hint="eastAsia"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w:t>
            </w:r>
          </w:p>
        </w:tc>
        <w:tc>
          <w:tcPr>
            <w:tcW w:w="1559" w:type="dxa"/>
            <w:noWrap w:val="0"/>
            <w:vAlign w:val="center"/>
          </w:tcPr>
          <w:p w14:paraId="1D92FA98">
            <w:pPr>
              <w:pStyle w:val="31"/>
              <w:spacing w:beforeLines="0" w:afterLines="0" w:line="240" w:lineRule="auto"/>
              <w:rPr>
                <w:rFonts w:hint="default" w:ascii="Times New Roman" w:hAnsi="Times New Roman" w:eastAsia="宋体" w:cs="Times New Roman"/>
                <w:b w:val="0"/>
                <w:color w:val="auto"/>
                <w:kern w:val="0"/>
                <w:sz w:val="21"/>
                <w:szCs w:val="21"/>
                <w:vertAlign w:val="baseline"/>
                <w:lang w:val="en-US" w:eastAsia="zh-CN" w:bidi="ar-SA"/>
              </w:rPr>
            </w:pPr>
            <w:r>
              <w:rPr>
                <w:rFonts w:hint="eastAsia" w:ascii="Times New Roman" w:cs="Times New Roman"/>
                <w:b w:val="0"/>
                <w:color w:val="auto"/>
                <w:sz w:val="21"/>
                <w:szCs w:val="21"/>
                <w:vertAlign w:val="baseline"/>
                <w:lang w:val="en-US" w:eastAsia="zh-CN"/>
              </w:rPr>
              <w:t>9.96</w:t>
            </w:r>
            <w:r>
              <w:rPr>
                <w:rFonts w:hint="default" w:ascii="Times New Roman" w:hAnsi="Times New Roman" w:cs="Times New Roman"/>
                <w:b w:val="0"/>
                <w:color w:val="auto"/>
                <w:sz w:val="21"/>
                <w:szCs w:val="21"/>
                <w:vertAlign w:val="baseline"/>
                <w:lang w:val="en-US" w:eastAsia="zh-CN"/>
              </w:rPr>
              <w:t>t/a</w:t>
            </w:r>
          </w:p>
        </w:tc>
        <w:tc>
          <w:tcPr>
            <w:tcW w:w="1498" w:type="dxa"/>
            <w:noWrap w:val="0"/>
            <w:vAlign w:val="center"/>
          </w:tcPr>
          <w:p w14:paraId="1FC8FDEC">
            <w:pPr>
              <w:pStyle w:val="31"/>
              <w:spacing w:beforeLines="0" w:afterLines="0" w:line="240" w:lineRule="auto"/>
              <w:rPr>
                <w:rFonts w:hint="default" w:ascii="Times New Roman" w:cs="Times New Roman"/>
                <w:b w:val="0"/>
                <w:color w:val="auto"/>
                <w:kern w:val="0"/>
                <w:sz w:val="21"/>
                <w:szCs w:val="21"/>
                <w:vertAlign w:val="baseline"/>
                <w:lang w:val="en-US" w:eastAsia="zh-CN" w:bidi="ar-SA"/>
              </w:rPr>
            </w:pPr>
            <w:r>
              <w:rPr>
                <w:rFonts w:hint="eastAsia" w:ascii="Times New Roman" w:cs="Times New Roman"/>
                <w:snapToGrid w:val="0"/>
                <w:color w:val="auto"/>
                <w:kern w:val="21"/>
                <w:szCs w:val="21"/>
                <w:lang w:val="en-US" w:eastAsia="zh-CN"/>
              </w:rPr>
              <w:t>/</w:t>
            </w:r>
          </w:p>
        </w:tc>
        <w:tc>
          <w:tcPr>
            <w:tcW w:w="1680" w:type="dxa"/>
            <w:noWrap w:val="0"/>
            <w:vAlign w:val="center"/>
          </w:tcPr>
          <w:p w14:paraId="52505AA0">
            <w:pPr>
              <w:pStyle w:val="31"/>
              <w:spacing w:beforeLines="0" w:afterLines="0" w:line="240" w:lineRule="auto"/>
              <w:rPr>
                <w:rFonts w:hint="eastAsia"/>
                <w:color w:val="auto"/>
                <w:lang w:val="en-US" w:eastAsia="zh-CN"/>
              </w:rPr>
            </w:pPr>
            <w:r>
              <w:rPr>
                <w:rFonts w:hint="eastAsia" w:ascii="Times New Roman" w:cs="Times New Roman"/>
                <w:b w:val="0"/>
                <w:color w:val="auto"/>
                <w:sz w:val="21"/>
                <w:szCs w:val="21"/>
                <w:vertAlign w:val="baseline"/>
                <w:lang w:val="en-US" w:eastAsia="zh-CN"/>
              </w:rPr>
              <w:t>9.96</w:t>
            </w:r>
            <w:r>
              <w:rPr>
                <w:rFonts w:hint="default" w:ascii="Times New Roman" w:hAnsi="Times New Roman" w:cs="Times New Roman"/>
                <w:b w:val="0"/>
                <w:color w:val="auto"/>
                <w:sz w:val="21"/>
                <w:szCs w:val="21"/>
                <w:vertAlign w:val="baseline"/>
                <w:lang w:val="en-US" w:eastAsia="zh-CN"/>
              </w:rPr>
              <w:t>t/a</w:t>
            </w:r>
          </w:p>
        </w:tc>
        <w:tc>
          <w:tcPr>
            <w:tcW w:w="1368" w:type="dxa"/>
            <w:noWrap w:val="0"/>
            <w:vAlign w:val="center"/>
          </w:tcPr>
          <w:p w14:paraId="584A6F16">
            <w:pPr>
              <w:pStyle w:val="31"/>
              <w:spacing w:beforeLines="0" w:afterLines="0" w:line="240" w:lineRule="auto"/>
              <w:rPr>
                <w:rFonts w:hint="default" w:ascii="Times New Roman" w:hAnsi="Times New Roman" w:eastAsia="宋体" w:cs="Times New Roman"/>
                <w:b w:val="0"/>
                <w:color w:val="auto"/>
                <w:kern w:val="0"/>
                <w:sz w:val="21"/>
                <w:szCs w:val="21"/>
                <w:vertAlign w:val="baseline"/>
                <w:lang w:val="en-US" w:eastAsia="zh-CN" w:bidi="ar-SA"/>
              </w:rPr>
            </w:pPr>
            <w:r>
              <w:rPr>
                <w:rFonts w:hint="eastAsia" w:ascii="Times New Roman" w:cs="Times New Roman"/>
                <w:b w:val="0"/>
                <w:color w:val="auto"/>
                <w:sz w:val="21"/>
                <w:szCs w:val="21"/>
                <w:vertAlign w:val="baseline"/>
                <w:lang w:val="en-US" w:eastAsia="zh-CN"/>
              </w:rPr>
              <w:t>+9.96</w:t>
            </w:r>
            <w:r>
              <w:rPr>
                <w:rFonts w:hint="default" w:ascii="Times New Roman" w:hAnsi="Times New Roman" w:cs="Times New Roman"/>
                <w:b w:val="0"/>
                <w:color w:val="auto"/>
                <w:sz w:val="21"/>
                <w:szCs w:val="21"/>
                <w:vertAlign w:val="baseline"/>
                <w:lang w:val="en-US" w:eastAsia="zh-CN"/>
              </w:rPr>
              <w:t>t/a</w:t>
            </w:r>
          </w:p>
        </w:tc>
      </w:tr>
    </w:tbl>
    <w:p w14:paraId="02C682CE">
      <w:pPr>
        <w:pStyle w:val="31"/>
        <w:spacing w:before="192" w:beforeLines="80" w:after="24"/>
        <w:jc w:val="left"/>
        <w:rPr>
          <w:rFonts w:hint="eastAsia"/>
          <w:color w:val="auto"/>
        </w:rPr>
        <w:sectPr>
          <w:footerReference r:id="rId7" w:type="default"/>
          <w:pgSz w:w="16838" w:h="11906" w:orient="landscape"/>
          <w:pgMar w:top="1304" w:right="1531" w:bottom="1304" w:left="1531" w:header="851" w:footer="851" w:gutter="0"/>
          <w:pgBorders>
            <w:top w:val="none" w:sz="0" w:space="0"/>
            <w:left w:val="none" w:sz="0" w:space="0"/>
            <w:bottom w:val="none" w:sz="0" w:space="0"/>
            <w:right w:val="none" w:sz="0" w:space="0"/>
          </w:pgBorders>
          <w:pgNumType w:fmt="decimal"/>
          <w:cols w:space="720" w:num="1"/>
          <w:docGrid w:linePitch="312" w:charSpace="0"/>
        </w:sect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p w14:paraId="73331B19">
      <w:pPr>
        <w:pStyle w:val="6"/>
        <w:jc w:val="center"/>
        <w:rPr>
          <w:rFonts w:hint="eastAsia"/>
          <w:lang w:eastAsia="zh-CN"/>
        </w:rPr>
      </w:pPr>
    </w:p>
    <w:sectPr>
      <w:footerReference r:id="rId8"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times new man">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小标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5A813">
    <w:pPr>
      <w:pStyle w:val="1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880DE">
    <w:pPr>
      <w:pStyle w:val="17"/>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037D5">
    <w:pPr>
      <w:pStyle w:val="17"/>
      <w:ind w:right="360" w:firstLine="360"/>
      <w:jc w:val="cente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98DE6C">
                          <w:pPr>
                            <w:pStyle w:val="17"/>
                            <w:rPr>
                              <w:rStyle w:val="28"/>
                              <w:rFonts w:ascii="宋体" w:hAnsi="宋体"/>
                              <w:sz w:val="28"/>
                              <w:szCs w:val="28"/>
                            </w:rPr>
                          </w:pPr>
                          <w:r>
                            <w:rPr>
                              <w:rStyle w:val="28"/>
                              <w:rFonts w:hint="eastAsia" w:ascii="宋体" w:hAnsi="宋体"/>
                              <w:sz w:val="28"/>
                              <w:szCs w:val="28"/>
                            </w:rPr>
                            <w:t>—</w:t>
                          </w:r>
                          <w:r>
                            <w:rPr>
                              <w:rStyle w:val="28"/>
                              <w:rFonts w:ascii="宋体" w:hAnsi="宋体"/>
                              <w:sz w:val="26"/>
                              <w:szCs w:val="26"/>
                            </w:rPr>
                            <w:fldChar w:fldCharType="begin"/>
                          </w:r>
                          <w:r>
                            <w:rPr>
                              <w:rStyle w:val="28"/>
                              <w:rFonts w:ascii="宋体" w:hAnsi="宋体"/>
                              <w:sz w:val="26"/>
                              <w:szCs w:val="26"/>
                            </w:rPr>
                            <w:instrText xml:space="preserve">PAGE  </w:instrText>
                          </w:r>
                          <w:r>
                            <w:rPr>
                              <w:rStyle w:val="28"/>
                              <w:rFonts w:ascii="宋体" w:hAnsi="宋体"/>
                              <w:sz w:val="26"/>
                              <w:szCs w:val="26"/>
                            </w:rPr>
                            <w:fldChar w:fldCharType="separate"/>
                          </w:r>
                          <w:r>
                            <w:rPr>
                              <w:rStyle w:val="28"/>
                              <w:rFonts w:ascii="宋体" w:hAnsi="宋体"/>
                              <w:sz w:val="26"/>
                              <w:szCs w:val="26"/>
                            </w:rPr>
                            <w:t>9</w:t>
                          </w:r>
                          <w:r>
                            <w:rPr>
                              <w:rStyle w:val="28"/>
                              <w:rFonts w:ascii="宋体" w:hAnsi="宋体"/>
                              <w:sz w:val="26"/>
                              <w:szCs w:val="26"/>
                            </w:rPr>
                            <w:fldChar w:fldCharType="end"/>
                          </w:r>
                          <w:r>
                            <w:rPr>
                              <w:rStyle w:val="28"/>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2398DE6C">
                    <w:pPr>
                      <w:pStyle w:val="17"/>
                      <w:rPr>
                        <w:rStyle w:val="28"/>
                        <w:rFonts w:ascii="宋体" w:hAnsi="宋体"/>
                        <w:sz w:val="28"/>
                        <w:szCs w:val="28"/>
                      </w:rPr>
                    </w:pPr>
                    <w:r>
                      <w:rPr>
                        <w:rStyle w:val="28"/>
                        <w:rFonts w:hint="eastAsia" w:ascii="宋体" w:hAnsi="宋体"/>
                        <w:sz w:val="28"/>
                        <w:szCs w:val="28"/>
                      </w:rPr>
                      <w:t>—</w:t>
                    </w:r>
                    <w:r>
                      <w:rPr>
                        <w:rStyle w:val="28"/>
                        <w:rFonts w:ascii="宋体" w:hAnsi="宋体"/>
                        <w:sz w:val="26"/>
                        <w:szCs w:val="26"/>
                      </w:rPr>
                      <w:fldChar w:fldCharType="begin"/>
                    </w:r>
                    <w:r>
                      <w:rPr>
                        <w:rStyle w:val="28"/>
                        <w:rFonts w:ascii="宋体" w:hAnsi="宋体"/>
                        <w:sz w:val="26"/>
                        <w:szCs w:val="26"/>
                      </w:rPr>
                      <w:instrText xml:space="preserve">PAGE  </w:instrText>
                    </w:r>
                    <w:r>
                      <w:rPr>
                        <w:rStyle w:val="28"/>
                        <w:rFonts w:ascii="宋体" w:hAnsi="宋体"/>
                        <w:sz w:val="26"/>
                        <w:szCs w:val="26"/>
                      </w:rPr>
                      <w:fldChar w:fldCharType="separate"/>
                    </w:r>
                    <w:r>
                      <w:rPr>
                        <w:rStyle w:val="28"/>
                        <w:rFonts w:ascii="宋体" w:hAnsi="宋体"/>
                        <w:sz w:val="26"/>
                        <w:szCs w:val="26"/>
                      </w:rPr>
                      <w:t>9</w:t>
                    </w:r>
                    <w:r>
                      <w:rPr>
                        <w:rStyle w:val="28"/>
                        <w:rFonts w:ascii="宋体" w:hAnsi="宋体"/>
                        <w:sz w:val="26"/>
                        <w:szCs w:val="26"/>
                      </w:rPr>
                      <w:fldChar w:fldCharType="end"/>
                    </w:r>
                    <w:r>
                      <w:rPr>
                        <w:rStyle w:val="28"/>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ED66A">
    <w:pPr>
      <w:pStyle w:val="17"/>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B96832">
                          <w:pPr>
                            <w:pStyle w:val="17"/>
                            <w:rPr>
                              <w:rStyle w:val="28"/>
                              <w:rFonts w:ascii="宋体" w:hAnsi="宋体"/>
                              <w:sz w:val="28"/>
                              <w:szCs w:val="28"/>
                            </w:rPr>
                          </w:pPr>
                          <w:r>
                            <w:rPr>
                              <w:rStyle w:val="28"/>
                              <w:rFonts w:hint="eastAsia" w:ascii="宋体" w:hAnsi="宋体"/>
                              <w:sz w:val="28"/>
                              <w:szCs w:val="28"/>
                            </w:rPr>
                            <w:t>—</w:t>
                          </w:r>
                          <w:r>
                            <w:rPr>
                              <w:rStyle w:val="28"/>
                              <w:rFonts w:ascii="宋体" w:hAnsi="宋体"/>
                              <w:sz w:val="26"/>
                              <w:szCs w:val="26"/>
                            </w:rPr>
                            <w:fldChar w:fldCharType="begin"/>
                          </w:r>
                          <w:r>
                            <w:rPr>
                              <w:rStyle w:val="28"/>
                              <w:rFonts w:ascii="宋体" w:hAnsi="宋体"/>
                              <w:sz w:val="26"/>
                              <w:szCs w:val="26"/>
                            </w:rPr>
                            <w:instrText xml:space="preserve">PAGE  </w:instrText>
                          </w:r>
                          <w:r>
                            <w:rPr>
                              <w:rStyle w:val="28"/>
                              <w:rFonts w:ascii="宋体" w:hAnsi="宋体"/>
                              <w:sz w:val="26"/>
                              <w:szCs w:val="26"/>
                            </w:rPr>
                            <w:fldChar w:fldCharType="separate"/>
                          </w:r>
                          <w:r>
                            <w:rPr>
                              <w:rStyle w:val="28"/>
                              <w:rFonts w:ascii="宋体" w:hAnsi="宋体"/>
                              <w:sz w:val="26"/>
                              <w:szCs w:val="26"/>
                            </w:rPr>
                            <w:t>9</w:t>
                          </w:r>
                          <w:r>
                            <w:rPr>
                              <w:rStyle w:val="28"/>
                              <w:rFonts w:ascii="宋体" w:hAnsi="宋体"/>
                              <w:sz w:val="26"/>
                              <w:szCs w:val="26"/>
                            </w:rPr>
                            <w:fldChar w:fldCharType="end"/>
                          </w:r>
                          <w:r>
                            <w:rPr>
                              <w:rStyle w:val="28"/>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CB96832">
                    <w:pPr>
                      <w:pStyle w:val="17"/>
                      <w:rPr>
                        <w:rStyle w:val="28"/>
                        <w:rFonts w:ascii="宋体" w:hAnsi="宋体"/>
                        <w:sz w:val="28"/>
                        <w:szCs w:val="28"/>
                      </w:rPr>
                    </w:pPr>
                    <w:r>
                      <w:rPr>
                        <w:rStyle w:val="28"/>
                        <w:rFonts w:hint="eastAsia" w:ascii="宋体" w:hAnsi="宋体"/>
                        <w:sz w:val="28"/>
                        <w:szCs w:val="28"/>
                      </w:rPr>
                      <w:t>—</w:t>
                    </w:r>
                    <w:r>
                      <w:rPr>
                        <w:rStyle w:val="28"/>
                        <w:rFonts w:ascii="宋体" w:hAnsi="宋体"/>
                        <w:sz w:val="26"/>
                        <w:szCs w:val="26"/>
                      </w:rPr>
                      <w:fldChar w:fldCharType="begin"/>
                    </w:r>
                    <w:r>
                      <w:rPr>
                        <w:rStyle w:val="28"/>
                        <w:rFonts w:ascii="宋体" w:hAnsi="宋体"/>
                        <w:sz w:val="26"/>
                        <w:szCs w:val="26"/>
                      </w:rPr>
                      <w:instrText xml:space="preserve">PAGE  </w:instrText>
                    </w:r>
                    <w:r>
                      <w:rPr>
                        <w:rStyle w:val="28"/>
                        <w:rFonts w:ascii="宋体" w:hAnsi="宋体"/>
                        <w:sz w:val="26"/>
                        <w:szCs w:val="26"/>
                      </w:rPr>
                      <w:fldChar w:fldCharType="separate"/>
                    </w:r>
                    <w:r>
                      <w:rPr>
                        <w:rStyle w:val="28"/>
                        <w:rFonts w:ascii="宋体" w:hAnsi="宋体"/>
                        <w:sz w:val="26"/>
                        <w:szCs w:val="26"/>
                      </w:rPr>
                      <w:t>9</w:t>
                    </w:r>
                    <w:r>
                      <w:rPr>
                        <w:rStyle w:val="28"/>
                        <w:rFonts w:ascii="宋体" w:hAnsi="宋体"/>
                        <w:sz w:val="26"/>
                        <w:szCs w:val="26"/>
                      </w:rPr>
                      <w:fldChar w:fldCharType="end"/>
                    </w:r>
                    <w:r>
                      <w:rPr>
                        <w:rStyle w:val="28"/>
                        <w:rFonts w:hint="eastAsia" w:ascii="宋体" w:hAnsi="宋体"/>
                        <w:sz w:val="28"/>
                        <w:szCs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43E72">
    <w:pPr>
      <w:pStyle w:val="17"/>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59FC39">
                          <w:pPr>
                            <w:pStyle w:val="17"/>
                            <w:rPr>
                              <w:rStyle w:val="28"/>
                              <w:rFonts w:ascii="宋体" w:hAnsi="宋体"/>
                              <w:sz w:val="28"/>
                              <w:szCs w:val="28"/>
                            </w:rPr>
                          </w:pPr>
                          <w:r>
                            <w:rPr>
                              <w:rStyle w:val="28"/>
                              <w:rFonts w:hint="eastAsia" w:ascii="宋体" w:hAnsi="宋体"/>
                              <w:sz w:val="28"/>
                              <w:szCs w:val="28"/>
                            </w:rPr>
                            <w:t>—</w:t>
                          </w:r>
                          <w:r>
                            <w:rPr>
                              <w:rStyle w:val="28"/>
                              <w:rFonts w:ascii="宋体" w:hAnsi="宋体"/>
                              <w:sz w:val="26"/>
                              <w:szCs w:val="26"/>
                            </w:rPr>
                            <w:fldChar w:fldCharType="begin"/>
                          </w:r>
                          <w:r>
                            <w:rPr>
                              <w:rStyle w:val="28"/>
                              <w:rFonts w:ascii="宋体" w:hAnsi="宋体"/>
                              <w:sz w:val="26"/>
                              <w:szCs w:val="26"/>
                            </w:rPr>
                            <w:instrText xml:space="preserve">PAGE  </w:instrText>
                          </w:r>
                          <w:r>
                            <w:rPr>
                              <w:rStyle w:val="28"/>
                              <w:rFonts w:ascii="宋体" w:hAnsi="宋体"/>
                              <w:sz w:val="26"/>
                              <w:szCs w:val="26"/>
                            </w:rPr>
                            <w:fldChar w:fldCharType="separate"/>
                          </w:r>
                          <w:r>
                            <w:rPr>
                              <w:rStyle w:val="28"/>
                              <w:rFonts w:ascii="宋体" w:hAnsi="宋体"/>
                              <w:sz w:val="26"/>
                              <w:szCs w:val="26"/>
                            </w:rPr>
                            <w:t>10</w:t>
                          </w:r>
                          <w:r>
                            <w:rPr>
                              <w:rStyle w:val="28"/>
                              <w:rFonts w:ascii="宋体" w:hAnsi="宋体"/>
                              <w:sz w:val="26"/>
                              <w:szCs w:val="26"/>
                            </w:rPr>
                            <w:fldChar w:fldCharType="end"/>
                          </w:r>
                          <w:r>
                            <w:rPr>
                              <w:rStyle w:val="28"/>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659FC39">
                    <w:pPr>
                      <w:pStyle w:val="17"/>
                      <w:rPr>
                        <w:rStyle w:val="28"/>
                        <w:rFonts w:ascii="宋体" w:hAnsi="宋体"/>
                        <w:sz w:val="28"/>
                        <w:szCs w:val="28"/>
                      </w:rPr>
                    </w:pPr>
                    <w:r>
                      <w:rPr>
                        <w:rStyle w:val="28"/>
                        <w:rFonts w:hint="eastAsia" w:ascii="宋体" w:hAnsi="宋体"/>
                        <w:sz w:val="28"/>
                        <w:szCs w:val="28"/>
                      </w:rPr>
                      <w:t>—</w:t>
                    </w:r>
                    <w:r>
                      <w:rPr>
                        <w:rStyle w:val="28"/>
                        <w:rFonts w:ascii="宋体" w:hAnsi="宋体"/>
                        <w:sz w:val="26"/>
                        <w:szCs w:val="26"/>
                      </w:rPr>
                      <w:fldChar w:fldCharType="begin"/>
                    </w:r>
                    <w:r>
                      <w:rPr>
                        <w:rStyle w:val="28"/>
                        <w:rFonts w:ascii="宋体" w:hAnsi="宋体"/>
                        <w:sz w:val="26"/>
                        <w:szCs w:val="26"/>
                      </w:rPr>
                      <w:instrText xml:space="preserve">PAGE  </w:instrText>
                    </w:r>
                    <w:r>
                      <w:rPr>
                        <w:rStyle w:val="28"/>
                        <w:rFonts w:ascii="宋体" w:hAnsi="宋体"/>
                        <w:sz w:val="26"/>
                        <w:szCs w:val="26"/>
                      </w:rPr>
                      <w:fldChar w:fldCharType="separate"/>
                    </w:r>
                    <w:r>
                      <w:rPr>
                        <w:rStyle w:val="28"/>
                        <w:rFonts w:ascii="宋体" w:hAnsi="宋体"/>
                        <w:sz w:val="26"/>
                        <w:szCs w:val="26"/>
                      </w:rPr>
                      <w:t>10</w:t>
                    </w:r>
                    <w:r>
                      <w:rPr>
                        <w:rStyle w:val="28"/>
                        <w:rFonts w:ascii="宋体" w:hAnsi="宋体"/>
                        <w:sz w:val="26"/>
                        <w:szCs w:val="26"/>
                      </w:rPr>
                      <w:fldChar w:fldCharType="end"/>
                    </w:r>
                    <w:r>
                      <w:rPr>
                        <w:rStyle w:val="28"/>
                        <w:rFonts w:hint="eastAsia" w:ascii="宋体" w:hAnsi="宋体"/>
                        <w:sz w:val="28"/>
                        <w:szCs w:val="28"/>
                      </w:rPr>
                      <w:t>—</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2F82B">
    <w:pPr>
      <w:pStyle w:val="17"/>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ABACC8">
                          <w:pPr>
                            <w:pStyle w:val="17"/>
                            <w:rPr>
                              <w:rStyle w:val="28"/>
                              <w:rFonts w:ascii="宋体" w:hAnsi="宋体"/>
                              <w:sz w:val="28"/>
                              <w:szCs w:val="28"/>
                            </w:rPr>
                          </w:pPr>
                          <w:r>
                            <w:rPr>
                              <w:rStyle w:val="28"/>
                              <w:rFonts w:hint="eastAsia" w:ascii="宋体" w:hAnsi="宋体"/>
                              <w:sz w:val="28"/>
                              <w:szCs w:val="28"/>
                            </w:rPr>
                            <w:t>—</w:t>
                          </w:r>
                          <w:r>
                            <w:rPr>
                              <w:rStyle w:val="28"/>
                              <w:rFonts w:ascii="宋体" w:hAnsi="宋体"/>
                              <w:sz w:val="26"/>
                              <w:szCs w:val="26"/>
                            </w:rPr>
                            <w:fldChar w:fldCharType="begin"/>
                          </w:r>
                          <w:r>
                            <w:rPr>
                              <w:rStyle w:val="28"/>
                              <w:rFonts w:ascii="宋体" w:hAnsi="宋体"/>
                              <w:sz w:val="26"/>
                              <w:szCs w:val="26"/>
                            </w:rPr>
                            <w:instrText xml:space="preserve">PAGE  </w:instrText>
                          </w:r>
                          <w:r>
                            <w:rPr>
                              <w:rStyle w:val="28"/>
                              <w:rFonts w:ascii="宋体" w:hAnsi="宋体"/>
                              <w:sz w:val="26"/>
                              <w:szCs w:val="26"/>
                            </w:rPr>
                            <w:fldChar w:fldCharType="separate"/>
                          </w:r>
                          <w:r>
                            <w:rPr>
                              <w:rStyle w:val="28"/>
                              <w:rFonts w:ascii="宋体" w:hAnsi="宋体"/>
                              <w:sz w:val="26"/>
                              <w:szCs w:val="26"/>
                            </w:rPr>
                            <w:t>11</w:t>
                          </w:r>
                          <w:r>
                            <w:rPr>
                              <w:rStyle w:val="28"/>
                              <w:rFonts w:ascii="宋体" w:hAnsi="宋体"/>
                              <w:sz w:val="26"/>
                              <w:szCs w:val="26"/>
                            </w:rPr>
                            <w:fldChar w:fldCharType="end"/>
                          </w:r>
                          <w:r>
                            <w:rPr>
                              <w:rStyle w:val="28"/>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6AABACC8">
                    <w:pPr>
                      <w:pStyle w:val="17"/>
                      <w:rPr>
                        <w:rStyle w:val="28"/>
                        <w:rFonts w:ascii="宋体" w:hAnsi="宋体"/>
                        <w:sz w:val="28"/>
                        <w:szCs w:val="28"/>
                      </w:rPr>
                    </w:pPr>
                    <w:r>
                      <w:rPr>
                        <w:rStyle w:val="28"/>
                        <w:rFonts w:hint="eastAsia" w:ascii="宋体" w:hAnsi="宋体"/>
                        <w:sz w:val="28"/>
                        <w:szCs w:val="28"/>
                      </w:rPr>
                      <w:t>—</w:t>
                    </w:r>
                    <w:r>
                      <w:rPr>
                        <w:rStyle w:val="28"/>
                        <w:rFonts w:ascii="宋体" w:hAnsi="宋体"/>
                        <w:sz w:val="26"/>
                        <w:szCs w:val="26"/>
                      </w:rPr>
                      <w:fldChar w:fldCharType="begin"/>
                    </w:r>
                    <w:r>
                      <w:rPr>
                        <w:rStyle w:val="28"/>
                        <w:rFonts w:ascii="宋体" w:hAnsi="宋体"/>
                        <w:sz w:val="26"/>
                        <w:szCs w:val="26"/>
                      </w:rPr>
                      <w:instrText xml:space="preserve">PAGE  </w:instrText>
                    </w:r>
                    <w:r>
                      <w:rPr>
                        <w:rStyle w:val="28"/>
                        <w:rFonts w:ascii="宋体" w:hAnsi="宋体"/>
                        <w:sz w:val="26"/>
                        <w:szCs w:val="26"/>
                      </w:rPr>
                      <w:fldChar w:fldCharType="separate"/>
                    </w:r>
                    <w:r>
                      <w:rPr>
                        <w:rStyle w:val="28"/>
                        <w:rFonts w:ascii="宋体" w:hAnsi="宋体"/>
                        <w:sz w:val="26"/>
                        <w:szCs w:val="26"/>
                      </w:rPr>
                      <w:t>11</w:t>
                    </w:r>
                    <w:r>
                      <w:rPr>
                        <w:rStyle w:val="28"/>
                        <w:rFonts w:ascii="宋体" w:hAnsi="宋体"/>
                        <w:sz w:val="26"/>
                        <w:szCs w:val="26"/>
                      </w:rPr>
                      <w:fldChar w:fldCharType="end"/>
                    </w:r>
                    <w:r>
                      <w:rPr>
                        <w:rStyle w:val="28"/>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067111"/>
    <w:multiLevelType w:val="singleLevel"/>
    <w:tmpl w:val="E3067111"/>
    <w:lvl w:ilvl="0" w:tentative="0">
      <w:start w:val="1"/>
      <w:numFmt w:val="decimal"/>
      <w:suff w:val="nothing"/>
      <w:lvlText w:val="（%1）"/>
      <w:lvlJc w:val="left"/>
    </w:lvl>
  </w:abstractNum>
  <w:abstractNum w:abstractNumId="1">
    <w:nsid w:val="0A7A75B2"/>
    <w:multiLevelType w:val="singleLevel"/>
    <w:tmpl w:val="0A7A75B2"/>
    <w:lvl w:ilvl="0" w:tentative="0">
      <w:start w:val="6"/>
      <w:numFmt w:val="decimal"/>
      <w:suff w:val="nothing"/>
      <w:lvlText w:val="%1、"/>
      <w:lvlJc w:val="left"/>
    </w:lvl>
  </w:abstractNum>
  <w:abstractNum w:abstractNumId="2">
    <w:nsid w:val="44203CE5"/>
    <w:multiLevelType w:val="multilevel"/>
    <w:tmpl w:val="44203CE5"/>
    <w:lvl w:ilvl="0" w:tentative="0">
      <w:start w:val="1"/>
      <w:numFmt w:val="decimal"/>
      <w:suff w:val="space"/>
      <w:lvlText w:val="%1"/>
      <w:lvlJc w:val="left"/>
      <w:pPr>
        <w:ind w:left="0" w:firstLine="0"/>
      </w:pPr>
      <w:rPr>
        <w:rFonts w:hint="default" w:ascii="Times New Roman" w:hAnsi="Times New Roman" w:cs="Times New Roman"/>
      </w:rPr>
    </w:lvl>
    <w:lvl w:ilvl="1" w:tentative="0">
      <w:start w:val="1"/>
      <w:numFmt w:val="decimal"/>
      <w:suff w:val="space"/>
      <w:lvlText w:val="%1.%2"/>
      <w:lvlJc w:val="left"/>
      <w:pPr>
        <w:ind w:left="0" w:firstLine="0"/>
      </w:pPr>
      <w:rPr>
        <w:rFonts w:hint="default" w:ascii="Times New Roman" w:hAnsi="Times New Roman" w:cs="Times New Roman"/>
      </w:rPr>
    </w:lvl>
    <w:lvl w:ilvl="2" w:tentative="0">
      <w:start w:val="1"/>
      <w:numFmt w:val="decimal"/>
      <w:isLgl/>
      <w:suff w:val="space"/>
      <w:lvlText w:val="%1.%2.%3"/>
      <w:lvlJc w:val="left"/>
      <w:pPr>
        <w:ind w:left="1701" w:hanging="1701"/>
      </w:pPr>
      <w:rPr>
        <w:rFonts w:hint="default" w:ascii="Times New Roman" w:hAnsi="Times New Roman" w:cs="Times New Roman"/>
      </w:rPr>
    </w:lvl>
    <w:lvl w:ilvl="3" w:tentative="0">
      <w:start w:val="1"/>
      <w:numFmt w:val="decimal"/>
      <w:isLgl/>
      <w:suff w:val="space"/>
      <w:lvlText w:val="%1.%2.%3.%4"/>
      <w:lvlJc w:val="left"/>
      <w:pPr>
        <w:ind w:left="0" w:firstLine="0"/>
      </w:pPr>
      <w:rPr>
        <w:rFonts w:hint="eastAsia" w:ascii="times new man" w:eastAsia="宋体"/>
      </w:rPr>
    </w:lvl>
    <w:lvl w:ilvl="4" w:tentative="0">
      <w:start w:val="1"/>
      <w:numFmt w:val="decimal"/>
      <w:lvlRestart w:val="2"/>
      <w:pStyle w:val="34"/>
      <w:isLgl/>
      <w:lvlText w:val="表%1.%2-%5"/>
      <w:lvlJc w:val="left"/>
      <w:pPr>
        <w:ind w:left="850" w:firstLine="284"/>
      </w:pPr>
      <w:rPr>
        <w:rFonts w:hint="default" w:ascii="Times New Roman" w:hAnsi="Times New Roman" w:eastAsia="仿宋_GB2312" w:cs="Times New Roman"/>
        <w:color w:val="auto"/>
      </w:rPr>
    </w:lvl>
    <w:lvl w:ilvl="5" w:tentative="0">
      <w:start w:val="1"/>
      <w:numFmt w:val="decimal"/>
      <w:lvlRestart w:val="2"/>
      <w:isLgl/>
      <w:lvlText w:val="图%1-%6"/>
      <w:lvlJc w:val="left"/>
      <w:pPr>
        <w:ind w:left="993" w:firstLine="1134"/>
      </w:pPr>
      <w:rPr>
        <w:rFonts w:hint="eastAsia"/>
        <w:vertAlign w:val="baseline"/>
        <w:lang w:val="en-US"/>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47C9952C"/>
    <w:multiLevelType w:val="singleLevel"/>
    <w:tmpl w:val="47C9952C"/>
    <w:lvl w:ilvl="0" w:tentative="0">
      <w:start w:val="3"/>
      <w:numFmt w:val="chineseCounting"/>
      <w:suff w:val="nothing"/>
      <w:lvlText w:val="%1、"/>
      <w:lvlJc w:val="left"/>
      <w:rPr>
        <w:rFonts w:hint="eastAsia"/>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AzYjgyMGNjNDU1MGU0ODA4NTljMzlmOTczZjE4YjcifQ=="/>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49D4"/>
    <w:rsid w:val="003051C2"/>
    <w:rsid w:val="00310A75"/>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39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06382"/>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42479"/>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1C58"/>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2791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25C71"/>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131858"/>
    <w:rsid w:val="01290F7E"/>
    <w:rsid w:val="012C5B89"/>
    <w:rsid w:val="01343DEA"/>
    <w:rsid w:val="013C1E98"/>
    <w:rsid w:val="01445665"/>
    <w:rsid w:val="015D1E09"/>
    <w:rsid w:val="016C07AD"/>
    <w:rsid w:val="0195764A"/>
    <w:rsid w:val="02503142"/>
    <w:rsid w:val="02697903"/>
    <w:rsid w:val="027A1A10"/>
    <w:rsid w:val="027C3466"/>
    <w:rsid w:val="028E3199"/>
    <w:rsid w:val="02AE5D6F"/>
    <w:rsid w:val="02BF0BAC"/>
    <w:rsid w:val="02F565AE"/>
    <w:rsid w:val="02F96569"/>
    <w:rsid w:val="02FC0103"/>
    <w:rsid w:val="03187320"/>
    <w:rsid w:val="03294159"/>
    <w:rsid w:val="032C298F"/>
    <w:rsid w:val="03436FDB"/>
    <w:rsid w:val="035908E1"/>
    <w:rsid w:val="035D3D0B"/>
    <w:rsid w:val="037C563F"/>
    <w:rsid w:val="038C575E"/>
    <w:rsid w:val="038D6FB3"/>
    <w:rsid w:val="03A67584"/>
    <w:rsid w:val="03AB2D70"/>
    <w:rsid w:val="03EA031D"/>
    <w:rsid w:val="03EA7B21"/>
    <w:rsid w:val="041F2BA0"/>
    <w:rsid w:val="043128C5"/>
    <w:rsid w:val="045E153C"/>
    <w:rsid w:val="04601953"/>
    <w:rsid w:val="04CC6162"/>
    <w:rsid w:val="04D6145B"/>
    <w:rsid w:val="04E55F56"/>
    <w:rsid w:val="05070317"/>
    <w:rsid w:val="0551139F"/>
    <w:rsid w:val="05557F4F"/>
    <w:rsid w:val="05740424"/>
    <w:rsid w:val="058731EA"/>
    <w:rsid w:val="0589058C"/>
    <w:rsid w:val="059B39CA"/>
    <w:rsid w:val="05B62E59"/>
    <w:rsid w:val="05C50C80"/>
    <w:rsid w:val="05DC421B"/>
    <w:rsid w:val="05E35D4E"/>
    <w:rsid w:val="05EF3F4F"/>
    <w:rsid w:val="05F83EAE"/>
    <w:rsid w:val="05FE76C6"/>
    <w:rsid w:val="0616772D"/>
    <w:rsid w:val="06222576"/>
    <w:rsid w:val="062260D2"/>
    <w:rsid w:val="062B7C6E"/>
    <w:rsid w:val="062C587E"/>
    <w:rsid w:val="063E7D85"/>
    <w:rsid w:val="065A1D10"/>
    <w:rsid w:val="06770305"/>
    <w:rsid w:val="068575EE"/>
    <w:rsid w:val="069827ED"/>
    <w:rsid w:val="06A035D0"/>
    <w:rsid w:val="06B50CF4"/>
    <w:rsid w:val="06C1640B"/>
    <w:rsid w:val="06C74ECC"/>
    <w:rsid w:val="06DE46EF"/>
    <w:rsid w:val="070254F4"/>
    <w:rsid w:val="071D4B6E"/>
    <w:rsid w:val="07293586"/>
    <w:rsid w:val="07295285"/>
    <w:rsid w:val="073D002D"/>
    <w:rsid w:val="074919B2"/>
    <w:rsid w:val="07636392"/>
    <w:rsid w:val="07770C56"/>
    <w:rsid w:val="077F1C30"/>
    <w:rsid w:val="079808BF"/>
    <w:rsid w:val="07996868"/>
    <w:rsid w:val="07AA1D8A"/>
    <w:rsid w:val="07D57174"/>
    <w:rsid w:val="07D704B9"/>
    <w:rsid w:val="07DE53F0"/>
    <w:rsid w:val="080E67B4"/>
    <w:rsid w:val="084127BF"/>
    <w:rsid w:val="085E5421"/>
    <w:rsid w:val="08651B0A"/>
    <w:rsid w:val="089F5EAF"/>
    <w:rsid w:val="08B558E9"/>
    <w:rsid w:val="08B768B0"/>
    <w:rsid w:val="08BD39B5"/>
    <w:rsid w:val="08E05768"/>
    <w:rsid w:val="08E3503D"/>
    <w:rsid w:val="091F42E7"/>
    <w:rsid w:val="092217DD"/>
    <w:rsid w:val="09366E15"/>
    <w:rsid w:val="093A7294"/>
    <w:rsid w:val="09613FEC"/>
    <w:rsid w:val="097D0115"/>
    <w:rsid w:val="098B1B4B"/>
    <w:rsid w:val="099E0A6B"/>
    <w:rsid w:val="09A80FE4"/>
    <w:rsid w:val="09BA6059"/>
    <w:rsid w:val="09D37A01"/>
    <w:rsid w:val="09DC6722"/>
    <w:rsid w:val="09DD13F2"/>
    <w:rsid w:val="09E43FC5"/>
    <w:rsid w:val="0A0C1888"/>
    <w:rsid w:val="0A263993"/>
    <w:rsid w:val="0A2D3AC2"/>
    <w:rsid w:val="0A5A600F"/>
    <w:rsid w:val="0A780920"/>
    <w:rsid w:val="0A7A43F6"/>
    <w:rsid w:val="0AA755DF"/>
    <w:rsid w:val="0AC57974"/>
    <w:rsid w:val="0ACF355F"/>
    <w:rsid w:val="0ADE3C31"/>
    <w:rsid w:val="0ADE652D"/>
    <w:rsid w:val="0AE560D1"/>
    <w:rsid w:val="0B0C302B"/>
    <w:rsid w:val="0B0F299D"/>
    <w:rsid w:val="0B120D44"/>
    <w:rsid w:val="0B1A1A6E"/>
    <w:rsid w:val="0B1C27D4"/>
    <w:rsid w:val="0B371BB9"/>
    <w:rsid w:val="0B5114E3"/>
    <w:rsid w:val="0B8213C1"/>
    <w:rsid w:val="0B8530AC"/>
    <w:rsid w:val="0B8C1F90"/>
    <w:rsid w:val="0BB64C0C"/>
    <w:rsid w:val="0BC44FC5"/>
    <w:rsid w:val="0BC6105A"/>
    <w:rsid w:val="0BD27BF6"/>
    <w:rsid w:val="0BE55FD0"/>
    <w:rsid w:val="0BF1626A"/>
    <w:rsid w:val="0BF63497"/>
    <w:rsid w:val="0C013622"/>
    <w:rsid w:val="0C3B3C7D"/>
    <w:rsid w:val="0C572706"/>
    <w:rsid w:val="0C7D0506"/>
    <w:rsid w:val="0C7E7DDA"/>
    <w:rsid w:val="0CA20839"/>
    <w:rsid w:val="0CA748A4"/>
    <w:rsid w:val="0CAB2EAE"/>
    <w:rsid w:val="0CB06D2E"/>
    <w:rsid w:val="0CF03BC9"/>
    <w:rsid w:val="0D077DD0"/>
    <w:rsid w:val="0D2070E4"/>
    <w:rsid w:val="0D5A3D14"/>
    <w:rsid w:val="0D621C7D"/>
    <w:rsid w:val="0D6C6771"/>
    <w:rsid w:val="0D877BCA"/>
    <w:rsid w:val="0D964A25"/>
    <w:rsid w:val="0DA50138"/>
    <w:rsid w:val="0DA74FDC"/>
    <w:rsid w:val="0DAA1DC6"/>
    <w:rsid w:val="0DDD6D83"/>
    <w:rsid w:val="0DE3083D"/>
    <w:rsid w:val="0DFE6F54"/>
    <w:rsid w:val="0E2F12B5"/>
    <w:rsid w:val="0E411AF2"/>
    <w:rsid w:val="0E73034D"/>
    <w:rsid w:val="0E7A7F46"/>
    <w:rsid w:val="0E843362"/>
    <w:rsid w:val="0E972B51"/>
    <w:rsid w:val="0EA46E2D"/>
    <w:rsid w:val="0ED75AB3"/>
    <w:rsid w:val="0EDB2B37"/>
    <w:rsid w:val="0EE8658D"/>
    <w:rsid w:val="0EF90EF5"/>
    <w:rsid w:val="0F13775A"/>
    <w:rsid w:val="0F2B6A4C"/>
    <w:rsid w:val="0F4075C9"/>
    <w:rsid w:val="0F5E7B9E"/>
    <w:rsid w:val="0F5F45FE"/>
    <w:rsid w:val="0F661726"/>
    <w:rsid w:val="0F750EFC"/>
    <w:rsid w:val="0F9A112B"/>
    <w:rsid w:val="0FAE4E7B"/>
    <w:rsid w:val="0FBA480B"/>
    <w:rsid w:val="0FCA2977"/>
    <w:rsid w:val="0FCF79D9"/>
    <w:rsid w:val="10036F74"/>
    <w:rsid w:val="100975B4"/>
    <w:rsid w:val="101637E3"/>
    <w:rsid w:val="10213565"/>
    <w:rsid w:val="10330CA8"/>
    <w:rsid w:val="105276E7"/>
    <w:rsid w:val="105E7C67"/>
    <w:rsid w:val="106D2F64"/>
    <w:rsid w:val="1081433D"/>
    <w:rsid w:val="108A29AE"/>
    <w:rsid w:val="109604DA"/>
    <w:rsid w:val="109D4BAC"/>
    <w:rsid w:val="10A2201A"/>
    <w:rsid w:val="10AB224C"/>
    <w:rsid w:val="10AD2A04"/>
    <w:rsid w:val="10AE35A2"/>
    <w:rsid w:val="10B63710"/>
    <w:rsid w:val="10E31976"/>
    <w:rsid w:val="10E518B2"/>
    <w:rsid w:val="10F10820"/>
    <w:rsid w:val="11072A94"/>
    <w:rsid w:val="111C2F7A"/>
    <w:rsid w:val="1122342A"/>
    <w:rsid w:val="11665CA1"/>
    <w:rsid w:val="11835FE2"/>
    <w:rsid w:val="11977CE3"/>
    <w:rsid w:val="11A1591C"/>
    <w:rsid w:val="11B27A23"/>
    <w:rsid w:val="11C42733"/>
    <w:rsid w:val="11FE2AA3"/>
    <w:rsid w:val="12033F08"/>
    <w:rsid w:val="12422372"/>
    <w:rsid w:val="124F5C67"/>
    <w:rsid w:val="12505225"/>
    <w:rsid w:val="12741746"/>
    <w:rsid w:val="129464C7"/>
    <w:rsid w:val="129834EB"/>
    <w:rsid w:val="12C0739F"/>
    <w:rsid w:val="12FD414F"/>
    <w:rsid w:val="131F6C1D"/>
    <w:rsid w:val="13477DA9"/>
    <w:rsid w:val="135C7D26"/>
    <w:rsid w:val="136A7EEE"/>
    <w:rsid w:val="13951726"/>
    <w:rsid w:val="13980163"/>
    <w:rsid w:val="13C211F3"/>
    <w:rsid w:val="13CF064E"/>
    <w:rsid w:val="13D660DB"/>
    <w:rsid w:val="13D87533"/>
    <w:rsid w:val="13DF3886"/>
    <w:rsid w:val="13E62E35"/>
    <w:rsid w:val="13EC2F66"/>
    <w:rsid w:val="13EE43C3"/>
    <w:rsid w:val="14060EC2"/>
    <w:rsid w:val="140906E5"/>
    <w:rsid w:val="14396509"/>
    <w:rsid w:val="144548EA"/>
    <w:rsid w:val="146A5483"/>
    <w:rsid w:val="149E15A5"/>
    <w:rsid w:val="14A535E0"/>
    <w:rsid w:val="14BE0E98"/>
    <w:rsid w:val="14DD2C3C"/>
    <w:rsid w:val="14E248D3"/>
    <w:rsid w:val="14E528C6"/>
    <w:rsid w:val="14EF207A"/>
    <w:rsid w:val="15086BE0"/>
    <w:rsid w:val="151B46E1"/>
    <w:rsid w:val="152715FF"/>
    <w:rsid w:val="153F759E"/>
    <w:rsid w:val="156959F6"/>
    <w:rsid w:val="15783F61"/>
    <w:rsid w:val="159B7C4F"/>
    <w:rsid w:val="15AA7221"/>
    <w:rsid w:val="15BC35D5"/>
    <w:rsid w:val="15FE6DC4"/>
    <w:rsid w:val="16053CB6"/>
    <w:rsid w:val="16087E1D"/>
    <w:rsid w:val="162163A6"/>
    <w:rsid w:val="16491692"/>
    <w:rsid w:val="16563C35"/>
    <w:rsid w:val="167C50AD"/>
    <w:rsid w:val="16A74423"/>
    <w:rsid w:val="16B311A4"/>
    <w:rsid w:val="16BC4406"/>
    <w:rsid w:val="16D10AD5"/>
    <w:rsid w:val="16D73273"/>
    <w:rsid w:val="16D90CEA"/>
    <w:rsid w:val="16FB6BF7"/>
    <w:rsid w:val="171C13EB"/>
    <w:rsid w:val="171D1740"/>
    <w:rsid w:val="172E5E61"/>
    <w:rsid w:val="1735740A"/>
    <w:rsid w:val="175B6E83"/>
    <w:rsid w:val="176812CD"/>
    <w:rsid w:val="17701D14"/>
    <w:rsid w:val="17735226"/>
    <w:rsid w:val="1785110F"/>
    <w:rsid w:val="17944570"/>
    <w:rsid w:val="17AA0873"/>
    <w:rsid w:val="17BE4AB2"/>
    <w:rsid w:val="17C909E3"/>
    <w:rsid w:val="17CE2415"/>
    <w:rsid w:val="17F55D8B"/>
    <w:rsid w:val="17F707A2"/>
    <w:rsid w:val="17FB2BFA"/>
    <w:rsid w:val="18083DFB"/>
    <w:rsid w:val="180E407E"/>
    <w:rsid w:val="181066D2"/>
    <w:rsid w:val="18180411"/>
    <w:rsid w:val="181A611F"/>
    <w:rsid w:val="181F1743"/>
    <w:rsid w:val="182C36AF"/>
    <w:rsid w:val="184045CE"/>
    <w:rsid w:val="1846212A"/>
    <w:rsid w:val="18486D4F"/>
    <w:rsid w:val="18703A88"/>
    <w:rsid w:val="189903EE"/>
    <w:rsid w:val="189F624C"/>
    <w:rsid w:val="18A42CEB"/>
    <w:rsid w:val="18E267B3"/>
    <w:rsid w:val="18EC4BD3"/>
    <w:rsid w:val="195E16BF"/>
    <w:rsid w:val="196D545F"/>
    <w:rsid w:val="19707585"/>
    <w:rsid w:val="197447D1"/>
    <w:rsid w:val="197D694C"/>
    <w:rsid w:val="199804CB"/>
    <w:rsid w:val="199D2A4A"/>
    <w:rsid w:val="19A215AC"/>
    <w:rsid w:val="19A23FE2"/>
    <w:rsid w:val="19A312AE"/>
    <w:rsid w:val="19B23720"/>
    <w:rsid w:val="19B827EE"/>
    <w:rsid w:val="19BD2F57"/>
    <w:rsid w:val="19CE0F66"/>
    <w:rsid w:val="19EC6DD7"/>
    <w:rsid w:val="19ED66F3"/>
    <w:rsid w:val="19FA7950"/>
    <w:rsid w:val="1A1C66C0"/>
    <w:rsid w:val="1A411C13"/>
    <w:rsid w:val="1A4131B9"/>
    <w:rsid w:val="1A42393B"/>
    <w:rsid w:val="1A5A3C35"/>
    <w:rsid w:val="1A663C88"/>
    <w:rsid w:val="1A7375E3"/>
    <w:rsid w:val="1A790C41"/>
    <w:rsid w:val="1A9B1612"/>
    <w:rsid w:val="1AAD45DE"/>
    <w:rsid w:val="1B046F80"/>
    <w:rsid w:val="1B3267B5"/>
    <w:rsid w:val="1B3721C8"/>
    <w:rsid w:val="1B40161D"/>
    <w:rsid w:val="1B441859"/>
    <w:rsid w:val="1B4818F1"/>
    <w:rsid w:val="1B530D67"/>
    <w:rsid w:val="1B58691F"/>
    <w:rsid w:val="1B634C1A"/>
    <w:rsid w:val="1B6606B1"/>
    <w:rsid w:val="1B9703C5"/>
    <w:rsid w:val="1B9F4C14"/>
    <w:rsid w:val="1BA76EBE"/>
    <w:rsid w:val="1BED2887"/>
    <w:rsid w:val="1C0D4CD7"/>
    <w:rsid w:val="1C580F76"/>
    <w:rsid w:val="1C5D110F"/>
    <w:rsid w:val="1C5E7925"/>
    <w:rsid w:val="1CA21478"/>
    <w:rsid w:val="1CB735C0"/>
    <w:rsid w:val="1CEE1205"/>
    <w:rsid w:val="1CF510A3"/>
    <w:rsid w:val="1CFD070F"/>
    <w:rsid w:val="1D0D6361"/>
    <w:rsid w:val="1D5F6196"/>
    <w:rsid w:val="1D6132A5"/>
    <w:rsid w:val="1D6372A4"/>
    <w:rsid w:val="1D8E56D5"/>
    <w:rsid w:val="1D956C8F"/>
    <w:rsid w:val="1DA72E1B"/>
    <w:rsid w:val="1DF02ABF"/>
    <w:rsid w:val="1DF3205B"/>
    <w:rsid w:val="1DF42207"/>
    <w:rsid w:val="1E162569"/>
    <w:rsid w:val="1E3649B9"/>
    <w:rsid w:val="1E3C6B0E"/>
    <w:rsid w:val="1E560BB7"/>
    <w:rsid w:val="1E564243"/>
    <w:rsid w:val="1E765587"/>
    <w:rsid w:val="1E7A43DA"/>
    <w:rsid w:val="1EA06291"/>
    <w:rsid w:val="1EB27864"/>
    <w:rsid w:val="1EB57AB0"/>
    <w:rsid w:val="1EB73CF4"/>
    <w:rsid w:val="1EF503D0"/>
    <w:rsid w:val="1F223878"/>
    <w:rsid w:val="1F374545"/>
    <w:rsid w:val="1F7F6E54"/>
    <w:rsid w:val="1FD73975"/>
    <w:rsid w:val="1FE7539E"/>
    <w:rsid w:val="20192C92"/>
    <w:rsid w:val="20547DB0"/>
    <w:rsid w:val="20671BE0"/>
    <w:rsid w:val="20963CB8"/>
    <w:rsid w:val="20A24F68"/>
    <w:rsid w:val="20A81A1B"/>
    <w:rsid w:val="20B07FB6"/>
    <w:rsid w:val="20B646FB"/>
    <w:rsid w:val="20C942E8"/>
    <w:rsid w:val="20CF1AB6"/>
    <w:rsid w:val="20E3681C"/>
    <w:rsid w:val="21097F3C"/>
    <w:rsid w:val="213B74B1"/>
    <w:rsid w:val="215A2310"/>
    <w:rsid w:val="217B0F40"/>
    <w:rsid w:val="21A20402"/>
    <w:rsid w:val="21CF1302"/>
    <w:rsid w:val="21DE318A"/>
    <w:rsid w:val="21DF1BE4"/>
    <w:rsid w:val="21EF5B80"/>
    <w:rsid w:val="22194AE1"/>
    <w:rsid w:val="222543F6"/>
    <w:rsid w:val="22264134"/>
    <w:rsid w:val="222A38F5"/>
    <w:rsid w:val="22381C52"/>
    <w:rsid w:val="224D05E5"/>
    <w:rsid w:val="22576990"/>
    <w:rsid w:val="228A67E0"/>
    <w:rsid w:val="22AD16D9"/>
    <w:rsid w:val="22F47480"/>
    <w:rsid w:val="23030973"/>
    <w:rsid w:val="231150AD"/>
    <w:rsid w:val="231F5D4E"/>
    <w:rsid w:val="2346236C"/>
    <w:rsid w:val="23737B15"/>
    <w:rsid w:val="237C1F25"/>
    <w:rsid w:val="23856B18"/>
    <w:rsid w:val="238F301C"/>
    <w:rsid w:val="2395611D"/>
    <w:rsid w:val="23AB0660"/>
    <w:rsid w:val="23B0586E"/>
    <w:rsid w:val="23BD18AE"/>
    <w:rsid w:val="23C47ABA"/>
    <w:rsid w:val="23DE1C48"/>
    <w:rsid w:val="23E15CFC"/>
    <w:rsid w:val="240210CD"/>
    <w:rsid w:val="242F108C"/>
    <w:rsid w:val="24421069"/>
    <w:rsid w:val="24443A10"/>
    <w:rsid w:val="24753103"/>
    <w:rsid w:val="24826AB0"/>
    <w:rsid w:val="24855F40"/>
    <w:rsid w:val="24A06D08"/>
    <w:rsid w:val="24A52A74"/>
    <w:rsid w:val="24AF74B0"/>
    <w:rsid w:val="24BF09F7"/>
    <w:rsid w:val="24D33F00"/>
    <w:rsid w:val="24E31EE5"/>
    <w:rsid w:val="24E442F8"/>
    <w:rsid w:val="2510304E"/>
    <w:rsid w:val="252D53FE"/>
    <w:rsid w:val="25421E95"/>
    <w:rsid w:val="254C6FAD"/>
    <w:rsid w:val="256E2C8A"/>
    <w:rsid w:val="25874121"/>
    <w:rsid w:val="25C127A0"/>
    <w:rsid w:val="25C22D2B"/>
    <w:rsid w:val="25DF7546"/>
    <w:rsid w:val="25EC2D81"/>
    <w:rsid w:val="25EE6480"/>
    <w:rsid w:val="262F4B27"/>
    <w:rsid w:val="26500C1F"/>
    <w:rsid w:val="267A330E"/>
    <w:rsid w:val="269C4B6A"/>
    <w:rsid w:val="26C2212C"/>
    <w:rsid w:val="26E24FB9"/>
    <w:rsid w:val="27021CCA"/>
    <w:rsid w:val="270D0F81"/>
    <w:rsid w:val="277057A2"/>
    <w:rsid w:val="277B4DE7"/>
    <w:rsid w:val="27982240"/>
    <w:rsid w:val="27C16042"/>
    <w:rsid w:val="27DE270A"/>
    <w:rsid w:val="281731D4"/>
    <w:rsid w:val="2817512F"/>
    <w:rsid w:val="28212A53"/>
    <w:rsid w:val="284B1054"/>
    <w:rsid w:val="285E12CD"/>
    <w:rsid w:val="28770115"/>
    <w:rsid w:val="28780D72"/>
    <w:rsid w:val="28D0421C"/>
    <w:rsid w:val="29000FE3"/>
    <w:rsid w:val="29206EB8"/>
    <w:rsid w:val="2953641F"/>
    <w:rsid w:val="29595666"/>
    <w:rsid w:val="296144DC"/>
    <w:rsid w:val="296A5AB3"/>
    <w:rsid w:val="29805D8E"/>
    <w:rsid w:val="29874881"/>
    <w:rsid w:val="299A1E4A"/>
    <w:rsid w:val="29C2265B"/>
    <w:rsid w:val="29D959DA"/>
    <w:rsid w:val="29DC788D"/>
    <w:rsid w:val="29E11C7D"/>
    <w:rsid w:val="29E325E0"/>
    <w:rsid w:val="2A0B4F4C"/>
    <w:rsid w:val="2A0E16D8"/>
    <w:rsid w:val="2A452503"/>
    <w:rsid w:val="2A5266D7"/>
    <w:rsid w:val="2A6101FB"/>
    <w:rsid w:val="2AA543EA"/>
    <w:rsid w:val="2AA7385D"/>
    <w:rsid w:val="2AB775FB"/>
    <w:rsid w:val="2ADE4670"/>
    <w:rsid w:val="2B0049F0"/>
    <w:rsid w:val="2B110340"/>
    <w:rsid w:val="2B1C36F6"/>
    <w:rsid w:val="2B241EA3"/>
    <w:rsid w:val="2B4A2A8B"/>
    <w:rsid w:val="2B724D2B"/>
    <w:rsid w:val="2B7C38C5"/>
    <w:rsid w:val="2B8749DD"/>
    <w:rsid w:val="2BA51DE4"/>
    <w:rsid w:val="2BA936A8"/>
    <w:rsid w:val="2BD17ACF"/>
    <w:rsid w:val="2C0B258D"/>
    <w:rsid w:val="2C1A4173"/>
    <w:rsid w:val="2C284E18"/>
    <w:rsid w:val="2C315A5A"/>
    <w:rsid w:val="2C335A3F"/>
    <w:rsid w:val="2C4B1C25"/>
    <w:rsid w:val="2C666469"/>
    <w:rsid w:val="2CA156F3"/>
    <w:rsid w:val="2CA44695"/>
    <w:rsid w:val="2CAE65E2"/>
    <w:rsid w:val="2CDB214E"/>
    <w:rsid w:val="2D0D0FDB"/>
    <w:rsid w:val="2D1A0EBD"/>
    <w:rsid w:val="2D3C3F44"/>
    <w:rsid w:val="2D4B180F"/>
    <w:rsid w:val="2D65522D"/>
    <w:rsid w:val="2D790D9F"/>
    <w:rsid w:val="2D9713A2"/>
    <w:rsid w:val="2D9E56F5"/>
    <w:rsid w:val="2DCF12C3"/>
    <w:rsid w:val="2E1F500D"/>
    <w:rsid w:val="2E3C2313"/>
    <w:rsid w:val="2E56640F"/>
    <w:rsid w:val="2E5D7A1C"/>
    <w:rsid w:val="2E667F96"/>
    <w:rsid w:val="2E7248C0"/>
    <w:rsid w:val="2E731311"/>
    <w:rsid w:val="2E8226AB"/>
    <w:rsid w:val="2E8C7883"/>
    <w:rsid w:val="2EC057E2"/>
    <w:rsid w:val="2F1667AC"/>
    <w:rsid w:val="2F355C32"/>
    <w:rsid w:val="2F447F99"/>
    <w:rsid w:val="2FAE1BAA"/>
    <w:rsid w:val="2FBA59E4"/>
    <w:rsid w:val="2FD065E6"/>
    <w:rsid w:val="2FD96870"/>
    <w:rsid w:val="2FDE58A3"/>
    <w:rsid w:val="2FEF290A"/>
    <w:rsid w:val="2FF3452F"/>
    <w:rsid w:val="303C6A93"/>
    <w:rsid w:val="304A570C"/>
    <w:rsid w:val="30580BC9"/>
    <w:rsid w:val="305C2BB0"/>
    <w:rsid w:val="305C48DE"/>
    <w:rsid w:val="30797D93"/>
    <w:rsid w:val="30A5072E"/>
    <w:rsid w:val="30DA5698"/>
    <w:rsid w:val="31190F79"/>
    <w:rsid w:val="311E2ED7"/>
    <w:rsid w:val="31271F3F"/>
    <w:rsid w:val="313661D4"/>
    <w:rsid w:val="315619EE"/>
    <w:rsid w:val="315C449C"/>
    <w:rsid w:val="31663A7F"/>
    <w:rsid w:val="31890334"/>
    <w:rsid w:val="31A83E08"/>
    <w:rsid w:val="31A9672B"/>
    <w:rsid w:val="31B04B69"/>
    <w:rsid w:val="31B82709"/>
    <w:rsid w:val="31D05482"/>
    <w:rsid w:val="321A2D0F"/>
    <w:rsid w:val="321C75CA"/>
    <w:rsid w:val="32400B34"/>
    <w:rsid w:val="324B494C"/>
    <w:rsid w:val="324C089B"/>
    <w:rsid w:val="327D40BE"/>
    <w:rsid w:val="329E6876"/>
    <w:rsid w:val="32F70461"/>
    <w:rsid w:val="32FA5796"/>
    <w:rsid w:val="33027F46"/>
    <w:rsid w:val="3307027A"/>
    <w:rsid w:val="333015F2"/>
    <w:rsid w:val="33457B5A"/>
    <w:rsid w:val="334B6320"/>
    <w:rsid w:val="335D309A"/>
    <w:rsid w:val="338A1331"/>
    <w:rsid w:val="33A663C1"/>
    <w:rsid w:val="33B422A6"/>
    <w:rsid w:val="33D934D4"/>
    <w:rsid w:val="33D94143"/>
    <w:rsid w:val="33FE2F6A"/>
    <w:rsid w:val="3402116D"/>
    <w:rsid w:val="340E07E5"/>
    <w:rsid w:val="34227E76"/>
    <w:rsid w:val="34235BF7"/>
    <w:rsid w:val="34343177"/>
    <w:rsid w:val="344D64A6"/>
    <w:rsid w:val="348334BA"/>
    <w:rsid w:val="34A917D2"/>
    <w:rsid w:val="34AD3BB4"/>
    <w:rsid w:val="350C4582"/>
    <w:rsid w:val="354A2ECE"/>
    <w:rsid w:val="355B2CDD"/>
    <w:rsid w:val="358C5FA8"/>
    <w:rsid w:val="35BC763D"/>
    <w:rsid w:val="35C1013F"/>
    <w:rsid w:val="35C15DF1"/>
    <w:rsid w:val="35D06208"/>
    <w:rsid w:val="35DA3A24"/>
    <w:rsid w:val="35DE1FF7"/>
    <w:rsid w:val="35E17ED2"/>
    <w:rsid w:val="35E44DA6"/>
    <w:rsid w:val="36074A7F"/>
    <w:rsid w:val="36090959"/>
    <w:rsid w:val="361118EF"/>
    <w:rsid w:val="361A15FC"/>
    <w:rsid w:val="36260A17"/>
    <w:rsid w:val="364634BD"/>
    <w:rsid w:val="36715229"/>
    <w:rsid w:val="36814F0E"/>
    <w:rsid w:val="368319E0"/>
    <w:rsid w:val="3687718E"/>
    <w:rsid w:val="36923549"/>
    <w:rsid w:val="36B75FBF"/>
    <w:rsid w:val="36B91444"/>
    <w:rsid w:val="36BD0C45"/>
    <w:rsid w:val="36C45B89"/>
    <w:rsid w:val="36CC15BF"/>
    <w:rsid w:val="36CF5E09"/>
    <w:rsid w:val="36D63C8A"/>
    <w:rsid w:val="36E160D0"/>
    <w:rsid w:val="37526EE7"/>
    <w:rsid w:val="37640948"/>
    <w:rsid w:val="37E00298"/>
    <w:rsid w:val="37E73268"/>
    <w:rsid w:val="37F40831"/>
    <w:rsid w:val="38031EDD"/>
    <w:rsid w:val="38084423"/>
    <w:rsid w:val="38190834"/>
    <w:rsid w:val="381C311D"/>
    <w:rsid w:val="38473A4E"/>
    <w:rsid w:val="38591578"/>
    <w:rsid w:val="38875938"/>
    <w:rsid w:val="38B302F9"/>
    <w:rsid w:val="38CC7F9C"/>
    <w:rsid w:val="38D82B40"/>
    <w:rsid w:val="38F12CD3"/>
    <w:rsid w:val="38F94775"/>
    <w:rsid w:val="391060DB"/>
    <w:rsid w:val="392971ED"/>
    <w:rsid w:val="39325651"/>
    <w:rsid w:val="399651CC"/>
    <w:rsid w:val="39A01163"/>
    <w:rsid w:val="39AC7709"/>
    <w:rsid w:val="39BC06A4"/>
    <w:rsid w:val="39D31AAB"/>
    <w:rsid w:val="3A020383"/>
    <w:rsid w:val="3A1740D6"/>
    <w:rsid w:val="3A266A81"/>
    <w:rsid w:val="3A4A2960"/>
    <w:rsid w:val="3A872856"/>
    <w:rsid w:val="3AA840F1"/>
    <w:rsid w:val="3AB8257B"/>
    <w:rsid w:val="3ABC7F98"/>
    <w:rsid w:val="3AE92D77"/>
    <w:rsid w:val="3B134F55"/>
    <w:rsid w:val="3B340289"/>
    <w:rsid w:val="3B3763D1"/>
    <w:rsid w:val="3B9B5A04"/>
    <w:rsid w:val="3B9B7760"/>
    <w:rsid w:val="3B9D4C98"/>
    <w:rsid w:val="3BB60494"/>
    <w:rsid w:val="3BC57F44"/>
    <w:rsid w:val="3BD06703"/>
    <w:rsid w:val="3BE504C2"/>
    <w:rsid w:val="3C2F6E1E"/>
    <w:rsid w:val="3C4F64BA"/>
    <w:rsid w:val="3C90503C"/>
    <w:rsid w:val="3C924985"/>
    <w:rsid w:val="3CC316B6"/>
    <w:rsid w:val="3CD236A7"/>
    <w:rsid w:val="3CD62A5B"/>
    <w:rsid w:val="3CDA245A"/>
    <w:rsid w:val="3CF24274"/>
    <w:rsid w:val="3CF962AB"/>
    <w:rsid w:val="3D1E06B7"/>
    <w:rsid w:val="3D4B7584"/>
    <w:rsid w:val="3D6F3335"/>
    <w:rsid w:val="3D7922D7"/>
    <w:rsid w:val="3DD87183"/>
    <w:rsid w:val="3E0E24CC"/>
    <w:rsid w:val="3E233537"/>
    <w:rsid w:val="3E3B7876"/>
    <w:rsid w:val="3E612F34"/>
    <w:rsid w:val="3E6C5B08"/>
    <w:rsid w:val="3E827E3B"/>
    <w:rsid w:val="3E9B06FC"/>
    <w:rsid w:val="3ECA51CF"/>
    <w:rsid w:val="3ECB78C6"/>
    <w:rsid w:val="3EDA0523"/>
    <w:rsid w:val="3EEB27FE"/>
    <w:rsid w:val="3EFB3AFB"/>
    <w:rsid w:val="3F0270CA"/>
    <w:rsid w:val="3F43088C"/>
    <w:rsid w:val="3F5C54AA"/>
    <w:rsid w:val="3F6A2FF4"/>
    <w:rsid w:val="3F820870"/>
    <w:rsid w:val="3FB3291A"/>
    <w:rsid w:val="403944D9"/>
    <w:rsid w:val="407A6407"/>
    <w:rsid w:val="40C61775"/>
    <w:rsid w:val="40D71D36"/>
    <w:rsid w:val="40DC2D46"/>
    <w:rsid w:val="40F47F12"/>
    <w:rsid w:val="413A0066"/>
    <w:rsid w:val="414A7205"/>
    <w:rsid w:val="41590FA0"/>
    <w:rsid w:val="41762491"/>
    <w:rsid w:val="418C2076"/>
    <w:rsid w:val="41A01FC6"/>
    <w:rsid w:val="41AC2CD4"/>
    <w:rsid w:val="41C73BAC"/>
    <w:rsid w:val="4200449D"/>
    <w:rsid w:val="42005FEC"/>
    <w:rsid w:val="422514B1"/>
    <w:rsid w:val="423A3BCC"/>
    <w:rsid w:val="423C2992"/>
    <w:rsid w:val="424E57D2"/>
    <w:rsid w:val="425A3F23"/>
    <w:rsid w:val="426A7782"/>
    <w:rsid w:val="426C1EA8"/>
    <w:rsid w:val="42891A9A"/>
    <w:rsid w:val="42B26C49"/>
    <w:rsid w:val="42E421CA"/>
    <w:rsid w:val="430622FC"/>
    <w:rsid w:val="43100A85"/>
    <w:rsid w:val="4323158A"/>
    <w:rsid w:val="433A6FE6"/>
    <w:rsid w:val="43405034"/>
    <w:rsid w:val="43480868"/>
    <w:rsid w:val="4348098D"/>
    <w:rsid w:val="43496273"/>
    <w:rsid w:val="4350713C"/>
    <w:rsid w:val="436653E0"/>
    <w:rsid w:val="43746C04"/>
    <w:rsid w:val="43900FB1"/>
    <w:rsid w:val="43C4431A"/>
    <w:rsid w:val="44021421"/>
    <w:rsid w:val="441E3CCD"/>
    <w:rsid w:val="442663E5"/>
    <w:rsid w:val="44425279"/>
    <w:rsid w:val="44593688"/>
    <w:rsid w:val="44926336"/>
    <w:rsid w:val="44B951CC"/>
    <w:rsid w:val="44BB6D19"/>
    <w:rsid w:val="44C67F95"/>
    <w:rsid w:val="44CC63EF"/>
    <w:rsid w:val="44CD14E0"/>
    <w:rsid w:val="44E87180"/>
    <w:rsid w:val="44F20B0B"/>
    <w:rsid w:val="45066670"/>
    <w:rsid w:val="450A3594"/>
    <w:rsid w:val="45181009"/>
    <w:rsid w:val="451C7579"/>
    <w:rsid w:val="452E5F4C"/>
    <w:rsid w:val="454669E0"/>
    <w:rsid w:val="45612018"/>
    <w:rsid w:val="457F0FBD"/>
    <w:rsid w:val="458946E9"/>
    <w:rsid w:val="45A47C0E"/>
    <w:rsid w:val="45C06792"/>
    <w:rsid w:val="45CB6220"/>
    <w:rsid w:val="45D812FF"/>
    <w:rsid w:val="45F3705D"/>
    <w:rsid w:val="46220BAA"/>
    <w:rsid w:val="464940F6"/>
    <w:rsid w:val="46577FD6"/>
    <w:rsid w:val="465874BC"/>
    <w:rsid w:val="46650AE8"/>
    <w:rsid w:val="46696B15"/>
    <w:rsid w:val="46762255"/>
    <w:rsid w:val="46B045AC"/>
    <w:rsid w:val="46B04A59"/>
    <w:rsid w:val="46CD2837"/>
    <w:rsid w:val="46CE12E9"/>
    <w:rsid w:val="46D955A7"/>
    <w:rsid w:val="46EC2FAB"/>
    <w:rsid w:val="47133957"/>
    <w:rsid w:val="471E5E67"/>
    <w:rsid w:val="47517891"/>
    <w:rsid w:val="47886D63"/>
    <w:rsid w:val="479512C3"/>
    <w:rsid w:val="47A07E0C"/>
    <w:rsid w:val="47A6109B"/>
    <w:rsid w:val="47B035A4"/>
    <w:rsid w:val="47BF4D4A"/>
    <w:rsid w:val="47DB7436"/>
    <w:rsid w:val="48634D8F"/>
    <w:rsid w:val="486A6177"/>
    <w:rsid w:val="4870272E"/>
    <w:rsid w:val="48E43144"/>
    <w:rsid w:val="48E80A2C"/>
    <w:rsid w:val="49135D15"/>
    <w:rsid w:val="491A2D1C"/>
    <w:rsid w:val="49235D7F"/>
    <w:rsid w:val="492B1AEF"/>
    <w:rsid w:val="495B0E0B"/>
    <w:rsid w:val="495E079C"/>
    <w:rsid w:val="49944056"/>
    <w:rsid w:val="49C10D2B"/>
    <w:rsid w:val="49DA5EEA"/>
    <w:rsid w:val="49DC7715"/>
    <w:rsid w:val="49E03C68"/>
    <w:rsid w:val="49EF01B2"/>
    <w:rsid w:val="4A023139"/>
    <w:rsid w:val="4A4154D9"/>
    <w:rsid w:val="4A49386D"/>
    <w:rsid w:val="4A4F0702"/>
    <w:rsid w:val="4A537EBC"/>
    <w:rsid w:val="4A7B576F"/>
    <w:rsid w:val="4A883874"/>
    <w:rsid w:val="4A8C7696"/>
    <w:rsid w:val="4A94151F"/>
    <w:rsid w:val="4AB76D59"/>
    <w:rsid w:val="4ABE04F9"/>
    <w:rsid w:val="4AC45654"/>
    <w:rsid w:val="4AED3014"/>
    <w:rsid w:val="4AF561A9"/>
    <w:rsid w:val="4AF56A77"/>
    <w:rsid w:val="4B1650A7"/>
    <w:rsid w:val="4B276F69"/>
    <w:rsid w:val="4B366713"/>
    <w:rsid w:val="4BE37430"/>
    <w:rsid w:val="4BF935DC"/>
    <w:rsid w:val="4C343A36"/>
    <w:rsid w:val="4C3A5D9E"/>
    <w:rsid w:val="4C40066C"/>
    <w:rsid w:val="4C417B78"/>
    <w:rsid w:val="4C4A0649"/>
    <w:rsid w:val="4C602076"/>
    <w:rsid w:val="4C611054"/>
    <w:rsid w:val="4C7E5ECA"/>
    <w:rsid w:val="4C876AA5"/>
    <w:rsid w:val="4C94422D"/>
    <w:rsid w:val="4CA13CE1"/>
    <w:rsid w:val="4CAC7A71"/>
    <w:rsid w:val="4CF7056B"/>
    <w:rsid w:val="4D0D2AF0"/>
    <w:rsid w:val="4D0E00FB"/>
    <w:rsid w:val="4D176606"/>
    <w:rsid w:val="4D483BBD"/>
    <w:rsid w:val="4D553C64"/>
    <w:rsid w:val="4D8D54ED"/>
    <w:rsid w:val="4D8F5481"/>
    <w:rsid w:val="4D900B98"/>
    <w:rsid w:val="4DAB7D28"/>
    <w:rsid w:val="4DB741CB"/>
    <w:rsid w:val="4DB82445"/>
    <w:rsid w:val="4DD61A22"/>
    <w:rsid w:val="4DEC4FB0"/>
    <w:rsid w:val="4DF21B46"/>
    <w:rsid w:val="4DFA2E25"/>
    <w:rsid w:val="4E075D8A"/>
    <w:rsid w:val="4E0B5A04"/>
    <w:rsid w:val="4E217FEA"/>
    <w:rsid w:val="4E42314D"/>
    <w:rsid w:val="4E5E2FEC"/>
    <w:rsid w:val="4EAC09E0"/>
    <w:rsid w:val="4EB97B2B"/>
    <w:rsid w:val="4EC00FAD"/>
    <w:rsid w:val="4ED635EA"/>
    <w:rsid w:val="4ED961EE"/>
    <w:rsid w:val="4EDD6BA8"/>
    <w:rsid w:val="4EE95E5D"/>
    <w:rsid w:val="4F0033FB"/>
    <w:rsid w:val="4F157929"/>
    <w:rsid w:val="4F1B2C8C"/>
    <w:rsid w:val="4F1C3D51"/>
    <w:rsid w:val="4F396C62"/>
    <w:rsid w:val="4F4107A6"/>
    <w:rsid w:val="4F493EE8"/>
    <w:rsid w:val="4F525119"/>
    <w:rsid w:val="4F55619D"/>
    <w:rsid w:val="4F7C4FEA"/>
    <w:rsid w:val="4F9843DC"/>
    <w:rsid w:val="4FC0653D"/>
    <w:rsid w:val="4FC62A8C"/>
    <w:rsid w:val="4FE20F0D"/>
    <w:rsid w:val="4FE51552"/>
    <w:rsid w:val="50245AB2"/>
    <w:rsid w:val="504604FF"/>
    <w:rsid w:val="50504C4B"/>
    <w:rsid w:val="505A5A36"/>
    <w:rsid w:val="50840490"/>
    <w:rsid w:val="5097593D"/>
    <w:rsid w:val="509C6E7C"/>
    <w:rsid w:val="510E0A2A"/>
    <w:rsid w:val="510E665D"/>
    <w:rsid w:val="511701B4"/>
    <w:rsid w:val="51413B07"/>
    <w:rsid w:val="514C6649"/>
    <w:rsid w:val="5154090B"/>
    <w:rsid w:val="5162104E"/>
    <w:rsid w:val="519A7A69"/>
    <w:rsid w:val="51A451BA"/>
    <w:rsid w:val="51A8782D"/>
    <w:rsid w:val="51D07B4F"/>
    <w:rsid w:val="521F2A93"/>
    <w:rsid w:val="524644C3"/>
    <w:rsid w:val="52743AC2"/>
    <w:rsid w:val="52764D0B"/>
    <w:rsid w:val="52835768"/>
    <w:rsid w:val="52A3544E"/>
    <w:rsid w:val="52A702EA"/>
    <w:rsid w:val="52C738FE"/>
    <w:rsid w:val="52D33477"/>
    <w:rsid w:val="53043227"/>
    <w:rsid w:val="53184E47"/>
    <w:rsid w:val="53447737"/>
    <w:rsid w:val="53715570"/>
    <w:rsid w:val="5373753A"/>
    <w:rsid w:val="538424AB"/>
    <w:rsid w:val="53A039CC"/>
    <w:rsid w:val="53A1505A"/>
    <w:rsid w:val="53D74C2F"/>
    <w:rsid w:val="53D87615"/>
    <w:rsid w:val="54063E08"/>
    <w:rsid w:val="54075A37"/>
    <w:rsid w:val="54316AAD"/>
    <w:rsid w:val="543437E8"/>
    <w:rsid w:val="54494881"/>
    <w:rsid w:val="54534A9F"/>
    <w:rsid w:val="5457189A"/>
    <w:rsid w:val="546C41AF"/>
    <w:rsid w:val="54DC5CD4"/>
    <w:rsid w:val="54EC0909"/>
    <w:rsid w:val="54F73313"/>
    <w:rsid w:val="54F80955"/>
    <w:rsid w:val="553B73E2"/>
    <w:rsid w:val="553C52A5"/>
    <w:rsid w:val="555170A7"/>
    <w:rsid w:val="557643EE"/>
    <w:rsid w:val="5587536D"/>
    <w:rsid w:val="559B174B"/>
    <w:rsid w:val="55C62818"/>
    <w:rsid w:val="55CA77A8"/>
    <w:rsid w:val="55CE0CF4"/>
    <w:rsid w:val="55D90A36"/>
    <w:rsid w:val="55DF4A23"/>
    <w:rsid w:val="55F70A39"/>
    <w:rsid w:val="560F1140"/>
    <w:rsid w:val="5612303A"/>
    <w:rsid w:val="561D164E"/>
    <w:rsid w:val="56334F4E"/>
    <w:rsid w:val="565F730E"/>
    <w:rsid w:val="568B3B27"/>
    <w:rsid w:val="56B22A9C"/>
    <w:rsid w:val="56CB2EF7"/>
    <w:rsid w:val="57030BD5"/>
    <w:rsid w:val="571F1F15"/>
    <w:rsid w:val="574248D2"/>
    <w:rsid w:val="5778767D"/>
    <w:rsid w:val="57854E22"/>
    <w:rsid w:val="57B72A76"/>
    <w:rsid w:val="57C3426C"/>
    <w:rsid w:val="57C9715E"/>
    <w:rsid w:val="57CE1F93"/>
    <w:rsid w:val="57D71253"/>
    <w:rsid w:val="57D76345"/>
    <w:rsid w:val="57EE604D"/>
    <w:rsid w:val="58065D47"/>
    <w:rsid w:val="580746F5"/>
    <w:rsid w:val="5817392D"/>
    <w:rsid w:val="5873714E"/>
    <w:rsid w:val="58847722"/>
    <w:rsid w:val="58852319"/>
    <w:rsid w:val="588743D1"/>
    <w:rsid w:val="5887701A"/>
    <w:rsid w:val="58975B15"/>
    <w:rsid w:val="58EA204C"/>
    <w:rsid w:val="58FD5F53"/>
    <w:rsid w:val="592F6689"/>
    <w:rsid w:val="5957002A"/>
    <w:rsid w:val="59867C4A"/>
    <w:rsid w:val="598C3104"/>
    <w:rsid w:val="59B07695"/>
    <w:rsid w:val="59C0439F"/>
    <w:rsid w:val="59D80B4C"/>
    <w:rsid w:val="59DB3E62"/>
    <w:rsid w:val="59F111B9"/>
    <w:rsid w:val="5A7C5728"/>
    <w:rsid w:val="5A814CA9"/>
    <w:rsid w:val="5A8D6765"/>
    <w:rsid w:val="5ABE2233"/>
    <w:rsid w:val="5AC979A3"/>
    <w:rsid w:val="5B073ECD"/>
    <w:rsid w:val="5B271D56"/>
    <w:rsid w:val="5B331769"/>
    <w:rsid w:val="5B38246D"/>
    <w:rsid w:val="5B3D02EF"/>
    <w:rsid w:val="5B3F6A5A"/>
    <w:rsid w:val="5B5163B3"/>
    <w:rsid w:val="5B692744"/>
    <w:rsid w:val="5B860961"/>
    <w:rsid w:val="5BCC014E"/>
    <w:rsid w:val="5BDF5D95"/>
    <w:rsid w:val="5BFE7528"/>
    <w:rsid w:val="5C0009AC"/>
    <w:rsid w:val="5C380CC4"/>
    <w:rsid w:val="5C574E90"/>
    <w:rsid w:val="5CA81968"/>
    <w:rsid w:val="5CDF3748"/>
    <w:rsid w:val="5CE86398"/>
    <w:rsid w:val="5CEB4A45"/>
    <w:rsid w:val="5CEB6393"/>
    <w:rsid w:val="5D174E5B"/>
    <w:rsid w:val="5D3D1EAB"/>
    <w:rsid w:val="5D4569AE"/>
    <w:rsid w:val="5D4D4D57"/>
    <w:rsid w:val="5D790898"/>
    <w:rsid w:val="5DB524FD"/>
    <w:rsid w:val="5DD72D07"/>
    <w:rsid w:val="5DDF6561"/>
    <w:rsid w:val="5DE52686"/>
    <w:rsid w:val="5DFE6503"/>
    <w:rsid w:val="5E016FC7"/>
    <w:rsid w:val="5E08087F"/>
    <w:rsid w:val="5E2467F1"/>
    <w:rsid w:val="5E677C9B"/>
    <w:rsid w:val="5E6F4DA2"/>
    <w:rsid w:val="5E7B2F72"/>
    <w:rsid w:val="5ECA6061"/>
    <w:rsid w:val="5EE40596"/>
    <w:rsid w:val="5EE47C66"/>
    <w:rsid w:val="5F10773B"/>
    <w:rsid w:val="5F1A2B43"/>
    <w:rsid w:val="5F487ACD"/>
    <w:rsid w:val="5F685E6D"/>
    <w:rsid w:val="5F7D4849"/>
    <w:rsid w:val="5F9C5723"/>
    <w:rsid w:val="5FAA07F1"/>
    <w:rsid w:val="5FB837BB"/>
    <w:rsid w:val="5FFD19F5"/>
    <w:rsid w:val="5FFE36C4"/>
    <w:rsid w:val="600301D6"/>
    <w:rsid w:val="600D5D21"/>
    <w:rsid w:val="60380F03"/>
    <w:rsid w:val="605602F3"/>
    <w:rsid w:val="607116A4"/>
    <w:rsid w:val="608B3EF7"/>
    <w:rsid w:val="60921AA5"/>
    <w:rsid w:val="60CA556C"/>
    <w:rsid w:val="60CC405A"/>
    <w:rsid w:val="60DA41F1"/>
    <w:rsid w:val="61097C96"/>
    <w:rsid w:val="610A4290"/>
    <w:rsid w:val="612E30A3"/>
    <w:rsid w:val="61573869"/>
    <w:rsid w:val="61750921"/>
    <w:rsid w:val="619E09FC"/>
    <w:rsid w:val="61BC1E5F"/>
    <w:rsid w:val="61C00F28"/>
    <w:rsid w:val="61C4285B"/>
    <w:rsid w:val="61E215D8"/>
    <w:rsid w:val="61ED05C1"/>
    <w:rsid w:val="621B3775"/>
    <w:rsid w:val="622A6D21"/>
    <w:rsid w:val="622D40F1"/>
    <w:rsid w:val="622E342D"/>
    <w:rsid w:val="6232190D"/>
    <w:rsid w:val="62364782"/>
    <w:rsid w:val="625C605A"/>
    <w:rsid w:val="626114DD"/>
    <w:rsid w:val="62664B4C"/>
    <w:rsid w:val="627B3D15"/>
    <w:rsid w:val="62AC570A"/>
    <w:rsid w:val="62EC5DE5"/>
    <w:rsid w:val="62F87114"/>
    <w:rsid w:val="63142CAB"/>
    <w:rsid w:val="631D53F1"/>
    <w:rsid w:val="63276720"/>
    <w:rsid w:val="63462575"/>
    <w:rsid w:val="63651CBD"/>
    <w:rsid w:val="63827325"/>
    <w:rsid w:val="6394356A"/>
    <w:rsid w:val="639704DE"/>
    <w:rsid w:val="639C16C9"/>
    <w:rsid w:val="63C01BA2"/>
    <w:rsid w:val="63C61B2C"/>
    <w:rsid w:val="63D40BE9"/>
    <w:rsid w:val="63DA7172"/>
    <w:rsid w:val="63DC0140"/>
    <w:rsid w:val="63F275D3"/>
    <w:rsid w:val="64012005"/>
    <w:rsid w:val="64093866"/>
    <w:rsid w:val="64102431"/>
    <w:rsid w:val="648E04C2"/>
    <w:rsid w:val="64A5243A"/>
    <w:rsid w:val="64B0555C"/>
    <w:rsid w:val="64CC345D"/>
    <w:rsid w:val="64D157D9"/>
    <w:rsid w:val="64F531DE"/>
    <w:rsid w:val="650751C3"/>
    <w:rsid w:val="653325E9"/>
    <w:rsid w:val="65363D96"/>
    <w:rsid w:val="65373578"/>
    <w:rsid w:val="653D00F0"/>
    <w:rsid w:val="65487659"/>
    <w:rsid w:val="655543BF"/>
    <w:rsid w:val="655A6740"/>
    <w:rsid w:val="657B5DD8"/>
    <w:rsid w:val="658661ED"/>
    <w:rsid w:val="65951D37"/>
    <w:rsid w:val="65982A27"/>
    <w:rsid w:val="65AB381B"/>
    <w:rsid w:val="65F904A0"/>
    <w:rsid w:val="66000293"/>
    <w:rsid w:val="660D4430"/>
    <w:rsid w:val="6623094C"/>
    <w:rsid w:val="664675B7"/>
    <w:rsid w:val="66963446"/>
    <w:rsid w:val="66D24C12"/>
    <w:rsid w:val="66F90034"/>
    <w:rsid w:val="671F124A"/>
    <w:rsid w:val="67381006"/>
    <w:rsid w:val="673B7D68"/>
    <w:rsid w:val="67627395"/>
    <w:rsid w:val="67696832"/>
    <w:rsid w:val="677A33C6"/>
    <w:rsid w:val="677E1BB2"/>
    <w:rsid w:val="678E6713"/>
    <w:rsid w:val="67A4673A"/>
    <w:rsid w:val="67A61834"/>
    <w:rsid w:val="67CF5D1C"/>
    <w:rsid w:val="67DD1EAC"/>
    <w:rsid w:val="6808558F"/>
    <w:rsid w:val="68123711"/>
    <w:rsid w:val="681F6961"/>
    <w:rsid w:val="68610A2F"/>
    <w:rsid w:val="68715B33"/>
    <w:rsid w:val="68805514"/>
    <w:rsid w:val="68880328"/>
    <w:rsid w:val="68BC5088"/>
    <w:rsid w:val="68CD7920"/>
    <w:rsid w:val="69076853"/>
    <w:rsid w:val="690C4822"/>
    <w:rsid w:val="692E36B1"/>
    <w:rsid w:val="69316E2F"/>
    <w:rsid w:val="694E2071"/>
    <w:rsid w:val="695A2407"/>
    <w:rsid w:val="69620B1A"/>
    <w:rsid w:val="69766163"/>
    <w:rsid w:val="697A3B33"/>
    <w:rsid w:val="69AD5091"/>
    <w:rsid w:val="69B377A2"/>
    <w:rsid w:val="69B47364"/>
    <w:rsid w:val="69BF3287"/>
    <w:rsid w:val="69D44760"/>
    <w:rsid w:val="69F20600"/>
    <w:rsid w:val="69FC4C79"/>
    <w:rsid w:val="6A095303"/>
    <w:rsid w:val="6A520EC7"/>
    <w:rsid w:val="6A6E6628"/>
    <w:rsid w:val="6ABC3EF9"/>
    <w:rsid w:val="6ABD1C50"/>
    <w:rsid w:val="6AF87E20"/>
    <w:rsid w:val="6AFA4D18"/>
    <w:rsid w:val="6B322639"/>
    <w:rsid w:val="6B85576E"/>
    <w:rsid w:val="6B9C3CAA"/>
    <w:rsid w:val="6BC90720"/>
    <w:rsid w:val="6BCE135A"/>
    <w:rsid w:val="6BF04369"/>
    <w:rsid w:val="6C0463C2"/>
    <w:rsid w:val="6C23532C"/>
    <w:rsid w:val="6C3E27AC"/>
    <w:rsid w:val="6C636C38"/>
    <w:rsid w:val="6C786381"/>
    <w:rsid w:val="6C871509"/>
    <w:rsid w:val="6C8C237C"/>
    <w:rsid w:val="6C984506"/>
    <w:rsid w:val="6CBA5EF1"/>
    <w:rsid w:val="6D205BE5"/>
    <w:rsid w:val="6D8E60E0"/>
    <w:rsid w:val="6DB34098"/>
    <w:rsid w:val="6DB545B6"/>
    <w:rsid w:val="6DB95EA9"/>
    <w:rsid w:val="6DE02FB4"/>
    <w:rsid w:val="6E175DA4"/>
    <w:rsid w:val="6E4C5EDF"/>
    <w:rsid w:val="6E514CED"/>
    <w:rsid w:val="6E5673E4"/>
    <w:rsid w:val="6E5B49F0"/>
    <w:rsid w:val="6E6447FF"/>
    <w:rsid w:val="6E6A1C30"/>
    <w:rsid w:val="6EAA6B79"/>
    <w:rsid w:val="6EB0547A"/>
    <w:rsid w:val="6EB563D5"/>
    <w:rsid w:val="6EB8009F"/>
    <w:rsid w:val="6EBC10DE"/>
    <w:rsid w:val="6ED92677"/>
    <w:rsid w:val="6EFF1BEC"/>
    <w:rsid w:val="6EFF3F50"/>
    <w:rsid w:val="6F0C5929"/>
    <w:rsid w:val="6F225983"/>
    <w:rsid w:val="6F320485"/>
    <w:rsid w:val="6F507392"/>
    <w:rsid w:val="6FAA3E8C"/>
    <w:rsid w:val="6FB1614A"/>
    <w:rsid w:val="6FBE645E"/>
    <w:rsid w:val="6FFC5590"/>
    <w:rsid w:val="70006EB5"/>
    <w:rsid w:val="70170E55"/>
    <w:rsid w:val="701B0512"/>
    <w:rsid w:val="702C0824"/>
    <w:rsid w:val="703616DA"/>
    <w:rsid w:val="703E6382"/>
    <w:rsid w:val="704456C1"/>
    <w:rsid w:val="706D1DD0"/>
    <w:rsid w:val="707E1A17"/>
    <w:rsid w:val="70855D9C"/>
    <w:rsid w:val="70856B87"/>
    <w:rsid w:val="709829F2"/>
    <w:rsid w:val="70A628A5"/>
    <w:rsid w:val="70AD7087"/>
    <w:rsid w:val="70C4180F"/>
    <w:rsid w:val="70CB5A6F"/>
    <w:rsid w:val="70D527EE"/>
    <w:rsid w:val="70E11BD6"/>
    <w:rsid w:val="713232EC"/>
    <w:rsid w:val="715A4EF2"/>
    <w:rsid w:val="715B5300"/>
    <w:rsid w:val="715C11B6"/>
    <w:rsid w:val="716772D6"/>
    <w:rsid w:val="71900E5F"/>
    <w:rsid w:val="71935EFB"/>
    <w:rsid w:val="71A55A61"/>
    <w:rsid w:val="71B903B6"/>
    <w:rsid w:val="71D27F8A"/>
    <w:rsid w:val="71FA376F"/>
    <w:rsid w:val="72094B61"/>
    <w:rsid w:val="72103E48"/>
    <w:rsid w:val="7218332F"/>
    <w:rsid w:val="722E4900"/>
    <w:rsid w:val="7234691D"/>
    <w:rsid w:val="723637B5"/>
    <w:rsid w:val="725134A0"/>
    <w:rsid w:val="72553024"/>
    <w:rsid w:val="72BC20E7"/>
    <w:rsid w:val="73122968"/>
    <w:rsid w:val="731D2AB3"/>
    <w:rsid w:val="731F5D5E"/>
    <w:rsid w:val="73310CB1"/>
    <w:rsid w:val="73552A46"/>
    <w:rsid w:val="7357186D"/>
    <w:rsid w:val="73C51AD5"/>
    <w:rsid w:val="73C81F5F"/>
    <w:rsid w:val="73CD6A9A"/>
    <w:rsid w:val="73DB579E"/>
    <w:rsid w:val="73E66414"/>
    <w:rsid w:val="74162289"/>
    <w:rsid w:val="741714DC"/>
    <w:rsid w:val="741E793C"/>
    <w:rsid w:val="743A04AC"/>
    <w:rsid w:val="74417C5D"/>
    <w:rsid w:val="745651B3"/>
    <w:rsid w:val="745E3944"/>
    <w:rsid w:val="74821319"/>
    <w:rsid w:val="74842CB4"/>
    <w:rsid w:val="748900C8"/>
    <w:rsid w:val="74A12AB9"/>
    <w:rsid w:val="74A810B1"/>
    <w:rsid w:val="74B223A3"/>
    <w:rsid w:val="75457920"/>
    <w:rsid w:val="75523EA3"/>
    <w:rsid w:val="75527327"/>
    <w:rsid w:val="757840E4"/>
    <w:rsid w:val="7579607C"/>
    <w:rsid w:val="758147E1"/>
    <w:rsid w:val="758321C8"/>
    <w:rsid w:val="75851341"/>
    <w:rsid w:val="75BD4891"/>
    <w:rsid w:val="75EC1E64"/>
    <w:rsid w:val="76004806"/>
    <w:rsid w:val="7613329E"/>
    <w:rsid w:val="7630676D"/>
    <w:rsid w:val="7635099D"/>
    <w:rsid w:val="764D1335"/>
    <w:rsid w:val="765B1A3C"/>
    <w:rsid w:val="767D019A"/>
    <w:rsid w:val="76E557A9"/>
    <w:rsid w:val="77053FEC"/>
    <w:rsid w:val="77237575"/>
    <w:rsid w:val="77243FAA"/>
    <w:rsid w:val="77526FC1"/>
    <w:rsid w:val="77762421"/>
    <w:rsid w:val="77846B1B"/>
    <w:rsid w:val="77A90002"/>
    <w:rsid w:val="77AC3501"/>
    <w:rsid w:val="77B56B1F"/>
    <w:rsid w:val="77CD2647"/>
    <w:rsid w:val="77D41D63"/>
    <w:rsid w:val="77F43EF6"/>
    <w:rsid w:val="780F09F4"/>
    <w:rsid w:val="782621EC"/>
    <w:rsid w:val="782B6589"/>
    <w:rsid w:val="78302880"/>
    <w:rsid w:val="78590179"/>
    <w:rsid w:val="78847442"/>
    <w:rsid w:val="78A90480"/>
    <w:rsid w:val="78D91690"/>
    <w:rsid w:val="78EE69F9"/>
    <w:rsid w:val="79260402"/>
    <w:rsid w:val="794D4C08"/>
    <w:rsid w:val="79682BBD"/>
    <w:rsid w:val="79764D83"/>
    <w:rsid w:val="797A1802"/>
    <w:rsid w:val="79934537"/>
    <w:rsid w:val="79975C89"/>
    <w:rsid w:val="799E22E6"/>
    <w:rsid w:val="79BA219D"/>
    <w:rsid w:val="79D43BE1"/>
    <w:rsid w:val="79EC2A16"/>
    <w:rsid w:val="79F67823"/>
    <w:rsid w:val="7A1F0FD2"/>
    <w:rsid w:val="7A364017"/>
    <w:rsid w:val="7A681713"/>
    <w:rsid w:val="7A695BC7"/>
    <w:rsid w:val="7A8265E1"/>
    <w:rsid w:val="7AA228B7"/>
    <w:rsid w:val="7AAE3987"/>
    <w:rsid w:val="7AE71F8F"/>
    <w:rsid w:val="7AEA7832"/>
    <w:rsid w:val="7B510F19"/>
    <w:rsid w:val="7B5D6B40"/>
    <w:rsid w:val="7B686D42"/>
    <w:rsid w:val="7B767EDD"/>
    <w:rsid w:val="7B841746"/>
    <w:rsid w:val="7BAE3CF2"/>
    <w:rsid w:val="7BB30F09"/>
    <w:rsid w:val="7BB442A0"/>
    <w:rsid w:val="7BC534C1"/>
    <w:rsid w:val="7C3204A8"/>
    <w:rsid w:val="7C3A3558"/>
    <w:rsid w:val="7C440581"/>
    <w:rsid w:val="7C5036C5"/>
    <w:rsid w:val="7C514589"/>
    <w:rsid w:val="7C6C5AC7"/>
    <w:rsid w:val="7CA0289E"/>
    <w:rsid w:val="7CBC7C3E"/>
    <w:rsid w:val="7CBE4AD3"/>
    <w:rsid w:val="7CC6544B"/>
    <w:rsid w:val="7D0239FF"/>
    <w:rsid w:val="7D065B1F"/>
    <w:rsid w:val="7D1C4721"/>
    <w:rsid w:val="7D5E40CD"/>
    <w:rsid w:val="7D706982"/>
    <w:rsid w:val="7D8F021D"/>
    <w:rsid w:val="7DA51208"/>
    <w:rsid w:val="7DAA42E2"/>
    <w:rsid w:val="7DCD56F2"/>
    <w:rsid w:val="7DD117E2"/>
    <w:rsid w:val="7DFF2AF4"/>
    <w:rsid w:val="7E2D1F10"/>
    <w:rsid w:val="7E5D5213"/>
    <w:rsid w:val="7E5E7184"/>
    <w:rsid w:val="7E665D55"/>
    <w:rsid w:val="7E734D64"/>
    <w:rsid w:val="7EA146AC"/>
    <w:rsid w:val="7EBA4878"/>
    <w:rsid w:val="7EBC3294"/>
    <w:rsid w:val="7EC04024"/>
    <w:rsid w:val="7ECC2A41"/>
    <w:rsid w:val="7ED160D1"/>
    <w:rsid w:val="7EF96D1F"/>
    <w:rsid w:val="7EFC120E"/>
    <w:rsid w:val="7F001CE7"/>
    <w:rsid w:val="7F0C0494"/>
    <w:rsid w:val="7F26320C"/>
    <w:rsid w:val="7F475395"/>
    <w:rsid w:val="7F492436"/>
    <w:rsid w:val="7F4A3439"/>
    <w:rsid w:val="7F554DEA"/>
    <w:rsid w:val="7F5E2D11"/>
    <w:rsid w:val="7F7F0AF8"/>
    <w:rsid w:val="7F8F2078"/>
    <w:rsid w:val="7F972E22"/>
    <w:rsid w:val="7F985AAF"/>
    <w:rsid w:val="7FA963FD"/>
    <w:rsid w:val="7FAB59F0"/>
    <w:rsid w:val="7FE001C3"/>
    <w:rsid w:val="7FE47E50"/>
    <w:rsid w:val="7FF657F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qFormat="1"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qFormat="1"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qFormat/>
    <w:locked/>
    <w:uiPriority w:val="0"/>
    <w:pPr>
      <w:keepNext/>
      <w:keepLines/>
      <w:spacing w:line="360" w:lineRule="auto"/>
      <w:jc w:val="left"/>
      <w:outlineLvl w:val="1"/>
    </w:pPr>
    <w:rPr>
      <w:rFonts w:ascii="Arial" w:hAnsi="Arial"/>
      <w:b/>
      <w:sz w:val="24"/>
    </w:rPr>
  </w:style>
  <w:style w:type="paragraph" w:styleId="6">
    <w:name w:val="heading 3"/>
    <w:basedOn w:val="1"/>
    <w:next w:val="1"/>
    <w:qFormat/>
    <w:locked/>
    <w:uiPriority w:val="0"/>
    <w:pPr>
      <w:keepNext w:val="0"/>
      <w:keepLines w:val="0"/>
      <w:spacing w:line="360" w:lineRule="auto"/>
      <w:outlineLvl w:val="2"/>
    </w:pPr>
    <w:rPr>
      <w:rFonts w:ascii="Times New Roman" w:hAnsi="Times New Roman"/>
      <w:b/>
      <w:bCs/>
      <w:szCs w:val="32"/>
    </w:rPr>
  </w:style>
  <w:style w:type="paragraph" w:styleId="7">
    <w:name w:val="heading 4"/>
    <w:basedOn w:val="1"/>
    <w:next w:val="1"/>
    <w:qFormat/>
    <w:locked/>
    <w:uiPriority w:val="0"/>
    <w:pPr>
      <w:keepNext/>
      <w:keepLines/>
      <w:spacing w:before="280" w:after="290" w:line="376" w:lineRule="auto"/>
      <w:outlineLvl w:val="3"/>
    </w:pPr>
    <w:rPr>
      <w:rFonts w:ascii="Arial" w:hAnsi="Arial" w:eastAsia="黑体"/>
      <w:b/>
      <w:bCs/>
      <w:sz w:val="28"/>
      <w:szCs w:val="28"/>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2">
    <w:name w:val="Body Text First Indent 2"/>
    <w:basedOn w:val="1"/>
    <w:next w:val="3"/>
    <w:qFormat/>
    <w:locked/>
    <w:uiPriority w:val="0"/>
    <w:pPr>
      <w:ind w:firstLine="420"/>
    </w:pPr>
    <w:rPr>
      <w:szCs w:val="24"/>
    </w:rPr>
  </w:style>
  <w:style w:type="paragraph" w:styleId="3">
    <w:name w:val="List Continue 4"/>
    <w:basedOn w:val="1"/>
    <w:next w:val="1"/>
    <w:qFormat/>
    <w:locked/>
    <w:uiPriority w:val="0"/>
    <w:pPr>
      <w:spacing w:after="120"/>
      <w:ind w:left="1680" w:firstLine="480"/>
    </w:pPr>
    <w:rPr>
      <w:rFonts w:ascii="宋体"/>
      <w:sz w:val="24"/>
    </w:rPr>
  </w:style>
  <w:style w:type="paragraph" w:styleId="8">
    <w:name w:val="Normal Indent"/>
    <w:basedOn w:val="1"/>
    <w:next w:val="1"/>
    <w:qFormat/>
    <w:locked/>
    <w:uiPriority w:val="0"/>
    <w:pPr>
      <w:ind w:firstLine="420" w:firstLineChars="200"/>
    </w:pPr>
    <w:rPr>
      <w:rFonts w:eastAsia="仿宋_GB2312"/>
      <w:bCs/>
      <w:sz w:val="32"/>
      <w:szCs w:val="20"/>
    </w:rPr>
  </w:style>
  <w:style w:type="paragraph" w:styleId="9">
    <w:name w:val="index 5"/>
    <w:basedOn w:val="1"/>
    <w:next w:val="1"/>
    <w:qFormat/>
    <w:locked/>
    <w:uiPriority w:val="0"/>
    <w:pPr>
      <w:ind w:left="1680"/>
    </w:pPr>
    <w:rPr>
      <w:rFonts w:ascii="Times New Roman" w:hAnsi="Times New Roman" w:eastAsia="宋体" w:cs="Times New Roman"/>
    </w:rPr>
  </w:style>
  <w:style w:type="paragraph" w:styleId="10">
    <w:name w:val="annotation text"/>
    <w:basedOn w:val="1"/>
    <w:link w:val="42"/>
    <w:semiHidden/>
    <w:qFormat/>
    <w:uiPriority w:val="0"/>
    <w:pPr>
      <w:jc w:val="left"/>
    </w:pPr>
    <w:rPr>
      <w:kern w:val="0"/>
      <w:sz w:val="24"/>
      <w:szCs w:val="20"/>
    </w:rPr>
  </w:style>
  <w:style w:type="paragraph" w:styleId="11">
    <w:name w:val="Body Text"/>
    <w:basedOn w:val="1"/>
    <w:link w:val="43"/>
    <w:qFormat/>
    <w:uiPriority w:val="0"/>
    <w:pPr>
      <w:widowControl/>
      <w:snapToGrid w:val="0"/>
      <w:spacing w:before="60" w:after="160" w:line="259" w:lineRule="auto"/>
      <w:ind w:right="113"/>
    </w:pPr>
    <w:rPr>
      <w:kern w:val="0"/>
      <w:sz w:val="18"/>
      <w:szCs w:val="20"/>
    </w:rPr>
  </w:style>
  <w:style w:type="paragraph" w:styleId="12">
    <w:name w:val="Body Text Indent"/>
    <w:basedOn w:val="1"/>
    <w:next w:val="7"/>
    <w:link w:val="44"/>
    <w:qFormat/>
    <w:uiPriority w:val="0"/>
    <w:pPr>
      <w:spacing w:after="120"/>
      <w:ind w:left="420" w:leftChars="200"/>
    </w:pPr>
    <w:rPr>
      <w:kern w:val="0"/>
      <w:sz w:val="24"/>
      <w:szCs w:val="20"/>
    </w:rPr>
  </w:style>
  <w:style w:type="paragraph" w:styleId="13">
    <w:name w:val="Plain Text"/>
    <w:basedOn w:val="1"/>
    <w:next w:val="1"/>
    <w:qFormat/>
    <w:locked/>
    <w:uiPriority w:val="0"/>
    <w:rPr>
      <w:rFonts w:ascii="宋体" w:hAnsi="Courier New" w:cs="宋体"/>
      <w:szCs w:val="21"/>
    </w:rPr>
  </w:style>
  <w:style w:type="paragraph" w:styleId="14">
    <w:name w:val="Date"/>
    <w:basedOn w:val="1"/>
    <w:next w:val="1"/>
    <w:link w:val="45"/>
    <w:qFormat/>
    <w:uiPriority w:val="0"/>
    <w:pPr>
      <w:ind w:left="100" w:leftChars="2500"/>
    </w:pPr>
    <w:rPr>
      <w:kern w:val="0"/>
      <w:sz w:val="24"/>
      <w:szCs w:val="20"/>
    </w:rPr>
  </w:style>
  <w:style w:type="paragraph" w:styleId="15">
    <w:name w:val="Body Text Indent 2"/>
    <w:basedOn w:val="1"/>
    <w:qFormat/>
    <w:locked/>
    <w:uiPriority w:val="0"/>
    <w:pPr>
      <w:spacing w:line="500" w:lineRule="exact"/>
      <w:ind w:firstLine="556"/>
    </w:pPr>
    <w:rPr>
      <w:bCs/>
      <w:sz w:val="28"/>
    </w:rPr>
  </w:style>
  <w:style w:type="paragraph" w:styleId="16">
    <w:name w:val="Balloon Text"/>
    <w:basedOn w:val="1"/>
    <w:link w:val="46"/>
    <w:semiHidden/>
    <w:qFormat/>
    <w:uiPriority w:val="0"/>
    <w:rPr>
      <w:kern w:val="0"/>
      <w:sz w:val="18"/>
      <w:szCs w:val="20"/>
    </w:rPr>
  </w:style>
  <w:style w:type="paragraph" w:styleId="17">
    <w:name w:val="footer"/>
    <w:basedOn w:val="1"/>
    <w:link w:val="47"/>
    <w:qFormat/>
    <w:uiPriority w:val="99"/>
    <w:pPr>
      <w:tabs>
        <w:tab w:val="center" w:pos="4153"/>
        <w:tab w:val="right" w:pos="8306"/>
      </w:tabs>
      <w:snapToGrid w:val="0"/>
      <w:jc w:val="left"/>
    </w:pPr>
    <w:rPr>
      <w:kern w:val="0"/>
      <w:sz w:val="18"/>
      <w:szCs w:val="20"/>
    </w:rPr>
  </w:style>
  <w:style w:type="paragraph" w:styleId="18">
    <w:name w:val="header"/>
    <w:basedOn w:val="1"/>
    <w:link w:val="39"/>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List"/>
    <w:basedOn w:val="1"/>
    <w:next w:val="1"/>
    <w:qFormat/>
    <w:locked/>
    <w:uiPriority w:val="0"/>
    <w:pPr>
      <w:ind w:left="200" w:hanging="200" w:hangingChars="200"/>
    </w:pPr>
    <w:rPr>
      <w:rFonts w:ascii="Times New Roman" w:hAnsi="Times New Roman" w:eastAsia="宋体" w:cs="Times New Roman"/>
      <w:szCs w:val="24"/>
    </w:rPr>
  </w:style>
  <w:style w:type="paragraph" w:styleId="20">
    <w:name w:val="Normal (Web)"/>
    <w:basedOn w:val="1"/>
    <w:link w:val="48"/>
    <w:qFormat/>
    <w:uiPriority w:val="0"/>
    <w:pPr>
      <w:widowControl/>
      <w:spacing w:before="100" w:beforeAutospacing="1" w:after="100" w:afterAutospacing="1"/>
      <w:jc w:val="left"/>
    </w:pPr>
    <w:rPr>
      <w:rFonts w:ascii="宋体" w:hAnsi="宋体"/>
      <w:kern w:val="0"/>
      <w:sz w:val="24"/>
      <w:szCs w:val="20"/>
    </w:rPr>
  </w:style>
  <w:style w:type="paragraph" w:styleId="21">
    <w:name w:val="Title"/>
    <w:basedOn w:val="1"/>
    <w:qFormat/>
    <w:locked/>
    <w:uiPriority w:val="0"/>
    <w:pPr>
      <w:spacing w:before="240" w:after="60"/>
      <w:jc w:val="center"/>
      <w:outlineLvl w:val="0"/>
    </w:pPr>
    <w:rPr>
      <w:rFonts w:ascii="Cambria" w:hAnsi="Cambria"/>
      <w:b/>
      <w:bCs/>
      <w:sz w:val="32"/>
      <w:szCs w:val="32"/>
    </w:rPr>
  </w:style>
  <w:style w:type="paragraph" w:styleId="22">
    <w:name w:val="annotation subject"/>
    <w:basedOn w:val="10"/>
    <w:next w:val="10"/>
    <w:link w:val="49"/>
    <w:semiHidden/>
    <w:qFormat/>
    <w:uiPriority w:val="0"/>
    <w:rPr>
      <w:b/>
      <w:sz w:val="24"/>
      <w:szCs w:val="20"/>
    </w:rPr>
  </w:style>
  <w:style w:type="paragraph" w:styleId="23">
    <w:name w:val="Body Text First Indent"/>
    <w:basedOn w:val="1"/>
    <w:next w:val="2"/>
    <w:qFormat/>
    <w:locked/>
    <w:uiPriority w:val="0"/>
    <w:pPr>
      <w:adjustRightInd w:val="0"/>
      <w:spacing w:line="360" w:lineRule="auto"/>
      <w:ind w:firstLine="454"/>
      <w:textAlignment w:val="baseline"/>
    </w:pPr>
    <w:rPr>
      <w:kern w:val="0"/>
      <w:sz w:val="24"/>
    </w:rPr>
  </w:style>
  <w:style w:type="table" w:styleId="25">
    <w:name w:val="Table Grid"/>
    <w:basedOn w:val="24"/>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locked/>
    <w:uiPriority w:val="0"/>
    <w:rPr>
      <w:b/>
    </w:rPr>
  </w:style>
  <w:style w:type="character" w:styleId="28">
    <w:name w:val="page number"/>
    <w:basedOn w:val="26"/>
    <w:qFormat/>
    <w:locked/>
    <w:uiPriority w:val="0"/>
  </w:style>
  <w:style w:type="character" w:styleId="29">
    <w:name w:val="Hyperlink"/>
    <w:basedOn w:val="26"/>
    <w:qFormat/>
    <w:locked/>
    <w:uiPriority w:val="0"/>
    <w:rPr>
      <w:color w:val="0000FF"/>
      <w:u w:val="single"/>
    </w:rPr>
  </w:style>
  <w:style w:type="character" w:styleId="30">
    <w:name w:val="annotation reference"/>
    <w:semiHidden/>
    <w:qFormat/>
    <w:uiPriority w:val="0"/>
    <w:rPr>
      <w:sz w:val="21"/>
    </w:rPr>
  </w:style>
  <w:style w:type="paragraph" w:customStyle="1" w:styleId="31">
    <w:name w:val="表格"/>
    <w:basedOn w:val="1"/>
    <w:next w:val="1"/>
    <w:link w:val="32"/>
    <w:qFormat/>
    <w:uiPriority w:val="0"/>
    <w:pPr>
      <w:adjustRightInd w:val="0"/>
      <w:snapToGrid w:val="0"/>
      <w:spacing w:beforeLines="10" w:afterLines="10" w:line="259" w:lineRule="auto"/>
      <w:jc w:val="center"/>
    </w:pPr>
    <w:rPr>
      <w:rFonts w:ascii="宋体"/>
      <w:kern w:val="0"/>
      <w:szCs w:val="20"/>
    </w:rPr>
  </w:style>
  <w:style w:type="character" w:customStyle="1" w:styleId="32">
    <w:name w:val="表格 Char"/>
    <w:link w:val="31"/>
    <w:qFormat/>
    <w:locked/>
    <w:uiPriority w:val="0"/>
    <w:rPr>
      <w:rFonts w:ascii="宋体"/>
      <w:sz w:val="21"/>
    </w:rPr>
  </w:style>
  <w:style w:type="paragraph" w:customStyle="1" w:styleId="33">
    <w:name w:val="表格文字"/>
    <w:basedOn w:val="11"/>
    <w:qFormat/>
    <w:uiPriority w:val="0"/>
    <w:pPr>
      <w:spacing w:line="240" w:lineRule="auto"/>
      <w:ind w:firstLine="0" w:firstLineChars="0"/>
      <w:jc w:val="center"/>
    </w:pPr>
    <w:rPr>
      <w:rFonts w:ascii="Times New Roman" w:hAnsi="Times New Roman" w:eastAsia="仿宋" w:cstheme="minorBidi"/>
      <w:b/>
      <w:sz w:val="24"/>
      <w:szCs w:val="24"/>
      <w:lang w:val="en-US" w:bidi="ar-SA"/>
    </w:rPr>
  </w:style>
  <w:style w:type="paragraph" w:customStyle="1" w:styleId="34">
    <w:name w:val="表头"/>
    <w:next w:val="1"/>
    <w:qFormat/>
    <w:uiPriority w:val="0"/>
    <w:pPr>
      <w:keepNext/>
      <w:numPr>
        <w:ilvl w:val="4"/>
        <w:numId w:val="1"/>
      </w:numPr>
      <w:spacing w:line="240" w:lineRule="atLeast"/>
      <w:ind w:left="850"/>
      <w:jc w:val="center"/>
      <w:outlineLvl w:val="5"/>
    </w:pPr>
    <w:rPr>
      <w:rFonts w:ascii="Times New Roman" w:hAnsi="Times New Roman" w:eastAsia="仿宋_GB2312" w:cstheme="minorBidi"/>
      <w:b/>
      <w:bCs/>
      <w:w w:val="90"/>
      <w:kern w:val="2"/>
      <w:sz w:val="21"/>
      <w:szCs w:val="28"/>
      <w:lang w:val="en-US" w:eastAsia="zh-CN" w:bidi="ar-SA"/>
    </w:rPr>
  </w:style>
  <w:style w:type="paragraph" w:customStyle="1" w:styleId="35">
    <w:name w:val="表中文字"/>
    <w:basedOn w:val="1"/>
    <w:qFormat/>
    <w:uiPriority w:val="0"/>
    <w:pPr>
      <w:tabs>
        <w:tab w:val="left" w:pos="2700"/>
      </w:tabs>
      <w:jc w:val="center"/>
      <w:textAlignment w:val="center"/>
    </w:pPr>
    <w:rPr>
      <w:szCs w:val="21"/>
    </w:rPr>
  </w:style>
  <w:style w:type="character" w:customStyle="1" w:styleId="36">
    <w:name w:val="页脚 字符"/>
    <w:basedOn w:val="26"/>
    <w:qFormat/>
    <w:uiPriority w:val="99"/>
  </w:style>
  <w:style w:type="paragraph" w:customStyle="1" w:styleId="37">
    <w:name w:val="Default"/>
    <w:basedOn w:val="38"/>
    <w:next w:val="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8">
    <w:name w:val="1 表头"/>
    <w:basedOn w:val="1"/>
    <w:qFormat/>
    <w:uiPriority w:val="0"/>
    <w:pPr>
      <w:adjustRightInd w:val="0"/>
      <w:snapToGrid w:val="0"/>
      <w:spacing w:line="240" w:lineRule="auto"/>
      <w:ind w:firstLine="0" w:firstLineChars="0"/>
      <w:jc w:val="center"/>
    </w:pPr>
    <w:rPr>
      <w:b/>
      <w:color w:val="000000"/>
      <w:sz w:val="21"/>
      <w:szCs w:val="21"/>
    </w:rPr>
  </w:style>
  <w:style w:type="character" w:customStyle="1" w:styleId="39">
    <w:name w:val="页眉 Char"/>
    <w:link w:val="18"/>
    <w:qFormat/>
    <w:locked/>
    <w:uiPriority w:val="0"/>
    <w:rPr>
      <w:sz w:val="18"/>
    </w:rPr>
  </w:style>
  <w:style w:type="paragraph" w:customStyle="1" w:styleId="40">
    <w:name w:val="正文1"/>
    <w:basedOn w:val="1"/>
    <w:next w:val="1"/>
    <w:qFormat/>
    <w:uiPriority w:val="0"/>
    <w:pPr>
      <w:adjustRightInd w:val="0"/>
      <w:snapToGrid w:val="0"/>
      <w:spacing w:line="500" w:lineRule="atLeast"/>
      <w:ind w:firstLine="567"/>
    </w:pPr>
    <w:rPr>
      <w:sz w:val="28"/>
    </w:rPr>
  </w:style>
  <w:style w:type="paragraph" w:customStyle="1" w:styleId="41">
    <w:name w:val="纯文本1"/>
    <w:basedOn w:val="1"/>
    <w:qFormat/>
    <w:uiPriority w:val="0"/>
    <w:pPr>
      <w:adjustRightInd w:val="0"/>
      <w:ind w:firstLine="0"/>
      <w:jc w:val="center"/>
      <w:textAlignment w:val="baseline"/>
    </w:pPr>
    <w:rPr>
      <w:rFonts w:ascii="宋体" w:hAnsi="Courier New" w:eastAsia="宋体" w:cs="Times New Roman"/>
    </w:rPr>
  </w:style>
  <w:style w:type="character" w:customStyle="1" w:styleId="42">
    <w:name w:val="批注文字 Char"/>
    <w:link w:val="10"/>
    <w:qFormat/>
    <w:locked/>
    <w:uiPriority w:val="0"/>
    <w:rPr>
      <w:rFonts w:ascii="Times New Roman" w:hAnsi="Times New Roman" w:eastAsia="宋体"/>
      <w:sz w:val="24"/>
    </w:rPr>
  </w:style>
  <w:style w:type="character" w:customStyle="1" w:styleId="43">
    <w:name w:val="正文文本 Char"/>
    <w:link w:val="11"/>
    <w:qFormat/>
    <w:locked/>
    <w:uiPriority w:val="0"/>
    <w:rPr>
      <w:sz w:val="18"/>
    </w:rPr>
  </w:style>
  <w:style w:type="character" w:customStyle="1" w:styleId="44">
    <w:name w:val="正文文本缩进 Char"/>
    <w:link w:val="12"/>
    <w:semiHidden/>
    <w:qFormat/>
    <w:locked/>
    <w:uiPriority w:val="0"/>
    <w:rPr>
      <w:rFonts w:ascii="Times New Roman" w:hAnsi="Times New Roman" w:eastAsia="宋体"/>
      <w:sz w:val="24"/>
    </w:rPr>
  </w:style>
  <w:style w:type="character" w:customStyle="1" w:styleId="45">
    <w:name w:val="日期 Char"/>
    <w:link w:val="14"/>
    <w:qFormat/>
    <w:locked/>
    <w:uiPriority w:val="0"/>
    <w:rPr>
      <w:rFonts w:ascii="Times New Roman" w:hAnsi="Times New Roman" w:eastAsia="宋体"/>
      <w:sz w:val="24"/>
    </w:rPr>
  </w:style>
  <w:style w:type="character" w:customStyle="1" w:styleId="46">
    <w:name w:val="批注框文本 Char"/>
    <w:link w:val="16"/>
    <w:semiHidden/>
    <w:qFormat/>
    <w:locked/>
    <w:uiPriority w:val="0"/>
    <w:rPr>
      <w:rFonts w:ascii="Times New Roman" w:hAnsi="Times New Roman" w:eastAsia="宋体"/>
      <w:sz w:val="18"/>
    </w:rPr>
  </w:style>
  <w:style w:type="character" w:customStyle="1" w:styleId="47">
    <w:name w:val="页脚 Char"/>
    <w:link w:val="17"/>
    <w:qFormat/>
    <w:locked/>
    <w:uiPriority w:val="99"/>
    <w:rPr>
      <w:sz w:val="18"/>
    </w:rPr>
  </w:style>
  <w:style w:type="character" w:customStyle="1" w:styleId="48">
    <w:name w:val="普通(网站) Char"/>
    <w:link w:val="20"/>
    <w:qFormat/>
    <w:locked/>
    <w:uiPriority w:val="0"/>
    <w:rPr>
      <w:rFonts w:ascii="宋体" w:hAnsi="宋体" w:eastAsia="宋体"/>
      <w:sz w:val="24"/>
    </w:rPr>
  </w:style>
  <w:style w:type="character" w:customStyle="1" w:styleId="49">
    <w:name w:val="批注主题 Char"/>
    <w:link w:val="22"/>
    <w:semiHidden/>
    <w:qFormat/>
    <w:locked/>
    <w:uiPriority w:val="0"/>
    <w:rPr>
      <w:rFonts w:ascii="Times New Roman" w:hAnsi="Times New Roman" w:eastAsia="宋体"/>
      <w:b/>
      <w:kern w:val="2"/>
      <w:sz w:val="24"/>
    </w:rPr>
  </w:style>
  <w:style w:type="character" w:customStyle="1" w:styleId="50">
    <w:name w:val="正文文本 字符1"/>
    <w:semiHidden/>
    <w:qFormat/>
    <w:uiPriority w:val="0"/>
    <w:rPr>
      <w:rFonts w:ascii="Times New Roman" w:hAnsi="Times New Roman" w:eastAsia="宋体"/>
      <w:sz w:val="24"/>
    </w:rPr>
  </w:style>
  <w:style w:type="character" w:customStyle="1" w:styleId="51">
    <w:name w:val="日期 字符"/>
    <w:semiHidden/>
    <w:qFormat/>
    <w:uiPriority w:val="0"/>
    <w:rPr>
      <w:rFonts w:ascii="Times New Roman" w:hAnsi="Times New Roman" w:eastAsia="宋体"/>
      <w:sz w:val="24"/>
    </w:rPr>
  </w:style>
  <w:style w:type="character" w:customStyle="1" w:styleId="52">
    <w:name w:val="批注文字 字符1"/>
    <w:semiHidden/>
    <w:qFormat/>
    <w:uiPriority w:val="0"/>
    <w:rPr>
      <w:rFonts w:ascii="Times New Roman" w:hAnsi="Times New Roman" w:eastAsia="宋体"/>
      <w:sz w:val="24"/>
    </w:rPr>
  </w:style>
  <w:style w:type="paragraph" w:customStyle="1" w:styleId="5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4">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5">
    <w:name w:val="图表名称"/>
    <w:next w:val="1"/>
    <w:qFormat/>
    <w:uiPriority w:val="0"/>
    <w:pPr>
      <w:adjustRightInd w:val="0"/>
      <w:snapToGrid w:val="0"/>
      <w:spacing w:line="360" w:lineRule="auto"/>
      <w:jc w:val="center"/>
    </w:pPr>
    <w:rPr>
      <w:rFonts w:ascii="宋体" w:hAnsi="宋体" w:eastAsia="Times New Roman" w:cs="Times New Roman"/>
      <w:b/>
      <w:bCs/>
      <w:kern w:val="2"/>
      <w:sz w:val="24"/>
      <w:szCs w:val="24"/>
      <w:lang w:val="en-US" w:eastAsia="zh-CN" w:bidi="ar-SA"/>
    </w:rPr>
  </w:style>
  <w:style w:type="paragraph" w:customStyle="1" w:styleId="56">
    <w:name w:val="表文字"/>
    <w:qFormat/>
    <w:uiPriority w:val="0"/>
    <w:pPr>
      <w:widowControl w:val="0"/>
      <w:adjustRightInd w:val="0"/>
      <w:snapToGrid w:val="0"/>
      <w:jc w:val="center"/>
    </w:pPr>
    <w:rPr>
      <w:rFonts w:ascii="Times New Roman" w:hAnsi="Times New Roman" w:eastAsia="宋体" w:cs="Times New Roman"/>
      <w:kern w:val="2"/>
      <w:sz w:val="24"/>
      <w:szCs w:val="22"/>
      <w:lang w:val="en-US" w:eastAsia="zh-CN" w:bidi="ar-SA"/>
    </w:rPr>
  </w:style>
  <w:style w:type="paragraph" w:customStyle="1" w:styleId="57">
    <w:name w:val="新表格"/>
    <w:basedOn w:val="1"/>
    <w:qFormat/>
    <w:uiPriority w:val="0"/>
    <w:pPr>
      <w:snapToGrid w:val="0"/>
      <w:spacing w:line="264" w:lineRule="auto"/>
      <w:jc w:val="center"/>
    </w:pPr>
    <w:rPr>
      <w:bCs/>
      <w:kern w:val="0"/>
      <w:szCs w:val="21"/>
    </w:rPr>
  </w:style>
  <w:style w:type="paragraph" w:customStyle="1" w:styleId="58">
    <w:name w:val="正文文字缩进"/>
    <w:basedOn w:val="1"/>
    <w:qFormat/>
    <w:uiPriority w:val="0"/>
    <w:pPr>
      <w:spacing w:line="440" w:lineRule="exact"/>
      <w:ind w:firstLine="425" w:firstLineChars="177"/>
    </w:pPr>
    <w:rPr>
      <w:rFonts w:ascii="Calibri" w:hAnsi="Calibri"/>
      <w:bCs/>
      <w:sz w:val="24"/>
      <w:szCs w:val="22"/>
    </w:rPr>
  </w:style>
  <w:style w:type="paragraph" w:customStyle="1" w:styleId="59">
    <w:name w:val="表"/>
    <w:basedOn w:val="1"/>
    <w:qFormat/>
    <w:uiPriority w:val="0"/>
    <w:pPr>
      <w:snapToGrid w:val="0"/>
      <w:jc w:val="center"/>
    </w:pPr>
    <w:rPr>
      <w:rFonts w:ascii="Times New Roman" w:hAnsi="Times New Roman" w:eastAsia="宋体" w:cs="Times New Roman"/>
      <w:spacing w:val="2"/>
    </w:rPr>
  </w:style>
  <w:style w:type="paragraph" w:customStyle="1" w:styleId="60">
    <w:name w:val="样式 样式 (中文) 楷体_GB2312 四号 行距: 固定值 26 磅 +"/>
    <w:basedOn w:val="1"/>
    <w:qFormat/>
    <w:uiPriority w:val="0"/>
    <w:pPr>
      <w:spacing w:line="360" w:lineRule="auto"/>
      <w:ind w:firstLine="480" w:firstLineChars="200"/>
    </w:pPr>
    <w:rPr>
      <w:kern w:val="0"/>
      <w:sz w:val="24"/>
    </w:rPr>
  </w:style>
  <w:style w:type="paragraph" w:customStyle="1" w:styleId="61">
    <w:name w:val="aa正文 Char Char"/>
    <w:basedOn w:val="1"/>
    <w:qFormat/>
    <w:uiPriority w:val="0"/>
    <w:pPr>
      <w:spacing w:line="500" w:lineRule="exact"/>
      <w:ind w:firstLine="561"/>
    </w:pPr>
    <w:rPr>
      <w:rFonts w:eastAsia="Times New Roman"/>
      <w:sz w:val="24"/>
    </w:rPr>
  </w:style>
  <w:style w:type="paragraph" w:customStyle="1" w:styleId="62">
    <w:name w:val="标1"/>
    <w:basedOn w:val="1"/>
    <w:qFormat/>
    <w:uiPriority w:val="0"/>
    <w:pPr>
      <w:spacing w:before="60" w:beforeLines="0" w:beforeAutospacing="0" w:line="460" w:lineRule="exact"/>
      <w:outlineLvl w:val="0"/>
    </w:pPr>
    <w:rPr>
      <w:rFonts w:ascii="Times New Roman" w:hAnsi="Times New Roman" w:eastAsia="宋体" w:cs="Times New Roman"/>
      <w:b/>
      <w:kern w:val="2"/>
      <w:sz w:val="32"/>
      <w:lang w:val="en-US" w:eastAsia="zh-CN"/>
    </w:rPr>
  </w:style>
  <w:style w:type="paragraph" w:customStyle="1" w:styleId="63">
    <w:name w:val="中文报告书样式"/>
    <w:basedOn w:val="1"/>
    <w:qFormat/>
    <w:uiPriority w:val="0"/>
    <w:pPr>
      <w:adjustRightInd w:val="0"/>
      <w:spacing w:line="480" w:lineRule="atLeast"/>
      <w:ind w:firstLine="482"/>
      <w:textAlignment w:val="baseline"/>
    </w:pPr>
    <w:rPr>
      <w:rFonts w:ascii="Times New Roman" w:hAnsi="Times New Roman" w:eastAsia="宋体" w:cs="Times New Roman"/>
      <w:kern w:val="24"/>
      <w:sz w:val="24"/>
    </w:rPr>
  </w:style>
  <w:style w:type="character" w:customStyle="1" w:styleId="64">
    <w:name w:val="书籍标题"/>
    <w:basedOn w:val="26"/>
    <w:qFormat/>
    <w:uiPriority w:val="0"/>
    <w:rPr>
      <w:b/>
      <w:smallCaps/>
      <w:spacing w:val="5"/>
    </w:rPr>
  </w:style>
  <w:style w:type="paragraph" w:customStyle="1" w:styleId="65">
    <w:name w:val="表中正文"/>
    <w:basedOn w:val="1"/>
    <w:qFormat/>
    <w:uiPriority w:val="0"/>
    <w:pPr>
      <w:spacing w:line="360" w:lineRule="auto"/>
      <w:ind w:firstLine="720" w:firstLineChars="200"/>
    </w:pPr>
    <w:rPr>
      <w:rFonts w:ascii="Times New Roman" w:hAnsi="Times New Roman" w:eastAsia="宋体" w:cs="Times New Roman"/>
      <w:kern w:val="0"/>
      <w:sz w:val="24"/>
      <w:szCs w:val="20"/>
    </w:rPr>
  </w:style>
  <w:style w:type="table" w:customStyle="1" w:styleId="66">
    <w:name w:val="Table Normal"/>
    <w:semiHidden/>
    <w:unhideWhenUsed/>
    <w:qFormat/>
    <w:uiPriority w:val="0"/>
    <w:tblPr>
      <w:tblCellMar>
        <w:top w:w="0" w:type="dxa"/>
        <w:left w:w="0" w:type="dxa"/>
        <w:bottom w:w="0" w:type="dxa"/>
        <w:right w:w="0" w:type="dxa"/>
      </w:tblCellMar>
    </w:tblPr>
  </w:style>
  <w:style w:type="paragraph" w:customStyle="1" w:styleId="67">
    <w:name w:val="表格标题"/>
    <w:basedOn w:val="1"/>
    <w:qFormat/>
    <w:uiPriority w:val="0"/>
    <w:pPr>
      <w:spacing w:before="120"/>
      <w:jc w:val="center"/>
    </w:pPr>
    <w:rPr>
      <w:rFonts w:ascii="Calibri" w:hAnsi="Calibri" w:eastAsia="仿宋_GB2312"/>
      <w:sz w:val="24"/>
      <w:szCs w:val="20"/>
    </w:rPr>
  </w:style>
  <w:style w:type="paragraph" w:customStyle="1" w:styleId="68">
    <w:name w:val="Table Text"/>
    <w:basedOn w:val="1"/>
    <w:semiHidden/>
    <w:qFormat/>
    <w:uiPriority w:val="0"/>
    <w:rPr>
      <w:rFonts w:ascii="宋体" w:hAnsi="宋体" w:eastAsia="宋体" w:cs="宋体"/>
      <w:sz w:val="20"/>
      <w:szCs w:val="20"/>
      <w:lang w:val="en-US" w:eastAsia="en-US" w:bidi="ar-SA"/>
    </w:rPr>
  </w:style>
  <w:style w:type="paragraph" w:customStyle="1" w:styleId="69">
    <w:name w:val="表正文"/>
    <w:basedOn w:val="1"/>
    <w:qFormat/>
    <w:uiPriority w:val="0"/>
    <w:pPr>
      <w:snapToGrid w:val="0"/>
      <w:ind w:firstLine="0" w:firstLineChars="0"/>
      <w:jc w:val="center"/>
    </w:pPr>
    <w:rPr>
      <w:spacing w:val="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footer" Target="foot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footer" Target="footer1.xml"/><Relationship Id="rId29" Type="http://schemas.openxmlformats.org/officeDocument/2006/relationships/image" Target="media/image20.jpe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RG11Zmx5cWE1ZmlzUUVBQVBnREFBQU1BQUFBWkc5amRXMWxiblF1ZUcxc2haTlJUOXN3RklYZkorMC9XSDVQY2RLRU5GVTYxS1hBa01wQVpNQ3paZCtrVmhNYk9RNERvZjMzMldGcXFXbTBQRVR4L1k1UHJIT3Y4N09YdGtIUG9EdWg1QUtIRTRJUlNLYTRrUFVDOTZZS1p2anMyOWN2K1VxeHZnVnBrUDI0N0FWZjREZGdNeEpuSkEyaUtmQWdQbzNTZ0NacEZTU1VFQm9sd0dLVy9zSG9ZV2NlVGNna3craW1YT0JISWJHMVJmWngxb1dTbGFqL0ZZWmlxWnJlMkczb1lZRVRFdUlURDE3VGJ1c1lPU1QzVDV3YXVLVTEvS1F0T01IRmNsMmVlOXMzNnZlbEZ0emhYM2YzUitoZDM0QWV4eTRBYUlTRWNZazd3bmNOZEh0Y2NxUHJaVy9VbXI2cTNoeVh0TzMvRld2RnRzVjdTSi94VlMyVmhoVlVoVFNsZVczRzR0anBMcFEwSTVyekJwalJndEdtMEtycmRuYjcrUE1UdjQ5NWFld29pYVk3eU9hOWhtNnAyZGlSaUwza0Rtajh3ZHp6eXBmTWlPZWgwVmVTdzR0M0ZsZnZYRzAvT1BucVNYaVZrbWtBK1NpNDJRd2tpNGdQZjRDb04wTW9JWmw5L0VGRFRhVjA2d2lIYnJzbmhXMjZBYjZ5THdjakVwMEdKQXpDR0lYWm5KQjVrbnBhTlF6YWtyZENpczVvVjlncnJ1MU5ySVJ2TncybUJFWGhQTTdtU2ZoSlBPSTNOR2k0dzNieEYxQkxBd1FVQUFBQUNBQTVybjVjVzlvMGFFWVRBQUEvSEFFQUR3QUFBSEJoWjJWekwzQmhaMlV4TG5odGJPMDkyMjRjT1hidkFmSVBoZDRYZTljcWtTeldEWkF6ME5YalFKSTdVdHNqNWEwc2xhVmFkM2MxdWt1ZWNaNG1ld3VDN0M0R2laTkJkaWVZRExEQitpazdzL0ZnRndtQy9abFk5dnhGU0ZZVnE2cWJkZXVicW0xNkhrWmRQT1FoRDhsejRUazgzUGpnazE1WGVlWU9SNTdmdjl1Q0ttZ3Bidi9NUC9mNkYzZGJEenQ3YTFicmc3LzQ4ei9iYURzWHJuSi9oNEFBQXRKNVBuRHZ0dWkzbG5MbzlNamYzMzMxN1Jwc0tYL3QrejBDMDFJZTlyM2dicXZYYXludG9kdDJCdTd3Ym9zQWtLWVU4bzgxMXg3NmcxSDBnWDM4eURzUExwVkhwRDVFU05WUmF6MWQrcUhyWFZ3R3ROaTBOZFVFTUZ0TUVmSUdFQVNUcFVrRHlEYXp4YlE3VzBQWGVWcmNCUTVXMHBlMlB3eUdqc2NBOWpiM2ozZXp4WnRYZ1gvcy9ZMUxpenRIRDNkemtPeTdUMWdMSUtlODR3K0tpby9pTG81M0xnYlk4b1BBN3drZ2pzK0dmcmQ3d2hwWGRRZ3dORVVBcHlHQVptQm9qQUhjRzNyblcrNkYxejhSOUpBWG5nb0tId3d2ZHJ5aGV4YVE5Wmp0MnNiNitLTFoySGVlKzFkQnV2cGZYdlVHQi82NUt4Z1ZMVG9Pbm5kZEFWWldGczJJa1MwNnZPbzkzbmVmdVYxQnRWN3Z3UG1oUDJSTGFyTEk2NGRGNDJ1UkRQR1JPOXp4Um9Hb0lpbjkwQzhwM1J5TmFLRTF0a0VHeDJkT09Ed2RqQmVSWFhoRzJveW9DdFFKQUlLUlV3NmtpSjZoTWNXLzU3bmRjd3JkZFo0cng1Zit4KzFMUC9EamhhNGNzcVhOZjdMQ3RqK2lqU3BzZHhHQ2tGRXA0UllpNUFZUjBMN1hkMlBBanZ0SlFHZ1VlR1JBY1ZOalpHRGRZUGlqVFJSeXA1Z2Z2Zjd0UDczKzdCZmhyNGQzVy9SL0xXV3Y2MXlFN1h0QjF4VTB6QnAvNUhTdkdCa0lGN3ZiT3U0Y1pVakZRUGI4ZnFEc09UMnYrL3h1NjhBajIySGtrODE2NnBCUnRaU1FBR1RhbFcyLzZ4UEc5ejNNL21WSnZoNFBvdExBRUIvWWIxNjkvZW9GSHhnYnlVcVB6T0FpNU1jdnYvdjhKUi9aamp0d2hrSFA3UWNyT0x4bzlkUHhtZkg0ZG51TzErWERpMzZ0OHNnc3ZpYi84Qi8vOTc5ZnZIbng3ZHZmL1JzZjRFZGtWL2VidmpTVER4RkhHMmQwSTg0Sjk3eHVkODhmOXB3Z1VuOE82ZkI0OGRhOXZhSGY2MXk2dlRIaHM5RWVldjNnMkEydUJzcWVSMFR1OGFYckJweVFrY1lFRXZaSWxSZk9IcW1xa2xLbXFFNXc0QXlKOEF6SHlvUjgrZ05SQ3RJL1F4bWYrc0o3UmZnNjBmclN0R0Zmb2hsOSsrT2ZYLy9yN3poUHZkOS81bzI4eDhuMEtmdisyZE40RjdNQnhqODJpZWgrbHNCdE9XZFBMNGIrVmY4OEJqanVPd09SM3BORy8vcWJIMUZ0TW1KOGVkaGpFU05DSC81S1k0K2dCZWlaa0V1SXNSRk9Ja1d1SmN6cDAxKzllZkV5STRRWUdGdHNUQmhyMmVHdzB0MG5UNGdxUTRzMVExQk14UndyRkpSdCsvMCtxUnMycnVOVVoxbHgvT3ZnSU9rdHBndkM4ZnFQNlQ0RmNjOGZlWUhUOVlMbkJYM0habUhmTVNqb3U3RHcrSkpvL0dPbEcrdFJYK1BmSVZDNGw5amYwWElqMnJUQ0pvUkxQY0lSaU41MzVvNUc4YUN1di8zYk55Ly9JVHVrb2RNZlBTRWJkSnh2SkRvOUFKTmNKVkhsRFVIcFp2OUNwREN5c252dFNMK0ZsaTB1WlFxdXBzUEpVcktBNDlvNm5UV21hYmVVZzNHdE5RVWNOcFlGUmdJdTJmVUdBcTJibDRtVTduVVI3VGFZMXJ2akJNNUVmN3pIOTgvWjdBcFFFQ2FZVTA2Mm1hREZqZTIyVC9idmFMeWg4SE0wM2UwQWNsNFVMaGd3TGtGWXBaeUJzN0tLOUZzUEVaZDBCM0htVk5xZDB2bE5laWVZc21yZDBjTHVhQlc2d3lUTkVhTmtTVy9tUlNzY2RnN1BsMVpHZWhpVitoWi95Z2k5QTI5ME5sNzF3ZU1mRXM1SE84dE1zTEZGUEZaalkvZVpLMWkrN092T01EYlJsYjNKVFRkUk1lU0lrWTd4VjFmZTJkTURaL1NVR29HMlBhRXdUYWdqeDM3WE94ZVNsdlA1N3oySi9nbklsYlEzdWQzN3JyQ0VsMzdraXM4YU1rRGJEcU1GVVFlRGZLQzJFd1R1c0IvdGRTRVlPenJZSEE3OWp4a1VpRlcvU1dZVVRrVC92RG93R3lvaFJCbEo4OGlxSkhJMXQvL3JNWktKS2NnbDlFWW9pL01uZ1N5Y2N6SkVhcitMdVVoT0F4dnJxU1dYRWFaRXVrK3NhU2J5TTFaMmgveTErMG5nOXM5ajFLTGU1VWxtRHBDUjBHWE1pZFhJU08waVBzQnJGRWh5RG5PdnNrek9WS25HTFhtVk1kbFBPQU1sck5xQktxUEQ5MmtUSlpVNXhsVGxrQ1RGdFR1ZkJLRXRWMlJvTVVpaFNwQzBRM0J1ZFlrU3JqemE3SG9YeExUWUpyek1IWVluTitGeUNubVhhUkFyc2VNOFBnNThvblpid2dYQ21renZKbWpULy9LSHNYM3BESjB6Z2srNWZ4SnkxOGdxUFBaNngxZDliZ3ppeEJnc2E3Sk5XcndZT29QTHVNbmpBZDJPMFpLTUJra2xXZjk4enh1T0FnWkRmbENETFA3N0tEVFpXR1huek4xeUNmbmM1UGZtazREcXRBWHJMN1RUUmtyWUtJN011MUIwVXZMaDJLRExZMkI4Y25MS1dQbGdvTFRETVc2ZjVHelpESHd3aUFHdi8rWHI3MzcveGZYWHJ6YldnMEVSaXZWQlhqRlpXT0x1aFFWc1VVMXdyN0VxNFllTTVMem4rajAzR0hydUJOT0tTcDZMVUI3NmpObm42NHlIN0ZTeUFHQzc2NC9jOHdMSmQralRZNU5DRk5RaUxXamh3SC9tZHZ3OGNsYlc2UmgwRmMySkFhN25ZbVV5Y3E3OXlTSE1laTZpS2wwbzJHVTNoN1FTNVdmcXdRSldnaERyeHJwZ1gvR1B5VGFNRkF5UnlSOGRjTkRtWThOZkV4aitHYkJRNjBoL3lsaVNmbDlzU3lhdUtLVFpUR2h1UHV3ODJOcTlkLyt3ZmRpNXhZbzd6c1Vkb2l1Uy85MmUxSjhTZHhXMTVxZG9nQlF3L0pwcDhlcTdoenVWS3pQY3lOQnJWU1lHajRBaVZRNUtJaXJSWHErRnhDczZPRm16akJqOE5BUS9MVHhKb2JEM0htNGU3ZHdDZ3RGeUpVd0RsaG9PT0J6bXlROW9mMjRMTlp5MEhtYWw2cHpTT3FjNWRWS0ttR0ZUVkpXUFlkYXdWdU1jSmhrdk80TVVqRGwxTUZNT0hNOTVBcysyRlFSUVBXRnpLMXhCVVFXWXJvQkVGWEpPZzZqWm0zVUNpNDNWS3FacTV1UThvZTlxMkptYUdEeGpaK0lTNEtudHpFaU56ZGlaOUJDS25ZQ1R1VDF5bnhBNElEam9aRTJ0aE8wNXF5NlhxNGxWMXVYeVZiWEY2M0xUS2k0ektXeUdlSjJXWTUxSldTbkZTZ1hMSXBRa3JjQVFuQVp4VlcySWZlYU9uVEN5Z216Wkx2c2pjYTFlOUluZFNFTlNFcWNWalZ0Smk1a0N2U3JqU2tFcjVrckJ5QktYY2dYb3ZYQ2xTRmVKZEpWSVYwblNVR1ZYaVE2bG95UUdhNlNqaEZncEZqV2UwZ29zV2NGVWlTVHQyQ0JXWVRIVTliTWlJZHgwTFZaNlVLUUhSWHBRcEFlRndxYzhLSC84NmZXcno5KzhlQ21kS0FtQWRLTE0zaC9wUkpsZkQxYmJpYUpMSjBxUkV3WHJ1SkZPRk9iOWFvb1RCUU9VcWJVZ040b094OEJYMUkrQ3BSOUYrbEZTQmMyd1FLVWZaUnJkNVYzMG8xRFpjaU4rbEpxSW0rdEh3ZStVSHdYcmdwc2IwbzhpL1NnMXVpUDlLTktQSXYwb1pRcXM5S1BNcXNWS1A0cjBvMGcvaXZTalVQakVqL0xteFpmWHIvNUgrbEV5QU5LUE1udC9wQjlsZmoxWUlUOEszKzZ4d1c4SURQNGpvcmc0VkhqSFNrZnlvYWJWandxdGZtUk9sbGF5K3BGUlpQVnJ1RGdSaFZISDZvZGFyYVA3R2UzK3FvZm1FT3J2K0tuNUFvd09NVDJrRFJEbXFhdG5BNUN0TzM4Ym9IUmpacXBVM1o2ODBoZ0xtTm9LQ0hFMjNnN1FJVnFpSGREeGV1NUlPWFEvVm83OG50TVg1U21UQmdFdm45NGdnTUNFMGhDSUFKcGhDTnlJQjY0eXoxNmM0bDJ2Q3hVa3hvSU5nWnZ2UWExcFdFelVsTDN3cUNtY2lscWFLbW9xZmYxN2lxZ3BQYnFsUGUzVmM5VXdsM1g5UExyQ1hURnlDdENlNllzSW50STFWRHQwaWxKSzA2YTVnMDREMHlyYlg0QWdNYzJHUkUrVlh5cVBGNU9vZ2lXanAyVDBWS3FnR1RhbmpKNWF2dTRHSm8rdnFxRmRaRFJSbEtsOGpzRkUxcUtDaVhTQmdFbmtKQ2FDRWdzeTFWWTZXalFNclZUc1VRV2hTTUNaWnEzb1lFUmtITUpMUEdWY3hlaWlpa1NhZTRoUmhibE1Pcm1VSUNOZHJ4aGtORmVTMVlnMHFrV3lhTFBLZUNNWmJ5VGpqZDRIWDBNRjlzVnFUTWp6K2ZzYktqSXFYcWtHVitYMUp0U0NxZDBPSEhIalBROUF4aCs5Sys2RzE3Lys5WnYvL3UzMTcvLysrZytmWG4vejc5THpFQUUwdy9OUW1abFdWYlVZOEl6R2JhMCt2VDloU0pXcFA1dFBaakVyWWxuaFNOUmR2SHJoU0pwbXEyaFNGMHpkUThLYWFwWGNLSlpCU2UrbFpTS0RrcklBTWloSkJpVXA4eklPWkZEUytDd3R4a3JRYlJtVEZBTTB3ektRTVVreUpxbVpNVWtUS3Ivb0ZjelZWL2tSdHNweUNFbU5YMnI4eVVSSWpWOXEvRkxqbHhwLzJJbW1hL3pZQWxMamp3Q2t4aTgxL3FRL1V1TlhsTEpiQ0ZCMDYzak90eEEwd1JYaDVJNEIxQVVCZ3ZFTkFoeUZ0YmNQT3llM2lEZ2drazNkZjdCTkx3THcyRzlLZ08yaFB4cTFnMXZnRHJ3RFZIejdkdEhGQWsyUDJ6eWRvYzJwN3hxQU9qY056SVc4YzRjenR3V3EzVEtBdGpuRkRZTmFhZDJzbTd0YmtGd1VBS1UzQzJZMDFUUmtHZWFxR1dzNTdGSGVGWWdHSnU4SzhCYmVWUTJyREtsNUV3KzR6ZVdxd01SQm9MbUtCNEU2TGtwRkFuVWtUd0ViS0Zqa0tXQTVzNWVuZ1BJVVVKNEN5bFBBQ2Zqa0ZCQmhJSThCWXdCNURDaVBBWlAreUdOQXBVemZGMTBQYnI2K2oyd1ZGWHYrZFVPMWRKbUNVR3I5VXV1WFduKzJrdFQ2cGRZdnRYNnA5WThCU0sxZmF2MUw2c0d5dGY2OW9ldW1QZitpL0lNSlRLaGM4TjlwckZWOC92UlpUazJnbTZkeUMycUM0M2llT1JCaVZSTThNc2VkK05BMlZYMDhOODZVRG5uZFVqRzBRby80aDZmdFd5blgvSjJVNDEzZ05VNjlwV3FyUkEwdk1tWFdORnUxTEMzMDV6TWo0ZnZRQWovWTdHd2VvbHNwTkhkUzZBdDkrRFpVN2ZydnJDSm9xR2dhVHo2MXRvQmRKMkVnUkNwQU5NQ0UxVENRWlZsMmM2d202WWFYYnZoVnRkRTR4NnBucDhWTWF2N0dXalhta0tuSGRqU1JFcnBwNFNtTU5vNXhhc3VONDI2ODhiYk1MQzRIM3RuUUgvbFBBdVhVSWRRb01OMlVyYWZ4bDV3TVdCemJ1MkhNM2F4WjlHNUg3TlRRRlZpbEFudHArMnBZbnE1RkJicUZZWVFPUUF0QzA2eGt1WkNPV2xSeGlEcHFZb2hSS1N0bEZGQTFIVmtnNW5VQUdFQ3prVmFHZEN0Q3FzV2ROYkJtbTFvWnl1MFFwUWwwQTFoOG1BaVlWaWx6M29rdzZyYWx4VGgxRytobTRYemtVNzNTaENCTHRUR0tUKyt3cldNTlZUTm1WYVFadHA0TVViTjFvOUtFNkNxaGh4MVh0RXhEcDhLZ3ltd1FEUnJFSzhEQ0psUHFLMHdId2dTYUx6b3lXbVFhbFNZRHFTWUVmRElnRWYyd2FNM05QaGthV1o0NEpvMW1hNlpkU3Brb3lFbzFBT1NrZ1FZMFMyVTZtd3VORE5HTzYra0dHV0twV3NPbVlvMndEY3Myd2hXK1JtZ0RiSTE2czZyTmhnYk1lSkFZR3NDMnFtME5UY1VhalBleENaQ2hGYk9xR1dkRE4xVE40cXpSTm5TSVNqdDZHcTFUblEwcW5BMURNMG9wc3htcGlXUzN4K3RVUXdhQ3BVeUR6UVpDS293enhFTVZoa3Vod2xSZ1c4V1dBWk1kQmV6U3pSOU9oYW1hbWhHUDBFYW1aUlN0dDltbm9vN2VQWTFjWXhYWkpCaFFSWmpURW1BTGw1SmtLOTZDR1BNZGFHbFdOZVpra0xtekFNZEhwVXkxS2RCVllQTzVNeTNiUkhpS0tWaUFWeHV0WkFZckhlQVNyemEwMlA1Y1ZhLzJVbk5WVnhsYWpaekdWYzZWcERkZWV1T2xOMTU2NDZVM3ZuRUhPSHlXY3NwWStmVGUrT3RmZlBuMjA4L2xmZndFUUxya3BVcys2WTkweVN0SzJYMThoSnIvS2lEVzhZMjlDcGpHM2FnWEFadnlHR0JNb0VVK0JOaU1Kd0F6Ri9WeHpTY0FFWlJQQU1vbkFGTUZ6YkF5cFpOdytZcmErL0VFSUJJbDk1ekxFNENHUUFJa2d0RVFiSXVLei84SmpqZ3pZcTVJb0Ztd2hrRFQ2a2kwR1k4L1YvSEZ2M0w2elAyeHY5TDVTM3EzbEtmK3lDS3Y5dFRmdkdoVjQ1Vy9HclF5UUtHSkpkLzM0N01oMy9lVDcvdXR1T3VnQXM5aU5UTENldjZ1ZzByc2lWZXB4a1I1bFRHUlA3WGpRQU1yNERaWVpoeW9mTTFQV2VocmZ2LzVxK3N2dnJ6KzQwL2YvdW16dDMvM1g2Ly84ZWR2dnZybjE3LzgwL1UzWDExLy9lcjFiMzd5NXJPZnZmN2xqOEkvcEQ4aEFtaUdQNkV5WTYyaWNqSEFHUzNZV3YxNWY5NzVxMFQ1MlR3czgxOEp5OHI1UWFPMFZqQTZDdVhjSzB3OThHZklQSCtyZjlJc1k0elNIMldNMFdRVkdXTWtZNHplUDdzQm01cTBCaUtBWmxnRE1ycElSaGMxTTdwb0xPRUh2VjIzMElRZmxzaGpsd29iUXBwS1k0OG1RTkpKUHd4YjROZUxnMzgweTZCM05jYzA2Wm15ZnVDbFpQM0FjSDVaUDVDS29wUE9XbUZCQUtzbXRxYk8rNEZxNS8zZ1YyUmwzbzhKSUpuM1k4WGpkRzQwN3dkdVd0NlBNdWFRcVRlWHZCOUk1djFJR3BSNVB4WnIwc204SHpMdng4eDVQMklldWNTOEh5WWZadFB6ZnNTQ1lIbDVQeXhPbktVbC9saVZ2Qjl4T29XbDVmMHdiaUx4Unp6S3hpZitpS2QvYVlrL2xwejNRN2VTRGRYc3ZCOFY5ZTU1NVAxWWJ0cVBkeW5waCtnOTIrYTd0UUhaNmtqd0RtNFNFV2NhaE1VS0lLUmpPeDZiZEd4bmdPUnhpWFJzUzhlMmRHeEhuV2k2WXp0TW5nR2hKZDNiRVlCMGIwdjNkdElmNmQ1V2xOTGtHYUozcStlYlBNTXdZaUhaUHV5YzNDS3NuVWdwZGYvQk5zMUVFZVVpc05UMjVsSG1kM1NGVGoxQmR5YStuYUxidHd2VGJTQ3NxNW9PWTZTbkMwUWFlK0t4WmhXUEVScnF2ZDBIQi92M0QzZnBSM29BWnhoNlhwdlJvUVJRa2FFWEQ2TmF1MVA3L05jUTBxUHBxNWpYWTgwaXBxNmxHd3RKNzZFVDIzbUtGendBVWkwd2pTdC9EVUtrbW5vTkszRU5JMVhIeUtwaEtTNHc0MGM2Z1FkWnpPVVpQOUlwUXNqU1drREdEd3NEYmRVczFnVUVFNVFCeTJDQ0F1dFllZ2lYcm1DV0llVnNmd0Y2VkNTRTV0K0JPYVVlaVJLTlRKRjdKR3BUaEVmWkcvbzlCa3pOWHEzRmZoTU5nTzVpRlA0S2RUTnFqbkk0dXRQOUVJcGVGUGNqa1BWNkNPemM5dUcwN2VzVkI0RG5nbUFCQTdBckRzQ2FDNEw4QVV3N3c5UzFVbmNKNlFrQzhBSDhBS2dZakFzT0lTNkVxdUZDMDg1R0ZrRStzYVpkVGV5OXR3cnRweVk3SWx5U3VhVW1rbndxMFprVHpnajVUNldldzRTNXBQakp4bnJidWFDTTV2OEJVRXNEQkJRQUFBQUlBRG11Zmx3azhOdjRPZ0FBQURvQUFBQU9BQUFBY21Wc2N5OWZjbVZzY3k1NGJXeXpzYS9JelZFb1N5MHF6c3pQczFVeTFETlFVa2pOUzg1UHljeEx0MVVxTFVuVHRWQ3l0K1Bsc2dsS3pVa3NBYW9wenNnc0tOWUhpZ0FBVUVzREJCUUFBQUFJQURtdWZsd2s4TnY0T2dBQUFEb0FBQUFUQUFBQWNtVnNjeTl3WVdkbE1WOXlaV3h6TG5odGJMT3hyOGpOVVNoTExTck96TSt6VlRMVU0xQlNTTTFMemsvSnpFdTNWU290U2RPMVVMSzM0K1d5Q1VyTlNTd0JxaW5PeUN3bzFnZUtBQUJRU3dNRUZBQUFBQWdBT2E1K1hNNGNyM1cwQXdBQVl4OEFBQWtBQUFCMGFHVnRaUzU0Yld6dFdjMXUwMEFRdmlQeERxdmwzQ2FPWXp1V1lxcTJOS0pTZzBvVFFUa2FlNTFZVGRhUjQ5S1dFeGNlQUFuMUFEZkVnUXVGQXpjRWIxTkszb0xaSHlkeC9VT0FxcVdWZHkvcjhjek83SHd6czg2a3VYSTRIS0JuSkJ6N0FiV3dzbHpGaUZBbmNIM2FzL0IrNUMwMThNcmQyN2VhM1Q0WmtqR3NFQXp4aERidldWalZNWHBnRDRtRkp5L2VuTDMrZ0NYTGpHMDlHQVFoNTIyb0dIWDZ0aHNjV1BoT1RhbnlFWXYvT1A0OGVYYzhMODYzNE5JZGgrdGJkUnhDSXhXRVBhK3VhSm9EdWdWTjR6VFBjeHhOaldtSzRDT3U0V2d4clNab3V1RjZKS2JWcGF4QkRET202WnpXY0oycTU4VzBodUFqcHFzWU1jM2dOTU0wRmVDckxHeDd3aVl0NHp5S3RFbHY2R3JTOW1wVk5VMDNhWHZ5UEhyR2VScnpkaVpzbHo2YnQ3MVptZUdXUW5NRFBPQkU1NkNuNUFEeHQwb0tQOEI3UkZwQk9MUWo5SERmZC9iYTlualB3a3NwVHM3ZDhnY0R5ZHc5R3NIT25XRGd1MW1zTXdlam1iVVF3Qmc5a3VkaUk0V0pPTjlNVGRickxaK1MzTGRUanNmRTcvVWpwazFaMW1FWW1icW03T3YyaVBHMkJuWlV6TGh0UnhFSktmZXdrcys2Um5vK1hRM0Q0SUJ6UWhwMS9PZmdzSHEreUFaMS8weUFPd0pjdFFnV1hFRGdzVU04Z01Ea1F5UThDR3VnY0I0b0xRWks1elBmaUVwc1JTYVNoVmcxUmJBV1l5a0tFbW9Iek1wcVRzQVViTlNzeklYNEZVUi8wdHRkbjBaUWFQT2NUZmk4bkt3bzh5R2pQazJSa0lDVllYL0R3bDR0dy82Q0VlSmJsdWxRbkE2WC85RlR4bm5SNTQ2WkYraHFqYzB5MEMreTd1dDV6bllKbTVlU0Q3VmxsWTB5SzRxeXdzZ0RTalBZTExQaVlySkNlanYzc3EwYmJKYlhCQmU1MG9UNEc0ajRudGM2SVZvQmpjNTNsODU1UzNoQk1kbk0xbjZkK0lxK3l5NVFMeVJ2aG1kbE8wK0FsZEdkcFJUb3NrT3IxWlBkM0xPVGo2ZnZ2NkIwVzI4cUp0cWJONmhVRkZ6aGlWSlJYMERnbjBvRjc0MkxEeHdsV1NWcStQZnh3cmY3LzZ0RWZoeE51OUNTSVJXNVhYSW8rOURnanRXQjM2TVdYaWNVc0k5aitQVDd5Yzl2bnladlgwNit2Z0lQMms4N1VUQ1NSUmVFaFVuaU1xNW0vL0VnL1N6L3FVZzMrUHQyYUR1Z1VZYUNBanRMakdUV1k5U3loLzdneU1KdDN3bURjZUJGNklsOW4vZ1liZTVtK2F5NURWdjJRbnZVUjV2VTNXSEp3WU5USGhDaURzaGJ4Qk5VV0xmOGNDd2Zka1VZanhpd3pKaU0zZHQyQ0dFL1JsM21DTmhzTFlpaVlNaVhVaGVzeFBicEs1QVhiZ0hVMWpnemFHWU1pQzBGREttVFF3NzN1S21jUGZiY0lqOXdjNEFROFRKVFhwcFdtblpkVEZNU3BtWCtKaWk5ZG9XbXpiOUtWajE1UTdHclJGSWxCWjdraXYxaC9ndFFTd01FRkFBQUFBZ0FPYTUrWEYweVRjWm1FZ0FBUnhRQUFBNEFBQUIwYUhWdFltNWhhV3d1YW5CbFo2VllDVkFUNmJwdE5oRVVBZ0lDamhBWEZBUXhnNEFvWW5LVkVRU0dSSFpCTUtNTVFrQmtGSkFva1l3aU81aVJSVVlRY2hFUklVQUFFM0JCSW9SbDFJdUk3RUhKSmp1UmJvWFExMnczdnZmcXZsZHZxYnJ2M3IvcmRGWFgrZXVyT3QxZm4rOTBLOFlVUEVEUDA4M0REVkJSVVFGK1VoNkFZZ0p3L1hiMUw2MXZSZjdWR2lxS0Y0RCtXaUFhdUsybXNnMVExVmRSMDFkUmRBRklBRkRSK1BjTndIOHNGVlUxZFkwMW1tdTF0TmNwTnpEMUFGVVZOVFZWZFRVTkRYVjFKWHRWeVFQcStob2J0dG9kWG1QZ2MxcHoyd1hEdmRkdVZhemRmcVNwdzhoM0FMU3dQM1B4dXBiMlJtTVQwMDA3ZGxwYTdiSjJjTnpudFArQXMrc1BSOTNjajNsNCt2a0hCQWFkQ0E0Si96bmliR1FVSVRvK0lmRlNFdkh5bGRRYmFla1ptVm5aK1FXRlJiZUxmNzlUY3EveWZ0V0Q2b2MxdGMyUEdNeVcxc2RQbm5heXU3cDdldjk0K2VyZDRORHd5T2pZT0ljdkVINmNtcDZablp1SFBuOVpYaEd2d24vOStrMlhDcUQyZCtuL3F5NTlwUzVWZFhVMWRjMXZ1bFJVazc1dDBGZlgyR3EzWnNOaEg4M1RGd3kyN2IyMjF2RElyWXFtRHEzdDlyNmcwWm1MQTlvYkxSejRPNkJ2MHY1TjJUOG03UG8vcGV6dnd2NVRGd2RZcjZhaWZIaHErZ0FHa011dDdtVUQvMS9ZZEUwSTE3Umlja2s0dnEweEQ5ZlRkM0cwMDN6dk82a3BqZGlYd00xb053VVRoMHJLaWwrRVJiUjU4M1A2a1NSM01MMUpTRmt6VjI0R1R6UXNiS3JPYkRPNlI3ek9tVndWaytBVjNyRjhvZUQyTFZENGdtcEFKR2NwZ0Zia29oL28xZU9jd1dibEtvQVd4R0lybUNOWVU2Q1JOa0xqeFNsNUJxSXpEb0I3ZjJ3WlBsY3hsUEFzejVXTnRvSE9GOVFIZDlRUVZ2ZXRpZzFDeDNyTnBnckJEeWNadjNubU8vMUJYVXZtVlNrQTBIdGRIRkkrRkU4WHpVajBDZmdKOG1ZSDIrQ2xqN0lLdVNieFoyTGFUN0s3N1Nwd0dQUEd5TThncGZPYTBPazZYc2U3Z3A2MUhlS0t0dTlnTnVSRjhwZmhnWXJ4cUJMeUM4UzFaMjNtam9QaVFyQm91c3JZK21KQ2JXMzhhbWlscEJ1YnN1RDV5U2RYOU4zTG5VV1o0c0tseVAwN3kwcW04MFpxWWhQck9ZR0RnY1YraXd2MG14akRMYTN2SHFTSzk4a3E2V2VIRXBENjg2dUJ2OEUwOFEvWllacStBMmg5R0M5d0srYkhudkdpY3NwTkxFYWtwNFcyNUFCWWpiOVFyeHFXeEE2a2JtelRGK1RGZEpkdkFmdGZsTEkwcE5GUXhrRWVLNC9LS0N4SGpweFAyU1h2YnJkL0t3Mm9lZy9mMnAwUWR3Ty9TYTRoeFlFS0lITngyUWFUUTMrQXE0UkxCY1k1Y3BYb2Zhdm92VU5vRTJMZ0JIdWZzdHp0RENNbVZhUVA3cEgwR0xjYlVIR3lTc2JTK0tpUVBwN0V4MUZTdGtuOVplV1lLTVJhbG1nSEdNUFhUSFhSZ1U1SWo4S3hFRVU4Q2s5SmNIQ3lVTGRKU0pTaUZZQ0sxSlZuNWk5L1N6Wm9OeUVkQnZzeXJqUHgrckI0VmZEajA5Rk1rZ1VWTElBak82NEVwVXNqQkxMdDhnMEs0QnFaYmxUZ3ViZTh1VWcyYk5ydE9wN3NYR1M3Ly9Qck8yL3FuVFJDSERmenZidVA1RDh0Q3JtOXlrak1LL0M5NHRINnBzb1llY1ZhNjZLSGgxZUo3OFVjbjF3L2FqcGVHZ0t0bE5kWEUwWVVRTE1DNkQzayswYlNHNEs2MFpBb1FlaWw5Tm5OT2FPdjFSSkhCVUZwY2UxVzBkL1BreG5vc29iWFBMek83Q2tOa05WVkg0Tjc1eERtSndpVmE4Tjk0QWliemRKZFdjcDhpdTlCQUNTcmVma0cwZytQNFJxZXJXWFBLRlZYYmtHeUhFTFIyN3p1UjdNUWFOdlpLMmV2Q2Jucm8rVWJJQ3lUcjNPcVA3RGxiV0svSVRIY3I0bnE5N2FCTG5VVTlHc1NxN3ZSbWxCdldzTXkzaFJHZHB0dkIyOC9yNHdKbXJ4MXlsVGlRc0NQeVZVZ2pXcXhrOWk0RE9vWC8zazRwVnNCckIyVmJpc25pNWRFdGxETVNmbTQvTFVDU0VPQkJpSThlSXNjUmU0OHJBQzBVTkl0WDVla084a2NNdmc3dVhOV2RwL2NTdWJmUSs4NlpqNXoxUEM0eXY4QWtkdXpSRkVBMnBoSW5FNVV5aDc0dWVEZ2tzNXN5azdvWnBheVI5aWZDZVg2VUhVZTB5eTg1OVQyak9OVTE3ZTdIWkFxY0hJWFo2Vjcra0ZKMkh4STRlQjZoTXNGenAzYjA5TWp1OXJJZktSb1NXSkx1Z2hscEpNMHdabGV0RTA3aE1rTGh3emxPZ3pJcVNQdUpsbTNqaFFXdy9jZm5ocU5rNkxvSkhjNGxvOUJ3S25lek5URHcrZC9HbUxrK1g1bSt6SmF2Sjd2bmY3TW1YOFgvRWVLR091Z0FDNWJQWjMzeVdCWnRkbnVkaVI1UmpzUitMUENYeEpwWE5pL2lSaGRkT0QwcVlJN21BLzNaejVaYnJMSHBzei8waFhZZFJyODRzMkI2SGl0N0FvM0wwOW00MWoyOFl0bG0yNVJ4b3BnSWVqbnFnQ3VYNU9QY2RWWUVUaE84NEs0VkZhTTNzenFvcVlxZ1BWb0YyTDhDM056MlIzeXVXUXplN1lIRk5OcHZoNm1JRysweFZqK1N1YlZJdGRMYmFCOGxLN3B1UVM4Q1BrZFVaMVFVcWczTDRyaFgwVmdvWDNNeXRCa1diL1VxRld1bFJZaGZNMUtYNlcyOWk5V1JBcVMxNTE5MHBiTXltdlhhQUdaVFpRM0JzSGV3cm1WRytDR2FQR1NldVA3MmNndTFzUyt3YlRXeDQwM0wyL1ArOHFDZDI1b0puYzRrbm5sVWZOL3pFbDA1Qyt6WjNrMEc5UUxETEFtMEZjbDBIZnRsbDhQcSt1WGxDUnUzV1ZkV0czcW1lZlJqYjFiVUdSZDQxbDByT2JvcEpGaGhITjhrSytuN3cxRzdDRkxiTDJOOVc4MU9JNmZyK2VGd2dPenczbENpL3ZGanM2L0pYbWZzczk1R212LzJSZkJlU1JzWFh3R3hTdGY0S3NDeklTTlhPc0FEMFBoTElscUlvWDRMR01xc3pWWEdpRDVmcmJkR2s2OHFnRFV4YkpNQjNKYXV3V01BaStTYzlFSG9Od3I5Z3RvY3hib25yWEMxU041UU9iNVgxdlRYTHpqSzZPTk9XVmxNeG1MejFuOERLbGg2OG5ya2c0UjFDclhQcTJzZ2h4ZEpyUWQvWm1xNzdDVWpqUnZrS0t1YXFhR3lHd1QvWGd5WERlTGdjZ1Z4VWwvU0tBUm1LVldpWDJiMko0eHNnc3VxSGpVZU52dXlUMFFaVW5EYUxiT0RWSEs4V2VmaWZhUFUvODRsWHVQZjg1c3N5MHlBbnNYdE05ek9aU1lsa1BEZnE0aERHZlhSdytYWVFtZDl6OGN4T3I1MXdoMmRSL1pRSEdndmJwZmVhcStka2RJQzVMejBtY0dTM21HNC9qVUxBcUtlYjJMVjBFYnVUWkJTSVl0alJjZEswamZ5OW93a2R6eFo5NDVZcXpzOS9NTUxVWWNiRG55Uk1qS05qY0gzeVBWWFN6WGxQSllHeGZJaHVSelpja3Z5cmNNNzdhMWJFN3RTdGt5Mks0SDc1bnhIMkZVSmorWU16ZHVmUHJrcldhOWZGUytYdG1GTndrWWpYTW9rby9FalhRUVdtVlBZUEtRajVEU1BYSHI1VDNjcG41Uk1FZ1IzeGxwMS9DUXVKTjJNZUZwcm81TElzZ1djK0VKeVBJWWl3SDdPT1U2NHZVNlFCYS9iNG15Z3RJT1h2Z2FlZjNUY3Q2bCtjNVBxTEZYTm83WkxVNExLWDBPRUNzMFlXcFBKSmxnS3NGRUNUNVdSRDBjMzNNcTB2cnUzUzhGQ2Z3cnY2VEp0WDN2bDRUVzFGaDllR1hYWElxMUtlcS8weEh2cG10WFdDQjN3MFFKSlgraVpKMnl4VFJieTRkdFFTSkJyb1ZXeDNNT3NIaWZsdUZDVGdOR0lLVG40UG41SHZ5RXdaZkNEdHZLeXZjUFo4TGNlaEJid1dRMmNyTlVCOUxzNENDejJoeWgrWDZlemllbTBxa1EzWWZCWkt3Q1NIM2Fia1k2VERhRXVRSzNKMEp5bnJrVG1KU2V1QTVwU0VRZEgya0wzL09FQmhjdlRtNGZxV2VheFF2Y3M3NzVLTDI3ZFhIVnBvNThaaWdvYlBQcnNhYzR6b3pSMWR2N1RQcTVrYnJSMVJaTnZsK3JBbFoyOUYwdkhxbTMzaFR2cnBPS0pUOWViYWE1Y3A0MkRCRWtvWmJEdG00WjI2cmxJdm13MTJvZTIxamVWeFh6TERsYVByTmt4ckpWQUtmeHltbkJQcHp5VHBrU2FDdytrOFV2VVFCOGIvbHJESml1SkNLVXVFUW1LSUJPU0FIY21CQXpsQ1k4cXZSbVk2blRralFNMmFna05KUWVvaVMxTktYYk1OQ2ZaSlVTbTBVVzVFUHVkTVhYR1BxRTdxOVZBTUYwNi9mTmVYdzNjeGt1eG1ueDRXQlZ2L1BkeHBtN2Z6MHdzK2ZFcE8vNW5rYUtoWC9DUU91OXFaQ1h6Nncrak51TTJ6eFh6YlpxdU5pWmJmVm4xZitLZGxObEIvMUVmdVhBNHBVanhlR1k1aUQ1UTFUR3lxcGppa1BLYTY0K0poWXp2aUErSTd1WkFvUXFnQTQwaGtCN3BnREdWM21XSGF4VTFzWTRSajFlckFLZHpSUFd1L0lwYktRMmpQUjVyZ3djM2ppNWRoRFlHd0JPRmlUWFJRVjlUUytxSTc3bVQ5Yzg1TTZ1QnFvcUZab2poelpNaisxeU1ubjU4QW1qOURqRnVyQWt5Q2ZuYnFYaFZQTjBZWGhTWGY2ekFNTXFpN3VWNmt0TEhoN2R3VTUwaXdqYlM0RTV3N1R4TVByNEZadS9qcDNzNTFpS0tYQ3Z4SlA0Ri9sTGJzdHF0cVAzUWZIYkp0aXlScnFiSXRjdWd4QmlCNmFzU0w1aGx0ell1M2dMTWpneW5FalJUUGtMbGZHcENrenE3Uk95c3NoNkxqNkN1U240UXFJUVpYUzBDcDQ4S1FzUFlSVzdEMHJ0a01FODFMaTdFTmV0WTM4RTdCZnBTM1JUQmllMXdhQXVyMUV3bzZ0UEd3R2psa1NEMEFPRUxsR3p5N2Y5R3YwRFRHYzdLUUFqRitTZjRUY3Y1bXhwcDJMS0RRWld2TThjOG1JWFB6MTAzeURhdWFXbUFTYXp3K2JURFVySCsvV3o4dnpCMzBxSXpyL2NydzIzNGkwTWZxUmw5cHdlRHRHNzZaeGZuNU9iUW5NNzNpVUphVHp4NDhtSzNDbmZ6ZlI4SGMreWtLYXBoL05vVDkrdUhzL29JdWZ5TjQrKzFnZXRkK0hRL1VwMVhtTHhvWjJTT0VZS2tsZ3F6S0N3b21KMWhYeW5Ya1NlQXRCVEFKRWZ3djNnb25wU3dpUDROYmpBSjNkUTllUnZRc1RYNm1HY0grd0RKcjh3WHovS2lzQ25jNDFXbnRzSWRwWTloQnRlaHo2Q0M1VzNSNEpMNDVEVDI3ZHdwQ2ZBeVVvQlJqMGFZMGoycEVHYTRtT3lSd3JnWERDWlI4VTM2ejdqOWNNN3VhSWd5WitrcnM5bHR4WEFXYThlcURxei9VQktKd2JoZ29BOHZkMzVyRjhudXJqNld5RzNKc21KR0s0K0EzWnhmUkFhM2I0WGxGR3o1SHB6NXR1RzZaR0RETHdSQWEzMWxEWFVzT3hCanFOempNWGxjTEhFbVVQYUFTNHRka2ppNU4wbDFUMTB6anJ4UVhoWHZBU0g2YUtQcnhtVGJuK0hSc21WTVUwZGJVYk1DV0MweWNvVVFDek9YQnFhL2VYa2dJdkhRL2hJRDI1OTFMNjRIYjJaWjI1S3drQlpZY0Y4b0xTcDA1bVkvZmhFY3NpakU0LzVvWmZmMS9yVFBHOStwMk4wK015Q0w4WFdNMkVPSGVsNzI3eGh6NGxzNW54ZDJJK3hRYzAxb3VjNWQydDhjb2VxUkdib2tBU2hieDBObTloZTc1bTQrYlQxNXluUE1zOWJGU1lEN01HRUtOOHF4RVNKRFh3UFRGcHNsWnlWb3N6TlU0WEdvakFGb0tsS0ZDZVRjNzRHM0t5aGtUc2Z5U3BKcnZmZ2drN3FlR0JMNE5jNE1XNXhRZ0ZvN0lIU1dYeXFhdlNtK285b1d3aWZoNHBJN1dyNWFsWGFHWElDcEdRbGZBamdDUjJXeHNQRndqYllER0wxb3JmTEdzazhvWmxtMEZ1MFpRZ3hoaitUbVlDNWdURTlNOUtBc25VMEhFanMxNFZqeE9md3NOVk1sd0xJSSt1aHpiaGpweEFtVVppTnpOOUphcnlGZFRISFJBMHBGakFsb0xVZGpQandLamlVME5rNmFuYytMeVNoOXQzRFJzT2g2Q1AzOTZkY0pIaVptWFlNVVBUZVRxZWRHQ3dqOEpvS0cyOTFCZFFVdTM3Zks2dkErazlsVE5YZ0pxd2hjVFkrcU1ZajB0YjM3bHhQd3Z3cjJrdWJUc2Z2QitsSGJrQW1FYm0wTlA4dm1yL0tQMXJSWjJMa1dzVTgxRTJ1Y29aRjQxTFJXeUc2U0VzU0MvZnpXU0p2eWJhVVlRV3dJWUgrSzZaRlN0M013T1Z3TlIxeDE1Q0dDdUFuU3ZvbWErSnFCMzRqaG9DaWxOaFdaek5MNldZa1QyaTRnY1l2dzNRNEhSa1VwTmVjM29zbkJwQk0rUXBnRGZrSFpzdkJ0WTJKaE1HQXEvUkRKdjVGL01VWk43ckQzQ2c3SUx2b21QUGo2T1g1dHpYT2pqR241N0dsNWViTTZMMXBIcEhwWFZmUEZqUDlwN3dQT0JwWkd2ZmozTEdNeXljWk5uNi8wTEQyeDJrbVdMdDZiRkdBOHkvSzcxZUJzK3AvOTFRbEVCVHBCY2s2cVFxMDFJWDRUb3A3M2lhcmtDSUZDaURMdWVFV0hmNk1UOFczeElrb29CcDcwaHJTVGVOeDEwa1BEYnA0MUJHUnZNaGVha2JLMmllUXhhbTFJTzZHQ3dxVGljZ0lDbVlOdE5uZkM1NDNIdldaYTdtSGpwT2J6WUFHOGd3Rk1GR2dBRFplVnJhTXRRS1lmVVIvWXRYQXBQUzYyZVZlZVB5NFJ6OTNxMUZtWGFYSllhdE9PODlMdWVFbVBYYlp6ZGtlRnZrL0pGc254WTEzaWxxNEZ1Y25rbUxuYUhHQlg1OWpuZmlqN0NWTjBnNzRLZytYaHRkZDN1OWlyMHp3ZkdvcXlRNlV2Smo4amxrdW5wOWdUK3FDWjdQQytmM3JaeSt0aHVUMVRWZkVyeW00TjlleVQ2K2ZmRGtwMmVIU3dvN2h2M3hoNUxjamUxQ3BMSVQ4a0JRempEWWg0ZDZ0aEozczNOUkM0K3VrbkdBZ2pPSFhMOHkzRHJhNThoQ21VVWk5Tm9RQXB3TUwrWjlZZlB4M3NGZFgrUWFJbFVZNktLQW9ZMzJuZk52QVNwbE44TUJpM082bGUvbGJjTlUrb2ZQMVIzMENBM2JTZHRYVzF0NHRPdXJqZGNmZkQzZkgyMnRTZWZZNnlmV3RLNWtpWE9TOGJ3bGsxc2ZFeGhCaTYwaEtaOWI5QW1zcEFHVnFGNzFVQURrdXlxbFhSRjRPSHZpL2lOSDNoVUU0Y1RwR250cEVoZjFPS29DQ3ovZ0w1cStLcFpKcUJmQ3J1N1N0K0QycEZTd1c3NGUzZ25pQk5pa0FyS051a25wQXF0eU85bTN3MVFmRUFpRk81Q1h4U1Jsb1JTUEJwRnhIbGlhUjBsMkNUSXNsUitGeXlRYkx5dkYrV0hBMWhyOTBqUzUxeGFTZld5NzljQmFuTldzMzcrVDBQZUYyay92S0RzT2dReUhETVMreHpKQ2lCL25aUmNHdjdoY0djTElMSnk1NXR4UXROa2h1VjVyUTNLeHRtajFRVHpRTWZZSnovNWwvTC84SUZPTi9BMUJMQVFJVUF4UUFBQUFJQURtdWZseXFhNWZpc1FFQUFQZ0RBQUFNQUFrQUFBQUFBQUFBQUFDMmdRQUFBQUJrYjJOMWJXVnVkQzU0Yld4VlZBVUFCMzkveW1sUVN3RUNGQU1VQUFBQUNBQTVybjVjVzlvMGFFWVRBQUEvSEFFQUR3QUpBQUFBQUFBQUFBQUF0b0hiQVFBQWNHRm5aWE12Y0dGblpURXVlRzFzVlZRRkFBZC9mOHBwVUVzQkFoUURGQUFBQUFnQU9hNStYQ1R3Mi9nNkFBQUFPZ0FBQUE0QUNRQUFBQUFBQUFBQUFMYUJUaFVBQUhKbGJITXZYM0psYkhNdWVHMXNWVlFGQUFkL2Y4cHBVRXNCQWhRREZBQUFBQWdBT2E1K1hDVHcyL2c2QUFBQU9nQUFBQk1BQ1FBQUFBQUFBQUFBQUxhQnRCVUFBSEpsYkhNdmNHRm5aVEZmY21Wc2N5NTRiV3hWVkFVQUIzOS95bWxRU3dFQ0ZBTVVBQUFBQ0FBNXJuNWN6aHl2ZGJRREFBQmpId0FBQ1FBSkFBQUFBQUFBQUFBQXRvRWZGZ0FBZEdobGJXVXVlRzFzVlZRRkFBZC9mOHBwVUVzQkFoUURGQUFBQUFnQU9hNStYRjB5VGNabUVnQUFSeFFBQUE0QUNRQUFBQUFBQUFBQUFMYUIraGtBQUhSb2RXMWlibUZwYkM1cWNHVm5WVlFGQUFkL2Y4cHBVRXNGQmdBQUFBQUdBQVlBblFFQUFJd3NBQUFBQUE9PSIsCgkiRmlsZU5hbWUiIDogIue7mOWbvjEoMSkuZWRkeCIKfQo="/>
    </extobj>
    <extobj name="ECB019B1-382A-4266-B25C-5B523AA43C14-2">
      <extobjdata type="ECB019B1-382A-4266-B25C-5B523AA43C14" data="ewoJIkZpbGVJZCIgOiAiMzM2NDMwMDAwNDQ4IiwKCSJHcm91cElkIiA6ICIzOTgwODA4MjQiLAoJIkltYWdlIiA6ICJpVkJPUncwS0dnb0FBQUFOU1VoRVVnQUFBdTRBQUFGOUNBWUFBQUJiQisyNkFBQUFBWE5TUjBJQXJzNGM2UUFBSUFCSlJFRlVlSnp0M1hsNFZOWDl4L0hQdVROREVpQVFXVVZBc0NBaVN6SXowVllRUlZ6UTBvcEtGUlYvS2xZcExhMmlSY1c5SW9yVlNsMVJpMVp0VWFyZ2hpSXFGRUVScVVWbXdtSUNpaFlzc2dnaVcvYVplMzUva0V5elFpQUprd252MS9QMGFlYWN1M3h2REhjK2MrZmNjeVV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KQ0lNakl5T2dZQ2dSUGlXVU1nRUdpYm1ablpyWjUzNDNUdDJqVlprcW5uL1FBQUFCd1d2UEV1b0NITHpNeHM2cnJ1a0gwdFk0elpFZ3FGRnRWMG00N2pYR3VNR2EvNEJ0cnhydXRlSXFsVG1iYWEvQzFZU2RHYTdDQVlESTZRTksxVnExYjlRcUhRdnc2aVJnQUFBSlJCY04rSGFEVGF6bkdjbVpMV1dHc0xLdlliWXpwYWE1ZExPck9reVFrRUFzSDliUFpJU2FyQlZmZjE0WEI0NndFWGZSQ0N3V0IzU1YvV1lORmxvVkFvcnQ4V0FBQUFISzRPKytBZUNBUjZTUXBWYUQ0dUhBNnZMMzBSaVVRdVhMRml4YXFLNndhRHdVY2s5U2w5M2F0WHI2YkdtS1UxMlc4TmxydFcwaE0xMlZadEZSUVViRTVPVHI2OHFqNXI3V0Jqek9XU290YmF0NnJiUm5wNmV0RHI5ZDV2akJtNWJObXlUUlg3TXpNejI3aXUrNXpydWpjdVg3Nzhpem9zSHdBQTRMQncyQWYzYURUcWVMM2VKR3Z0YWNhWUZwTGVjbDIzM0RBV3I5ZmJPeEFJSkZkYzExcmJydXpyN096c1hML2ZmOHkrOW1lTUdXK00rYlhydXZ0Y0xqOC8vL3NET0l3YUNRYUR2NU1rYTYxZlVyUFMxOGFZNTVZdFcvWmkyV1V6TXpNN1dHc2ZOc1pjTE9sVDEzVi9uWldWbFZYVmRnT0JRSWFrZWRaYUU0MUdqNVJVS2JnWEZ4Y2Y3ZlY2K3p1Tzg2OUFJSEJST0J5ZVg5ZkhCd0FBMEpnZDlzRzlWRFFhL1VwU210ZGI1YS9rZVVsdXhVWmpUQk5yN1VkbG1teFdWdGE2ZmUwbkVBanNsS1Q5TFZjZnJMVi9sR0oxZTB0ZlJ5S1JHWkx5U2haemdzSGdHR3Z0ZmRaYVY5S1ljRGo4RjFWeC9KS1VrWkVSTU1iTUxRbnRaNjVZc1NKYzFYSXJWcXdJWldSazlIY2M1ejFqekh0K3YvODNXVmxaejliOVVRSUFBRFJPQlBkOU1NYmtXbXRmS3k0dXZtSFZxbFgvcmRqdjkvdEhHbU9PcnFMOVJzZHgvclN2YlFlRFFWdFZ1N1YyZlRnYzducndWVmN2SEE0M2w2UkFJUENRcEV2QzRYRFptMU1WREFZenJiVlBTenBCMGt2RnhjWGpWcTFhdGFXNjdmbjkvcDhaWTE2MjFoYVZoUGFLUTQ3S1diNTgrUmQ5K3ZUcDE2UkprM21PNHp3VERBWTdoa0toQ1hWd2FBQUFBSTBld2IwYWZyLy9Ta2xUSk1ubjg1MFRDQVFrYVd3NEhQNXJNQmpjWWEyTi9lNkN3ZUR2UTZGUVd1bHJ4M0hlZEYxMzdjSHMxMXFidC8rbDZsYjM3dDFicEthbTNtdXQvYTB4NWt0Slo0UkNvUS8ydFU0d0dQdy9TUzlJK2xiU09TdFdyTWlweWI1V3JWcTFwV2ZQbm9PYU5tMDZUOUxkZ1VEZ3UzQTQvRlN0RHdJQUFLQ1JJN2hYejJlTTJleTY3b1dTWkl4NVJaS3ZwSys1dGZZYVNWbVMvTWFZY2tNK1FxSFEyb3lNakh4ampFOEhhT2ZPblp0clcvaUJ5TXpNYkJtTlJpOHd4bHhiMHRURld2dFd5UWVWcW13Tmg4UEh1Szc3cVRGbXNldTZJNVl2WC83dGdleHo5ZXJWMy92OS90TWR4N2x2NjlhdEw5VHFBQUFBQUE0VEJQZDlzTllXbE42UUdRZ0U4aXYwclYyK2ZIbFdSa1pHODZyVzlYZzg4eVVkZDZEN1RFdExHeVJwNGNIVWV5Q01NUzBDZ2NBYzEzWFRQUjdQbWRiYWF5WEpXbnVMTWVaN1NjK1VMUHFndGZiZnhwaFhKZjJmcExhU2xKV1Y5YVdrZ2RWdDMxcjd2dXU2cHhRVUZIeGVWWDlXVnRZT1NiK3R5Mk1DQUFCb3pBanUrM1o4SUJEWVUvSnpTdGtPajhjek54QUl1TVlZWngvcnp6WEdqQzNiWUszOXZhUkxqREUvTHRzZWpVYURqdU84VkNkVlZ5RXpNN09sdGZZcWErMTV4cGhUckxXT01TWlYwajNMbGkxYkxXbDFabWJtMGRiYVJ5WGRId3FGcG1Sa1pQVHdlRHlQUzNvbEZBbzlGUXdHVDdYV1ZwcGRweXJHbUxNOUhzKzA1T1RrVXlSOVhGL0hCUUFBY0xnZ3VGZkRHTE5EMGdmVzJwc2t5WEdjYTZ5MUhRS0J3SzhsdlNicFJXdnRmNDB4eDFscjc2eHFHOWJhM2FGUWFIWFp0a0Fnc04wWTQ1YUU1WmlNakl3MjlYUW9rcVNpb3FLamZUN2Z3NUtXVzJ2RGtqcUVRcUZUS3RRN1hsSnhRVUhCYTVKa2pEbXo1UDhYbHZTbkdtTjIxMmVkQUFBQXFCckJ2UnE3ZCs5K094S0p6QzdUZEdPclZxMXVzZGJlc0gzNzlvd3k3YXNsemNyTXpQUXRXN2FzdUxTeDVNcTB6Ky8zcDVWWlZzYVlKRW1tWXJ2ak9GVU91YWtydTNmdi9ySkZpeFo5VjZ4WXNhcDBWcG15L1JrWkdRT3N0YitXOUdCMmR2Ym1rbHBIU2xvZENvVktienhOdGRidUtsMm5iOSsrUC9KNnZTT3EycCsxTnNNWUk0L0hjMFVnRURpdHFtV0tpNHVmMmRlc05RQUFBUGdmZ25zSnI5ZmJLUnFOdGloOW5acWErcFV4cG1QRjVZd3hhdFdxVlg3RmR0ZDFYNU4wWVpubDJra2Fhb3o1b2FyOU9ZNVRaWHQ5V2JkdVhZR2tTazkvbGFUMDlQVGpQQjdQRzliYTlYbDVlWk1rS1JBSUREWEduR2l0TFR2VUo4MFlzNkgwaGRmci9aR2tXNnJaWmVuZjF2K3Btam5nalRHekpCSGNBUUFBYW9EZy9qOUxQQjVQN0lVeDVoWnJiZWxWOEE3R21KdTE5L2RWK2xUVkI2eTFzYm5kcmJWZmxmN2N0Mi9mSDJudm1QaUhyTFd2MUhEL0dSVm5wemtVL0g3L2ljYVlONnkxWG1QTXo5YXNXYk03UFQyOW1hVDdyYlVidG03ZFducVRxb3d4clNUdExIMGREb2YvS2FuS2J3cEtwb3VjRm8xR0J5OWZ2cHd4N2dBQUFMVkVjUCtmZnE3cmJwYWtyS3lzRFpKZTFONm5pRjZwdmJPZnZDWnB2YVJmV0d0bkdHT3VNY2FNRG9WQ2IxZmNrTmZyL1huSmo2K0Z3K0hQYXJMenpNek01Zm41K2U5STJsNjJQUmdNM2kycFdTZ1VHcTlxcmx3ZnJJeU1qQUhHbUg5SzJpVnBTTW1RR09QeGVQNXVqT25sdXU3NUd6WnNLUHZ0d2hHdTYrNm95eG9BQUFCUU00ZDljUGY1ZlA5MVhmZlNyVnUzTGk4VFVyMSt2MytFNHpqanJiVWRKRjBiRG9mL0VRZ0U3akRHS0J3TzN4VUlCTlliWTJZRWc4RWxrdjVzakhsLzJiSmx4Wm1abVUxZDE3M0pXcHNURG9mL1ZkTTZTc2JIVjVyRDNWcmIzQmd6TGhBSTlJaEdveU5XckZpUlc5dGpMcGxSUnN1WEwvOVhNQmg4eWxyN1NEZ2NYcSs5SDFUK0xHbVlwRWV5c3JKbWxhNFREQWE3UzBvMnhoelFuTzBBQUFDb0c0ZDljRisyYk5sT1NTK1h2dmI3L1NPTk1ROFlZNUpkMTMxOHo1NDlENjVkdTNaWHhmWEM0ZkJmKy9idHU4RG44ejFrclgxTDBseEpRNnkxZnpIR2RISmQ5L3k2cUM4Y0R0L285L3YvYTR4NTJPdjF6dS9idCs5UFY2NWNlVkRqNDB1T3JjQVlNOFJhdTFOU0pCUUszVkRTbDJhTStZZWtjNnkxMDQweFV3T0J3TE9TdGhsakNxeTF3eVc1cnV2T2w2UmdNTGpjV3R1dHVuMlZETDJKVFp1NWo3S3l3K0h3ai9mUkR3QUFBQkhjcS9LbU1TWXBOemQzK3BvMWEvWTU5ZUhLbFN1L2xqUXNHQXdlYjR6SjlmdjltZGJheXlROVZmWnFkVzFsWldVOTZ2ZjdpeVU5N3ZGNHpwUTA4MkMyNHpqT25aSitaUGU2b1VKZjBGbzd5SFhkaDdPeXNtN3MyN2R2UzUvUGQ2WCs5emV5MFZvN2V2bnk1WjlMa3JYMnJ5VmozdmZMR0ZOdG4rdTYzeDNNc1FBQUFBQzE0dmY3ZnlacFh3OWxPbWpCWVBENDJxeWZtWmw1ZEVaR1J1OUFJTkMycXY3MDlQUk9WVFI3TWpNemZiWFpMd0FBQUFBQUFBQUFBQUFBQUFBQUFBQUFBQUFBQUFBQUFBQUFBQUFBQUFBQUFBQUFBQUFBQUFBQUFBQUFBQUFBQUFBQUFBQUFBQUFBQUFBQUFBQUFBQUFBQUFBQUFBQUFBQUFBQUFBQUFBQUFBQUFBQUFBQWRjQVQ3d0pRTzM2L1A2MXQyN1lwMzMzM1hVRzhhd0VBQUVEOWNlSmRBR3JIR0hPcDR6Z2o0MTBIQUFBQTZoZkJQY0VaWXk1eUhPZXllTmNCQUFDQStrVndUMkRwNmVsQlNkMk1NVjFLZmdZQUFFQWpSWEJQWUk3ajlKUFV6bHJib3VSbkFBQUFORklFOXdUVnFWT25GRW45ckxWSmtueVMrblh2M3IxRm5Nc0NBQUJBUFNHNEo2aFdyVnFsR21OT05DVWN4OGxJVFUwOUl0NTFBUUFBb0g0UTNCUFhqeVIxTFgxaHJlMWhyZTBSeDNvQUFBQlFqd2p1Q2NyajhZd3l4alN4MXNwYUsyTk1FOGR4cm94M1hRQUFBS2dmQlBjRTFLdFhyK2FTenF2WWJxMzk2WEhISFpjYWg1SUFBQUJRendqdUNjam44NTF2akdsdHJZMjFsVngxYjlXMGFkUGhjU3dOQUFBQTlZVGdub0NNTVNPcTY3UFc4aFJWQUFDQVJvamdubUFDZ1VBdlkwelAwcXZ0eGhnWll5VEZycnIzQ0FRQ3ZlSlpJd0FBQU9vZXdUM3g5SlBVcnJwT1kweXFwTXhEVnc0QUFBQU9CWUo3WXZGS3lqREdOSk1VdTlKZTRlY1VTU2YyNnRXcnlTR3ZEZ0FBQVBXRzRKNUFldmZ1M1VMU1QycXc2RTk4UGwvYitxNEhBQUFBaHc3QlBZRjR2ZDR1eHBqMC9TMW5qRWwzSEtmYm9hZ0pBQUFBaHdiQlBZRTRqak5jVW5MSlRhaVYrbzB4S3JscE5ka1ljOEdocmc4QUFBRDFoK0NlSURwMTZwUWk2UXBKVlliMlVtVm1tTG40cUtPT2FucElpZ01BQUVDOUk3Z25pRFp0Mmd3eXhoeFYwK1dOTVIzYXRXczN1RDVyQWdBQXdLRlQvYVZiTkhoK3YvODB4M0grWWExTnR0WmVrSldWdFREZU5RRUFBS0IrY01VZEFBQUFTQURlZUJlQWd4ZU5SamM3anZPS01jWVhpVVEyeDdzZUFBQUFBQUFBQUFBQUFBQUFBQUFBQUtnbFQ3d0xRSzE0dTNmdjNqd3RMUzM1aHg5K2lFcHk0MTBRQUFBQTZnZkJQWUg1L2Y3MHBLU2tQNmVrcEZ6VXZuMzd6emR2M3N3TnFnQUFBSTBVczhva3RqUmpUSDlyYmJLa3RIZ1hBd0FBZ1ByRFBPNEFBQUJBQWlDNEF3QUFBQW1BNEE0QUFBQWtBSUk3QUFBQWtBQUk3Z0FBQUVBQ0lMZ0RBQUFBQ1lEZ0RnQUFBQ1FBZ2pzQUFBQ1FBQWp1QUFBQVFBTGd5YWtKcktpb2FMWFA1N3ZlR09NcEtpcGFIZTk2QUFBQUFBQUFBQUFBQUFBQUFBQUFBS0NXVEx3THdNSHIzYnQzSzYvWG0rRTRqbE5VVkJUKy9QUFB0OGU3SmdBQUFOUVBacFZKWUUyYU5PbmpPTTV6eHBnWG16UnAwaWZlOVFBQUFLRCtFTndUbUxYV01jWWtXMnVUcmJYOHR3UUFBR2pFQ0hzQUFBQkFBaUM0QXdBQUFBbUE0QTRBQUFBa0FJSTdBQUFBa0FBSTdnQUFBRUFDSUxnREFBQUFDWURnRGdBQUFDUUFnanNBQUFDUUFMenhMdUJBdFczYnE3bW50ZHZHNTNyYWVoeGZzM2pYRTAvNVJiWm5jcExkYWlSdmZwSHQyYlduUDk0bHhWWEV0WGtlWTdmbWZsKzRiZHUyTmJ2alhRL3EzMUhkK25SdTR2TjJpM2NkU0Z5RmhZWC8yZlNmblBYeHJnTjFqL01EYXFzaG5oOU12QXVvcWZidDA1dWxIS0hiamN5NU1pWloxaVpiazNnZlBPcVN0VlllWXp5U0ZMVTJha3pDL09lc0Y4WXFJbU1Lckd5aHJPYm1Pc1YzYmMzTzNoUHZ1bEEvdW5iMWQxV3lmVjVHUGVOZEN4TGFOOG8zRjY5Ymw3VXUzb1dnN25CK1FCMXBjT2VIaEFpK0hidW5kL0o1blNtUy9ibU1jVHdlajVLU21zamo4Y1M3TkRRZzBhaXJvc0pDUmFKUldkbmptN20rM3NuZCs0ejU3OXBWWDhXN050U0RaSFdWVVU4amMyVFRsQlI1dkp3UFVIUFJTRlQ1QlFWeXJVMVdzcnBLYWpCdnpLZ0RuQjlRQ3czNS9ORGdnL3RSUjJVMjlmb2lMeGpwREordmljNDQ3VlNkbUJsUXA0NUhLVFUxTmQ3bG9RSFprNXVyRGQ5dVZDaThYSFBuZitBVUZSVVA5bmk5ejdWdm56NWt5NVlWdWZHdUQvV2phVXFLZm4vZGI5WHIrT1BpWFFvU1NIYk9HajMrMUZUdDJMVXIzcVdnSG5GK3dNRm95T2VIQmgvY2ZhblJHNHpWb0tUa0pFMjg2MWFkZGZvZ3RXaVJxc045V0FpcVpxM1ZzUE4rcnJQUE9sMDMzWGFYOHZNTEJpU242Vlp0MFIzeHJnMzF3K1AxcU5meHgrbWtINThRNzFLUVlIdytYN3hMUUQzai9JQ0QxVkRQRHcxNlZwbE9uVHFsT01aZVlveHhUaDk0aW40NitFeTFiTm1DMEk1cUdXUFVJalZWWjV4MnFzNDU2d3daWXh6SGNTN3YxS2xUU3J4ckF3QUFxSTBHSGR4dGNxdldNaWJaNi9XcWI1OWVhdGJzc0o1RUJnY2dPVGxaL3ZTK2F0S2tpYXprOC9sUzI4VzdKZ0FBZ05wbzBNSGRlTnhXc2phNVNaTW02blJVaDNpWGd3VFQ0Y2oyU2tsSmxxeWFSSk84YmVKZER3QUFRRzAwNk9EdWpUcE5yWkhYNDNHNEVSVUhMRFUxVlQ2dlR6THlPUEx3QndRQUFCSmFndzd1QUFBQUFQWWl1QU1BQUFBSmdPQU9BQUFBSkFDQ093QUFBSkFBQ080QUFBQkFBaUM0QXdBQUFBbUE0QTRBQUFBa0FJSTdBQUFBa0FBSTdnQUFBRUFDSUxnREFBQUFDWURnRGdBQUFDUUFnanNBQUFDUUFBanVBQUFBUUFJZ3VBTUFBQUFKZ09BT0FBQUFKQUNDT3dBQUFKQUFDTzRBQUFCQUFpQzRBd0FBQUFtQTRBNEFBQUFrQUlJN0FBQUFrQUFJN2dBQUFFQUNJTGdEQUFBQUNZRGdEZ0FBQUNRQWdqc0FBQUNRQUFqdUFBQUFRQUlndURjUTI3WnRVMkZoWWIxcys4c3Z2MVEwR2ozbzlRc0xDN1Z0MnpaWmF5djFSYU5SNWVYbFZka0hJTEZZYTdWanh3N2w1ZVhWZUowRkN4Wm84dVRKNWRvV0xWcWtxVk9uS2o4L3Y2NUxCRkJCZmVhSDJscTllblc4UzJoMHZQRXVJSkZFSWhITm5qMWI1NTEzbm93eDVmbysvZlRUYXNOeGFtcXErdmJ0VysxMm85R294bzRkcTRLQ0FzMllNVU1lajZmT2FsNjFhcFd1dXVvcW5YLysrYnI5OXR0cnRJNjFWa1ZGUlVwS1NwSWtMVnk0VUxmZGRwc1dMbHlvMU5UVWNzdCs5dGxuR2pObWpGNTc3VFYxN2RxMXp1b0dzTmNQUC95ZzFhdFhhOU9tVFJvMmJKZ1dMMTZzb3FLaWZhN1RwVXNYL2VoSFA1SzA5L3hTOFlPMU1hYks4OHljT1hOMDExMTNhZHk0Y1JveFlrU042c3ZPenRZNzc3eWpjZVBHeGRwbXpacWxVQ2lrcTYrK3VrYmJBQnE3aHBvZmlvdUxOVzdjT0FXRFFZMGNPYkpjdlh2MjdLblJOcG8yYmFvbVRacFVhcDg3ZDY1dXZmVldUWjQ4V2FlZGR0b0IxWVhxRWR3UHdIdnZ2YWVKRXljcUp5ZEh0OTU2YTdtKzMvLys5eW9vS0toeXZUNTkrdWh2Zi90YnRkdDkvdm5udFhyMWFnMGRPbFFmZmZUUmZ1c28rNmE4UDMzNjlOR1paNTZwMTE5L1hYMzc5dFhRb1VQM3U4NkREejZvbFN0WDZwRkhIbEdiTm0xcXRCK2dKdExUMDVzNWpwT1JsWlgxYjBtUmVOZFRsNlpObTZaZHUzWWQ5UHBublhXV2V2VG9vYmZmZmx0TGxpelI1czJiOWUyMzMycmJ0bTJTcEpZdFcycnc0TUc2ODg0N3RYdjM3bXJmb0l1TGkzWGxsVmZxdXV1dWt5UmRlZVdWeXNuSktiZE1peFl0dEdEQmduSnRSVVZGZXZMSkorVTRqbDU1NVJVTkd6Wk15Y25KQjN3YytmbjVXckpraVFZUEhseW5GeUhRK0RYbTgwTkR6UTgrbjA5SEhIR0Vwa3lab3Q2OWUrdkVFMCtVSkMxWnNrVFhYMzk5VFE1TkV5ZE8xSkFoUThxMWJkeTRVWC84NHgvVnMyZFBEUmd3UUpJMGN1UklmZm5sbC92ZDN2dnZ2Ni9telp2WGFOK0hJNEw3QWZqNXozK3VVQ2lrVjE5OVZjMmJOOWUxMTE1YnJ2K2lpeTdTRlZkY1VhN3RubnZ1MmVmWHhVdVdMTkhUVHo4dGFlK24wN2x6NTFhN2JDUVNVU1FTMGNpUkk4dnQrNXR2dnRHeVpjdXFYYTl2Mzc1YXNHQ0JWcXhZVWUybitxT09Pa28vK2NsUEpFbm5uSE9PM24zM1hWMXh4UlY2OHNrblk4c1VGaGJxbFZkZUtiZmVoZzBiSkVtdnZ2cXEwdExTeXZXTkhEbFNYaTkvWXZnZmo4ZlR4aGl6T0JBSWZPVzY3ck9PNDd4bHJkMllsWlcxVzlMQmorZHFBRjUrK1dWdDNyejVvTmMvNXBoajFLTkhEeFVYRjJ2YnRtM3EwcVdMdnZqaUN3MGRPbFNqUjQvV2tVY2VHVnYyOHNzdmp3WHppazQvL2ZSeXIyKysrZVp5Vjg1bXo1NnQ3T3pzU3VzOS92amoycjU5dTU1ODhrbmRlT09OZXV5eHgzVHp6VGRYV203QmdnWEt5c3JTRFRmY1VPWCsvL25QZjZxZ29LQlNIY0QrTk9ielEwUE5ENUkwZnZ4NFpXVmw2ZFpiYjlWTEw3Mms5dTNicTBlUEh2ckRILzVRbzJOTFQwOHY5em8zTjFmanhvMVROQnJWcEVtVFlqbmd2UFBPMC9mZmY3L2Y3VlYxOVI3L1E2bzZRTGZkZHB2V3JWdW4yYk5uYThTSUVXcmR1clgyN05tamdvSUNkZTNhVlVjZGRWUzU1Wk9Ta3FyOWg3ZHk1VXJkZE5OTk92cm9vL1hOTjkvb2trc3VxZlFQcXRTU0pVdDAyMjIzeWVmejZZSUxMaWpYbDVXVnBYdnZ2WGUvdGIveHhodDY0NDAzcXV3Yk9IQmdMTGhuWkdUb3FhZWUwclhYWHF2MTY5ZkhsaWtxS3RMNzc3OWZicjNTWS92NDQ0L2w4L25LOWYzZi8vMGZ3UjFWTXNaMDgzZzg5MXRyYnpmR0xBc0dnMHRkMTgyU3REZ3JLMnRkdk9zN0dPKzg4MDYxZmZmY2M0OW16WnBWNVhDemlvWU5HNlpodzRaSjJ2dnZ2bVBIanVWQys0RktUMC9YOU9uVDFhVkxGNTE4OHNsYXRHaFJwUS9aaXhZdDB2VHAwM1hkZGRmcHhCTlAxUGp4NDNYbm5YZXFSNDhlT3YvODg4c3R1M0xsU3IzOTl0dlZCdmRaczJaSmtuSnljclIyN2RwcTZ4bzhlTEE2ZHV4NDBNZUZ4cXN4bmgra2hwa2ZwTDFEWGU2OTkxNWRmZlhWZXVLSkp6Ung0a1MxYjkrK1J0L1FWMVJRVUtDeFk4ZHE3ZHExZXZqaGg5V2xTNWRZWDFYN3hvRWpWUjBncjllckJ4OThVSzdycW5YcjFwTDJYbUdTcE42OWUxZGEzaGhUNVZYdWNEaXM2NisvWHAwN2Q5YlVxVlAxN3J2djZvRUhIdER1M2JzMWJ0eTQyUGp5NHVKaS9lMXZmOVBUVHordGpoMDc2dkhISDFlblRwMnFyTzIxMTE2cjFQZnV1KzhxUFQxOW4yK1F2L2pGTHlxMUhYLzg4Wm85ZTdaeWNuTDB6RFBQU05vNzFtN216Sm5sbHZ2MDAwODFac3dZUGZMSUk0eHh4d0d4MXNvWTAxelNRR3Z0cVk3ajdMYldmaGNJQkZZWVkxN1l0V3ZYM0xWcjF6Yk1PNjRTek1zdnY2d0xMN3hRSjU5OHNuYnMyS0dXTFZ2RytwWXZYNjViYjcxVnA1NTZhdXlLMzVBaFE3Um16UnBObWpSSlBwOVBQL3ZaejJxMG4renNiSVhEWVhtOTNrcGY3eGNYRnlzYWpjYUczL1RxMVl2Z2ptbzF4dk5EUTg0UGZmdjIxU09QUEtKZ01IalF4N2Q5KzNaZGYvMzErdnp6ejNYMzNYZHJ3SUFCbWpkdm5ucjI3S25PblRzZjlIWlJIc0g5SUpRZDk3MXUzVG85L3ZqajZ0dTNiNVUza0xSczJWS2ZmUEtKSG4zMFViVm8wVUlkTzNaVWh3NGQ5SnZmL0ViZHUzZlg0NDgvcnRUVVZBMGZQbHlTOVBEREQydkpraVc2NmFhYjVMcXVIbjc0WVczWXNFR0RCdy9XYmJmZHRzK3JkUjZQcDl3VjdpKy8vRklUSmt6UVdXZWRwZnZ2di8rQWp2SHJyNy9XbENsVHRIRGhRcVdrcEJ6UXVrQk5sYmxwMGxoclcwaHFZWXpwTG1sWWFtcnFsa0FnTUNNYWpiNVFWRlMwdnFDZ0lIZmR1blZWRHdSdFJKWXVYUm9iNzFwVVZLVDE2OWRyMGFKRmtoUWJmL3JoaHg5cTA2Wk5WYTZmbTV0YnFlMzc3Ny9YRVVjY0lVbmF1WE5uN0J6MjJXZWZhZHk0Y1RybW1HTTBjZUxFY2pmTmpSMDdWdHUzYjlkZGQ5MmxiNzc1UnFOR2pkcnZOMmlsWWYyU1N5NnBkRVgrZDcvN25YYnYzcjNQOGJwQVdZM3gvTkJRODRNazllL2ZYOUxlcStiRnhjVUhkRnhKU1VuNjhNTVBsWk9Ub3p2dnZGUG5ubnV1dG16Wm9ydnZ2bHVubm5ycUFXY1FWSS9nWGdONzl1d3BONTYwVzdkdXV2MzIyL1hCQngvb25udnVVVXBLaWg1NDRJRXExNzMwMGt1MWF0VXF6Wnc1VTlaYURSNDhXSGZjY1lkKzlhdGY2ZUtMTDFhelpzMWl5dzRmUGx6SEhudXNmdmU3MzhYZTlMeGVyLzd3aHovczh5dXJVMDQ1UlMrODhJTGF0MjlmcnYyeHh4NlR6K2VyZGl4c3FRY2ZmREIyRld6TGxpMTY0b2tuOU82Nzc2cDU4K1lhTjI2YzB0TFNkT2VkZDByYUd5cEt2d3FYRkx0eDdwRkhIaWwzTThuNTU1K3ZFMDQ0WVovN1BWU3NhNVhrdGQzOWZuKzhTem5zR1dQYWwvazUxbDUyMXBQU24wdVd2ZGJyOVk3eWVyMDVLU2twSzF1MmJMbFUwdUxseTVlSEQxWE5oOXJreVpQMTMvLytWOVphRlJZV2F1N2N1ZnJnZ3c4azdmMVc3VURsNXVhcW9LQWdGdHgzN05paDd0MjdhOGFNR1hyb29ZZlVwVXNYM1hmZmZZcEVJdHF4WTBlNWRXKzQ0UVpaYS9Yc3M4L3E4ODgvMXhOUFBGSHRmcjc4OHN2WTFjT3FQbFJzMjdaTlJ4OTk5QUhYWDk4NFB6UWNqZkg4MEpEemc3VlcwNlpOaTcxT1NrclN4UmRmckVjZmZWUXpac3c0b09QODNlOStwOHN2djF4SEhubWsrdlhySjJsdnRwRDJYZ1RZdVhQbkFVMGIzYUpGQ3prT001WlhoZUJlQTE2dk4vWkpkTjY4ZWZyaWl5OGtTVDE3OXRUUGZ2WXpqUm8xcXRLWTBWSTllL2FzOHMzMmw3LzhaZXpuYjcvOVZwOSsrcWtXTDE2c1R6NzVSRVZGUmNyTXpKVHJ1Z3FIdzVvd1lZS21UNSt1UG4zNnFFZVBIdXJjdWJNNmRPaWd0TFEwcGFTa3lCaWp6cDA3S3k4dkx6Yi84cXBWcS9USko1OW8rUERoU2tsSnFmU0dYRlpwNE0vUHo1ZnJ1dnJnZ3c4MGJOZ3dqUmt6Um1scGFlWEd0VWVqVVczYnRpMzJ5VDAxTlRWMkUxclplV1JkMTkzL0wvWVFNWktTZmM3bGp1UDBpSGN0aHp0cnJhZmlWR2hTMVcvU1pkNmdreVVGSlBrOUhzOXdTZC81L2Y0MXhWRWJ5bzNZeWh0TGNDKy8vTEtrdmZlazNIdnZ2Um8xYXBTdXVlYWFXUCtVS1ZOMHhCRkhWRHZ1UFNjbkp4YlNKY1Z1Qml0N3hUMHRMVTFISEhHRSt2ZnZyOU5QUDMyZlkwOS8rY3RmYXR5NGNUcnV1T1AyV2ZlMGFkT1VuSnlzazA0NnFkTFlkdGQxOWUyMzM4YmUwQnNTemc4TlIyTThQelRrL05Dc1dUUDk1Uzkva2JUMzV0WGs1R1JkZlBIRkdqeDRzTHAxNnhiYnh4dHZ2S0hWcTFmck43LzVUYlcxOXUzYlYxNnZOL1p2L1BYWFg5ZkNoUXYxMjkvK1ZrY2VlYVJPUC8xMDdkeTVzOGEvdDdmZmZydlNtSC9zUlhDdmdlVGs1TmdiNTFkZmZhV05HemRLMmpzVHk5YXRXMnMwL3ZQMDAwL1h4SWtUSlVrZmZmU1Jzck96OWVXWFgyclZxbFd4cTlhOWV2WFNxRkdqTkhqdzROZzR0QTBiTnVqRER6L1VraVZMTkhmdTNISTNsN1pwMDBiWFhYZWQ3cnJycm1yM08yUEdqQnAvY2g0K2ZMakdqeCt2ZDk1NXA5dy96bmJ0Mm1uZ3dJSHllcjFLU1VuUnlwVXI5ZEJERHpYSU4rSHFPTWI0ckxVSFByY2Q2cFF4NW9Bdm9aU01kUzE5NlpIVTFCalRVbElUcWZFKytLdjBadGR0MjdacHlaSWw2dGV2bjI2NTVSYjkrOS8vcnRINnBWOVJsd2IzTDc3NFF0dTNiOWVPSFR1MFpjc1dEUnc0VUk4ODhvaCsrT0dIMkp0M1ZUcDA2RkNqc2VoWFhubWxqajMyV0xWdTNWcDMzbm1udnZ2dU83VnIxMDdTM3F2eGVYbDVsV2FmYUNnNFB6UU1qZkg4MEpEenc4eVpNN1Y0OFdKSjBnTVBQS0E1YytaSWtnS0JnQUtCZ0NUcHUrKyswME1QUGFSQmd3YkZqbVBidG0xS1MwdXJkdWhjVGs2T0prK2VyT1RrWkYxKytlV1M5dDZZVzlYekp6WnYzcXdwVTZab3lKQWg1VEpGMllzUEtJL2dYa3ZEaHcvWG5qMTd0SHIxYXQxNDQ0MlYra3YvS0Z1MGFCRnJXNzE2dGFaTm02WmpqejFXblR0MzF0Q2hRNVVDRU9TakFBQWFqa2xFUVZTWm1SbjdRODNOemRXYU5XdGl5NTl3d2drNjRZUVRaSzNWK3ZYcjljTVBQeWcvUDE5OSsvWlZseTVkS24zTjl0NTc3Mm5CZ2dVYVBYcDBsZk85cjFxMVN0T21UZFBGRjE5YzdrYVV6cDA3NjZ1dnZ0STMzM3hUYVoxenp6MVgvL3JYdjJTdFZXcHFxaDUvL1BGcTU1MHROV0RBZ0VvenpjU0RsWlJYRkgydXFjK3Bmb29MSEJJbFgyKy9YTEc5dXE5UVM5NlFDNnkxcXlXdHROWXVqVWFqaTFlc1dCSHEydE4vbW95NXRGNExqcE9OR3pjcUp5ZEhxYW1wbWpkdm50NTg4MDA5OWRSVCtzVXZmcUZUVHoyMTNMS1RKazFTcjE2OUtzMyswcVBIM2d2STI3ZHZsK000bWpScFVxenYxVmRmVlhKeXNtNjQ0UWI1ZkQ0RkFnRjVQQjc5K3RlLzFza25ueHg3czkyOWU3ZisvT2MvYThTSUVUcjIyR1AzV1hPM2J0M1VyVnUzMlA3KytjOS94aDdpdEhqeFlobGpZbUdnSWVIODBIQWNidWVIZU9lSHN0dXR6clBQUGl0cnJjYU9IU3RwNzFDN0N5KzhVTU9HRGF0eUdPNm1UWnQwL2ZYWHE2Q2dRTTJiTjQ5bGdEUFBQTFBLN2E5WnMwWlRwa3pSOGNjZlgya3VlRlNONEY1THBlTzRSNDhlclNPT09LTFNWZWlKRXlmSzYvWEczZ2dsNmVxcnI5WTExMXlqNHVKaTllL2ZYNnRXcmRMMDZkUExyVmRRVUNDdjExdnBFMjFCUVVHNWg2dEk1ZjlCYk5teVJSTW1URkF3R05TdmZ2V3JLbXQrODgwM2xaS1NvakZqeGxSNnlNSEREeitzRjE5OGNiL0h2WFhyMWlwUE5HWE5ueisvMnEvVkRpWGpHQlZGemRvdlBzOWFHTzlhRG5lQlFLQkw2ZFd4L2J3WnkxcTcxVm83eTFyN1VpUVMrYXE0dUhqSG1qVnJkaCt5WXVObzVzeVo2dCsvdjFhdVhLa0xMcmhBUzVjdTFZMDMzcWkvLy8zdnNSdFVTejMwMEVQcTFLbFR0Vzk2WjV4eGhwWXVYVnF1N2NJTEwxU1RKazIwZnYxNkRSOCtYSTg4OG9qNjllc25yOWVyanovK09IYSsrdkRERC9YV1cyL0ZibjZyU3NWSHJiZHExVW9ublhTU1pzeVlvVXN2M1p1YlpzMmFwZjc5K3plSTgwRkZuQjhhanNQdC9OQVE4c08rckYyN1ZtKysrYVl1dSt5eTJLd3dhV2xwK3VsUGY2cS8vLzN2NnRldlg3bnowYnAxNnpSbXpCamw1K2ZyMkdPUHJmWUdldFFPd2IwT25IRENDUW9FQW5yd3dRZjFqMy84STNhajUyZWZmYVkzMzN4VDExeHpUYm54cUJXZkpqaGh3Z1NkZmZiWjVkb0dEaHlvMGFOSFYzcnNlT244enRWNTRJRUhsSmVYcDhHREIxZlovOTU3NzJuSmtpVlZoblpwNzAwazFjMEZPMmZPSEUyYU5FbU80NmgzNzk1NjZxbW55dlZiYS9YWlo1L0YvaUV6aHp2MnA4eWJzRFhHNUV2YTVicnVLbVBNWDNidjN2MTJvazMzVmhjMmJOaWdmL3pqSDVvOGViSldybHdwajhlaisrKy9YNDg5OWxpdGcyOXVicTUyN3R5cDR1SmlKU2NucTB1WExtclZxcFhlZi8vOTJKdndrMDgrcWJ5OFBEVnQybFR6NTg5WDkrN2RkZnp4eDhlMlVScW9RcUdRbm52dU9TMVpzcVRjOUpLU2ROVlZWMm5VcUZGNjlkVlgxYlJwVTIzWXNHRy9IL1NCaWc2SDgwTkR5ZzhWUGZEQUEycmJ0bTJsaTREWFhYZWRQdjc0WTkxeHh4MmFPWE5tN01yOW5EbHpsSnVicXllZmZGSXZ2L3d5d2IyZWtLeHFhZWZPbldyWnNxWEdqeCt2eXkrL1hQZmNjNC91dSs4K2ZmdnR0N3JsbGx0MDNISEg2ZXFycno0a3RiaXVxMzc5K3VucnI3L1dILy80UjczKyt1c2FNV0tFempubkhQbDhQbVZsWmVtZWUrNVJuejU5S2oyaHJaVGpPSlh1NU42elo0OGVmZlRSMlBhR0RCbWlrU05INnJYWFh0UEZGMThzYTYwKytPQURQZm5razFxM2JwMmVmZmJaQnZtVk9Cb1dZNHlzdFhza0xUUEcvTnRhRzRwR281K3VXTEhpUC9HdUxaNG1UNTZzamgwN3htNW9rNlMyYmR0cTRzU0ordVNUVDNUVFRUZVZXNzZnb0VDelo4OHVkeE41MTY1ZDlkSkxMMm5uenAyYU4yK2Vjbkp5OVBubm4ydnQyclc2OE1JTFZWaFlHQXNJcDUxMm11Yk1tYVBiYjc5ZFAvN3hqL1hZWTQ4cEhBN0w3L2ZyWC8vNmw4YU1HVk51Zi8vNXozKzBjK2RPalJvMVNwMDZkVkptWm1hbG0xR0R3YUFHRFJxa0o1NTRRa2xKU2NyTXpOUXBwNXhTMTc4cU5HS0h3L21oSWVXSGlwNS8vbm1GUWlIOTZsZS8wdkxseTdWbnp4N3QzcjA3OXIvMjdkc3JIQTdyb1ljZTBqMzMzQ05wN3pOaEJnMGFWTzZEUHVvZXdmMGdiZG15UmZmY2M0OEdEaHdZbTRicHBwdHUwcVJKazJKM2MzdTlYdjM1ejMvZTcrTjcvL0NIUDhUKzhFc1ZGQlRvMFVjZjFaUXBVeXExVjhkeEhGMTAwVVg2eFM5K29ROC8vRkIvKzl2ZmRQZmRkK3V4eHg3VG1XZWVxVm16WnFsZHUzWjY2S0dIYWpUMlBCS0o2SjEzM3RHVUtWTzBhOWN1M1hmZmZUcm5uSE1rU1dQR2pOR2YvdlFuN2RpeFE0c1dMVkpPVG80Q2dZQkdqeDVkNVh5MFFGblcybldTcGtXajBUbVJTR1JkZG5iMjk1SU9iT0xnUmlnYWpXckZpaFc2N2JiYlZOWHNHajE2OU5DRUNSUEt0VTJZTUVHOWUvZldoUmRlR0dzcm5TWXVMeTlQa3lkUFZ1L2V2WFhLS2FkbzdOaXhTazlQMTN2dnZSY0w3b01HRGRLTUdUUDA3My8vVy8zNjlWTnFhcXBXclZxbHJWdTNLaHFObGh1Q0U0bEU5TlZYWDZscDA2YjZ6VzkrbzRzdXVraFRwMDZ0OGdtcDQ4YU4wOUNoUTdWbnp4N2RmZmZkZGZMN3dlR2hzWjhmR21KK0tHdkRoZzJ4cVYrblRwMGFhMDlPVGxaYVdwcGF0R2loRmkxYXFFZVBIbnJublhjMGVQQmdEUmd3UU8zYnQ2ODBMVFhxSHNIOUFPM2V2VnNiTm16UThPSEQ1VGlPcnJycXFsamZrQ0ZEOU1ZYmIyamV2SG1TcEQvOTZVODFlbFQ1ZGRkZFYrbHExSWdSSTNUSkpaZFVtbi8xdDcvOTdYNjM1emlPQmcwYXBFR0RCdW5OTjkvVXZmZmVHNXRacGx1M2Jzck56VlhidG0yclhYLzc5dTE2OTkxM05YMzZkRzNldkZscGFXbHEzYnAxTExSTDBoVlhYS0VkTzNabzZ0U3BhdGFzbWFaT25hck16TXo5MW9iRFcyRmg0ZmRKU1VtbmhjUGhUOVNJM29qcmlzZmowWVFKRXpSZ3dJQXErOXUwYVZQcEpxOUpreWJwcUtPT3F2TG1ydzRkT3Vpamp6NnE5RUU5UHo4LzltQzFZRENvUUNBZzEzWGxPSTVtekppaGR1M2FhZVRJa2VyWHIxL3NDWS9TM3VGdlR6enhoS0xSYUpVM3ZwZmFzR0dEYnI3NVpqbU9vK2JObSt2V1cyL1YyTEZqZGY3NTV6TTNNNnJWMk04UERUVS91SzZyVFpzMktScU5LaHFOcWxPblR2cjk3Myt2MU5SVWRlN2NXZTNhdFZQcjFxMWpIL1pMN2R5NVU5ZGNjODBCemMrTzJpTzRINEN0VzdjcUt5dEwrZm41T3VXVVUzVEhIWGVvVFpzMnlzM04xUnR2dktGcDA2WnAyN1p0T3Z2c3N4VUtoWFRUVFRkcDBLQkJHajE2OUQ1blpHamR1bldseHdFN2pxTWpqamlpVW50TnhvMUhvMUY5K3VtbmV1dXR0elIvL254NXZWNWRldW1sMnJ4NXMrYk5tNmVGQ3hmcTFGTlAxWlZYWHFtS0R4MTU3cm5uOVBUVFR5c2FqYXBmdjM1NjhNRUhOWC8rL0hKZncrZms1R2pSb2tVNisreXoxYUZEQnozODhNTWFOMjZjemp2dlBBMFpNbVMvOHozajhKV2RuYjFIMG9meHJxT3VMVnEwU0pGSXBOciswckdlaXhZdDJ1ZVRpSHYwNkZGdGFEOVlGVVA3OXUzYkZZbEVZdVBsdlY2dm5uMzIyVmgvdTNidDlKLy8vRWNyVjY2czhzRXdYYnAwcVhaZjBXaFVyNzc2cXA1NDRnbDV2ZDdZSTladnVlVVczWGZmZlpvK2ZicXV2UEpLblgzMjJmdTlrb2pEVDJNOVAwZ05Oei9rNXVicTl0dHYxNkpGaTVTY25Leng0OGZyamp2dTBHV1hYYmJmWTJyWnNxVm16SmhSNWJlRE5iVnIxNjVZemFnWmd2c0JTRXRMMDdISEhxdWYvdlNuR2pwMHFKWXVYUnA3cW1GQlFZRk9QUEZFVFo0OFdYMzY5RkZlWHA2ZWVlWVpUWjgrWFFzV0xGQ25UcDNVdjM5L25Ybm1tWld1VEs5ZXZWcE5tell0MXhhSlJQVDExMS9ISG5WZUtqOC92MUpkZVhsNSt1S0xMN1JtelJwOTl0bG5XcnAwcVhidjNxMmtwQ1NkZDk1NXV1cXFxMkx6TVAvNjE3L1djODg5cDNmZmZWY2ZmZlNSMHRQVGRjVVZWMmpnd0lGeUhFZURCdy9XOXUzYmRlR0ZGNnByMTY2U3BObXpaeXN2TDArVEprM1NSeDk5cEsxYnR5b3BLVWsvK2NsUE5IejRjQTBjT0ZCLytjdGZOSDM2ZEwzNDRvdHEzYnExZ3NHZzdyMzNYbTVReFdIaGxsdHVxZEhYMEtWUElLN096VGZmcklzdnZyakt2amx6NXVpKysrNnIxRjdWR0hkcDcxTVFTNSs0K3ZycnJ5c2FqU29wS1VuejVzMlQxK3ZWbmoxN2ROWlpaMVc1cjlMNWx1Ky8vLzVZZUwvbW1tdXFyVTNhTytYalk0ODlwclZyMStxa2swN1NYWGZkRmZ2YS9Qbm5uOWNycjd5aVo1NTVSbmZmZmJjbVQ1NnNXMjY1cGR5M2VFQmoxaER6UXlRUzBTOS8rVXQ5L2ZYWG1qaHhvdHEyYmF0eDQ4YnAzSFBQMVlBQkE5UzFhMWVscHFiR1pxangrWHp5K1h6eWVEd3FLaXBTZm42K0Nnb0tsSitmcnc0ZE91am5QLy81Zm44UEgzNzRvZDUrKzIwMWJkcFVTVWxKK3VTVFR5UXBOdmM4OW85VWRRQjhQcC8rK3RlL3luRWNQZjMwMDNybW1XZVVuSnlzTTg0NFE4T0hEMWVmUG4xaXl6WnQybFJqeDQ3VlJSZGRwRm16Wm1uMjdObWFPWE9tQmc0Y1dHbTdjK2JNMFljZmxyL0kwTDU5ZTRWQ0lZVkNvWEx0MjdkdnI3VCszTGx6WXc5bjhIcTl5c3pNMUtCQmd6UjQ4T0JLc3oxMDZkSkZFeVpNMEtoUm96UjE2bFM5Kys2N2V1eXh4M1R5eVNlclNaTW02dFNwVTZYWkg4TGhzSGJ0MnFYNTgrZnJ0Tk5PMDJtbm5hWWYvL2pIU2twS2l0VjYxMTEzYWN5WU1WcThlTEVXTFZxa2swOCttZENPdzhhTEw3Nm9hRFJhNiszc2F3aGJJQkNvTkw1OVg4ck9QbEVhRXFTOUFXTDgrUEh5Ky8wYVBYcDBqYmUzdjN0WGR1N2NxZHpjM0hMM3dwU3RaY1NJRVJvNmRLaG16cHlwSlV1VzFQazNDMEJEMWhEemc5ZnIxZEZISDYzTExyc3NkaS9McTYrK3FwZGVla21mZlBLSkZpOWVyTUxDUWtXajBYME9oekhHNlBiYmI2L1I3NkZKa3laYXVIQmhiSHZObXpmWHNHSERkUExKSjlkb2ZUUndYYnVubjlUMStJeE42VDhlWUJkKzlMRnRTSXFMaSsyOGVmTnNibTV1alpaM1hkZCsvZlhYOVZiTGl5KythRC83N0RPYm41OS9RT3V1VzdmTzV1VGs3SE9acFV1WDJuZmVlY2NXRnhmWHBzeERic21uUysySkE4NndYWS8zLzlDMXAvKzBlUDg5bzI1MTdlay9yZlQ4c09UVHBmSCtjMnZ3b3RHb0xTb3FxdGQ5UkNLUmV0MStYZUw4MExnMTVQTkRROG9QZVhsNU5WNDJHbzNhU0NSaUk1R0lkVjIzWHVwcEtCcnkrWUZMb2dmSjYvVlcreVN3cWhoamRNd3h4OVJiTFRVWmoxYVZmWTFYTFZYNmtBZ0FpYXVxcVY3cldzVTVwZ0ZVMXBEeXc3N3V1YW1JY2VnTkEvOFZBQUFBZ0FSQWNBY0FBQUFTQU1FZEFBQUFTQUFFZHdBQUFDQUJFTndCQUFDQUJFQndCd0FBQUJJQXdSMEFBQUJJQUFSM0FBQUFJQUVRM0FFQUFJQUVRSEFIQUFBQUVnREJIUUFBQUVnQUJIY0FBQUFnQVJEY0FRQUFnQVJBY0FjQUFBQVNBTUVkQUFBQVNBQUVkd0FBQUNBQkVOd0JBQUNBQkVCd0J3QUFBQklBd1IwQUFBQklBQVIzQUFBQUlBRVEzQUVBQUlBRVFIQUhBQUFBRWtDRER1NFJyODAxVXJFYmRiVW5OeS9lNVNEQjVPWGxLUktOU0ZiUnFJM3NpWGM5QUFBQXRkR2dnM3RSb2YxT1Z2bEZ4Y1hhdkdWTHZNdEJndmx1NnpZVkZCUktVcUcxUlp2aVhROEFBRUJ0Tk9qZy90MS9WbTJ6VW01eGNiRnlWcTlSUVVGQnZFdENnaWdxS2xiMjZqVXFMQ3lVWkFzM2ZQRUZuL3dBQUVCQ2E5REJYVkpVMW4zRld1dk9uYjlBUzBOWnlpOG9rTFUyM25XaGdiTFdxcUNnUUNzL3o5WWJzMmJMZFYxWHNuK1RGSWwzYlFBQUFMWGhqWGNCKzFPMCsvdkhtN1JvTjJUUG50eFRyLzM5elJwMDZpbEs3OU5MblRwMVZHcno1dkV1RHczSTdqMTc5TzIzRzdYeTgyek5YN2hJdVhsNXN0S1M0bDNiL2hUdjJsQi9vcEdvc25QV3hMc01KSmpzbkRVcUxpNk9keG1vWjV3ZmNEQWE4dm1od1FmM2pSczM1aDJWMnVaWFRheDVjdWZPWGFmTm1qM0htZlArUERWcjJsUmViNE12SDRkUWNhUlllWG41S2k0dWxyWFd5dXJqcUtLLzI3aHhJM2MyTjJMNUJRVjYvS21wOHZsODhTNEZDYVM0dUZpN2R1K09keG1vWjV3ZmNEQWE4dmtoSVpMdnhqVXIxclJwYzl6NXpkb2tUekt5NXhVVkYvbUtkaGI3SkhuaVhSc2FsS2hraTQxVWJJMTlmM2NrYjl6MnRXdDN4YnNvMUk4aTYyNXFZc3dtMTlya0hidjR6NHlEWk8yV0ltdTVlYjJSNGZ5QU90RUF6dzhtM2dVY3FMWnRlelgzdEhiYitGeFBXNC9qYXhidmV0QndSRnliNXpGMmE5NzJ5TmF0VzdPWi9ySHhjNDd1M3J1bjQvVzFpM2NoRFpIWFVjZW1UVFJjcnJ5RnJ2dDZZY1Q1S3Q0MU5VUlI0Mjc3Yjg2S2JFbHV2R3RCbmVMOGdGcHJpT2VIaEF2dUFJRDlTMDlQUDhucjliNWhyVTAyeGx3YUNvWGVpM2ROQUlEYWFlaXp5Z0FBQUFBUXdSMEFBQUJJQ0FSM0FBQUFJQUVRM0FFQUFJQUVRSEFIQUFBQUVnREJIUUFBQUVnQUJIY0FBQUFnQVJEY0FRQUFnQVJBY0FjQUFBQVNnRGZlQlFBQTZsNXhjZkVtajhmempDUnZjWEh4dW5qWEF3QUFBQUFBQUFBQUFBQUFBQUFBVUVNbTNnVUFBT3FGTHhBSXBFV2pVUk9KUkhaa1oyY1h4YnNnQUVEdE1Lc01BRFJDZ1VEZ1dFbFBlNzNldi9wOFBuKzg2d0VBMUI2enlnQkFJeFNOUmx0NHZkNysxdHBrajhmVEt0NzFBQUJxanl2dUFBQUFRQUlndUFNQUFBQUpnT0FPQUFBQUpBQ0NPd0FBQUpBQUNPNEFBQUJBQWlDNEF3QUFBQW1BNEE0QUFBQWtBSUk3QUFBQWtBQUk3Z0FBQUVBQzRNbXBBTkFJUlNLUmRZN2ozR1dNOGVibjUrZkV1eDRBUU8yWmVCY0FBS2lkOVBUMDR4ekhPZWRBMWpIR3pBdUh3OW4xVlJNQW9PNXh4UjBBRXB6SDQvRVlZeDQ1a0hXS2k0dlQ2NnNlQUVEOVlJdzdBQ1M0Y0RpY2JhMWRMa25XMm1xWEsrMXpYWGZWeXBVclZ4NmE2Z0FBZFlYZ0RnQ053K09sUDFRVjNzdTJHV09lT1RRbEFRRHFFc0VkQUJxQlNDU3l3RnE3elpqcWIxMHl4c2hhdTBQU2g0ZXVNZ0JBWFNHNEEwQWpVRlJVdEZYU3d2MHRaNHdKNStibWZuc0lTZ0lBMURHQ093QTBBbXZXck1tMTF2NWJVbFFxUHpTbXpNOVIxM1d6dnZqaWl4OE9mWVVBZ05vaXVBTkE0K0FhWTFaWmEzZFZ0NEMxTnQ5YUcxSkp1QWNBSkJhQ093QTBFdm41K2YrV3RMbjB0YlUyZHJXOVpPejdqcUtpb3ZueHFRNEFVRnNFZHdCb0pGYXZYdjI5cENYVjNhQnFyZjBrSnlkbjA2R3RDZ0JRVndqdUFOQzQvTDI2RHFhQkJJREVWdjI4WVFDQWhPVDMrLy9yT0U2bnNzTmtyTFVidytGd3h6aVhCZ0NvQmE2NEEwQWpZNHg1b1lybWZ4enlRZ0FBZFlyZ0RnQ05UQ1FTbVdHdHpTM1RsRyt0ZlQxdUJRRUE2Z1RCSFFBYW1jTEN3azJTUGpmR2xNNG1zOXBhdXo3T1pRRUFhb25nRGdDTmpOZnIzU1Zwa1MwaEtYdnIxcTA4ZEFrQUVoekJIUUFhbWV6czdDTHRuUlp5anpHbXdIWGRUelp1M0pnWDc3b0FBTFhqalhjQkFJQzZaNjFkSWVsN1NVMk5NWXZqWFE4QUFBQ0FhZ1FDZ2JjQ2djRENlTmNCQUtnYlhIRUhnTWJySDliYXBIZ1hBUUFBQUdEZnZPSUNEUUFBQUFBQUFBQUFBQUFBQUFBQUFBQUFBQUFBQUFBQUFBQUFBQUFBQUFBQUFBQUFBQUFBQUFBQUFBQUFBQUFBQUFBQUFBQUFBQUFBQUFBQUFBQUFBQUFBQUFBQUFBQUFBQUFBQUFBQUFBQUFBQUFBQUFBQUFBQUFBQUFBQU1yeXhMc0FBRUQ4ZE8vZXZVV1hMbDM2dG16WmN2ZjMzMzlmRk85NkFBRFY4OGE3QUFCQXpRVUNnWjlLYWxaZHZ6SEdEWVZDcjlkMGV5MWF0T2d2NmQyVWxKUkJraGJXUVlrQWdIcENjQWVBeFBLVTlwNjd0MVhSMTFKU1o1VTV0d2VEd2VPdHRkVUdmV3Z0c2NZWU9ZNXpYQ0FRMkZQZGNwRklaUHZLbFN1L3JrWGRBSUJhSXJnRFFBTVRDQVEyU0dwVHBtbFVPQnllVnZyQ0dQUEhVQ2owUk1YMS9INy8rY2FZVnlzMFR6UEdaTlpndDA4Ylk2cnQ5SHE5cjBtNnNBYmJBUURVRTRJN0FEUXd4cGhrU1hjYVk5NTJYWGVKdGJiaS9VaEhCd0tCRTZwWXRWc1Yyem8zR28wbTdXTjNBeDNIZWNGYWU2bTE5bC83cUNtM1p0VURBT29Md1IwQUdxWk55NVl0V3gwTUJxUFcybklkMXRxeGtzWlVYTUVZVTJuQ2dXWExsbTNhMTA2Q3dXRFBrbTF1enNyS1dsZTdrZ0VBOVluZ0RnQ0paWTR4NXExUUtQUmV4UTYvMzMraTR6ZzNWbXdQQkFJbkdHT1c3bXVqanVNc0NBYURWZmE1cm5zTW9SNEE0by9nRGdBSm9HL2Z2ai95ZXIwckpNbGFlMFVnRUpDa1Y4UGg4TWhnTVBpMnRYWlFTWjlLYmpJOUt4d09MeWxwVzJ1dHZlQmc5KzN4ZUw2cmcwTUFBTlFTd1IwQUVvRFA1M01rTlhOZGQ1Q2tIY2FZbTByR3dzdGFtMktNZWNGMTNXY2x5WEdjejZMUmFHellURlpXMW82ZVBYc3VTazVPVGoySVhlOVl0bXhaWHAwY0JBQ2dWZ2p1QUpCQVBCN1BxbVhMbG0wTEJvTmJKUjFaMmw0eVJqMUxrcW9hOHBLU2tuS2ZNV2IwUWV4eWdxUzdEN1plQUVEZEliZ0RRQUp4WFhkZHlUQ1pKcExLUG1qcHprQWdjRXZKejFVK0ZkdGF1OE54bkg1bDI2TFI2QURIY1o1eFhmY0NqOGV6dXNMeXErcXdkQUJBTFJIY0FTQUJHR09LckxWcmpER2pYTmZkYll3NXkxcDdaQ0FRdU1OYXU4eHhuRGRkMS8yNFpQR1hyTFdWaHJjWVk2TExsaTByRjg2RHdXRFhraC9YVmRGWFB3Y0RBRGdvQkhjQVNBeWJ0bS9mN2kvemVuV3JWcTM2UzVvdnFldjI3ZHUzbE9uTDlIcTk1ZWVRbEpLdHRjYnY5NmVWYmJUV05pdDVjbXBxeFQ0QVFNTkNjQWVBaHFtTjMrL3ZhcTExSk1sYSszeXJWcTB1cTJwQlk4eTZWcTFhVld6K1h1V2Z2dHJPR05QS0dQTkROZnY3eUhHY1doY05BS2cvQkhjQWFKZ2VkaHpuWVdudkZJK1NuclBXZmx6eU9xbGtWcG4yMm5zZWowcDYxVnE3c0hSbGEyMSsyWTBaWTNwTFdtQ3R2Ym1tQlJoanFuMlNLZ0RnMENPNEEwRERkSVBydW05S1VsRlIwYmJzN093OWtqNElCb09uR0dPbVNQck9kZDN4anVPOGFLMzlsYVJIalRHaFVDajBaMG1Sc2hzS0JvUHBrbzYyMWo0VkRvYy9xMmtCZmZyMDZlaTZibTRkSGhNQW9CWUk3Z0RROEl5eTFvYXlzckxXbHpaa1pHUU04SGc4NDYyMWd5VTlVRmhZZUsvUDUvdXhKQlVXRnM3eGVyMmZlNzNlbVlGQTRHcGp6R1JqekN2TGxpM2JXYkw2M1pJaXJ1dE9PNUFpVnExYXRXWC9Td0VBRGhVVDd3SUFBTlVMQm9PWjF0cHB4cGdlMXRwWElwSEluU3RYcnZ4YWlvWDVSUVVGQlIyeXM3TTNIM2ZjY2FuTm1qVzdTOUp2cmJXN0hNYzV6bHA3aWFTblhkZDlPQ3NyNi9meFBSb0FRRzBRM0FHZ1lUTit2LzhhWTh6Y2NEaTh2bXhIeGVCZTJwNlptZG5HV3R2RkdKUGp1dTUvakRILy9lNjc3MDdac0dGRGZ1WE5Bd0FBQUlpN1FDRFFMek16czgzK2x3U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TUQvQTNTN3NBNUMyK0pqQUFBQUFFbEZUa1N1UW1DQyIsCgkiVGhlbWUiIDogIiIsCgkiVHlwZSIgOiAiZmxvdyIsCgkiVmVyc2lvbiIgOiAiIgp9Cg=="/>
    </extobj>
    <extobj name="F360BE8B-6686-4F3D-AEAF-501FE73E4058-3">
      <extobjdata type="F360BE8B-6686-4F3D-AEAF-501FE73E4058" data="ewoJIkZpbGVDb250ZW50IiA6ICJVRXNEQkJRQUFBQUlBRGxlVzF6Z1RkaXZzQUVBQVBnREFBQU1BQUFBWkc5amRXMWxiblF1ZUcxc2haTmJiNk13RUlYZlY5ci9nUHhPYWdodElZS3RVdEtibEc2cjBzdXp3UU94WXV6S21HNnJxdis5TmxubFFvTEtBNEx6SFI5Yk0rUDQ3TDNtemh1b2hrbVJJRytFa1FPaWtKU0pLa0d0THQwUW5mMzUvU3VleWFLdFFXakhmRnkxakNib2srYmxPS0Q1MktWNWZ1SUdnRU0zUEMySlczaGhGSTNEZ0lRMC8wTE9YWmFnRnlhUTg3emV4Ui9oVVlSTXJHTWVHNTFLVWJMcXY5Q0ptZVN0Tm03bk9VSEgyRU5IUFhoTG1xVmxlSmM4dlZLaTRaNVU4SmZVWUEyWDAzbDIwVnUra1ArdUZLTVdQejQ4SGFBUExRYzFqRzBCZ0RNQnd4WjdoSE1GWkhuWWNxZXFhYXZsbkh6SVZoKzIxUFhQanJrc2x1bXFTUHY0cGhKU3dRektWT2hNZi9DaGNxeDlsMUxvQWM4RmgwSXJWaENlS3RrMDY3aE4rZU9qZmgvalRKdFJZcnpacWMxS2MrNkpYcGhKQ0hxVjI2SEJWbmd2SzU0V21yMTFqYjRSRk41N1o3RjZZN1hONE1TelY5WlRza0lCaUJkRzlhSWprWS83OEJwWXRlaUs0dUZ3ZXdOT2RDbFZiUW1GWnJraHFXbTZCam96THd0OTdKKzQySGM5N0hqZXhJc21XN084OHNwdTBLYTBab0kxV2xsaDQ3ZzFON0ZrKzNIK3FZMExvc2t4M2pNUDVIVU42dTZ3K2ZrR1VFc0RCQlFBQUFBSUFEbGVXMXdmSTM5akxCa0FBQm81QWdBUEFBQUFjR0ZuWlhNdmNHRm5aVEV1ZUcxczdWMWJjOXpHbFg3ZnF2MFBLT2JGM3BXR3VBTlRSVzJLb2toR0taSGlrdFNGK3dhUkVEbnh6SUExaEdScm4rdzRqcTJWblhqWEtudnRlRGVXMTZuSTJVcGllKzNZcFhYeVoxWkRTay83RjlMZHVBTU5vSEdid1pCSHFaUTU2Tk00cHh1Tjd1ODc1NkI3NFlldkRQcmNYWE4wMUxPR0YrYUVEai9IbWNOZGE2ODMzTDh3ZDIxNzVidys5OE4vK051L1dkZ3c5azN1OGlVa3dpT1I3WHVINW9VNWZHMk9XemNHNk8vbmo3NDVMOHh4LzJSWkF5UXp4MTBiOXV3TGM0UEJITGN4TWplTVEzTjBZUTRKb0Z0eDZCKzUzY2JJT2p4eUw1Q0xOM3A3OWdGM0hkVVhSTEdqaUhQejRkSWZtYjM5QXhzWGExMnBvL0ZDdEJncjlHOGdDbnl5TkxpQjJOV2l4ZGljaXlQVGVDbmJCRjhzeDVZTmEyU1BqQjRSV0ZtOHNyVWNMVjY4WTF0YnZYODJjZkgyNXJYbEZDVlh6TnZrRG54SytiWjFtRlc4NlprWU44NFR1R2padGpXZ1NHenRqcXgrL3lhNWVVZnVLZ3F0ZU1jcFZpUlZWV085dVRycTdWMDA5M3ZEbXhUNy9NSWRTdUhWMGY2bDNzamN0ZEZvakJxMk1COGZNZ3RYakh2V0hUdGMvY2QzQm9kcjFwNUphUk11MnJMdjlVMktWbExtUGc4MVdyUitaM0RyaW5uWDdGT3FEUVpyeGsrc0VSbFF5YUxlMENtS2owVFV4T3ZtNkZMdnlLWlZSS1Uvc25KS0Y0K09jS0VlZXowT3QzWU5wM2tLSHk5QzcrQXV1cWZicTN3bklZQTArajNIaHpvOTBzZFkvMHJQN085aDZiNXhqOXM2c0Y3ZU9MQnN5eHZtM0RvWjJQNVBVcmhoSGVHYmN1VGRRaDJDV3NVNUx4RHFidDRWdXRJYm1wN2d0dm1LamZySTdxRUdlYmVLZFFNeGcraDNYeUZuYnZKbW8vRnYzeHUvKzQ3ejY5cUZPZnlmT1c2bGIrdzc5Ky9aZlpOeVkzTHo2MGIvRHVrR05JZGRtTnZhM294MEZSRlpzWVkydDJJTWV2MTdGK2JXZXVoMU9MTFFxN3Bqb0ZiTmNVNEhvTWZPTFZsOUMwMTdQNURKdjJpWHozdU5ZR3FZNkRmc3M2K2ZQWHJvTjR5MFpLWmJwdm9MeU91UG4zL3cyRy9aSmZQUUdOa0RjMmpQWVBQYzBZL2JwM250V3g0WXZiN2ZQUGZYTExkTTk4Zmt0Nzk1K3VlUFR4NSs4K3lQLytFMzhBWjZxNGR0SDVyQkJYZEdpMDkwUi81TXVOTHI5MWVzMGNDd1hmQ3pqcHZuRjE5Y1hSbFpnKzBEY3hCYmZCWTJScjJodldYYWR3NjVsUjVhY0xjT1ROUDJPOUxGUzN3d1BXTG80aytQR0tpRW9CUkdCR3ZHQ0MyZVRsdkpFaCsrZ0NCQitLZXp3b2V1K0ZhaGVSMWh2bkRma0N2dUUzMzIrdHZISC83Um4xTXZEKy8yam5xM2dzZkhYYkYyWC9MZVl0SkE3OGNpV3JydkJuSVhqZDJYOWtmV25lR2VKN0ExTkE1cHFDZXNmdnpsVHpHV2RDZStOTzNlRWtOVDcvd0thM2VsS2VySkloZDB4b0x6RUxGeUtaaWNYdjNvNU9IanlDSkV4TWhnSTR1eEZHME9LVjIrZlJ0QkdWd3NxWlJpdk15UlFrclpralVjb3JyT3pSVTVaQ3dwOW42dHJRWFd5bmhBR0wzaExmeWU4cDdsMTN1MjBlL1o5ekpzbDdWTTIyVSt3M1pxNGRZQnd2dXgwb1Y1MTFidnR5UGt2RXZrYjNlNElTek5rUWZpcjNwb1JrQzRiOWM4T3ZJYWRmek5heWVQSDBTYk5ES0dSN2ZSQ3hxZk4zeEVyM2VUazBxSUVtakowc1hoUGcwdmtyTFZEUmZlS3FyVVVlamxCT0YyS1pYUkFQYXF5ektxelcwU0tEM0hyY1Z4YTBpYzNFMlFZdUlpWmFiczl3NHB5TnN2b3dIdmVWci9MUkRrZThtd2pZUkZ2VnVYOTRqNUZCVm9Ja3dwUjY4YTVZNExTeHNXZW9lUDRqZHlMcnVQZk1NVy9QbklHVFI4ZkJVaGxWSWFUc3FZZTNEZVVaMWprT2hQVWJrR01Uemx3RUxLWTJNelNISU1raGdNUWk4RE5rZklOYWErN3BJZDYrUzZ1d3U5dVVGVG1LenpMa1hXdjdYZTBXNjg2dFZiUDBHVElEYVhLSXFONVZpTmhlVzdKbVVVazZ1WFJoNVg1MWFTNzE2aW9qTTV1bkRqSCsvMGRsOWFNNDdRa3FjSUNlU1V3Q1ZiVnIrM1IrMWFmOEwvd1czM0g2V3pndnNsMy9taFNTM3hTMitZZEpkRFJHakpJRDJCY0tHZExyUmgyTFk1R3JvdlBGV00rQkFXUnlQclpTTEZleGd3T1NNNWoyRzR4eTVNbW9vNklxOUxFOTJLVmk5ZHh1K2Z2OENpaDRhVUhSaDdKbGtLdUUzek5nYW5ncUxzcW5UbDg1NzJ4TE5KZlFJTHptcWQvblN3QWFqdG1PSFQ1NWVVR3l6TWgwWmlaTGxGNjM5aXFCTlFFT0hoMitpdjVWZHNjN2pucWFaWmw3WjIrd0xoTlR4djJpSVZJdXQ2MXV6ZzE4aFk2MzJaMVFLTGRxUVM2MHpxVjBvQUJEUnI0Tjd0YkFzZDBobC94MU5BUjZ4NlNHdW91dE0xMmZXM1g3RWQwcGZGeUlna0ZUY0U5MEU2TC9ZUld1ZXVML1o3KzRpRExLR1p6aHc1TGg1blZEa3ptNllpT3JsdDNOcXlMWVRQZGVvNEliZU12RzFkL0wvMFppd2RHQ05qRituakx0OTA1bDZYUG03MUJsdDNoajVyRkFQV21IZkxEWFRIL1pGeGVPRGRjdXNRdjVVdWhYTWJpVmU2NGQ1S2IzUmtFeG4wQXpNMzcrOU5oOXVSeXNhdWVkRkUzV2NHdnhkdjJ4ajhab3hEaDlBZGNjNU5aWmNIT2tzcjdqN1pZMzVwRTV6L2NGTEtTUG5oSWJmaHRISHBac3FiRzVHM0R6M0I1Nzk3ZlB6K2g4ZmZ2WEg4OVFjTDgvWmhscGI1dzdSaU5MYm9Gam9GWkZ3bDVyRllGZWRDWkdsZE5hMkJhWTk2Wm1MNmNrdnUwVlN1VzJROVNNZVc2OFNEbVNHdzFMZU96TDJNeFhIZHdpNldUQldZdldiY1ljMjZhMjViYWQzSml2dUlNQXV5SW9MenFVckpLbHFuT1NuZE1wK3FoOFdDak5kc2VrcVpPcjZTQmZXUEE2clNoWG5LUytWZkRONUJGMmZRZkFQK3UrNzVCMVNLZjJBVGdSY0RyK0FlOEFndUZITVNDQ0lGSGRYZ0paQkZDcS8zb1FITk5SR0NBRGhJMGxJUFFlM1VQYmV0UkxSdTRoZU5iOUxKbHlBbytld3I0aFVPSHMrWnBVNzAvZ0FtNDBSQlcwQmxtTjQzdjBvVklxUHlRR1A4V3dLTm1SVWFNLzdrNStPUG53Q05jUVhhUVdQS292WktaSVY1eW02T09CUXpvWGthTVgwaVV5dC9xNEd1dUlGYmZIc1g5T0pBZklLd1JNUWNoQkcrRklIWTFwQU9zb01VTzFtaDhKSWd5VTdYTzEzMEx5bUNrSjBUdzBSckJWNWNOOWEzYjc2QTFnYTB1bld1WEYxQ1AxOGdiUk40b2JPeHVCbjU3U0xwemszaFhPTGFqdkRpaXk5UzFYa2hVVmZiVGpQYUVNNm5kQm9EL1ZORllobnVsL05POTJheFFhSEQ4emhjN2RUWWNXcnNaREpFTEx0NmJYSHowZ3M4cFlNQ3VxanJSUFFGeDRpL3h3YTlTQVU3WVJMWmtmRlREdXJ0NEhvN0tmVkN5RXdTQ3ZCTEpJVmFYWVJpQm0wbVNSaVVkb2M0Wjc0d2F0TzJzZStzSDFqYUh3ODN5Zk5sWWEyc2xBLzE1dWxtZkJKZFBNTDQ1QnpoOHNFeUI2UkdnbVU0bUU3eWVRUXZWSVlHMnd6SHlhckN0RlNReFF6VDBsSFlLWVZwZVVwVG1sTU5ocWdaSExpNFZsWWNRaTc3cVdKT3JqWjZiZnJrRHovTGRuK0lpQm5PY1EreTRIQWlmSGphemdBMDRkd3NZVHE1V1NRRVdzN3ZtcGVkSlNoaVI4dGVIUXRtYUlsaVI0UVVyVW9wV2t4ZENEbGFUZlJYVTBsYXZqQ2thVUdhRnFScG5mTGdSdkUwTFRsN2R2QnJOSitteFRLWityWHF5OU55MVVLRUF5SWN0SWVUVWtiS0swUTRQdjFvL1AwdlR6NzUrdVRUWHh4Ly9HVDgyVy9SM3hEcWNBWGFFZW9vbEttVEM3T0lLT1JzTmFDVXNlc25sN1ZWeGFCbUFpRmk0NEVRaCs2WERtWElsT0NDVEExbEJNRVZnUStwTEI3UFlGZnBCMnZ5MnlqRUZBb2hoZUs1eExVZE1UTmNJMGg4WGdzckt5d2RzZUdMQkd4d09MTCtZRTN3UUlxRWF3UkJLeEdxYVRBVHNPWXdEV2tXYzZER0czQ1VDZ0pFZGlDeUV5NW9CN1dHeUU0WkNOWm9aSWVTbmUxb25hMGdpOVJRa0VXZ3ZHL2hiQWFaRW9SaENyTG9YVDFqb1ZOME5XZFJVNHFzYWxyY3FRUGhsY2kvL1BBS1N3L1dIbDNKZmNhQmZaT0lyUkF2RUZOd3BiN2VLaEJiS2RCYitMVTlLNEVWU2RRRkJ1QjI2bUlyS2R3ZFlpdmgxcDJSMkFyTHpFVnFSRmYyK3FNclRIT1VYNFYxTHZVcnhmQkI2Y0NLRm8vTHRET3V3azh3cXNLd2V4cUVWL3p5OHVHVjhhLys4dlF2RC83Lys0L0toMVFxV3JBcUlPM0hIOS9Id1owbnZ6Nys0dUgwTEJHeEphLzk2ZG1idjBkbVBQM3plNnNTdXZEODB3OU92dnEzay91ZjM4Q2xaTU1BWW1lRklGUkZPN2V3SVY4K092NmYzMHpOaEhWa3d2akQzNDMvNndzSXhia0M3UWpGTVMrOVRNQ2NTRmI4SXFtUVFXY25Gc2ZXOWRXK3hHcGdMRFFWaW90NGwrVFRsc0lyeXBEQzJ6b2ZFNlR3UWdwdjZOTE1lWm9naFRjUUF6ZFR1SFZueE0wRUtieVF3Z3Nwdk8zM01UMS8rRms0aGZmcGs3Y2hoVGNRYUlmZkFGSjRFeGEwMG0wQUtieTVLYnpLQkZONEY2OXRYNzI0dkhwNUhlZVZldW1FNTV3a3dleVVYSzNVRFpJSnR2Z0d5K3VYbUt1N01JQXZXSDB5eWEreTRwclZqdlRYcnRiUmxJWXpZRVhpR1dwZENpdzlvOVViUkxRS01xVEFRZ3BzcUtBZDFCUlNZTXRBbUVaVFlPVVVQOHVNcGNEUzluaWU2U0NGcENnUXBJQWdCUVFwSUVnQlFZcXdFQVFwSUVnUnN3NkNGSWxhRUtTQUlNVU1CeW1lL2VIUjh6ZC82ZXluL3ZSLzM0UHdoQ3NBNFlucUJrRjRvazRiWmp3OG9jMUNlRUpVcHhtZWtLU2kxU2NUbmxEMU5vVW54RzdYdzBuTmhTY2t1WmdMWjFMaENXcTB3UnRFdEFvcWhDY2dQQkVxYUFjcGhmQkVHUWpUYUhoQ25ka2RPaWhnb3pzSnNKRUZKQ1NCc2w1NE1FSGw5WnhOd3VUWW5sMXlzR2VYZEM1eGJVZkszQ1RNL1FvamU1ZXdxaHBMSXhGWktRSkZ6cXYrNGw4M0dOR1ZNbUJFMHpwU3FXUUpVU3dVVXpxUEVJazZUVWdDNlE4eEljQVhnQzhTL1h4MjhZV2cwNk1rK1dxcmZleVpxOVpkTWhyUUxXZTQ1VXVxcmdsWHVTaXFJckNLbis4dDBzNlltZFQ1M2dwbHRXUEsvMUIxeWdsOHdRS3VKc2RQNlFPK1JYV0dqL2ZPVE1mSWJSaWM2RDM5NkRlYzZCMFZxSEtpTjVwdVduR2lkKzZiNTFlcDZ6eHZyQkZpMEJDRHBqMmNsREpTWG1FenByZCsvdnpWKzArL2UyZjg3bHZIbjN6Ly9NMTNqdC8vd3ZsdUR1TFJya0E3NHRGd3VEZUxDUXhyUjhQeDZPbGJNT25EdmNNNTZpTHROSXRhdG1rV3FWNjlXdExVSlZHbmNjVkNlZW9xSDQ5YVFxSjY3UExwU0ZSbmVkQ0JqUlBadGRuNXRMTEZ5ZXJGK2d5eTFTRmJIYkxWejVDRGdHSDJJblZpaTMwVFRnSzJlY3F2VlNsbjNkVUdTZXZlTGNGaDBINkh3Zkc3Ynh3L2VOdEpYWWVrOVVDZ0hVNkNBcFBweFBMV2k5b0VxZXQxMnREUWlKaUlMNkdwSTU4UW0wZmRRdUhua1RNUnkva1NSRTN0S0pTNFpvQVdGSzJqNStRbmFmZ1dqUjFwQ0s2RWNCbHpEOWJ1U1dCNXpJR0prL0FrZUM4R215K2h2azRyNEVvbzFtbjRhRk53SklBakFSd0pwOStSd0RwNWtWclIwNDlyZHlTd3psSitMZFlKMWErVWhBdWwvUWlDOXlrWXVCSEFqWkI0T0EyNUVUNzUxMmMvK3lsNEQxeUJkbmdQQ3MyZ0xQaUtDRmJ6SGhTMzZlejRENWg2djVJRkRZMklpWGdQbWpyU3AwbnZnZFFWT3BUTkNzRjdBTjZEdUVIZ1BRRHZBWGdQd2tMZ1BRRHZRY3c2OEI2QTl3QzhCNmZPZXpEK2w4L0g5OEY3NEFtQTk2QSttOEI3VUo4Rk0rWTlTRzVtSXpaL3NJK2JMNUM1SjQwb1JYZUlRYi85SFdMa2M0bHJPekoxVDVyUVZudWEwSkZ5ZHFXcFI2ZTM3WTc3aFVWMks4V1lSakhRS0o1TFhOc1JNM2ZlQ1RiMFMyOWlWWVdsTjk1UmhJN2FMYlFOb05nUkd0bDZSK0xGanN3WDMzeUgxQ3UxRmFDb2RIUzV5SmN5a3REaDIzaGVFUnI5eFRZRVJHTUpOdXdwekxwaHc1N29QV0hEbnJEQWJINVdtd3ZOMUk3YXlMWTV6c0xUWXVYT1F0Y0E3aU9YbTk2MWg0SWdtOTk3MlkwWlpXT3IyQjZEb2t4QmMzTE5DTElXbllBZ3c3YjVDUEs4S25XRWxrQklwZXNndW9sQnlQTUlFaXJkVTRFaGkyNHFEUmdTTUdTa0FEQWtZRWlxVWxGdkFzT2RwK3k5M0E2OWFpUHVRbko1Z21kOG90NmJzVE0rZFUyRE16NlRLdHFkc1FSbmZNSVpuNkZMa0s2VTdDeElWNm9FZWlGZENjNzRURmFDTXo0aFUrbE1aU281RzZXY2ZIVWZ6dmlNQ0xRalpRbk8rRXhZME1wVUpUampNOE5qUUR0d3EzbVBRZWxQblBMOEJReGZPQlgwRjhBSFRqUDVnZFBzZWd1bThtbFRvZTZDTDV2QVZRQ3VBbkFWaENzMC9GRlRLVmRCeVcrYUtub0s0Sk1tY0JSTTJsRXdmdlRmNHpmZU9QbnFQcmdJWElFWmRCRTAvMEVUT0Fpb1Nwdi9scW4rY1RDNXo1Z2t2dkVrVklmVjR6Vno4ZHIyMVl2THE1ZlhjVnFrbC9kMnpzbG1ZODBwTFhnUEwwYzBhc1R5K2lYbTZyR0VUOWJxcGRNMytWWmtiZ2I5TlptOHpTTG5lYlkyWTdOYk5HTlRoNHhOeU5nTUZiU0RqRUxHWmhrUTAyakc1dW5JWUpSb0oxVzNPQjZocUZMbWNpZDMxWnhsRGNJUkVJNklXUWpoQ0FoSFFEZ0N3aEZ0Um9BUWpvQndCSmVHRzRMN1FEamlMSVlqanIvOUZwOElUdzU3ZzRpRUt3QVJpYXJtUUVTaVBndG1PaUpCT3lhK3FZaEUrbjRSZW16N0JwMnlRNFhPdml1R3BPazUrMFhVb3RBTGR6aWVpOHdXU2tKVUlmcWQyS0FpZEMxblJ3eFpsN0xiVjFsZCtmMHdKRUV1RWxNUitFWWlLcHB6Mm1MQmlJb3NSV3N4NzRNaEtGb0J4NU1pRm5JOFRTcWdRbzJQZU9PT1VnRU5JQWlvUUVBbEtHZ0huWWFBU2hrTTFtaEFoWElPcTZPMTJsWVVlS2xwcVdLOHJFMCtodFRVNW1rUzdRRGdtamRQcTdpdG1Felo1YXM2VEt4RkljQkV2OENIaWFLa2VJOTd1a0JSbHBXT3JrME9LZ3FDMWxIRlBJL25ES0JGNnY1bjN2QUR0QmdXQXJRSWFESFJ6NEFXMDVRcXlRd1NSMnNsME9hdU9LMVZmY29RSSszUXgzb1JZd0NuU21jNmV3Q3daSnB6MUlMQ2FjNGVQR3RYa25ORE9Ddm9xMG1nckNJSnp1M0VWNElLK0Fyd0ZlQXJ3RmZSb2hyd2xjQ25wR3JOV0g0ejdVeW9HYzV2VmxUcTNxK1Ezd3o1emVrV1FuNHo1RGREZmpQa043Y1pBa0orTStRM2MybTRJYmdQNURlZnhmem1rNDkvZmZMNWsvRjNyeCsvL3lIa043c0NrTjljMVJ6SWI2N1BndG5KYjQ2NEI5U0czQU1Dbnp4WUp3UWlGQXF0cU1VL29FcXBkTitwTHhjNXVrVUZ6MENsYzF0eSs2OTJ2MER1OHcyc200UlhBTDhHakdlMjFOUlhCWndDQmZvS3ZhL2dFZ0NYQUxnRXpvQkxnR1hPSWpVaXkzbjlQZ0dtNmNtdndqYUorbFZpa0tEOE1TMHErQUxBRjBCNXlFMzdBbjd4WVB6V240N2ZlbmY4bncvQUkrQUt0TU1qd0R4L3NpQXJJbGpOSlZETW5yUGpFMkRxK1VvV05EQVNKdUlVMEU1WHpvREdpNUF6MEM3UEFPUU1RTTRBT0FqQVFRQU9ndkN0WjhSQkFEa0RrRE1BZm9LMit3bkd2M295ZnZ2OVp6Lzc4dmp4SS9BUXVBTHQ4QkJBemtETWdsYjZCeUJuSU1VOW9KOHk5NEFxZ0hzQTNBUGdIZ0QzQUxnSHdEMEE3Z0Z3RDRCN0FOd0RwOXc5OE96clA0eC8vKy9nR0hBRndERlExUnh3RE5SbndldzRCaWliR25WbllWTWpSZUNudUttUm9nZ3QzTlJJRnRxenA1RXlnVDJObk4zUDI3YW5FWDJMSW0vNDBDb29zS2NSN0drVUttZ0grNFE5amNvQWwwYjNOSkpUMnRQK0xZMlNNRU51L3BUNE9tREdWUGRPVlBrMkhoQ1A4V3ByWUVaWGFCeG1GQXdIVFFwbVVGR0ROM3hvRmFoN0xRTE1DSFV6d0F5QUdhRTduRldZUVluVU8xcG5FV2JRem9kdkhjeFFGVzJhTUFPN3Exb0hNL0NoZlcyQkdhb21OUTB5aW14Vk1TbUlVWGgzWmcwZ0JrQ01VQUZBRElBWVZLVlNJM0VPY25ueUVLUDUwMlZyZ0JpYW9FNFJZbWl5RGhBak80dlZOZWFNUVF3cVl2Q0dEcTBDOWZ4V2dCaWhiZ2FJQVJBamRBZUFHREd0clljWWZ2NlZCekJvQjVOdUlnTU12RFo1OENLNFVHekZGRVRLQ3hCYUk4dCt0cUhLY2tkTXB0K0d2OXZvNkFybGxJN3crcVlXV3VEMFNYNjNVZnNIRmJsdEphTHVrVjYxcGVPenJJK0NvSnp5QmJLQmhIWjZmN1JwMFpyVy9uUWlYelRCUEdlOCt6VUtKWmd6dlc5K0ZkWVp4cThVbThYS0o1ZnJrRnllU0M3ZjdnM01JMjdkZkpuYnRBWUdaSmszbFdWKzQvOWVmVzBML1g4ZEVzMWRnWFlrbWs4RmNUTlAzTTJsZGhjemdXSFphRGpWZlBvV0ZIb01OU1NVSjhnTDdZemM5cE1YV3MzUVYyWjVYNXdEYjRtTEFtOEIzZ0s4QlhnTDhCYmdMZUduMUF4dldaV0F0SVFFZ0xRQWFRbnNBZExDNVpFVzJxbmJyU2N0c2thQjFCQnVBZG9TTGdYYTRpa0QyaEt0QWJRRmFBdlFGcUF0UUZ2OFVxQXRRRnNLV0RCMTJrSTdEYmoxdENVNzFpSUtYWWkxY0VCYWdMUndRRnFTTllDMEFHa0IwZ0trQlVpTFh3cWtCVWhMQVF1bVRscG9wNVcybnJUSVV2SXp1UUFEU0VCYW5FcEFXb0MwQUdtSjF3RFNBcVFGU010MFNZdUFTTXVxQ013bEpBRE1CWmhMWUE4d0Z5NlB1ZEFPVW13OWMxR2xySS95SlVrRTVzSUJjd0htd2dGelNkWUE1Z0xNQlpnTGhGdUF0UGlsUUZxQXRCU3dZT3FraFhhOFcrdEpTMWVoOEF3Z0xiRi9RRnFBdEFCcFNkUUEwZ0trQlVnTGtCWWdMWDRwa0JZZ0xRVXNtRFpwVWZoR1NZdVVuTjVEb0VIUnkwWmF0T3d0LzJVOWR4dXhiZ3duNUJ5STNKMWwycExmVmlLODR6NFRJQzRKSVNBdXMwRmNwRzVSNHBJejN2MGF4WWdMMnh2blYyS2JZL3dxaVhtc05IVVJ1MEJjZ0xoTU9VOE1LRXhFNEN4VEdOYjV1MEVLVThnRWh0V2pZUUl4ZlF1bVRtRm9COUcybjhJb1VrZkx5aGRUWklwaVlEREFZQkpDd0dDQXdRQ0RBUVlEREliNnRPRkxsMGhsSUM5QVh0cENIYVp2d2RUSkMrMkk2L2FURjFYSmpMK29QRVJmZ0xzQWQzR1ZBWGVKMWdEdUF0d0Z1QXR3bCtBQ2NCY091QXR3bDJJV1RKMjdTRlBrTG1JelgrbXJPcVZ1ZWVZaVNMUDl3VXNSN2lMQ0p5OFVJZUF1cDVXNzVJeDN2MGJ6M0lWaGx2RXIxY2RlSEszQVg0Qy8xTVpmMG01RUZTNUFkb0RuaEFXQTU4d096MkZZWkJwbUdkTzNZQkk4WjhrYURoRk9pYnlmN2pWdVpXUU5pREFHblhpdVI3L1JKRzA3MHpyKzVXQVNQRFY2Y2p5RzE1WXI1ZndJOFBkOHJoWXhyS1hMcGtRT0s1R0xLa2x2aWhEUklvYTFpQXhhRkVZdGNxQkZDblFVVlpEYVYrRldGTHUveHRnQXRSWUY2UTBvM1VIZDRrOUE0S1h3YzVieXRZaHNqMEdVcWd4WmtYRXdpV0tWSVN1eVBSQlJydFFVeG1GVnJTa1M0M1FsNmlVSFYxUkJlbDkxeTk2ZmJTWU0yMS84V1VpTU02RlVhU2FVSkxhbWlKV2FJazJrS1hKeExjVWV1OHcySjVhZGN5WEdPVkZTYWxHUTJvRFNIU1F6dnRoUzJSNlMyVjdzMGgwa0M0d04wR3BSa042QTBoM0VPbW1VblZwbHRxa3ZyNE1XNWtQWWRtRit3OWpIb1BldlVFc0RCQlFBQUFBSUFEbGVXMXdrOE52NE9nQUFBRG9BQUFBT0FBQUFjbVZzY3k5ZmNtVnNjeTU0Yld5enNhL0l6VkVvU3kwcXpzelBzMVV5MUROUVVrak5TODVQeWN4THQxVXFMVW5UdFZDeXQrUGxzZ2xLelVrc0Fhb3B6c2dzS05ZSGlnQUFVRXNEQkJRQUFBQUlBRGxlVzF3azhOdjRPZ0FBQURvQUFBQVRBQUFBY21Wc2N5OXdZV2RsTVY5eVpXeHpMbmh0YkxPeHI4ak5VU2hMTFNyT3pNK3pWVExVTTFCU1NNMUx6ay9KekV1M1ZTb3RTZE8xVUxLMzQrV3lDVXJOU1N3QnFpbk95Q3dvMWdlS0FBQlFTd01FRkFBQUFBZ0FPVjViWEppUldzNndBd0FBWXg4QUFBa0FBQUIwYUdWdFpTNTRiV3p0V2MxdTAwQVF2aVB4RHF2dHVVMGN4M1lzeFZScGFVU2xCcFVtNHVkbzdIVmkxVmxIamt0YlRseDRBQ1RVQTl3UUJ5NFVEdHdRdkUwcGVRdjJ6M0VkL3lpRmlLU1ZkeS9yOGV6TTdId3pZM3ZjM0R3WmV1QUZDc2F1ancwb2JWUWhRTmp5YlJmM0RYZ1VPdXNOdUhudjdwMW1iNENHYUV4V2dBeCtCWGJ2RzFCV0lYaG9EcEVCSjYvZVhiNzlCQVZMekxidGUzN0FlQnR5eFB2cjdPdmt3eGtFM1lGcCs4Y0dYS3RKVlRhdWJtY2kyTzZ1eGZTMUxBdmhVQ1BzanFQcHV1UTRVTkJVUm12WVZqV20xUml0cm1xMmd5S2F6R21Tb2xocVJLc3pHcEdJTkQyaUtZSm1XWW9jMFJxY2huUmIwaUtheE9VaFc3TVVXSm5YOXFSY05VTS90NzFhbFhYZG5yR2Q2MHJZbmp5amtuSEdSb2JQSktGWGJhaHl3dlptSmNZdGhlWU84WUFWemtDUDBURmdkNlVVZmdUaEVXcjd3ZEFNd2FNajF6cnNtT05EQTY2bk9CbDMyL1U4d2R3N0hSSEpYZDl6N1N6VzJNSGdzVGdJSFJERXRwTndUbUhDenhlcnlicTk1MktVZTNmSzhRUzUvVUZJbFVzYktobGFwcTRwKzdZNW9yeHR6d3lMR2ZmTk1FUUJaaDdPdHAreGJxRytpMXRCNEI4elRwSzJYZmNsY1ZnOWY4c090cSszZ1RtQ3VHb2VMTmdHanNjQmNnZ2lPaHRRb0tPeW1VUkg0ZmxQSkN2VmZDTXFrUldaU0JaaTFlVEJXb3dsTDBHZzQxTkRzdTFvVmdvRU5TdFhRbndKMFovbGJjUm15dHM5RjRla0N1Y2Rjc0ZaVWVaRG9qNUZDQ1V4S2NQK2xvVzlYSWI5Z2hGaUlzdDB1TVk3VUZuZXdaTGpYSzdSbWZlNm81ZUJEaFpaOTIxRVowNVZVZjlQM2E5dHlIU1VXVkdBazZMUm1aY1ZXcGtWWUpGWlVkZm96UE4yK1JVZ3Rpd3pJZjRLSWlielJpZEUyOGZoYkhkcHhsdmNQNUpPWjdiMm04Ulg5RjYyUUwwa2VUTThLOXA1SEt5TTdpekdoQzQ2dEVvOTJjMjlQUDk4OGZFYlNMZjFwdHQ0ZS9NV2xZcUNSM2lpVk5UbjJQQlBwWUoydzVONEorcEVMWHJCS1RqajZsZUovRGlhZHFFRlF5cHllK2hFOUtHSm0xcWUyOGNHM0VhWVlFODhZejd2aHY2STFWQVIwQmMvejMvLytESjUvM3J5L1ExaElKdTVTZnhoblBQalFmaGYvSnRJTi9nSFptQmFSQ01Rb0t4RlhXZ2VHaExSdnZ1VUJWZmJITHJlcVFFN3JoWDRZOThKd1RQekFYTFRNdmVKeUg1Z2pnWkFuS2srbGJHTDdUM2toTkc2N1FiajZjVUJUU01leGlNS0xGV2VZWEhIREVqWWo4R1dINGIra0FrWE84bUtDeWVMSG5WZCtoSElDamNIYW0rY0dUUXhBMkRMcVJkSTJ2YTVId2laQXpMcmlYaytjSE9BNFBFU0t5OU5LMDFiUGRPa3lEUnA1VXhiWWE4dDI3U3J0NUpWVHp5aDZLTkVVQVdGWElrVi9XSCtCMUJMQXdRVUFBQUFDQUE1WGx0Y2V4SVJOcGtsQUFEdkp3QUFEZ0FBQUhSb2RXMWlibUZwYkM1cWNHVm5wWGw1VkJONXQyMFVFSm1NekpPUWRnQUVoRWdMb2dqSlp5dllnSURNQ0VKYUVaa2FJd0lTcFVoYUdZSU1wZ1dVRm9USVpHUXlLaURLa0FoaCtNUVdaSmJRa0VsRkpxbHFNVlNUNmFiZnUrdDc5OTExNzFwdnZWdkorU05WdjFSK3U4NDUrK3k5SW5zdjR5SzJlN2k1dXlFMmJkcUUrRW4rUXNobUVNZisvdlEvT3Y2K3lmLzBIcHRrcnhDYVd4RnhpTHNLbTNZaE5tdHVVdERjSk90Rm9CQ0lUVXIvZXdIaTM0OU5teFVVbGJZb2IxVlJWWk12YU4yTzJMeEpRV0d6b29LU2txS2kvR3E2L0RwQ1VWTkphNmZkMFMzYXZtZVZkeVhxZkgvOWR1WFczVDg4N2RiMUd3SDNIRGgzK1lhS3FwNitnYUdSbWJuRlhrc3JlNGVEam9jT094MDc3dXAyNGtkM0QvK0F3S0Rna05PaGtlZWpMa1RIeE1ZbEphZGNTU1ZjdlphUm1aVk56cm1aVzFoVWZPZHV5Vy8zU3F1cWEyb2YwaDdWMVQ5cmJtbDkzdmJpWlhzUHE3ZXZmK0NmcndkSHg4WW5KcWZlVDdONWZNR0hqNS9tUHk4c1FuOStYZnNtWElmLzJ2Z2IxeWFFd3IrZy81ZTROT1c0TmlzcUtpZ3EvNDFyMCtiVXZ4ZG9LaXJ0dE51aWRkUlgrV3lpOXE3dnIyL1YrZUYyNWROdWxkMEgvRURkYzVkSFZQWDIyUFBNb0wraC9TOWsvMi9BYnZ4L0lmc1hzUCtEaTQxUVY5Z2tUNTZDSmdLTGtFcjNWdVVpL2hYMFRmREhkSkhmd2lyUG1qTGR3RUloZ05BYzRQaWMweWptTUdHSmI4RWFlT2xMWTlNenE4R1NITEVDdU1RblBMTUlpSC90N0lwNXlrdjRoeTFWbzlFcHF1UE1tVGVKOFYvTEpTVmluWTRnUmljVU9GdXlQRlYxaHVBVEFpNHp0c0tlb0Vpd21pUEdjdW01MThMbmFJK3BSdWdCOUUzcWR1WlpiSDdFd1hlN1J1M1RzTXBJeFZqVWxrNDBMMjFKSlBFZjhPVGpEZlpwd243aDlxRXR6NE5iYXRnZTFwNnZaNys2MjBiVk9oenV1bnJ1citqQmxaaXZCd3ZYQzRNNzcxZFZ4L3g1b3RTemZOQXV2NmJhV3p6a24yODVYb3o5NFJHZFJXS1QrR2l4YnZBcjZRNVFvNksybWcyWWdkRjV4UDJBYTFrL3g1QjVmbFVMcmhaQzhHdFE1TXFBTFNCYUwwZWxjeHR6aXcySlc3UVJHY3RSbWhKY3ZBUFN1aU4yd3dXeElGT0E3bjFyMGJQK2lSUENpSDhiOUhYQUNjZWliaVBGeWhBejEyU0lnVHd1TW9mekhMY3lXRW9uMjYrU0dUdWhGVEtMK2o2YS8rbXBvT3RJTjhadS9GdTZvZk5GcHNZM0Ruend6Y2tYb0pUS2R6bldqZE5hSWFKQ2x6Q1dIYU9BYXgyOE8yaUVuSGVTZlpHWldyVnh5UG41ODRQMnM0Zjd0MTFpRFk1VkZ4U2Z0VnBrdHRSYXJWMjY4MlRvdVZhQWpwMDlMelFoTFU1M3J5ak93YVV4c1NISVBxQm15ajV5My9Hd3pJWERMOTdkMFRXNlhXMTFtNzczWEdRWVZiM2FmYnlRRnVSdzFxUEdwVXhhLzVrK3hIbmZjVXhTeGRnRnFJOTNKa0Jwd2p6Sm85MFFNbGVjQ2pYL0FKNUhhVWsxeEVyd0NVR0NOaS82QmltR1kvb1pwWWo1RGdjNFRXQ2o4QWhDSHF2Q0VhNEZVVDFTSlVnNXY0V1NFNkdkelRhbUdNZVhsR0ovQVJRQXRnMGxtd0dCbi9McVlpNHRQbzBqb2lIOWZKd3Z0SzJ0NmZRZjhLMlpuaXZOTWFFWEc5TE1KaWlaTGJVZ0pkdlpCdTlJN25SUWVGeFdkV2JwMTNpTWRjWGczZzhRNm1hcjVQZ2Jrb1ZabkcxV1hJdlpJWStBOEpEQlMvT1hVaXlEc3REUnBqRnVGLzM5eWtQY3UvMkZ5ZldXUTdyaFZvSDJYaDczelJsL1ZMMDhlRC9TNmpLMTVZNWs2TGpBeU12dGN0MnduNFovOHZqaXNjcXFYR3ZOTEIzZmZ5ajlONEg2bFFPR05MeU53R1dSbXZVenpra2VyOG9RWjZuS2dJZWtqdDZwRDFrTGk4bDhpNXRFdlZoVFJmQjMwalAwU2pSZmh0Qm91K2tjeFNQbHloQ0tqNWNiSFpCNXB0cHdRa0pWeUNKV3E4VkwrVFQwRXF3b2FscVFXbyt0bW9QWlhUQWRGUFdoUUo5eW5EQWJrdDZ1bFNHNmYyYm96Z0EvWkJ3ZmIzVDJoOVQ2VUNnWmdrdmpJSGtRS2d0QTh1bWFTRVhDZnVrb2UwQ3NwOHdpcVV2TkNKR3NhK3VVMWpDNkNnSGZzekZKYTRnamFvWEhoNHpRN1djOS9TQjBRUXB1SVZVNElYbU9NWkQyY0xaMUdrSW9QcG5jaWVQbm9WREFDVEl2Tlh1TnRHV1JxV3F2TmkxMmt5R1FqSjJBZDBYQ3NWNmNrZFJDaklKVHFoYnVNclRncy93R0NqWUU2aXVZcTYwL1Vmdlp5T1JXUTlPU1VYcW1ERUhCcU1nUU45ckUrMXNrclJobjhia2llWGR6L2dGbmlUREVJWnhpQzFYZFlpVmUvaXlheUh5OWUzemNOSk5QWGlrVG9FemppVHZCb1VvWlFrbjE2Zk94VGhQYk85QWI5L1pSOFlrdHpXa3hiTytzTkg3WVNEU3ZITWRpTTJoZnVIR1QrWmR5N2VnR2JyZnMzTXAzaktuZEVINHpzN3pNbDl6ZFZSRDhzM1B0OG1MQWg3aXFURXUzVm1Ndkg4T0JlKzVIWGNjRGQ5dGVQVnNiN2xZWUVMU3J5TGZ0UUdHQW1mZkZXQjdOd3N6UXJTdGtYTEpGdm1uOEF0RWFXbDJlNFE4YnhYSmFLZjNET1ZKbEtMcVBPUlA4Q3Fma1VPN2Z4OVJnb0JjWWVuQVlEOG1XSVFRRHZ4QzNBcTV3SW9RZmlOZ0VjWHFadVdQSXJBcGo4RW9kRDZjcmpvR3BVQWVMWVQ1bS9uVDhZZXZrV2xpWlFmRGF2TS96MHFHZXdhSDVVeDBUajIxc2JKcG9FeW1LVDI3SkVQNmxXLzBzVTlUZXJ6WFlIRGg1NndzMDh2aWl2OWRZc2tpeDlFVFlFV3ZQeEIyYTRpSlFXZmlpUTFJcFJnbndSakJPR0FlTGVPV08zZGNvZlhoVkIxcStBMm42ZnB5Y2tTckJzSUU1Q3pnY1V1WWR6TkRQeE1adzlObGhjSWNuZkozTDBTUmNIZ3VEWEZlekdZWng4dHJOQ3grVmZoZE9DUE1iL1RiRGFXb1IzYVB2MjBlM1RSWjFtZk8vakxJL3BWdWZTbE5CcjcybVpabVYrSFFWZVhTTnI3MjJYWjVsc3ordXpYcWVlbksxK2twelYwZWIzYkRGdmJ6aTJyd0Jqd0JKZm0zT3B6cVB5L20xN3Uzd2xGRmlVZjdWV2hXbkVicVZYUUgvQ1VWVDE0dXI5V0xhbjJWbVpsOUgvSkxNVHJ5ZmZrdnJ6MGZjRDJYRkxua1BseHdkZmZsZFpTbkV6amZKdnE2WDcrcjR1aUwrYzVEMlkxdVl5OFB5TXRrQlVsZDh3SFo3NlBGdEFXbVRkSlRaU3UvSHFoSXMvYVdxZGZMTHgySDl1c1dOaTlWSm9wUEV5UWhEY0NEWFdRTzhQRGpGQys1R0tzRUhoUDV3ZUNKb2ZHd01vMDFJN2Rzb0ZQdUJBemN3ZXhhdlZkQWZ4RmZZZzgxRVVEcEEwc0RZaUhkS3FKMW9MclpBYWlaRFpGYno5Y3I1ekR4Mjd6b1diSlh1QmxLa3IwQnlQdkY3Z2d6UlQxTEhtTW9RUGZOd1Z6Vk00cWYyb2VGQXBqcHdsQ3REWkZQQkNzSzg2eGh3Z2srQ2o4c1FyYTNHSVIvYkQwUDRHUm8vK0pWbkxIR0hXQm5taUZCbnBPeEVXSFFVdmdrVmVjTUo2YnpoYWY5d01EcmJIbmtqbE5NenJFVElHNUNhVVlWZE1CTk00ejJucHRIaU9TMzYxd0dYQnhyb2tBa2dNRmxxUGw1d3Q5eTBQS0grek1CZkdnTG1kV3p6eFh1aUFMRUJORTRGaitMSkZZYXdTYVhZQXA0SHkvcm5GQ2JYOFBCdU5Qa2JXbCtNaDZzaFplRzFjUVp5OFFvSkdTYnN3RytGcVdIZ2hTS3dnVS9QU201WUNldlZJOXFNaHZGdnRUMkVJNzN1enZoRE80TG4ranplL3g2aGxXM2txV2FVOGhTdGVUU2cvK2c1cThBR2g4d1B0ZW9SMzZmc0pLZFFtMnZKMWQ0VlJ2bFVjOU55SytKQzV0bXRFK1d1UXg5VnJiUS9QSnc0TkZicHd6NDhhRjlYRDBBUDd5OU8zbGtNeUUxcU92emlxelhSU1hLZnhLME9RclhOY2xnKzIrR1NIcVorcHhyVTRTK2h5eEN4Mk95RktIbUMvZVQ5MmlnZDNIakxmRFZNNWhoMDZ0TmljZHM2ajFVRCt1MFF1Z2ViTGQwREpqRGxGWEtnaDZIOUJJNEZhWDdnVUFOM05Tc0NuWEJGeXVtN0ptbkx1U2hEVkNLbnA3cVpta1FUNGpCek13TUYvQVJSeGZ0SWVSRktzQ000ME0zVUllNlV0UG1OeXhBOFp6aVBSMUg4Zk0yaW9ETmFVdHZZSGQrd2lBS0xDWGNIL0tjd00vVXpZWXZCcEl0ZlZ4L2tMcnBING9aUTAyTS93ajZnU0Znd1FqUVcvODBzeWJDK1ZLVUwyczFIdmFMbW14N093MEUreXlNaTQrRlVDTmZOVkJmSGcraC9UUDVzenpTUzlsRmJCM0xRYSttTzNkSTljQnMzNFVRWVNLYTBaTFpDVHliWDNoN3IyZmhVbE1TZERjY3ozY05jNFc4ZjRLeGd2ay9QenNRa2ZvTGJhazloV3pmS3NNVUpuUkUxMVdtWFdQTVpzL01YNGpzUHFRWGtVSkp0NHh4VkU0ZXhHYnZvdkxzMnJsVFl4YU5vemhDc2Z4d1RtOVhEWWYzdkl4TkQyaDlYNkd0NzZQRGVyQWhDZGRPN2pQdHhRUUVMTC9pSmRnOUxNK3ZiQ2FHWFdJOVAvM0RSWWFFLzArcSs1ZVg2dFVWTDl6L2ZDZU5zdFFMR1RVSW1DNFhKQ3g1ZlBNb2V6VHVmbkNGL2YyZHYzY0FRTnBaekhiZWQrTDBucU4ySFVwR2FFeHg1K0Y3NjlMd2dmTDRmdDNVSnE0blJpeWNaZEdvMG5GbVVJVFlUSGNXYkpwT1JXZ1JyRms2UHNYVnBmYnNuRDMvcm1wRCtNTTRvdXRmRnlndUxHMm01ZWJISklmd3czVjVFR1JvbVZ4ai9YUVBVbVR6QkZNc3JXS3BxSW5JaDBGZ01SUW1WdUVVY05pbzI0ZnZBRm04LzREVHNweVRWUkN2cEtOR1E3UDdPbnFwTWZJL1JnS3QxMTFsdjhOTTVNd3RPOC9tWUE0UkZFN3c3SlBuMnNMSnlacEZ0Uk1nSWxwaExhdVQxNXJWYmVIRU1ZK0NaQkhMNDZENjZEaEFKVnhDMUFCZFFuMlU4bk9VVW5KTkMxejBHRHZOeGZVdnJMeWFsRHVKVDhCRnczblYwamJNWk1JTWUxcm5NdFFtNm5OSTZPbzZZb0g1c0dXOU45eHNjeFBkclJQT0hWNVNoTm1FUFhBZk5jRmN6WkFnOEtwTm9CS0dXSVpFVFlFeGw0WnF4ZlZoNDU0bGI0dE9OOFJ4VmhybDBnbWhkSVVQd2RVZ204bTJSMkhxc2s2TXIvZ0wxdXhpMW9tNS93b1gxWUNiT2FCcXU2dmxBaUQvYVVmRmsxYWp5aHhwTTlSdlZ3SVZURy96QkdXRmc3YUhBUzltSEQ3c25lVFRHVG55OFdGd2U1WGJwNGdQYU12cytxbVd5MXZMdG1IQ2t4TVhhUTJYb1RrM1ZHS1dGOW50bGtKVlZZN1JPNGNZWlVyYzJTZDUyQm9RanY4T3ZxK1RBZkFZb1dzQXB5UU1wV2h3TWYrV2hwcTJGcDlPaitTZnlTREUrZWNRRGNGUGRhWjlhNHFnTW9jYU1rOFI3Z0cwc2djQ3cwd3ljOTNnQjliK3NpMkZ2SzQ4eXIzeTh5QzRPbWdxcXNPWlQ0VDNvNVM0K2lvMlJJVmhHcE9XemZCOFZ3TDRMMmpwNUZuN0tvMCtYU0xjMm9WN1o3SG9MSEdwZncrd1ljMGJUQVRVSXRXS0JKVGVtSEpwNjlhUUF4L3NtZkZtM1ZIcXJxVDYrdE8vTDlZY0VVbC9USWtmeHZLU1dlQVEraG9ObzJkaFlIOWo2WVZZdFRPcWJPd0NUSEppNVltdTVGa0czamFNN1UwR1d3THdWUlBNSHNocDN2U01xd3Rudlo4WDJFRFBMT1liOXFTNDlOWkxIM0I3RDJENitLaldOcjNBbzhRZWJhRG1NQVRtN2U4QWlHY0lkSzNuSkJEbHl1V2JQM0lqUTdZN1F1bXZlZFBKa3BOTjkrRkZndFczSXFIREN6SWZ0TlZMRE0yajNvOFZaV2ZwU1hBSzNPaHcyN2craUxRdmVEQzZNZlN6TWo5cFRHaGo3MnFzdWFkQXhMNjZhdW85ZnpLLzM5OEIrSngyU0laNHF2OEsvanhSdVNNb0JmZENDWldTYnAzd0xlNDQ1UXpzRlhlbUlBcGU0ZEpZTXNaMVFnVlVTbjVlM3hZVlkwKzFQSWErQmJtd1dSN1ZsVlgrQWw5UUVzL3pmZmNQcXgxNWJ6VmxiT1RaUVliYzlQbzhXOTVyR2xqNGdqa1Jvd0htUXZqQWRYZ0pGOHBtVkwrZThNMEFvSkdmSG0zTWFjakdCWEdtL2UwK0cySXJxeFduREZtZEduTFVGMkJVYkk3VW1uSTk4TU9KNjI5Z1hYZ3BucmRnQ3Z4WVJraHFwMk9iYlozd1YyY09adGc0RUhmdlQ5UVhNWGg5MmtmQ21wRnFjd1BQSlJta1N0UWkyNlB4UTNISWZUNExzbHVyQmRENHpjODRPV2lzTko4dDc0S0JZK2NYNHQ0VFVJSGczdU9ES3lWM3RQTEd0SkxybURLczZOSGExZnRIL2pJald6OG1MMElPVndHaisvQUJ1eDBEOVd5NzFobnprcGtQeC9ab3hCMzlkTlBvZ2wycUp2UEN3ZnN4M0ZMY25MenVldEhWTjROeEhIazk1dDFSc0RCcVhzZFMvbjUycGJubDlxUzcwNGE3Ny9Ec2VYMnB0WFYvcnIxaTU5dS8vZElOaTQrN3RublppejhlZ2kzNlBQaDRlOU1HRTlHdUVQeEt0dEZrZUxDNHJhaTVLY0EzL3M4L0J3SFZ2dDV0ZEx1NTN6Z3BLWkNNdmdKUGluWkEyajVUcHJDNVZBQjNhVmc1QTduTEh0UHY1QkluYnlnVERrTG1PcGdyUUNUSXBtcE5QTW5WMnI0Y0hjSTRrOVhNVHllbGh4MkJkZnUvSWwzM08xaWtwdFV0T3oyOCttUDI4Y1l0Nk5aWGZwQ0RNRSs2Q040bU9BOFpRVzM4QmlTOFpoTk5lVlJ3QXFkMWRxRmNvMVNuaHZLU1JoSThDNWJrRGpCdUE4MTN3UFVpRGFFNmNuRk1Hc1hsaVUrYjJGcndSWUF0eVFmMXNHd2ZrdGhsa2x0eWcvaG1oNFJQUmtRTTBRU3hoSS93VThoUTRMbWMxRVB5RnVwSUhuWnhwbXJCZ0VtTUhuSGpuZ0dPclNWVUs4UHhVa0pNblE1ekhzcXU1RjhtUmxURnN2RmhIT1RpMnRXRTJUSENReW84bk9NeFFrTy9ENFhoV3hIY3Ztc2R0YmM5bUs0dkNlTkVydFhTeEY5eFJMOVpwbDl3aXhhSElHRHVRazgwd2hsZjd0V0JPTCtycFpIVWx3Wk0zMzllVXlzZGxBOHFDcGhNQmNKUW9WT3htOUp3aUowQmxvbm5zYUN4R002T1hZVGNXMXZOc05vNm8zL0owRW5CTWFkeDRrZS9tOU5pb3kzS2ZjNTNudENoNFJ6L2hwYi8zWXhNM0Q0Y0RPenhveUpnNnQ4Q3JPai9OSDNvNVVQcmpvTTdDMTI3YUhvRlJZY0ZDZnlIeDQ0ZXlnTHF2bm5kTlB4aC93cy9TOUMzWnVNU1JNK3RraHliUE0rUkFlWmVUY3pwM2JLVG1wSFRwRGMzMHBtSzAyOHZDeDVJYnBtMStCc0pxSFRNQkgzNFpBWERoaDJpbTJHak5uS0c2UVdmMC9BWlFPZUlERCtKMmhXM2RNQUkzM01JdFZGUDAzYXI5Tk90MDl6S3ZhZnNXQmxwNnVkVmExdmszYkEzSXIycDNlcDJTUDY4OFBYai9vOHFoTjdIZEw5cFVmNzFNODl2UmFqbDRxdmo4NE42cVgxVC9QVEI3SlUzTXMweUVkSXBOdS82TnJnZUxCa3kzTUVHZlRNeE9BTHVmZ08vR05jdkhxd2JjMFkzVGRwWUx4d0hwZDM4WGcxaFo1QXRzbGxRU1VYRlAyUVFCVjdsbldKZEFDbXdHSDkvam02Z0ZnL3cza1kxNzlGTlB1ZitWRGhsTFZZcTRUY2VFYk5nTHBJZkRzM3dmYmJZNEFWWVRoWW1KMEhvQjRDVXlKblh2ZHFEblhDdnBSV2RpOVVpUk9JM1BiUVY4ejJIWW5EVndWVG5uckx4cUl1dmhIc0hwc2RZRWZORGtHbFdWRTdya0ZQYys3dGQ0M0xzK29CV2FFZjVVSWtEM29yTkplb0FOOUZVUXZReEJhQjQrZzJnRkhCbnB4SUVYM25EZG5pWTF3TVlDMHphd3FKZHhFSnhqVmhQZm9SU2tUb1RRRUZzSE9iZWh0bjF6d2ZxUDJwc1k0OFkrakQ1ZU9UY3g0ejJSb21aOTY3ZHo5V1A1dXcxNGJOcFFwZFZ2SjgxTzl3VVVXL2hhM1lrWnFxVlpCZnhSZEtlbXJ0c2h4dFVzdW9ubVo5bkNMZ2k5blJkNzJ0SGd0ZHRDYkZyRTFKY2hhMjd3c204VUdNeDN2TUhZRThkc3NlaGZ6VzhqcVRFMENNTmN4eDY4S2tIVXczblc5b3RZR1dUeUJpamY1THlIMlFsaGJzdnBVazM2TzZjWnV5eER4TjM0Sk9EaVdKNGFCelV1aHVPOVFPSHRCNi9QOG1hUGVIaTVTYjVnMlBSc0VxK1FJUjl4bzNMV3ZJZ1hPOG9Rb0JkYVdwS0ZBbC9qVUtRRkN4bWl6VkVxMXpXd2VZa000ZGxUeGRqMTNMeTZJUUw0bWpyaHRqMTAwTC9JbDJiUWQ5Zzc2VDY3WVA3dzRPV0xmZ2x2blM3VjZxb21uc3IwODgyZDN0dm5abm5GTnovQWIzcFA0WWdKZVNWTHRBTTRKR2tSYTNPeFNzQ0pLZUFvNzU5RVkrQWttZCtXMWVxbDNNTlJBcEp2OG1Pa3B1TGpNTTdaaUhNREc0UExaQnBMdFFtMEUrMGdwUStwTzFPRzFoSWZtYWdkKzNiYW5yNDlwaVEwb3FNNmxwMkp1aDJxTE5icTRGRnV5aER4cEh4TzgyUVRGT2xMZlNWRHFHQ2pzZE5KQXNmTVZlU3lIS1BpOWFKZU5UNlRndE1tSmZnb0VTYlpmL0xucFNxMHhCb04weGtQV0ovM2N1M0g1Rmw5ci9GS0pvUXNNSnRJOFRvM0UveWtkUlRyKzk4OEp5Q01pNXR1RStnT2kzV3d3a3F3QlFYNm9XYTJjSENqcEVqOCs3Q2djZWZnZU80cWJIRy93blpxbndPdUFBZWVlcE9HVmx0eVNobGV0azdoV2FlcmRSZkdmbDBLMWVnbjgweTBlOGNpZ09OVHdYMXp1eUJNSVVOcHJOT2kxam5xMnFuTVhRdUh4a29jc0xIWnJNbExxVVhyVWFIRkh3cUw1ODEwL2dxZ1dlNjVYelB6Y1hMUlB3K1krbGpucDhZaE4xZmNMb3lRWUdmZitGelR6K2dNTzdFWXZmd1ZkRHdtdVMvVmV5KzJmUWNFQ3BBNytsRDVHQ3Z4MFVseHJFQUkzb05JdVdJOFJPTzNGUkR0Z2VPUVhpdnlGN0daUEVFaGJ4c0o2M3psbStpVk5hWXF3WkVWZ1JyZFIzcyt1dGEwYTJodzFJRDhQSmlGL2ErcmhBS2ZwMU9ZYTBWeVBpK1RJVFJrQ0xHMnB3eFJ5d3NKcUhOcXRRaXFlVmtmY0wvZTIydlB4OE92Qi8xaTk5ejVNUFBNL2NwUmczN04vRjNGa1FhUCtxMlBWK3VlTDF3dWRFY2xCZjhtNzNlNThLWXd0MkJzQVJYbzk5TEdDQlY0QW1RTmNGU0FTTnVNVkkzc2wvcFpqTjJ3ZnhDWW1uTitoUDRsQWIyeTNCb3dtbEwyZk96eC9OT3ViRFo0elA1NXlkWUNOYkhjcHF2ZmdkYWxoU1JSRW9uSGxIZHVMR210Yys5L0xabDBLZy83MzQ5V09UU2tsYzh6cTg2dkdzc3YranptVHJkcktZMWRMRzBPSDhQdWt6cVR1aTJKT29BTGZFZUVJaGg3d3BVcGRaODVMYVFWWS81cUJ0RWxQVTI0VS80VDJJaTVVRUtZbCtSWFVqeVdjak9GOTZsTmZqSm1PblJtS1ppSWhoMTVFdHVOOUF0alo4Wm9ZSDhidjBPemRxQnVNU2kwdjJTalEyUk9aTTBwU202M2tuWXNNZlRoREFIZGRKRjRDQ1N6bU9TUHpyN2M0V2ttajBudXRPRFNzeVAyd1c4RW5HMHdxWHRPU1ZJaTNVUWNKaUhYL3ZtbE14NWE1NWZrT2tpQzFudmFhVGtwYjRON3cxWlR5RzNOclcyNWRESXBFcXQxQWpvbTU0cGVHU0tYK1R4NnhWTjAxUEhWc0dHOERLR0pRUkVzK0VTeXlCVEdkMDlpRGtQS1BhU2JPS1VMa0htbHhTdjhOSnJiVnBEaXZneHNncElHcnFWbjMwc1JtTDlUK3RLMGpaWmVnNHVJTGYzNUxoTS9kUko2ZjNPc3pyM2RseGJvR2hBQXZvK3pqZFBLNTkrdjg4MThHVkJwR0ZZNkZSd2ZuQ3o0bmZ0UnJ2S0xhN2RkdTJOZWJUbHcxOC9qY3FGZmNmcVVkWGlUc1h6RXZGUlYvUS96NWw5engwRENJRzRCcnNGL2dWTzgrV3pNWmtLSEh6Z3J6WUk4U0ZyQTBWRjdFaHN2UUM5ZmI0QUZyMUt4eWxKYjJPck44VkdHQzZBQ0ludFhUUWpCZmlCZER0bEFmQkJ1aTN6NG1sdVExaVBkMXc3SDYyZDFoa1VtVnNhdC8rb3AzaUFvU0ZXcVJRR25wZE5ZTGZ0NHJBRnhkSVBXajFZUUcwcCtJKzRVZTA5OUk4Rm8wb3JudzFpY05rWVBudUlycnlqd1ZoR0F5eFNRemtQQlprTVpVRnJRczdZcHpCWWc0QVZrVGpabDh0NmcxRVBneFVrUmI2ajFZZHhHLzRPNUhkSWJXUHcwTnY0Unc0Q3dHZmQrWTR5ZkxrL0VMcGlhWXRIN0JuV2puYkw4c2dZSTZvSXZ5ZjBoK21CR0xFOGpUTWdhYzJEZUNEMnZqelVaNlA0UndEOWF2SGFRenZkRVo5TUZudFN0c1NVYmEwRlhDbVVJcktuR0ZJbmJOQ3dLZ2o5NTRqUGtsS1NHcE9pajFFaFJFNUlIRDU5SzZwaGNNbnRpOHA3b1lJVDRSMG5WVC9EWnE3eW1BOEdTSW50Y05udXVxeFl1SEJQZUsyTTVCWlVuOFdZai9jZVgveUNzQjRDVGVYeTZSa1FzNStpZGRzNExZVWpqcytMeEI0SWRGNC9vWm1kaTAwOTNUenhzOE92K2VyZ3V6ZU94YlhPbGxWM3Y4T0xUV29Pa2N3bEdmcGV6VHZkNE4wWXRXL3FWeDFzRmxKOHdkRU5yR3p4eWRmTFE4cG9vK0pGWEJYMy9rYnE2dWx3ck1vbVJib2IzSitQWlIzaXJQYVFjcW9IWWh6K2NZelI4Uyt6VEdCZktYTkZzaWpQVnBBcXVkRUZxWEIrNXZkQUIwdUFwcnNSWXJyZDNneGE4YjVRZUxPSXp4aG1tUGp6Szl4UXhzeXBNcHdxYXl1ZW9OSmUyMFNCY00xTStEeDl5Q1BpQU1ZYVMyT1RKdU5oRXJ3U1o2V0NNem81UWJXV0FqVTZtOU1kd2htc2VLL1ZTek8wL1loSmpOdFp6bmIyYUZoSVhDa01mVXh2Z3ZQRHhKa1hIZGthbHc4QXc5aG0yQjUrbnoxRnFkVWtTMWt3UWoxajAwM1BhcUliT2p2emZuS09nbXRnNTZ6R3AzaG5BRzhyT0E3MzU2eXhPTSs3V0NqTWFsY1V4TE9HYWw0TkRlQk5DZy9EY21QUHUrQVRJMUVkbmFjNTBjcGQ4M25qNmRtemtkVlBWbkE5d0R5OC90bmZ4NFR1c2xaS3lWb0NkbStGaEFiSnZPQWQwcjJISEcxVjA2TTZ1dFBWaWplR3FHVC9vMk56aTFLbHdnc0EzZDZtL3BOMDVOSnFNZHo2YXlKUG91NDN0Yy9hNFhXem5NRDVwdE8xUVk2RDN6K3JsSjQ4MCtJdCswTFhpMWZEY3dLWVZ5Nk0rN2g3WlI0eG1TcDdrMjgyZWVUM2k4WDJEYlZ6eVdhdVVFaHVlZDBqdzFvQ1dSZHowM29uN3UvaWpkZG1zUGRVclVjNW9UNTdQVnRqL0ZkRmtGRUJ4OGVxRXRPNEtyWGMycnJleWVIalZtSFk4R1RoU05XM2RtUmRkODduVXBiWGkza1AyelQyRlIvSFI4ZW83UDZTcXZQeXRJanZYK3VCTXd2Ty8zeDBKaXpQNG9KblpISEVmM0N4REtDbFBZcFFKcUQ2U0htTWY3QzlNaGErQ2hTU0sxRVZTTHQxR2FBNlYxSXBUQldxY0hmQnd0N1lZQU9QUXZXR282OHhuVS8xWXBOaUVHZ3czZ3hTV2tZbTBVTG9mbXFzR3Y3NGk3b1crdEVGK1dFWGdQT3hsc2J3dXdGVUhDOGg5Nlo2ODJ1Rit2Q3B3Q0E0V0lMTWRUVlduR0h2ZzRHQ1EwNGNxd095R1R1UTVJL1Z1UW1XOURQVnhleEk1UWx0U0JIZ0swbkVSMEFWeXBYUllYNHVBN2lsMXpBWDg4WStBSVBobGxaemlvYUVHMEpNbmFWc3grNHRMMVhSVzRZWXhaN1Q5NEN5SXhITzhVZFRYN3JqU1JWTE9RV093MG5GVExQU3RoT3lNRnVCek4zUVpYVTF3TkUrR1dFRkN0bE84MUd5eG12NnIxZHhyKzRoNnNBVVUyWTNibnJ5VllkSkt2ZUdzSUxJV0h5dnI1VFFQOUF5VE1RcExIQ1hpUHVrUTBSSDhST2FqM2kvMWhUb3dsdzlBMWZLYUFDekJHYWtxWHBSTWVOWS85WXJ4SGF3dmNESHVLNTJqaTZ5Sm94SFdrbnYyTHRZOUVWYlFpWUl0YmRCMzRqUkpOVVpwYWVOQ2x5Q01Za2lRSVFTNFRPbGUrT0FNZjJLVnFPSGJKN0I3RWNPckc5SnArQ251VkVQMm5TdThHdzJTcHV6K0g1cXNmc3U5M1lSRDVyKzJHNjB3TzdmL1hmVXlaT0R4UWlsWU9hSitXSTlHcG1YVVhSMjd6QklRVzFVWFZUcFBZcDhsR2dKMUhuWTBKL3VuSVNjbnFUYjZ4N1NkM3ZJZ0hic2R2NVVtSXhlSnVYdnB6dS8rci85OC96M0V0WklYd0FISW4wOWR3WXYyQXNhZ2lReHg4NHZZcFpFNFJIMGUzY3ZVSmppNlNaNWdZNW52MzdoUHRGSVFRSUFrRXpEajBYVVdxZHV4VVNsbEF4RVc0NTA3cThVaFVPdmpMRzdUbGRsT3MwY1VuY1cyMUpMUWkzWFJOWXQ2VWg4ZUNUWmZMZmdKdmswU2xPTmZ0VCsvWGdkWGtjZ1ZCaENPNG95V0Y2VmMxOXg0dWNqUi9JSXhJQ1NGTWNiUmEyRXJmcXM0Y0Z5Nm45cHpDaTdxVHlVaDdXMDh6N3dUWTAzYitNWkxyemsvZUhrRzZrZjhKZi91NFpkd1ZDU1hjaU5lZ0h3ZnlRMWVtUmN3OWNRbm9ha2JERjJ4UGZ5eEtvWmRrSDM3MFdkVU02VmZobUFmNlZ2SDZIVzF3L3FpSCtBc1p4OCtiaXR4NkJvNVUrekNHMVlWdTd6b2drajVEajRxQzZIWjFiVUxJMi9yVGt0TkNHcmNsVm5PaXFFRnhZRUpPNHFFdTBhZGJhQXBIbjU1R2h4bWtiWUNnU0JaY0FvTTdzYWJmcGFhd2VYOFlTMjR1WSt4N3gyVFd4aGhEYUt5V29jMVB6Tk5PbmRYQVdIUXFkRVdwdktDSGxZNU9kMUlodUNmeVBtR1YrWjhqakJlZitMUkZITTJ4cmYvWEd4Z1h1V2hzN3d3RlMvaVY4UGNPNGRIODV0MzZMcjc5M2FhNzFZN1BVR3pNZm5SNm1reGVQLysrenczclFhblMvbTZUbERLK0lVL0FySDFvdFBqWFZianhaODdJNHhPRlJmbVpwWGxWNm9mdzBZeHVSVllkZkhaS1A3cVRMeWMxUFU2UFNHUGhEVHU2a29hRDcrWmNLRG5UK0swRE5IYXRxTEJ3eXJCK2xMREkwSjNlS21LZ1BlQmFQMGN2WVU1QzZocWprRG5NM1BsWGt3WFIyaGdIZnh6c1FUejNiaXo3aDVIN0xZMUgvWFBWN0FQUXBWZk1SWGhlQkZhZENRTUhraVNVSm9JcElnV0tVZFNSWXBCNmY0MU5XYzA4czBGNlowUklEZFJOUDZWcDVLWFZYOU14MDM1d3htc2ExTkNNaGs0M2VqNmtKRFg1eFRSek5mUWR4dGZ4dXlYWkxYUzlaRVpwdFlvSmRJNTNIc1pRbmdlRENxQU1nU092K3lHVThFa3dSYWF2S3ZWNHFnNkdCWGl1d3B6dVFJL3NEUjFMVHBUaG9pa2JJbzllQzFoWElaUTdmU2x3OGE5U3pWeGN1dkdLS01SMEQ5Q0VWbGMvWWtVWTZxSzlGNXdXY0dWdm9sRThyTTdUdU1DNjBOMW5VRmFBZmVmYW4ybzgxOS8xamNTVWhzWThHZzJMYkFnN3M3dWxRam84cVdXMnQ5cEoyNkxobnp2cUk2L0ROU2JMYTRUcWRSL1h6UHFleU01ZWl2N2xLdU83NWtvMUc4Y1BXYlVxakpjM1hPd1FoZitDQnIzWUd6R3BDN0FXWmdKaHZGcDJSakVHMGprQ2lwSWg3RzZqTU5pK1drdTB3QXU2NW5iTkpWc2N1Ukh1SnB2M1VFbkU4MGx0VVNiUmVHMWhQSlZTcWMvZEwycDgvUlZIbE16dHZRaUhScGVKc1h5Vnc0SWY1Szh4T3dFZ3NDMlBobmllb1VMaUdKeDJBb3NqRkxyRkVDU040WVpqQWVaYmhKcWNybGpQd1VjN3ZQdEZ2MU1IQ050ZHQ1VUsvYitDcGcxd2xNaGNBSDRSa0I2NWVYNUtrSUxjc3o2T01uNFhxd3dudEtGRDN3blEwUTVjS2Jwd2lUb2VHa0x3eHhXQVAxNy9aYkErS0QyNWZiVkh1Ym14VC9qZytiTW5zTjlVZndqNmFlL2FXemh0ZTUxRUdIWnU0Vy90RXhXZGg0NFVUOERKTUY5U244TzYvZHlqQjYyS1lzUElKY25aQWczdVYrU2VwYUk3ZGZGaFRpRURQRjZVSVlZWVpIK0tYY01abStrOVZOaUN1ZmIvdUFMUmsxR3V2VlRLZGFIQStwQ0V6UDM5dWdzV0gydERBSnViL1EyQmJOSk1hNVRsTjNsNmpQR2JvMFdLenMrbHFkWXZjczBjajk2ZHIyc3NOd0RxV25vWFhOR3E3RE83VFJnQTdsZHhZUmhVdFVkckU2dFcrMnRldkYyYys3ZUIvODVrQmtrZkJwRkl4NWpERzhDMDhJbGQyU0lhRGxackFaSUhtQmpGRUJPTjBtREdUc2J4RG9HSDZraWxMQlFDSGxDcjdSREF6a09ZY00zVUMwdWZiWENNcTdjbHV4N2w2eGRDK3lmUU05UEFwN1I4ZWJWMVF0Smk4RVEwVTdzSUNtZzNDVEZyOTQ2RUVicU5wQWh1SGVicXJBOXpHd09za1dHSUZjY0JGTlhsTGlvRE13T0NOVk5OUkdmNllKb3ZUaXlES0VQSk1wdGRmd1laanY4SmdLdW9ocUswYnlWbzUzR09zRnpsdUJVRDFwOWNjTzdWWURjOWhrVks4OVlEVElQcDhoUUY2ZURMY1F0OEJKSTRWSDY2WXFzZW5iOENBSExuL29Gc0laUVBTUHhwWURqbFVtajM0a282RlpSNDRKbC9YUVloM00wOWxIVGc4N24yY0l2ZXk4Y2YzRVA5NGtLWDBHSnRZT2x0K2RGY28vSk53Y1VaWWhQbXhrc3N4NXZodDZka0tEa3VtTkxwOHJObk9QdW5EeGVpNHdNOThqR0lyM3ZXN3A1SEtnMjJwYlNsQnFoSDhUdDlYSWRjbTU3Tk8vYVV4M3d4MW52QXhsTnlpcCt4YlZPVDcyMzE2M294Rm82TGkrNnV3NDBTTElCWC9rOEliNlZvbnhVeEVnNFVYUW9WcjUvaXVnSHNVRTdiQWNTRjN0RVBId0c0QWtpaFRmaEJ2QllQeFg4QlJmTFJFcDF3K1pnLzk0SU96ajlNVXgzNnl6aURXU2d2elIrZTArYlNGWXo4ZlA4NTlKU3FZQ0lBcHpnZExDa200MWlNYk1pRkVFOEMwdVdHdDVJdzJuQXhyejFiSHVmTFlRanJNbXA0RGFuZ2drR21VZmRGckxRYmx1a05GUjU5U3JKK2FEZVFlaHRXbXBTeXE2V3IyOTJDd08vSGhxLzY2aFhWWnJiZDA3SHYvalRhT0NGd3FRNlMrOEVtNCtIUFM3UCtTVThGMWx5cHNjWTlFTEhFWnVyd2E3bnU3VGNrLzgyVzU3LzBXUmhaZFAvQmxCTEFRSVVBeFFBQUFBSUFEbGVXMXpnVGRpdnNBRUFBUGdEQUFBTUFBa0FBQUFBQUFBQUFBQzJnUUFBQUFCa2IyTjFiV1Z1ZEM1NGJXeFZWQVVBQjE0VW9XbFFTd0VDRkFNVUFBQUFDQUE1WGx0Y0h5Ti9ZeXdaQUFBYU9RSUFEd0FKQUFBQUFBQUFBQUFBdG9IYUFRQUFjR0ZuWlhNdmNHRm5aVEV1ZUcxc1ZWUUZBQWRlRktGcFVFc0JBaFFERkFBQUFBZ0FPVjViWENUdzIvZzZBQUFBT2dBQUFBNEFDUUFBQUFBQUFBQUFBTGFCTXhzQUFISmxiSE12WDNKbGJITXVlRzFzVlZRRkFBZGVGS0ZwVUVzQkFoUURGQUFBQUFnQU9WNWJYQ1R3Mi9nNkFBQUFPZ0FBQUJNQUNRQUFBQUFBQUFBQUFMYUJtUnNBQUhKbGJITXZjR0ZuWlRGZmNtVnNjeTU0Yld4VlZBVUFCMTRVb1dsUVN3RUNGQU1VQUFBQUNBQTVYbHRjbUpGYXpyQURBQUJqSHdBQUNRQUpBQUFBQUFBQUFBQUF0b0VFSEFBQWRHaGxiV1V1ZUcxc1ZWUUZBQWRlRktGcFVFc0JBaFFERkFBQUFBZ0FPVjViWEhzU0VUYVpKUUFBN3ljQUFBNEFDUUFBQUFBQUFBQUFBTGFCMng4QUFIUm9kVzFpYm1GcGJDNXFjR1ZuVlZRRkFBZGVGS0ZwVUVzRkJnQUFBQUFHQUFZQW5RRUFBS0JGQUFBQUFBPT0iLAoJIkZpbGVOYW1lIiA6ICLnu5jlm74xKDIpLmVkZHgiCn0K"/>
    </extobj>
    <extobj name="F360BE8B-6686-4F3D-AEAF-501FE73E4058-4">
      <extobjdata type="F360BE8B-6686-4F3D-AEAF-501FE73E4058" data="ewoJIkZpbGVDb250ZW50IiA6ICJVRXNEQkJRQUFBQUlBRTJWZ1Z4cHdONlNzQUVBQVBnREFBQU1BQUFBWkc5amRXMWxiblF1ZUcxc2haTlJUOXN3RklYZkorMC9XSDVQY2JLa2Fhc0UxS1hBa01wQVpNQ3paZCtrVmhNYk9RNERUZnZ2czhQVVV0T0lQRVRKK1k2UHJYdXZzN09YdGtIUG9EdWhaSTdEQ2NFSUpGTmN5RHJIdmFtQ0dUNDcvZm9sV3luV3R5QU5zaCtYdmVBNS9nTnNSdUk1U1lQb0cvQWdua1pwUUpPMENoSktDSTBTWURGTC8ySjBVK2I0VVVpTUhuYTdSQk15bVdNYmkrempvZ3NsSzFIL0Z3YXhWRTF2ckJzOTVEZ2hJVDd4NERYdHRvNlJRM0wveEttQlcxckRUOXFDTTF3czErVzV0M3lqZmw5cXdSMytkWGQvaE43MURlaHg3QW9BalpBd2JuRkgrSzZCYm85YmJuUzk3STFhMDFmVm0rT1d0djNjc1Zac1c3d1Y2U08rcXFYU3NJS3FrS1kwcjgxWU9YYStDeVhOaU9lOEFXYTBZTFFwdE9xNlhkeSsvTm1KMzhlc05IYVVSTk1kMU9aTlE3ZlViT3dreEY3bERtajhMdHpMeXBiTWlPZWgwVmVTdzR0M0ZxZDNUdHNQVHJaNkVwNVNNZzBnSHdVM200SE1JK0xESHlEcXpWQ1VrTXplYjlCUVV5bmRPc0toMis1SlladHVnSy9zeThHSVJOT0FoRUVZbzNDK0lHU1JwSjVYRFlPMjVLMlFvalBhQ1h2SHRiMkpsZkRqWXB1SXd0a2lqaGJSOUlONUpHOW8wSENIN2M4L1VFc0RCQlFBQUFBSUFFMlZnVnlZWndLZzh4TUFBS0l4QVFBUEFBQUFjR0ZuWlhNdmNHRm5aVEV1ZUcxczdUM2JiaHc1ZHU4QjhnK0ZuaGQ3MXlxeFNOWU5rRFBRMWVOQWtqdFMyeVBsclN5VnBWcDNkd25kSmM4NFQ1dTlKQWl5dXhna1RnWlpUR0FNc05uNEtUdTdNNE1zTUZqc3owU1c1eTlDc3FwWVZkMnNXOTlVTGRQek1PcmlJUTk1U0o0THorSGgyb2VmOXJyS0MzY3c5UHorL1phbWdwYmk5ay84VTY5L2RyLzF1TE96WXJVKy9LdS8vSXUxdG5QbUtnKzNDQWdnSUoyWEYrNzlGdjNXVXZhZEh2bjcreSsvWGRGYXl0LzZmby9BdEpUSGZTKzQzK3IxV2twNzRMYWRDM2R3djBVQVNGTUsrY2VhYXcvOGkySDBnWDM4MkRzTnpwVW5wTDRHb2FyRDFtcTY5Q1BYT3pzUGFMRnBJOVVFV3JhWUl1UU5RQTJNbHlZTlFOdk1GdFB1YkF4YzUzbHhGemhZU1YvYS9pQVlPQjREMkZuZlBkek9GcTlmQnY2aDkzY3VMZTRjUE43T1FiTHJQbU10Z0p6eWpuOVJWSHdRZDNHMGN6SEFoaDhFZms4QWNYZ3k4THZkSTlhNHFnTnNXS1lJNERnRVFBYldqQkdBQndQdmRNTTk4L3BIZ2g3eXdtTkI0YVBCMlpZM2NFOENzaDZ6WFZ0YkhWMDBhN3ZPUy84eVNGZi82OHZleFo1LzZncEdSWXNPZzVkZFY0Q1ZsVVV6WW1TTDlpOTdUM2ZkRjI1WFVLM1gyM04rNUEvWWtob3Y4dnBoMGVoYUpFTjg0ZzYydkdFZ3FraEtQL0pMU3RlSFExcG9qV3lRaThNVEp4eWVEa2FMeUM0OElXMUdWQVhxR0FEQnlDa0hVa1RQMEpqaTMvSGM3aW1GN2pvdmxjTnovNVAydVIvNDhVSlg5dG5TNWo5Wllkc2Ywa1lWdHJzSVFjaW9sSEFMRVhLRENHalg2N3N4WU1mOU5DQTBDand5b0xpcEVUS3diakQ4MFNZS3VWUE1qNjcrKzErdlB2dGwrT3Z4L1JiOVgwdlo2VHBuWWZ0ZTBIVUZEYlBHbnpqZFMwWUd3c1h1dHc0N0J4bFNNWkFkdng4b08wN1A2NzY4MzlyenlIWVkrbVN6SGp0a1ZDMGxKQUNaZG1YVDcvcUU4WDJBMmI4c3lWZmpRVlFhR09RRCs4MDM3NzU4eFFmR1JyTFVJek80Q1BucG0rOC9mOE5IdHVWZU9JT2c1L2FESlJ4ZXRQcnArTXg0Zk5zOXgrdnk0VVcvbG5sa0ZsK1QvL3RmLy9lbkw2NWZmZnZ1ZC8vSkIvZ3gyZFg5cGkvTjVFUEUwVVlaM1pCendoMnYyOTN4QnowbmlOU2ZmVG84WHJ6eFlHZmc5enJuYm05RStLeTFCMTQvT0hTRHl3dGx4eU1pOS9EY2RRTk95RWhqQWdsN3BNb0xaNDlVVlVrcFUxUW4ySE1HUkhpR1kyVkNQdjJCS0FYcG42R01UMzNodlNKOG5XaDlhZHF3TDlHTXZ2dnBMOTcreCs4NFQzM1lmK0VOdmFmSjlDbTcvc256ZUJlekFjWS8xb25vZnBIQWJUZ256ODhHL21YL05BWTQ3RHNYSXIwbmpmN3E5eitoMm1URStQS3d4eUpHaEQ3OGxjWWVRUXZRTXlHWEVHTXRuRVNLSENYTTZjZS92bjcxSmlPRUdCaGJiRXdZbyt4d1dPbjJzMmRFbGFIRnlCQVVVekhIQ2dWbG0zNi9UK3FHamVzNDFWbFdIUC9hMjB0NmkrbUNjTHorVTdwUFFkenpKMTdnZEwzZ1pVSGZzVm5ZZHd3SytpNHNQRHduR3Y5STZkcHExTmY0ZHdnVTdpWDJkN1RjaURhdHNBbmhVbzl3QktMM25iakRZVHlvdDkvKy9mV2JmODRPYWVEMGg4L0lCaDNsRzRsT0Q4QTRWMGxVZVVOUXV0NC9FeW1Nck94Qk85SnZOY3NXbHpJRkYrbmFlQ2xad0hGdG5jNGEwN1JieXQ2bzFwb0NEaHZMQWtNQmwreDZGd0t0bTVlSmxPNVZFZTNXbU5hNzVRVE9XSCs4cHc5UDJld0tVQkFtbUZOT3RwbWd4YlhOdGsvMjczQzBvZkJ6Tk4zdFFPTzhLRnd3WUZTQ3NFbzVBMmRsRmVtM0dpSXU2UTdrekttME82WHptL1JPTUdYVnVvUEM3cUFLM1dHUzVvQlJzcVEzczZJVkRqdUhaMHNySXoyTVNuMkxQMldFM3A0M1BCbXQrdWpwandqbm81MWxKdGpJSWg2cHNiYjl3aFVzWC9aMWF4Q2I2TXJPK0tZYnF4aHl4RWpIK0p0TDcrVDVuak44VG8xQTJ4NVRtTWJVa1VPLzY1MEtTY3Y1L0FmUG9uOENjaVh0alcvM3Zpc3M0YVVmdStLemhnelFwc05vUWRUQklCK283UVNCTytoSGUxMEl4bzRPMWdjRC94TUdCV0xWYjV3WmhSUFJQNjBPeklaS0NGRkcwanl5S29sY3plMy9hb3hrYkFweUNiMFd5dUw4U1NBTDU1UU1rZHJ2WWk2UzA4RGFhbXJKWllRcGtlNWphNXFKL0l5VjNTRi9iWDhhdVAzVEdMV29kM21TbVFOa0pIUVpjMkkxTWxLN2lBL3dHZ1dTbk1NOHFDeVRNMVdxY1V0ZVpVVDJFODVBQ2F0Mk5KWFI0UWUwaVpMS0hHT3Fja2lTNHRxZFQ0UFFsaXN5dEJpa1VDVkkyaUU0TjdwRUNWZWVySGU5TTJKYWJCSmU1ZzdDazV0d09ZVzh5elNJbGRoeG5oNEdQbEc3TGVFQ1lVMm1kNU5tMC8veWg3RjU3Z3ljRTRKUGVYZ1VjdGZJS2p6MGVvZVhmVzRNNHNRWUxHdXlUVm84R3pnWDUzR1RoeGQwTzBaTE1ob2tsV1Q5MHgxdk1Bd1lEUGxCRGJMNDc0UFFaR09WblJOM3d5WGtjNVBmNjg4Q3F0TVdyTC9RVGhzcVlhTTRNdTlDMFVuSmgyT0RMbytCOGNuSktXUGxGeGRLT3h6ajVsSE9sczNBQnhjeDROdC8vK3I3UDN6eDlxdHYxbGFEaXlJVXF4ZDV4V1JoaWJzWEZyQkZOY2E5UnFxRUh6S1M4NEhyOTl4ZzRMbGpUQ3NxZVNsQ3VlOHpacCt2TSs2elU4a0NnTTJ1UDNSUEN5VGZ2aytQVFFwUlVJdTBvSVU5LzRYYjhmUElXVm1uWTlCVk5DY0d1SnFMbGNuSW1mWW5oekNydVlpcWRLRmdsOTBjMGtxVW42b0hjMWdKUXF4cnE0Sjl4VDhtMnpCU01FUW1mM1RBUVp1UERYOGtNUHd6WUtIV2tmNlVzU1Q5dnRpV1RGeFJFTmxNYUs0LzdqemEySDd3Y0wrOTM3bkRpanZPMlQyaUs1TC8zUjNYbnhKM0ZiWG1KMmlBRkREOHlMUjQ5ZTM5cmNxVkdXNW82TFVxRTROSFFKRXFCeVVSbFdpdlYwTGlGUjJjckZoR0RINGNnaDhYbnFSUTJBZVAxdysyN2dEQmFMa1Nob0NsaGdNT2gzbjBROXFmdTBJTko2MkhXYWs2eDdUT2NVNmRsQ0ptMkJSVjVXT1lGWXhxbk1NazQyVm5rSUl4cHc1bXlvSGpPVS9nMmJiU2dLWWVzYmtWcnFDb2dwYXVBRVVWY2s2RHFObWJkUUtMamRVcXBtcm01RHloNzNMWW1VZ01uckV6Y1Fud3hIWm1wTVptN0V4NkNNVk93TW5jSHJqUENCd1FISFN5cHBiQzlweFdsOHZWeENycmN2bXEydngxdVVrVmw2a1VOa084VHN1eFRxV3NsR0tsZ21VZVNoSXFNQVFuUVZ4VkcyS2Z1V01uakt3Z1c3Ykwva2hjcTJkOVlqZlNrSlRFYVVYalZ0Smlwa0N2eXJoUzRKSzVVakMweEtWY0FYb3ZYQ25TVlNKZEpkSlZralJVMlZXaWE5SlJFb00xMGxGQ3JCU0xHazlwQlphc1lLcEVrblpzRUt1d1dOUDFreUloM0hRdFZucFFwQWRGZWxDa0I0WENKeDRVOU1HN1AvMzIrOCtsQXlVR2tBNlU2ZnNqSFNpejY4RnlPMUIwNlVBcGNxQmdIVGZTZ2NJOFgwMXhvR0FBTTdYbTVFTFJ0Ukh3SmZXaFlPbERrVDZVVkVFenJFL3BRNWxFZDdtTlBoUXFXMjdFaDFJVGNYTjlLUGhXK1ZDd0xyaTFJWDBvMG9kU296dlNoeUo5S05LSFVxYkFTaC9LdEZxczlLRklINHIwb1VnZkNvVlBmQ2pYcjE2Ly9lYTc2MWR2NUVXVUJFRDZVYWJ2ai9TanpLNEhTK1JINGRzOU52Z05nY0YvUUJRWGh3cnZXT2xJUHRTMCttR2gxUS9OOGRKS1ZqODBpcXgraEl1VFVCaDFySDROMVRxNm45THVyM3Bvcm1uNkxUODFuNFBSSWFhSHRBSENISFgxYkFDeWRXZHZBNVJ1ekV5VnF0dVRWeHBoQVJOYkFTSE94dHNCdWdZWGFBZDB2SjQ3VlBiZFQ1UUR2K2YwUlRuS3BFSEF5eWMzQ0RCU0RXa0lSQUROTUFSdXhBTlhtV2ZQVC9HdTE0VUtFbVBPaHNETjk2RFdOTXduYXNxZWU5UVVUa1V0VFJRMWxiNzZQVUhVbEI3ZDBKNzAycmxxbUl1NmVoNWQzNjRZT1FWb3ovUjVCRS9wQ05ZT25hS1VRbWlTKytjME1LMnkvUVVJRXROc1NQUlUrWVh5ZURHSktsZ3lla3BHVDZVS21tRnp5dWlweGV0dVlQejRxaHJhZVVZVFJWbktaeGhNWk0wcm1FZ1hDSmhFVG1JaUtMRWdTMjJsbzBYRFFLVmlqeW9JUlFMT05HdEZCME1pNHlCZTRDbmpNa1lYVlNUU3pFT01Lc3hsMHNtRkJCbnBlc1VnbzVtU3JFYWtVUzJTUlp0VnhodkplQ01aYi9RKytCb3FzQzlXSXlYUHRUbjRHaW95S1Y2cEJrZmw5Y1pVZ29sZERoeHg0NzBPUU1ZZTNSWlh3OXZmZi9uMnEyK3Vmdk96NjgvKzRmcnI3NjYvZXkwZER4RkFNeHdQbFhscFZVMkxBVTlwMjlicTAvc1RoVlNaK3RPNVpPYXpJaFlWalVTOXhjc1hqWVNRcmNKeFZUQjFEUWtqMVNxNVVDeGprdDVMdzBUR0pHVUJaRXlTakVsU1ptVWZ5SmlrMFZtYWo2R0FnSXhKNGdETk1BMWtUSktNU1dwbVROS1l6aTk2QVhQNWRYNklyYkljUWxMbGx5cC9NaEZTNVpjcXYxVDVwY29mZHFMcEtyK0dwTUlmQVVpRlh5cjhTWCtrd3E4b1paY1FOTkdsNHhsZlFrQ0NHOExKRlFOTkY4UUh4aGNJY0JUVjN0N3ZITjBoMG9BSU5uWDMwU2E5QjhCRHZ5a0JOZ2YrY05nTzdvQjcyajJnNHJ0M2krNFZJRDF1ODNpS05pZSthZ0RxWERRdzUvTEVIYzVjRnFoMnlVQ3p6UWt1R05USzZtYmQzTldDNUo0QUtMMVlNS1dsaHFCbG1NdG1xK1d3UjNsVklCcVl2Q3JBVzdpdEdsWVpVdk1tM202YnlVMkJzWE5BY3huUEFYVmNsSWxFMDZFOEJHeWdZSkdIZ09YTVhoNEN5a05BZVFnb0R3SEg0Rk9IZ0JBQWVRd1lBY2hqUUhrTW1QUkhIZ01xWmZxKzZIWnc4L1Y5YUt1dzJQR3ZHNnFseXd5RVV1dVhXci9VK3JPVnBOWXZ0Zjdib1BWREdlL0xBYVRlTC9YK3BEOVM3MWRHOVA2ZGdldW1mZitpQklRSlRLaGU4TjlwckZXOC92UmRUaVRRemxQSkJaSGdRSjZuRHRTd2lnU3Z6SEUzdm1hYnFqNmFIR2RDbDd4dXFWaXpRcC80UjhmdE95bm4vTDJVNjEzZ04wNDlwbXFyUkJFdk1tWldrSzFhRmdvOStzeE0rSUZtZ1IrdWQ5YjM0WjBVbW5zcDlJVmVmRnRUN2ZvUHJVTE5VT0Vrdm54cWJ3RzdUc1pBRGFvQWFtWlV3NENXWmRuTnNadWtJMTQ2NHBmVlN1TWNxNTZsRmpPcDJadHIxWmhEcGg3YjBVUks2S2FGSnpEYk9NYUpiVGVPdS9IbTJ5SlR1ZXg1SndOLzZEOExsR09IVUtQQWVGTTJuc2RmY2xKZ2NXeTN3NXk3V2JQb2RzZnNoTHFDVVVWWFlKVUs3S1hOeTBGNXdoWVY2RmFVemdxb1FMTTB6VFFyV1M2a294WlZIS0tPbWxqRHNKU1ZNZ3FvU0ljV2lIa2RBQVpBTmtSbFNEY2lwQ2p1cklHUmJhSXlsSnNoU2hQb0JyRDRNQ0V3clZMbXZCVmgxRzBMeFRoMUcraG00WHprVTczU2hFQkx0VEdNeisrd3JXTUVxeG16S2tTR3JTZERSTFp1VkpvUVhTWDBzT09LbG1ub1ZCaFVtUTJpUVlONEJWallaRXA5aGVtQW1FRHpSVWRHQzAyajBtUkExZFFBbnd5TmlINnRhTTFOUHhtSUxFOGNrd2JaeUxSTEtST0ZXYWtHNEJxL3BSbWFXU3JUMlZ3Z01rUTdycWNiWklpbGFnMmJpaFhDTml6YkNGZjRDcUVOc0JIMVoxV2JEUVRNZUpCWU00QnRWZHNhU01WSWkvZXhDYUNCaWxuVmxMT2hHeXF5T0d1MERWMkRwUjA5anRhcHpnWVZ6b2FCakZMS3JFZHFJdG50OFRwRjBJQmFLZE5nc3dHaHFzVXA0alZWQzVkQ2hhbkF0b290UTB0MkZMQkxOMzg0RmFacUlpTWVvUTFOeXloYWI5TlBSUjI5ZXhLNXhpcXlTVEEwRldKT1M0QXRYRXFTalhnTFlzeDNvSVdzYXN6SklITm5BWTZQU3BscVU2Q3J3T1p6WjFxMkNmRUVVekFIdnpaY3loeFdPc0FsZm0zTll2dHpXZjNhQzAxV1hXVm9OWklhVnpsWGt2NTQ2WStYL25qcGo1ZisrTVlkNFBCWnlpbGo1Vk9rNmYzbDYzYy8vbHdqeG9UMHlVY0EwaWN2ZmZKSmY2UlBYbEhLcnVSRDJQeDNBYkdPYit4ZHdEVHVScjBKMkpUbkFHTUN6Zk1wd0dZOEFwaTVxNDlyUGdJSU5ma0lvSHdFTUZYUURETlRlZ2tYcjZpOUg0OEFRbEY2ejVrOEFtZ0lKRUFpR0EzQnRxajRBS0RnakRNajVvb0VtcVhWRUdpb2prU2I4dnh6R2QvOEs2ZlB6Si83SzUyL3BIY0xlZXlQTFBKcWovM05pbFkxM3ZtclFTc0RGSnBZOG9VL1BodnloVC81d3QrUyt3NHE4Q3hXSXlPc1orODdxTVNlZUpWcVRKUlhHUkg1RTNzT0VGZ0N2OEVpQTBIbG0zN0tQSjBGVi8vejY3ZGZ2SDc3eDUrLysvTm43Lzd4NjZ0LytjWDFsLzkyOWFzL3A5LzZ1L3JWVDhJL3BEOGhBbWlHUDZFeVk2MmljakhBS1MzWVd2MTVmNTc2cTBUNTZUd3NzMThKaTByN1FjTzBsakE4Q3VaY0xFeTk4V2ZJVkgvTGY5SXNnNHpTSDJXUTBYZ1ZHV1FrZzR6ZVA3c0JZaFZiMGg2SUFKcGhEOGo0SWhsZjFNejRvcEdjSC9TQzNWeHpmbGdpbjEwcWNBZ2lsVVlmallHazgzNFl0c0N6RjRmL0lNdWcxelZIZE9tcEVuL2doU1Qrd05yc0VuOUFGVVpubmJVQ2d3QldUV3hOblBvRHl0UWZ5ZzNhVHpMMWg3VFYwanlyV2FrL3lwaERwdDVNVW45QW1mb2phVkNtL3BpdlVTZFRmOGpVSDFPbi9vaDU1QUpUZjVoOG1FMVAvUkVMZ3NXbC9yQTRjUmFXKzJOWlVuL0VHUlVXbHZyRHVJbmNIL0VvRzUvN0k1NytoZVgrV0hEcUQ5MUtObFN6VTM5VTFMdG5rZnBqc1prL2JsUGVEOUdqdHMxM2JBT3kxYUhnTWR3a0pzNDBDSXNWUUN5SGExdm0vV2pja1pKMHlUZjJtRWU2NUtWTFhycmt3MDQwM1NVZjV2MHdpRTBwL2ZJUmdQVExTNzk4MGgvcGwxZVUwcndmb2xlM1o1djN3ekJpS2RuZTd4emRJYnlkaUNsMTk5RW1UYUlScFZHdzFQYjZRZVozcEJLclIvRGUyTGRqZVBkdVlhWVFpSFVWNlZxTTlIaU9TT01RQW95czRqRnFodnBnKzlIZTdzUDliZnFSbmh3YWhwN1hablNhQWxSbzZNWERxTmJ1eE1FS0t4RHEwZlJWVEVteVloRWIzZEtOdVdRbTBZblJQOEhySXdDcUZwZ2tCbUZGMDZCcTZqWE0yeFVNVlIxRHE0YUpPOGRrSmVuY0kyUXhseWNyU1djM0lVdHJEc2xLTEF6UXNwbXNjNGlDS0FPV1VSQUY1ckYwYlM1Y3dTeER5dG4rSFBTb1NBak52Z016eXBvUzVVaVpNbTJLUURzVHZaRThXKzNNeE5ya3Voa1NxRW1vVERjclUyaG1nekRXeXl4UThKd2I3Y3RNdENRRDNualNOdE9zbjdRdG5vdDZPaEVQREZqV3BHMUNQVWptWUV0UlRVWjJTcDBtMWNKdDFXa0VLY1NxWVcxOENyWXg3N1RvMmRYR2U2ZHBucDVpNlZVa3B4cnNsWmJlWGVuZEhXMUZlbmZGVmFSM1YzcDMzei92N3ZYcnI2Ly84RTlYZi96dHUyKy9ncW9oWGJ3UmdIVHhTaGR2MGgvcDRsVVNXMEprWHlnN0E3L0hnQ2w3UlMzMm16QmdhamJEOEZlb2ExQzJ4K0dvUVBGREtKb28wNDlBVnVzaHNIUGIxeVp0WDY4NEFEd1RCSE1ZZ0YxeEFOWk1FT1FQWU5JWnBvSGxkWmVRbmlBQUgyb2ZBaFdEMFpNYUlTNElxK0dDazg1R0ZrRStzU1pkVFpUN1ZHay9OZGtSNFpMTTFUV1I1Rk9KenB4d1JzaC9LcjAzVVk3Sm1tQTRLRDJjeEpwbkorMHgwMXBiYlR0bmxKdjlQMUJMQXdRVUFBQUFDQUJObFlGY0pQRGIrRG9BQUFBNkFBQUFEZ0FBQUhKbGJITXZYM0psYkhNdWVHMXNzN0d2eU0xUktFc3RLczdNejdOVk10UXpVRkpJelV2T1Q4bk1TN2RWS2kxSjA3VlFzcmZqNWJJSlNzMUpMQUdxS2M3SUxDaldCNG9BQUZCTEF3UVVBQUFBQ0FCTmxZRmNKUERiK0RvQUFBQTZBQUFBRXdBQUFISmxiSE12Y0dGblpURmZjbVZzY3k1NGJXeXpzYS9JelZFb1N5MHF6c3pQczFVeTFETlFVa2pOUzg1UHljeEx0MVVxTFVuVHRWQ3l0K1Bsc2dsS3pVa3NBYW9wenNnc0tOWUhpZ0FBVUVzREJCUUFBQUFJQUUyVmdWd0tHZ0x6c2dNQUFHTWZBQUFKQUFBQWRHaGxiV1V1ZUcxczdWbk5idE5BRUw0ajhRNHI5OXdtamgwN2xtS3F0alFDcVVHbGlmZzVHbnVkV0UzV2tXTm95NGtMRDRDRWVvQWI0c0NGd29FYmdyY3BKVy9CN0kvdE9ObEVqWlFTcGZMdUlmYnM3TXpzZkROamUxTGZQdTMzMENzY0RZT1EySXE2VlZZUUptN29CYVJqS3k5amY3T21iTis3ZTZmZTd1SStIc0lWZ3NIdjBDT25qMjFsOU9iRDFmc3ZDbnA0MzFZMFF4RXNHZHRlMkFzandmdm4vUHZvMHpubnJXa0thblVkTHp5eGxZMktXbVpqZkRzVHdYYTNYS1p2eDNVeGlhdkE3c053M1NwSTREU1QwVXpMVW4wL29hbU1wbVBQZEtzSnJjSnBodW41T0tGcG5LWldxNjZSMEdwY0I3WTgxVXhvdXRCcll0TkthQWFqMVR5M0RIcEwxN1U5cjh1VW5FY1ZOS05tYUhuYnkyWE5zcndKMjNObnJFbDhvVXZPYll5Zlo5ejJlaW5EYlFyTmZmQ0tHd3M0Q1Q1QmpLcks0R2ViQU9FQmJvUlIzNG5SNDVlQmU5eDBoc2Uyc3FsT2NqTHVSdERyQ2ViMjJRQTB0TUplNE1sWU13ZWpKK0lnZENnb3N4M0NlUW9UZnI1TWpXejVJQ0I0NW1ySzhSUUhuVzVNbGF0YkJneFRxaXRsMzNNR2xMZlJjK0w1aklkT0hPT0lNSC9LN1dlc3U3Z1RrSjBvQ2s5UUszZ05udEk1Qk9YWlcvYUp0OWdHNWdodzFYV3dZQnM0SGpTcGdiMEtwWVJEWTdDWmh3YkM5UWo3c0d5eE1kdUlVbUtGRk1tNVdOVjVzTTdIa3BjZzFBeXB6WEpuMUV0ekJOVkxZeUcrZ3VodkJ5U0dZcG82RzdPNXVMT1huaFZGUHVUcWszRDlCQzVGMk4reXNOZUtzRjh5UWt4a2tRNEx2QU1WNVIzOS85Y2RLdzEwclVKbkVlZzNXUGVOMU5rZXBuUDFkYit5cGRGUlpFVStLOHdVcUtwSlo1RVZONUlWd3R2WncxWTM2Vng5V2hTUGlhVkR4R1N1ZFVJMFFoSlBkcGNtdk1WZHBGcDB5cld2RTkrODk3SWw2b1hrbFhoV3RQTTRXSkx1TENGQVR6dTB2SnQ3ZGZIMTh2TVBKTnA2VlYzU2xoWGJlSHZ6TnBRS2JkRlNJVGJvTi9UbHBDcDV0SE9Gb3BJVUN0b3pYK01xTVR1TzBpNjBZSmlLM0RZK1RmclFsNzh2L3Y3Nk52cjRkdlR6SGZnSkZyZzYvcUF0aStZMCtIT25GM1NJcmV4aEFpRUNuTTZMVmh3T1dGV2VqdkFzMzhSL0U5TU4vcTRUT1M2SVFnS1dqYVFMelNORXBhcWZNUXNhVGovb25kbEtNM0NqY0JqNk1YcnVQTURCdE14REVObUpuRUVYdFFZVUlTcUZpaUhlQWZaamZocmlIZEdzWVRmaVNIcXFDVlliUVRTTVpZalVtMDRFWVQ5RVhCWnNFb0xncWswZEFiKzdZUnlIZlZsY3M4TE5nVG9ZU29NbVkwRDBrcU16ZVdRRU9kemhUcUhzaWFldTg0RTdBd2dlTDVueXdyVEN0SFV4VGMyWkp2MG1LTHkyUXRQR2wvSlZUenloNk9OR1VBVUY3c1FWL2NQOEgxQkxBd1FVQUFBQUNBQk5sWUZjRnRDbmZFc1RBQUFkRlFBQURnQUFBSFJvZFcxaWJtRnBiQzVxY0dWbnRWZHBWRlBabHI0SWdvSVFFWkJKaUNVeUYwWkZpaElpS1VSQW9BQVpGUkJTaU1pa29nS1Nra2dLbWNlOFlud3lSWVlZQVNHaURJVUVnb3lsTktBUVFFTkJKcFZaN2xVSnQ4elVzWWZYUDdwK2RQZGJmYzdhZDYxejl6NTczVy9kUFgyUzF4STJzTnZWeWNVSmtKR1JBWDZTYmtBeUJ6aDhQZjFUNjZ1VGY5YUhqS1FQVU4wQlJBT2xzaklIZ0cycU1yS3FNcEpCQUFrQU10di8zUUQ0anlXelRWWnV1N3pDanAyS1NsS0Q5dDNBTmhsWjJXMXlzdHUzeThsSnRiZWxla0JPZGZ1ZWI0N1l5NnQ1aFNvY3VLNStOT1hYbWgwR0oxdWZhWGkvQWc5YVhyaHhaNmZpWGswdGJSMURJMk1UVTdOalZ0OVpmMy9jeHVHVW81UHphUmRYSDE4Ly83UG5BZ0xETG9aZmlvaU1pbzZMVDdpWmlQdjVWbXBhZWtabVZuWk9ZVkZ4U1duWjMrK1cxOWJWays5VEhqUTBQbjdTMXQ3UitWdlgwLzZCd2FIaGtkK2Z2NWljWWt6UHpMNSt3K1J3ZVcvZnZWOWNXbDZCUG43NnZNbmZndi84OGhXWERDRDdEK2gvaVV0VmltdWJuSnlzbk1KWFhETGJFcjhhcU1wdC8rYUkvQjU3TDRYUTYyb0hqcWJzVUQvNWEwM3JzNTBHbHQ2Z3hvVWJyeFQzSGp6R01ZUytRdnMzWlA4ellIZitUOGorQWV5L2NER0JYYkl5MHA4bnF3cGdBTEhZcERZSCtOK0srZUFjVDc0VGs0ZjM1Rmhvc2oySHgyN005dXNmblJScU4rSEc0bG1admRwZ0FxTzhxcXd2T0p6bXpzbWRRT0tkd1l4V0hsRit1Vm9Qbm10WjFhRmswVFJxY1hlWUMxdDhQTHpKUGwzSTQ1YitDdkw2U0dvNFFyWUU2RVN1K1lCdXd6YVpBL1E4Q2RDQldPc0VjN255UmR2VFo1cllzVko5RzZJL0ZvQkhmdXlZdmx6RGlPL09keGl3TTRldUZqVUhQR3VJMnZwdWk2OTIvdldJM3J0aWNENm83Vyt1aGRhL2szWVEyR1FKQUxvcnhTTEZqRGpxK3FKQU5RbzdSOWgzekNKZzQ2Mm9ScXlBdTRoTC8wbFUyU3NEQjdlbnpWd0VpZjBwUE9zN1dHWDNHbXEyQWNSYU56QnNiOG1QNEh5R1g5VzhpU3duOUNGU3VtbjZWbFA4WXJEa1BWblQ3RVo4WTJQYzF2azZ3WkJIOHFyckI2KzhkZDNuUmlWWi9PS05pTytOcXNyZjU4ODBYRWxvWnZwUCtaZjVyQWxJQlJnMVRxcExLZW8xaTAra0ZYbS9wRGsyTFFRKzR4TGZLQnU5dEZKVzR4aW5pdzJXcXpXbkYxYjVEem83Szg1RGhMeDIwVmsySXJNbFhudVRyaHdvREFTZGM2eEllM0daQThodFY0V2FVTk1RSEtJT1R3c2M5WFFIMVlTblJYbTB1SG80MWJVWFF0OXl1Z3MyOFl6N2lGbFByWE9PamNuUGNqOHRhOTY2MmMzYjBCV3E5RHpxaFpvM0JoQ0tRWENpeHl6YTluN1FtMER4SzR3c0NvMXR4SVVFMi9JTFdrVlZ2WmFpdTJJMWVJdWJTYlJUd0Y4RXU4V1RoTzNpblVzTE82QnU0Um40WnlpQy94cGVGSnhtQ29ObXJGRHFRanRvWW0yZGkweFAvdTZKcU1iT0FJY1pUTmJNZEppeVFtamhubkNkZnVYT08vVGJtWURFUEFOWXV4RVh3dzB1cFhKSDZXbDBxbFh1K2NkVmY1QjZ2bmM2bXVPZmRuNmZXYmRkNUV3Ui8yOVZSaXMrYWI3bkk0NlBmOTY4K2wyYjN3ZWU0WGZsSllYbDExeGN6N3dyNFJtdExZNnAxL0wwd3pHNzZIQTdiL1ZFa01kVXN3UUlsd0FGdDhoVld3VnQySjNuVi9uNiswWGxZWlB4dDJWOUllb2dWWkdGUDhNSVpVaUF5TnUyd1dWOXZib3ZhVW9jUW5iZ0RLays4aWxsc0V1b0FWVndtak16ay9WV1dhcng5RHg5QVBhYUZoNkVzNjlEUG4yQm52bFVPejNoYWRqekFSYUxLenM5bmF5UEQzcjVlVXgycEZkcldtaklyWXJwMSttcGJyNXliN1hhQkJ5bWhObFJhb0t4Y014UXRRcmttWU5IOEloS3dVdTlsaUFtQiszTXNVaHltcUgySEtCWjhuR1Q5RmFoTEZmSmN5MTJEV1hMSTYzYk40cHl4YXBVMkJFdEFkWlp6Q0R1VEtmb2lhaE1BaWhpMmNaTU91ZUErS1VFU0VzVjc4SEM5cHNzK0VkcFZrZ0F6bUVKa1A1S2NGb0NYSlVBQTZmdzNxZXFGeDNWejhqOE44R3hoamVJVWwrWUNFL2x5T1JEY0EvWGRrTjVLZGtJS3NnR3BUYy9SbFdyUXBUOGRyMnc0UkNEekRNa2g1ZmZIa1BLd0VtRHpNMmg5L2ZMZzFjQ2k2ZDJJZERYbVhkTDM3K2ZNYVVST01qMURZRUYvZ2FVbVlGWEFCZEg3TXg3SVV4K0dLUXVWbTZEckovRkZoQlVIdUtEWXppKzArOW1ZNFVvS3Q0WnZzTEJJT0JVOS9aVSsrbXJQekhhOHIwL0RuaTNkYmoxSEgzL2tia3lHZkI3TXQvam1BVDQyZVRwaWxjbTNZUm04YTBWM2pYYU9vcXp4THVXME1TQ2ZWdHgwU1hIUTBPSzdtTG02eGMvR090WWVpU3ZYQnYwSHd3RlA3a3pJU3AyWjA2Tms1dHIrNlBYT1dkdVZPbjhTbnhkOGlkS2NHSUZBM29SbUhYODI2Sy9TNENvZUZFOUlTd1djSUJpT2M3OUcwekVLZENDdmhZcWNJdXU2MitHd2pqaHZkMmFxVUszbGtnczZJT1NYU2FwcmVGdDc4TUxpNTVSYUFlMkFJVllLWDlmUVliSFdmMDZSdDNrU0l2YUwyZ3NlQTRER3c2UzlnanR3VkxzM0JUL3dwUXdsSlA3OHdlcjdFMVNUckxlUzVxeWRrZXVVeW4zeFFEMy9wTzRVTEE3Y0xwR1BQL2tUckNhSTFSUTg5RHdYVXYzVHpNSHRnYjBEM1pPSnJGZ296MlBDYytzQ096cXlKWGZsd1hLNHVjNVMrd21jMVFmQnBEMzk1Yng5OTZ4L3hkN09kVnlEek92dEhMdk5JYTVkOUhaUEY2Q1RjSlAvTUwzT2NYR3VrMWtrKzRtb3U4N1BaOTMxd3ZmZkdSUUhsNmtsNUpOVjZxTEtDZDg4dHFGWStESStsa3U5VTNjRUFzOEU1c3BBZFFJbDZtd1VXY0tJYVluaWY4V3RNNzkwSUtKSW1nSGkwZnB5alEzc014WDlBczk3SVNhQzBSSjZWV05RV3JSa2lEVDVvY3R3aE5YT0RzdVZYRDNkdDJMcWY0R0pCV0VTWU96cFo4LzNiYU9hUk1WRTlpVXdMVnFXeWhRUEk4RnoxRGgvYXY0YjRzR3JKK3pmeWVFSTVuREh6MzFKRUIvNElKQjUxN1pvUnY0VU9nTGZCTzdpNTdLaEZCRnJpbFdSN2pIT25FQm43dklCY2dGTS9PWCtYaGtlMEpqYUt0ZmhObGhzc21FcnZ1cjNBSnM1aWhqMlJ0bmFvTnZUQjJjeksxeTlGVHpUd2lxT1BQdVJYMkU5KzQ3eGFhQzQ4YmFVMmtjYjVjTDVPem9Pci9pNk9PZmtoUUx6c3lxRkIrNDk0SEZacTFGZ05aaXhYQ3VCSUNOTzllUVllQWNmMDFVVFkrWVZ4emxueGFWdjN2VjFvU0NqVmxaNk91OGVkdUJFWGJabmRwWFFsTWVjYmZ3cE9oSkFnSVI4M1FoUFp5ZkZCd1I4alYvaUprczVwZWg5dW5QZ2ZMcEVkZks5U2cxeVF5TUNwMU4xbGNWVmRPc3J2Qkl6Q2Y5R0IyODVqM2hXVkhwdDhuSENRTm00bUZDRytFWmxUazdncFhqU251UzJqbjhyUm1hQmcrVGd1d3dsa2JVVXNqK01rNFFQSXFGcmxDZUlWUDNocGpTd1hsNlZoczk4K2FDN3ZTaCtKRU9VVzN0NHdMak1qMzBoZlEvb2RiaEY4WHZGemVjb2wwckk2eU1QVlJNVFowcXczWjZiSWE3TTRyclA3aThLTEZ4SHpMekpUc2R6ZnRHbmxGUlZPTGhxT252UXIvcGQzNXhSMkNsb1U2VUk4RUlvNzZlZkRoZ1ZRTHNSaVh2WENWMGFHYlJVSWNvbGtKemNHSUlvMFI0OWtmSXJ0bTFZMUdvUTNWMzVyZ0tCWGhESGtJL2l0bEJpUW5WS0dITTl1NkRFMnVackFWczhEa2owdjBCc2tORGpKMWhQUTdMcndPSEZnZEZsbjI5ZW5BVEd5V0xSV2pnS0p5cjJmVlJTRER4YzJjbU41YUlkb25nRWJWVzZXcmp4RmlPc29HUC9nSG9maGVFR2d3eG04WGJrdC9nVW9lVEQwSldwTndFejlhVk1lcmNLdWJOdk1ic3JwR2lxcVRMNzYrWEtOaWJMaW9MdmhjRmgvSzg5M3dwYkZqbmhJZFlMUjVubEI0d2EzWng3MnJnMmFBL1VnNCtzTy92UVovcU1nbTBpbEFjYjBwanI3Z3FwazN4ZlFhbThtMVU4a0kxM0wvL2hPbEh2RUVOc05vWE9pRWY3a254R0ZKVGVCdWM0RGlTMWpZRVp0VDhTeExnemkvaWNRem9zMUZnZzh5aVIydlRuQVd1eElJOTR2R2IwaEZHWWQxTGdCYkdnQkdwMGlxbVBBQ210UCsrWjNXa1duMTZiUk81bmR3em5NMGQweHcrR3NPcURVU2wwTmsxaCswYlVGbVlLTmJyVmUvdTBzV2JkNitUeFFNazdjL2R0a21FMXNCN0xtMENJbXp5SGVYYWE1cmIzV0JkLzZxM0tzRlgyUVhuMWg0bWo5VjJYZitOa2p2a08vanhoazBsc2FUOVJLakhzYm5ZUWxYOE9Ick14TW0wMjhuMFlMQmljbitWVGJSSHlOaEJzc1g1aHg4cXV5cTdLZ1RueHo3RkpNMVhXN09ERWZ6VUthSDdnM244anpBSmpCbGFVQ21PSWIyeFFhUWt5OEZ6SEZiMncveGhjaFFxZzk2R0QrQWltQ2h1UVZtanNyR3oyNnJldFNBY1N0cHIwaks5dTlxbUh5SXlMQzdmZjBVVkZlYVlGMFgybnpDZHl2Kys1eTF2KzhWRjY0M3BCN01qL2c4cC9yRUI0NTdla3k3UG13U1ROeEt2ckd4R20zYlU2Yi9LcjlPckxWUTBxVTFKVi9mNllmdC9DdDVTQXNqMVNZRGlLTUl6TkdadG1IQ1JLanFEUmF4K2lCYjZpQ3FGdHdXSjRna0o4SGhyTFVhQVdhWS9jbDVYVW1rUzJPRVY0VzlBQXBkUDd1UXJ3OWsxT0Q2UGsvZ0xEY0dtN3o2UE41OXR3YkFia051dENFckxYMXJCcmF5S2dTOFNJQit0OEpDbGxSQ3M1RHROVTZXTWtWZnM5Qm5wRDJzN3ZBczlQRGwzWmhkS3FNWWFUOTdta1J2YkFuc0tpQytPUmlVVXViUnJUSlc3M3hpNSsyQytKY3JKT29iLytOY1VzeDh1MU4rUlBUVC80blJmNkc5SDN5Ym9scFNkc045Mzl0UGpUbEtiNXpvU0l2S0xvYnVpSXZxVkRmWG84c1QxbWpEUTB3Y09RQW8xYkxuSXRhZ1lnYm5RVU5yUVE0bHZETGhHNlkycitpcWl1NWlvZVRmMkJyRmloTEJIdkI5WE56UTFDbkpYaDBQTWN0MGdXdWVYNFhiQ0lTSUZ2bUQzcEEvN21EaE15dEc1bE00aE1RMzQrMFFVbWdhYm1sVkc1U0N5eTlXUklKWTFSK0g5cUw4UFJHU1JiOHRpdXlGc1JxellESWV4aDZwU0pvUDhhYk5vNDdxVjhzRmJaWm1vK0tUVFJveUVLejdCMGlxVzBSMmlxMkMweEJqazFuaUovRXZjUXNOY0ZYRk1MUnZHdk5sbTYyOFJOb2NMYkFxYjh1K1g2cWZWWkNlWSszeXBObjA1N3QyZ2N2YTVQTm1ESFBseGpJRXZKbWZsRmZNOHFqd2pBa1QrVFJrNlY4NDJqR1c4cGFCYVFtOTN6bUNVVUlSSXBKWXdIdlpFRENDWWlYd2kzQW5xbnA2ME03QVh1SWJnYjhKaG9DYWJraWRVNG1GVlZzUzdHSFlhdUhBMDRycEFVM2dBVGtsb0ZMbzg2b2J3K3ZzbkQweTJLU1ZoTXM0czJXRWVRZGJwVkxRREtQN0U5Vnp4Uzk0ckhzVjBVTmZwRWtCRkxNcExtTWlnZ3ovU21WaCtBY1FuQzQ0bWoyc0cwdk9GVVlKVDBremJLUjJpOXlxeFVxdTF1cVo3RFpmdERPZ2lNdm9LcERvM0ZKaHEzN0o4eXpQUFRnMTJDL210ZGNhd1l2Qm1yODZNaGRHckVNSmNKajlIMUp4c21qejZCZEhmTGlxbVgyYTlqaGpHNklxUGk0ZVI4bWdIZ1ZNVVJsTUNYT3p4Y1lGTlNGcjBHR1FLSFlFT2pic0hWN0NOMTM5dUZrWXlpbnltOEc2TnNMblRkRHhHQm5kaHc4dEdSQ3NuajZSWnRCeTZldmxKcVg3dG9OKzlvZ1pNeTRRS3ovT05VLzJxOVk3Mmt5WFJ4UVk2TjdiOERpNDZLMGw3V0lLcEc3Tzk3V0tqMmRIS1plLzgwNVQxZ3owdnJyMm5VUUpDbHhrTmtYRWQ2NjdrZ0pQZmtSVnpWSE5FbzdYMEhKUkM4aWloSTdZZjRpelpIVW1lWm9IWGpJa1JuVENkZkc2bHZGTm9qbUZhRDlxZ3N0R21vcEtZOE5qNzBzOFhqOUZCN3cydEdMRTJhRlRUdU9EQVpXbkFrL3h6YUxmWTJteWFJWm00QXk1em53NVJzZlFRbFdLdTJrNmtzSFNGY1Z6TW5JSlk1Y2pMaE51eTNBUktScTgrTHRNQmRvQktMYUs1SDZlODNEWFBneHNaOUV0RDBocGFnUGVFWnlGWnpyd29uUTFscEVJeEFabDlkaXFQT3RvS21JdGN6NnpOb0tRTitlQi9JWmNNVjVyZmp0dTdORTF4YlRiTGxYRjNxamR6eUZ3MEttNTlWYW1uQlNtclJQcmxINStwVnRKMjI3blBNZkJ1dk9VdUFsUDluY2U1NU1CaTBXTXFNcEs4ZWF1NDlNYTA2WGhsaE1mRFJsb2h6Y0JIMmVhemlhZHF4cmtYdi9sNUhzWWhQcHpNRWQra3MrOG1iNFBYd1FsK1BXekpSZXFJWDVJNldIbGlYVEdEOWRoNEhRc1p1OEt5Z3RqbjBPZ3B1QWVNODRWVklVLytEamkwbGtMRWEwQmgvRUw0ejFvbXJpbmdLVFE3U05VTFhPblZuaEtxeFZ2WW1VU1hxaGx1cFo5OVZvMEVJejY3QllVOXlsWHdyN0k2eS96MEt0MGxSSDg4UHZxVFJ4WGU2bHlEYjJwVEJ0V2pXYkdvenI5RHYzNjVpN1BxWDJmaVc0cTc3RHdUbGVUbjRUdFY1T1Y5SGYvNWMveXFjMG4zeVhacnhUYWVsV0pyR2srSHNlem5ROW1XWTlKaWNPK3ZDRHNzQVVhUWoraDlTSDNoRHhCOVVEQTN3VVErRTZQZ29zWmxIUWxBTklTdEJKZkVyeVVBZ0Q3QnBlNWVDbEVHNlFQemxvUGxJeWxpZWZ6UGNDSTdsN1RIa1UyVWd4MzZQOEcvd0FrSkZTTGRBUnZENnByYkNmb1YwUWJ2cGRSamdTQ0RXU0tJdWpCUUJBbjBwb3B6YlFTRk9hdm5oUEZoV2lPNnVYbWhXdjJxNTNKZUhFbmJrMmVnVG9rY1BwSVhwdFZrVWwvb2N0RDVNZVdtcVBMUTNKV1BUdXVkTnhmS096WmpteGk4WkQyOEhaallqODFja0lQOXdBMkgxQUVNUXF3Tld3OGdFVFJsVG5mQXh0Vm0yZ24yaG54a3FkMCtjRHd6TnVIQkh3dlJtb2VqYkE1VmhJWHUydG9xUzN6aWZQVng4UGtKV3hkemp2QUNiQ3V0YUR6V2dNaUhremtvUXZsTjA3NXBpdTdkUGZzdTl3Y3B1NmJKY1BWc0IrMEFxRFFGVXVvVEh3UlpCWGI2cTJJTmlKNUdjK0dnZE9HekE3MG1VZ2RaYUJUWEFoa3cyVjZsUC94eC9JdnBBYmt2Q1JyampRdy9qWER2Nk1mbGpZME56MzM5MUx0S0hJLzlXY3pvZVNkOXR2ZHNtajF2OFMremFCNE5qd21jNlpqcEtHV09EQkRBRGN3dnBNOFk4UjhrK01rRWJIcFdBamhXSWYvcTVlM25qdkZTbmlvZHA1ZHN0YVhrem9yK0o4WndTM1d0Z1REeGxBRExFVWFmM3g0Wkpld2toQkh2SUxlTDkxT0dzSXJQcFJTWHROdENxTXRGWlRJanN1Mk9pUm4wZHMxMTNUaU9CRkRBRFFTQmlWbkNnQnJZZjVhZkJvOUFHRSt3V045NHBsY2ZsZ2JDb0NWOGFjS2xaK1lpV0oycVh4Y1hKMzgzUnAzZzdlVVlOOTNzVHl0ZTlXc0lqREpwOEt0c2RIRU1mdERnM25seExpcmt4VVpYOUpHY3RndTEzUWNMQlgvemN0VDRlMytPeWIxdC93K0NrTHo1VjFCTEFRSVVBeFFBQUFBSUFFMlZnVnhwd042U3NBRUFBUGdEQUFBTUFBa0FBQUFBQUFBQUFBQzJnUUFBQUFCa2IyTjFiV1Z1ZEM1NGJXeFZWQVVBQjVMMnpHbFFTd0VDRkFNVUFBQUFDQUJObFlGY21HY0NvUE1UQUFDaU1RRUFEd0FKQUFBQUFBQUFBQUFBdG9IYUFRQUFjR0ZuWlhNdmNHRm5aVEV1ZUcxc1ZWUUZBQWVTOXN4cFVFc0JBaFFERkFBQUFBZ0FUWldCWENUdzIvZzZBQUFBT2dBQUFBNEFDUUFBQUFBQUFBQUFBTGFCK2hVQUFISmxiSE12WDNKbGJITXVlRzFzVlZRRkFBZVM5c3hwVUVzQkFoUURGQUFBQUFnQVRaV0JYQ1R3Mi9nNkFBQUFPZ0FBQUJNQUNRQUFBQUFBQUFBQUFMYUJZQllBQUhKbGJITXZjR0ZuWlRGZmNtVnNjeTU0Yld4VlZBVUFCNUwyekdsUVN3RUNGQU1VQUFBQUNBQk5sWUZjQ2hvQzg3SURBQUJqSHdBQUNRQUpBQUFBQUFBQUFBQUF0b0hMRmdBQWRHaGxiV1V1ZUcxc1ZWUUZBQWVTOXN4cFVFc0JBaFFERkFBQUFBZ0FUWldCWEJiUXAzeExFd0FBSFJVQUFBNEFDUUFBQUFBQUFBQUFBTGFCcEJvQUFIUm9kVzFpYm1GcGJDNXFjR1ZuVlZRRkFBZVM5c3hwVUVzRkJnQUFBQUFHQUFZQW5RRUFBQnN1QUFBQUFBPT0iLAoJIkZpbGVOYW1lIiA6ICLnu5jlm74xKDEpLmVkZHgiCn0K"/>
    </extobj>
  </extobjs>
</s:customData>
</file>

<file path=customXml/item2.xml><?xml version="1.0" encoding="utf-8"?>
<contractReview xmlns="http://schemas.wps.cn/vas-ai-hub/contract-review">
  <reviewItems>
    <reviewItem>
      <errorID>e5b68367-dee6-48ce-802c-ab8057ae04ac</errorID>
      <errorWord>2月29日</errorWord>
      <group>L1_Other</group>
      <groupName>其他问题</groupName>
      <ability>L2_UserTypo</ability>
      <abilityName>自定义错误</abilityName>
      <candidateList>
        <item>建议核实</item>
      </candidateList>
      <explain>来自自定义错词库。</explain>
      <paraID>38E99782</paraID>
      <start>55</start>
      <end>60</end>
      <status>ignored</status>
      <modifiedWord/>
      <trackRevisions>false</trackRevisions>
    </reviewItem>
    <reviewItem>
      <errorID>bb17083a-899c-4704-876a-0faa223160b3</errorID>
      <errorWord>、及</errorWord>
      <group>L1_Other</group>
      <groupName>其他问题</groupName>
      <ability>L2_UserTypo</ability>
      <abilityName>自定义错误</abilityName>
      <candidateList>
        <item>及</item>
      </candidateList>
      <explain>来自自定义错词库。</explain>
      <paraID> 44B6322</paraID>
      <start>150</start>
      <end>152</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606ea41-a59c-4161-83cc-bfcd35dc6d8f}">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77</Pages>
  <Words>17877</Words>
  <Characters>19586</Characters>
  <Lines>13</Lines>
  <Paragraphs>3</Paragraphs>
  <TotalTime>1</TotalTime>
  <ScaleCrop>false</ScaleCrop>
  <LinksUpToDate>false</LinksUpToDate>
  <CharactersWithSpaces>19597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WPS_1562320662</cp:lastModifiedBy>
  <cp:lastPrinted>2023-06-16T05:23:00Z</cp:lastPrinted>
  <dcterms:modified xsi:type="dcterms:W3CDTF">2026-04-17T10:33:07Z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974B2622761F4C9D88021278790FE940_13</vt:lpwstr>
  </property>
  <property fmtid="{D5CDD505-2E9C-101B-9397-08002B2CF9AE}" pid="4" name="commondata">
    <vt:lpwstr>eyJoZGlkIjoiMTcxOTM4YTkyMDRkYWY2YjkzMjZmZmVmZTkzMTEyZDYifQ==</vt:lpwstr>
  </property>
  <property fmtid="{D5CDD505-2E9C-101B-9397-08002B2CF9AE}" pid="5" name="KSOTemplateDocerSaveRecord">
    <vt:lpwstr>eyJoZGlkIjoiNGRhODgyNjQ5YTE5ZjFmYjE2NDEwOTU4OTE2MjU0N2MiLCJ1c2VySWQiOiI2MDE2NTE5NzkifQ==</vt:lpwstr>
  </property>
</Properties>
</file>